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6838AA">
      <w:pPr>
        <w:spacing w:after="156" w:afterLines="50"/>
        <w:jc w:val="center"/>
        <w:rPr>
          <w:rFonts w:ascii="宋体" w:hAnsi="宋体"/>
          <w:b/>
          <w:color w:val="000000" w:themeColor="text1"/>
          <w:spacing w:val="-20"/>
          <w:sz w:val="24"/>
          <w:szCs w:val="24"/>
          <w:highlight w:val="none"/>
          <w14:shadow w14:blurRad="50800" w14:dist="38100" w14:dir="2700000" w14:sx="100000" w14:sy="100000" w14:kx="0" w14:ky="0" w14:algn="tl">
            <w14:srgbClr w14:val="000000">
              <w14:alpha w14:val="60000"/>
            </w14:srgbClr>
          </w14:shadow>
          <w14:textFill>
            <w14:solidFill>
              <w14:schemeClr w14:val="tx1"/>
            </w14:solidFill>
          </w14:textFill>
        </w:rPr>
      </w:pPr>
    </w:p>
    <w:p w14:paraId="4804621C">
      <w:pPr>
        <w:spacing w:after="156" w:afterLines="50" w:line="360" w:lineRule="auto"/>
        <w:jc w:val="center"/>
        <w:rPr>
          <w:rFonts w:ascii="宋体" w:hAnsi="宋体"/>
          <w:b/>
          <w:color w:val="000000" w:themeColor="text1"/>
          <w:spacing w:val="-20"/>
          <w:sz w:val="72"/>
          <w:szCs w:val="7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72"/>
          <w:szCs w:val="72"/>
          <w:highlight w:val="none"/>
          <w14:shadow w14:blurRad="50800" w14:dist="38100" w14:dir="2700000" w14:sx="100000" w14:sy="100000" w14:kx="0" w14:ky="0" w14:algn="tl">
            <w14:srgbClr w14:val="000000">
              <w14:alpha w14:val="60000"/>
            </w14:srgbClr>
          </w14:shadow>
          <w14:textFill>
            <w14:solidFill>
              <w14:schemeClr w14:val="tx1"/>
            </w14:solidFill>
          </w14:textFill>
        </w:rPr>
        <w:t>青田县政府采购</w:t>
      </w:r>
    </w:p>
    <w:p w14:paraId="7DD9D6C0">
      <w:pPr>
        <w:spacing w:line="480" w:lineRule="auto"/>
        <w:jc w:val="center"/>
        <w:rPr>
          <w:rFonts w:ascii="宋体" w:hAnsi="宋体"/>
          <w:b/>
          <w:color w:val="000000" w:themeColor="text1"/>
          <w:spacing w:val="-20"/>
          <w:sz w:val="72"/>
          <w:szCs w:val="7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72"/>
          <w:szCs w:val="72"/>
          <w:highlight w:val="none"/>
          <w14:shadow w14:blurRad="50800" w14:dist="38100" w14:dir="2700000" w14:sx="100000" w14:sy="100000" w14:kx="0" w14:ky="0" w14:algn="tl">
            <w14:srgbClr w14:val="000000">
              <w14:alpha w14:val="60000"/>
            </w14:srgbClr>
          </w14:shadow>
          <w14:textFill>
            <w14:solidFill>
              <w14:schemeClr w14:val="tx1"/>
            </w14:solidFill>
          </w14:textFill>
        </w:rPr>
        <w:t>竞争性磋商文件</w:t>
      </w:r>
    </w:p>
    <w:p w14:paraId="034E7E12">
      <w:pPr>
        <w:spacing w:line="360" w:lineRule="auto"/>
        <w:jc w:val="center"/>
        <w:rPr>
          <w:rFonts w:ascii="华文新魏" w:eastAsia="华文新魏"/>
          <w:b/>
          <w:color w:val="000000" w:themeColor="text1"/>
          <w:sz w:val="44"/>
          <w:szCs w:val="44"/>
          <w:highlight w:val="none"/>
          <w14:textFill>
            <w14:solidFill>
              <w14:schemeClr w14:val="tx1"/>
            </w14:solidFill>
          </w14:textFill>
        </w:rPr>
      </w:pPr>
    </w:p>
    <w:tbl>
      <w:tblPr>
        <w:tblStyle w:val="43"/>
        <w:tblW w:w="0" w:type="auto"/>
        <w:jc w:val="center"/>
        <w:tblLayout w:type="fixed"/>
        <w:tblCellMar>
          <w:top w:w="0" w:type="dxa"/>
          <w:left w:w="108" w:type="dxa"/>
          <w:bottom w:w="0" w:type="dxa"/>
          <w:right w:w="108" w:type="dxa"/>
        </w:tblCellMar>
      </w:tblPr>
      <w:tblGrid>
        <w:gridCol w:w="2668"/>
        <w:gridCol w:w="6091"/>
      </w:tblGrid>
      <w:tr w14:paraId="6163DBF9">
        <w:tblPrEx>
          <w:tblCellMar>
            <w:top w:w="0" w:type="dxa"/>
            <w:left w:w="108" w:type="dxa"/>
            <w:bottom w:w="0" w:type="dxa"/>
            <w:right w:w="108" w:type="dxa"/>
          </w:tblCellMar>
        </w:tblPrEx>
        <w:trPr>
          <w:trHeight w:val="981" w:hRule="atLeast"/>
          <w:jc w:val="center"/>
        </w:trPr>
        <w:tc>
          <w:tcPr>
            <w:tcW w:w="2668" w:type="dxa"/>
            <w:vAlign w:val="center"/>
          </w:tcPr>
          <w:p w14:paraId="09450830">
            <w:pPr>
              <w:spacing w:line="480" w:lineRule="auto"/>
              <w:jc w:val="distribute"/>
              <w:rPr>
                <w:rFonts w:ascii="宋体" w:hAnsi="宋体"/>
                <w:b/>
                <w:color w:val="auto"/>
                <w:spacing w:val="-20"/>
                <w:sz w:val="32"/>
                <w:szCs w:val="32"/>
                <w:highlight w:val="none"/>
                <w14:shadow w14:blurRad="50800" w14:dist="38100" w14:dir="2700000" w14:sx="100000" w14:sy="100000" w14:kx="0" w14:ky="0" w14:algn="tl">
                  <w14:srgbClr w14:val="000000">
                    <w14:alpha w14:val="60000"/>
                  </w14:srgbClr>
                </w14:shadow>
              </w:rPr>
            </w:pPr>
            <w:r>
              <w:rPr>
                <w:rFonts w:hint="eastAsia" w:ascii="宋体" w:hAnsi="宋体"/>
                <w:b/>
                <w:color w:val="auto"/>
                <w:spacing w:val="-20"/>
                <w:sz w:val="32"/>
                <w:szCs w:val="32"/>
                <w:highlight w:val="none"/>
                <w14:shadow w14:blurRad="50800" w14:dist="38100" w14:dir="2700000" w14:sx="100000" w14:sy="100000" w14:kx="0" w14:ky="0" w14:algn="tl">
                  <w14:srgbClr w14:val="000000">
                    <w14:alpha w14:val="60000"/>
                  </w14:srgbClr>
                </w14:shadow>
              </w:rPr>
              <w:t>采购编号：</w:t>
            </w:r>
          </w:p>
        </w:tc>
        <w:tc>
          <w:tcPr>
            <w:tcW w:w="6091" w:type="dxa"/>
            <w:vAlign w:val="center"/>
          </w:tcPr>
          <w:p w14:paraId="466BE64C">
            <w:pPr>
              <w:spacing w:line="480" w:lineRule="auto"/>
              <w:rPr>
                <w:rFonts w:hint="eastAsia" w:ascii="宋体" w:hAnsi="宋体" w:eastAsia="宋体"/>
                <w:b/>
                <w:color w:val="auto"/>
                <w:spacing w:val="-20"/>
                <w:sz w:val="32"/>
                <w:szCs w:val="32"/>
                <w:highlight w:val="none"/>
                <w:lang w:val="en-US" w:eastAsia="zh-CN"/>
                <w14:shadow w14:blurRad="50800" w14:dist="38100" w14:dir="2700000" w14:sx="100000" w14:sy="100000" w14:kx="0" w14:ky="0" w14:algn="tl">
                  <w14:srgbClr w14:val="000000">
                    <w14:alpha w14:val="60000"/>
                  </w14:srgbClr>
                </w14:shadow>
              </w:rPr>
            </w:pPr>
            <w:r>
              <w:rPr>
                <w:rFonts w:hint="eastAsia" w:ascii="宋体" w:hAnsi="宋体"/>
                <w:b/>
                <w:color w:val="auto"/>
                <w:spacing w:val="-20"/>
                <w:sz w:val="32"/>
                <w:szCs w:val="32"/>
                <w:highlight w:val="none"/>
                <w:lang w:eastAsia="zh-CN"/>
                <w14:shadow w14:blurRad="50800" w14:dist="38100" w14:dir="2700000" w14:sx="100000" w14:sy="100000" w14:kx="0" w14:ky="0" w14:algn="tl">
                  <w14:srgbClr w14:val="000000">
                    <w14:alpha w14:val="60000"/>
                  </w14:srgbClr>
                </w14:shadow>
              </w:rPr>
              <w:t>QTFSCG2025-048</w:t>
            </w:r>
          </w:p>
        </w:tc>
      </w:tr>
      <w:tr w14:paraId="790F4560">
        <w:tblPrEx>
          <w:tblCellMar>
            <w:top w:w="0" w:type="dxa"/>
            <w:left w:w="108" w:type="dxa"/>
            <w:bottom w:w="0" w:type="dxa"/>
            <w:right w:w="108" w:type="dxa"/>
          </w:tblCellMar>
        </w:tblPrEx>
        <w:trPr>
          <w:trHeight w:val="915" w:hRule="atLeast"/>
          <w:jc w:val="center"/>
        </w:trPr>
        <w:tc>
          <w:tcPr>
            <w:tcW w:w="2668" w:type="dxa"/>
            <w:vAlign w:val="center"/>
          </w:tcPr>
          <w:p w14:paraId="33A77F9B">
            <w:pPr>
              <w:spacing w:line="480" w:lineRule="auto"/>
              <w:jc w:val="distribute"/>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项目名称：</w:t>
            </w:r>
          </w:p>
        </w:tc>
        <w:tc>
          <w:tcPr>
            <w:tcW w:w="6091" w:type="dxa"/>
            <w:vAlign w:val="center"/>
          </w:tcPr>
          <w:p w14:paraId="7633E75A">
            <w:pPr>
              <w:spacing w:line="480" w:lineRule="auto"/>
              <w:rPr>
                <w:rFonts w:hint="eastAsia" w:ascii="宋体" w:hAnsi="宋体" w:eastAsia="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t>青田县交通运输局非现场执法设备运维服务项目</w:t>
            </w:r>
          </w:p>
        </w:tc>
      </w:tr>
      <w:tr w14:paraId="4F45F74C">
        <w:tblPrEx>
          <w:tblCellMar>
            <w:top w:w="0" w:type="dxa"/>
            <w:left w:w="108" w:type="dxa"/>
            <w:bottom w:w="0" w:type="dxa"/>
            <w:right w:w="108" w:type="dxa"/>
          </w:tblCellMar>
        </w:tblPrEx>
        <w:trPr>
          <w:trHeight w:val="915" w:hRule="atLeast"/>
          <w:jc w:val="center"/>
        </w:trPr>
        <w:tc>
          <w:tcPr>
            <w:tcW w:w="2668" w:type="dxa"/>
            <w:vAlign w:val="center"/>
          </w:tcPr>
          <w:p w14:paraId="7D0B4AAC">
            <w:pPr>
              <w:spacing w:line="408" w:lineRule="auto"/>
              <w:jc w:val="distribute"/>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eastAsia="宋体"/>
                <w:b/>
                <w:color w:val="000000"/>
                <w:spacing w:val="-20"/>
                <w:sz w:val="32"/>
                <w:szCs w:val="32"/>
                <w:highlight w:val="none"/>
                <w14:shadow w14:blurRad="50800" w14:dist="38100" w14:dir="2700000" w14:sx="100000" w14:sy="100000" w14:kx="0" w14:ky="0" w14:algn="tl">
                  <w14:srgbClr w14:val="000000">
                    <w14:alpha w14:val="60000"/>
                  </w14:srgbClr>
                </w14:shadow>
              </w:rPr>
              <w:t>采购人：</w:t>
            </w:r>
          </w:p>
        </w:tc>
        <w:tc>
          <w:tcPr>
            <w:tcW w:w="6091" w:type="dxa"/>
            <w:vAlign w:val="center"/>
          </w:tcPr>
          <w:p w14:paraId="117B45D8">
            <w:pPr>
              <w:spacing w:line="408" w:lineRule="auto"/>
              <w:rPr>
                <w:rFonts w:hint="eastAsia" w:ascii="宋体" w:hAnsi="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spacing w:val="-20"/>
                <w:sz w:val="32"/>
                <w:szCs w:val="32"/>
                <w:highlight w:val="none"/>
                <w:lang w:eastAsia="zh-CN"/>
                <w14:shadow w14:blurRad="50800" w14:dist="38100" w14:dir="2700000" w14:sx="100000" w14:sy="100000" w14:kx="0" w14:ky="0" w14:algn="tl">
                  <w14:srgbClr w14:val="000000">
                    <w14:alpha w14:val="60000"/>
                  </w14:srgbClr>
                </w14:shadow>
              </w:rPr>
              <w:t>青田县交通运输局</w:t>
            </w:r>
          </w:p>
        </w:tc>
      </w:tr>
      <w:tr w14:paraId="11EECC57">
        <w:tblPrEx>
          <w:tblCellMar>
            <w:top w:w="0" w:type="dxa"/>
            <w:left w:w="108" w:type="dxa"/>
            <w:bottom w:w="0" w:type="dxa"/>
            <w:right w:w="108" w:type="dxa"/>
          </w:tblCellMar>
        </w:tblPrEx>
        <w:trPr>
          <w:trHeight w:val="741" w:hRule="atLeast"/>
          <w:jc w:val="center"/>
        </w:trPr>
        <w:tc>
          <w:tcPr>
            <w:tcW w:w="2668" w:type="dxa"/>
            <w:vAlign w:val="center"/>
          </w:tcPr>
          <w:p w14:paraId="12C05521">
            <w:pPr>
              <w:spacing w:line="480" w:lineRule="auto"/>
              <w:jc w:val="distribute"/>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p>
        </w:tc>
        <w:tc>
          <w:tcPr>
            <w:tcW w:w="6091" w:type="dxa"/>
            <w:vAlign w:val="center"/>
          </w:tcPr>
          <w:p w14:paraId="6CB7F48D">
            <w:pPr>
              <w:spacing w:line="480" w:lineRule="auto"/>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p>
        </w:tc>
      </w:tr>
      <w:tr w14:paraId="10595E44">
        <w:tblPrEx>
          <w:tblCellMar>
            <w:top w:w="0" w:type="dxa"/>
            <w:left w:w="108" w:type="dxa"/>
            <w:bottom w:w="0" w:type="dxa"/>
            <w:right w:w="108" w:type="dxa"/>
          </w:tblCellMar>
        </w:tblPrEx>
        <w:trPr>
          <w:trHeight w:val="861" w:hRule="atLeast"/>
          <w:jc w:val="center"/>
        </w:trPr>
        <w:tc>
          <w:tcPr>
            <w:tcW w:w="2668" w:type="dxa"/>
            <w:vAlign w:val="center"/>
          </w:tcPr>
          <w:p w14:paraId="7AF39997">
            <w:pPr>
              <w:spacing w:line="480" w:lineRule="auto"/>
              <w:jc w:val="distribute"/>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采购代理机构：</w:t>
            </w:r>
          </w:p>
        </w:tc>
        <w:tc>
          <w:tcPr>
            <w:tcW w:w="6091" w:type="dxa"/>
            <w:vAlign w:val="center"/>
          </w:tcPr>
          <w:p w14:paraId="7C226399">
            <w:pPr>
              <w:spacing w:line="480" w:lineRule="auto"/>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t>浙江鼎峰工程咨询有限公司</w:t>
            </w: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 xml:space="preserve">  </w:t>
            </w:r>
          </w:p>
        </w:tc>
      </w:tr>
      <w:tr w14:paraId="1CBD44DA">
        <w:tblPrEx>
          <w:tblCellMar>
            <w:top w:w="0" w:type="dxa"/>
            <w:left w:w="108" w:type="dxa"/>
            <w:bottom w:w="0" w:type="dxa"/>
            <w:right w:w="108" w:type="dxa"/>
          </w:tblCellMar>
        </w:tblPrEx>
        <w:trPr>
          <w:trHeight w:val="906" w:hRule="atLeast"/>
          <w:jc w:val="center"/>
        </w:trPr>
        <w:tc>
          <w:tcPr>
            <w:tcW w:w="2668" w:type="dxa"/>
            <w:vAlign w:val="center"/>
          </w:tcPr>
          <w:p w14:paraId="643F1337">
            <w:pPr>
              <w:spacing w:line="480" w:lineRule="auto"/>
              <w:jc w:val="distribute"/>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地址：</w:t>
            </w:r>
          </w:p>
        </w:tc>
        <w:tc>
          <w:tcPr>
            <w:tcW w:w="6091" w:type="dxa"/>
            <w:vAlign w:val="center"/>
          </w:tcPr>
          <w:p w14:paraId="63F0CFE9">
            <w:pPr>
              <w:spacing w:line="480" w:lineRule="auto"/>
              <w:rPr>
                <w:rFonts w:hint="eastAsia" w:ascii="宋体" w:hAnsi="宋体" w:eastAsia="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t>青田县瓯南街道水南村栖霞寺路21号5楼</w:t>
            </w:r>
          </w:p>
        </w:tc>
      </w:tr>
      <w:tr w14:paraId="569068EF">
        <w:tblPrEx>
          <w:tblCellMar>
            <w:top w:w="0" w:type="dxa"/>
            <w:left w:w="108" w:type="dxa"/>
            <w:bottom w:w="0" w:type="dxa"/>
            <w:right w:w="108" w:type="dxa"/>
          </w:tblCellMar>
        </w:tblPrEx>
        <w:trPr>
          <w:trHeight w:val="921" w:hRule="atLeast"/>
          <w:jc w:val="center"/>
        </w:trPr>
        <w:tc>
          <w:tcPr>
            <w:tcW w:w="2668" w:type="dxa"/>
            <w:vAlign w:val="center"/>
          </w:tcPr>
          <w:p w14:paraId="34136B62">
            <w:pPr>
              <w:spacing w:line="480" w:lineRule="auto"/>
              <w:jc w:val="distribute"/>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邮编：</w:t>
            </w:r>
          </w:p>
        </w:tc>
        <w:tc>
          <w:tcPr>
            <w:tcW w:w="6091" w:type="dxa"/>
            <w:vAlign w:val="center"/>
          </w:tcPr>
          <w:p w14:paraId="4F1B82AB">
            <w:pPr>
              <w:spacing w:line="480" w:lineRule="auto"/>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323900</w:t>
            </w:r>
          </w:p>
        </w:tc>
      </w:tr>
      <w:tr w14:paraId="018A648E">
        <w:tblPrEx>
          <w:tblCellMar>
            <w:top w:w="0" w:type="dxa"/>
            <w:left w:w="108" w:type="dxa"/>
            <w:bottom w:w="0" w:type="dxa"/>
            <w:right w:w="108" w:type="dxa"/>
          </w:tblCellMar>
        </w:tblPrEx>
        <w:trPr>
          <w:trHeight w:val="741" w:hRule="atLeast"/>
          <w:jc w:val="center"/>
        </w:trPr>
        <w:tc>
          <w:tcPr>
            <w:tcW w:w="2668" w:type="dxa"/>
            <w:vAlign w:val="center"/>
          </w:tcPr>
          <w:p w14:paraId="7A8E9A59">
            <w:pPr>
              <w:spacing w:line="480" w:lineRule="auto"/>
              <w:jc w:val="distribute"/>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p>
        </w:tc>
        <w:tc>
          <w:tcPr>
            <w:tcW w:w="6091" w:type="dxa"/>
            <w:vAlign w:val="center"/>
          </w:tcPr>
          <w:p w14:paraId="206C8B56">
            <w:pPr>
              <w:spacing w:line="480" w:lineRule="auto"/>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p>
        </w:tc>
      </w:tr>
      <w:tr w14:paraId="6849EAD9">
        <w:tblPrEx>
          <w:tblCellMar>
            <w:top w:w="0" w:type="dxa"/>
            <w:left w:w="108" w:type="dxa"/>
            <w:bottom w:w="0" w:type="dxa"/>
            <w:right w:w="108" w:type="dxa"/>
          </w:tblCellMar>
        </w:tblPrEx>
        <w:trPr>
          <w:trHeight w:val="741" w:hRule="atLeast"/>
          <w:jc w:val="center"/>
        </w:trPr>
        <w:tc>
          <w:tcPr>
            <w:tcW w:w="8759" w:type="dxa"/>
            <w:gridSpan w:val="2"/>
            <w:vAlign w:val="center"/>
          </w:tcPr>
          <w:p w14:paraId="3F679D5B">
            <w:pPr>
              <w:spacing w:line="480" w:lineRule="auto"/>
              <w:jc w:val="center"/>
              <w:rPr>
                <w:rFonts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二〇</w:t>
            </w:r>
            <w:r>
              <w:rPr>
                <w:rFonts w:hint="eastAsia" w:ascii="宋体" w:hAnsi="宋体"/>
                <w:b/>
                <w:color w:val="000000" w:themeColor="text1"/>
                <w:spacing w:val="-20"/>
                <w:sz w:val="32"/>
                <w:szCs w:val="32"/>
                <w:highlight w:val="none"/>
                <w:lang w:eastAsia="zh-CN"/>
                <w14:shadow w14:blurRad="50800" w14:dist="38100" w14:dir="2700000" w14:sx="100000" w14:sy="100000" w14:kx="0" w14:ky="0" w14:algn="tl">
                  <w14:srgbClr w14:val="000000">
                    <w14:alpha w14:val="60000"/>
                  </w14:srgbClr>
                </w14:shadow>
                <w14:textFill>
                  <w14:solidFill>
                    <w14:schemeClr w14:val="tx1"/>
                  </w14:solidFill>
                </w14:textFill>
              </w:rPr>
              <w:t>二五</w:t>
            </w: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年</w:t>
            </w:r>
            <w:r>
              <w:rPr>
                <w:rFonts w:hint="eastAsia" w:ascii="宋体" w:hAnsi="宋体"/>
                <w:b/>
                <w:color w:val="000000" w:themeColor="text1"/>
                <w:spacing w:val="-20"/>
                <w:sz w:val="32"/>
                <w:szCs w:val="32"/>
                <w:highlight w:val="none"/>
                <w:lang w:val="en-US" w:eastAsia="zh-CN"/>
                <w14:shadow w14:blurRad="50800" w14:dist="38100" w14:dir="2700000" w14:sx="100000" w14:sy="100000" w14:kx="0" w14:ky="0" w14:algn="tl">
                  <w14:srgbClr w14:val="000000">
                    <w14:alpha w14:val="60000"/>
                  </w14:srgbClr>
                </w14:shadow>
                <w14:textFill>
                  <w14:solidFill>
                    <w14:schemeClr w14:val="tx1"/>
                  </w14:solidFill>
                </w14:textFill>
              </w:rPr>
              <w:t>四</w:t>
            </w:r>
            <w:r>
              <w:rPr>
                <w:rFonts w:hint="eastAsia" w:ascii="宋体" w:hAnsi="宋体"/>
                <w:b/>
                <w:color w:val="000000" w:themeColor="text1"/>
                <w:spacing w:val="-20"/>
                <w:sz w:val="32"/>
                <w:szCs w:val="32"/>
                <w:highlight w:val="none"/>
                <w14:shadow w14:blurRad="50800" w14:dist="38100" w14:dir="2700000" w14:sx="100000" w14:sy="100000" w14:kx="0" w14:ky="0" w14:algn="tl">
                  <w14:srgbClr w14:val="000000">
                    <w14:alpha w14:val="60000"/>
                  </w14:srgbClr>
                </w14:shadow>
                <w14:textFill>
                  <w14:solidFill>
                    <w14:schemeClr w14:val="tx1"/>
                  </w14:solidFill>
                </w14:textFill>
              </w:rPr>
              <w:t>月</w:t>
            </w:r>
          </w:p>
        </w:tc>
      </w:tr>
    </w:tbl>
    <w:p w14:paraId="3DFC267F">
      <w:pPr>
        <w:pStyle w:val="202"/>
        <w:widowControl w:val="0"/>
        <w:spacing w:after="0" w:afterLines="0" w:line="340" w:lineRule="exact"/>
        <w:ind w:firstLine="0" w:firstLineChars="0"/>
        <w:jc w:val="center"/>
        <w:rPr>
          <w:b/>
          <w:color w:val="000000" w:themeColor="text1"/>
          <w:sz w:val="30"/>
          <w:szCs w:val="30"/>
          <w:highlight w:val="none"/>
          <w14:textFill>
            <w14:solidFill>
              <w14:schemeClr w14:val="tx1"/>
            </w14:solidFill>
          </w14:textFill>
        </w:rPr>
      </w:pPr>
      <w:bookmarkStart w:id="0" w:name="_Toc499904867"/>
      <w:bookmarkStart w:id="1" w:name="_Toc303756353"/>
      <w:bookmarkStart w:id="2" w:name="_Toc301187513"/>
      <w:r>
        <w:rPr>
          <w:rFonts w:hint="eastAsia"/>
          <w:b/>
          <w:color w:val="000000" w:themeColor="text1"/>
          <w:sz w:val="30"/>
          <w:szCs w:val="30"/>
          <w:highlight w:val="none"/>
          <w14:textFill>
            <w14:solidFill>
              <w14:schemeClr w14:val="tx1"/>
            </w14:solidFill>
          </w14:textFill>
        </w:rPr>
        <w:br w:type="page"/>
      </w:r>
      <w:r>
        <w:rPr>
          <w:rFonts w:hint="eastAsia"/>
          <w:b/>
          <w:color w:val="000000" w:themeColor="text1"/>
          <w:sz w:val="30"/>
          <w:szCs w:val="30"/>
          <w:highlight w:val="none"/>
          <w14:textFill>
            <w14:solidFill>
              <w14:schemeClr w14:val="tx1"/>
            </w14:solidFill>
          </w14:textFill>
        </w:rPr>
        <w:t>目  录</w:t>
      </w:r>
    </w:p>
    <w:p w14:paraId="4F476F5B">
      <w:pPr>
        <w:pStyle w:val="202"/>
        <w:widowControl w:val="0"/>
        <w:spacing w:after="0" w:afterLines="0" w:line="340" w:lineRule="exact"/>
        <w:ind w:firstLine="0" w:firstLineChars="0"/>
        <w:jc w:val="center"/>
        <w:rPr>
          <w:b/>
          <w:color w:val="000000" w:themeColor="text1"/>
          <w:sz w:val="30"/>
          <w:szCs w:val="30"/>
          <w:highlight w:val="none"/>
          <w14:textFill>
            <w14:solidFill>
              <w14:schemeClr w14:val="tx1"/>
            </w14:solidFill>
          </w14:textFill>
        </w:rPr>
      </w:pPr>
    </w:p>
    <w:bookmarkEnd w:id="0"/>
    <w:bookmarkEnd w:id="1"/>
    <w:bookmarkEnd w:id="2"/>
    <w:p w14:paraId="1F7290FD">
      <w:pPr>
        <w:pStyle w:val="32"/>
        <w:tabs>
          <w:tab w:val="right" w:leader="hyphen" w:pos="9094"/>
          <w:tab w:val="clear" w:pos="9060"/>
        </w:tabs>
      </w:pPr>
      <w:bookmarkStart w:id="3" w:name="_Toc303756354"/>
      <w:bookmarkStart w:id="4" w:name="_Toc301187514"/>
      <w:r>
        <w:rPr>
          <w:rFonts w:hint="eastAsia" w:ascii="宋体" w:hAnsi="宋体"/>
          <w:b/>
          <w:color w:val="000000" w:themeColor="text1"/>
          <w:highlight w:val="none"/>
          <w14:textFill>
            <w14:solidFill>
              <w14:schemeClr w14:val="tx1"/>
            </w14:solidFill>
          </w14:textFill>
        </w:rPr>
        <w:fldChar w:fldCharType="begin"/>
      </w:r>
      <w:r>
        <w:rPr>
          <w:rFonts w:hint="eastAsia" w:ascii="宋体" w:hAnsi="宋体"/>
          <w:b/>
          <w:color w:val="000000" w:themeColor="text1"/>
          <w:highlight w:val="none"/>
          <w14:textFill>
            <w14:solidFill>
              <w14:schemeClr w14:val="tx1"/>
            </w14:solidFill>
          </w14:textFill>
        </w:rPr>
        <w:instrText xml:space="preserve">TOC \o "1-3" \h \u </w:instrText>
      </w:r>
      <w:r>
        <w:rPr>
          <w:rFonts w:hint="eastAsia" w:ascii="宋体" w:hAnsi="宋体"/>
          <w:b/>
          <w:color w:val="000000" w:themeColor="text1"/>
          <w:highlight w:val="none"/>
          <w14:textFill>
            <w14:solidFill>
              <w14:schemeClr w14:val="tx1"/>
            </w14:solidFill>
          </w14:textFill>
        </w:rPr>
        <w:fldChar w:fldCharType="separate"/>
      </w:r>
      <w:r>
        <w:rPr>
          <w:rFonts w:hint="eastAsia" w:ascii="宋体" w:hAnsi="宋体"/>
          <w:color w:val="000000" w:themeColor="text1"/>
          <w:highlight w:val="none"/>
          <w14:textFill>
            <w14:solidFill>
              <w14:schemeClr w14:val="tx1"/>
            </w14:solidFill>
          </w14:textFill>
        </w:rPr>
        <w:fldChar w:fldCharType="begin"/>
      </w:r>
      <w:r>
        <w:rPr>
          <w:rFonts w:hint="eastAsia" w:ascii="宋体" w:hAnsi="宋体"/>
          <w:highlight w:val="none"/>
        </w:rPr>
        <w:instrText xml:space="preserve"> HYPERLINK \l _Toc1333 </w:instrText>
      </w:r>
      <w:r>
        <w:rPr>
          <w:rFonts w:hint="eastAsia" w:ascii="宋体" w:hAnsi="宋体"/>
          <w:highlight w:val="none"/>
        </w:rPr>
        <w:fldChar w:fldCharType="separate"/>
      </w:r>
      <w:r>
        <w:rPr>
          <w:rFonts w:hint="eastAsia"/>
          <w:bCs/>
          <w:highlight w:val="none"/>
        </w:rPr>
        <w:t xml:space="preserve">第一章 </w:t>
      </w:r>
      <w:r>
        <w:rPr>
          <w:rFonts w:hint="eastAsia"/>
          <w:bCs/>
          <w:szCs w:val="22"/>
          <w:highlight w:val="none"/>
        </w:rPr>
        <w:t>竞争性磋商公告</w:t>
      </w:r>
      <w:r>
        <w:tab/>
      </w:r>
      <w:r>
        <w:fldChar w:fldCharType="begin"/>
      </w:r>
      <w:r>
        <w:instrText xml:space="preserve"> PAGEREF _Toc1333 \h </w:instrText>
      </w:r>
      <w:r>
        <w:fldChar w:fldCharType="separate"/>
      </w:r>
      <w:r>
        <w:t>3</w:t>
      </w:r>
      <w:r>
        <w:fldChar w:fldCharType="end"/>
      </w:r>
      <w:r>
        <w:rPr>
          <w:rFonts w:hint="eastAsia" w:ascii="宋体" w:hAnsi="宋体"/>
          <w:color w:val="000000" w:themeColor="text1"/>
          <w:highlight w:val="none"/>
          <w14:textFill>
            <w14:solidFill>
              <w14:schemeClr w14:val="tx1"/>
            </w14:solidFill>
          </w14:textFill>
        </w:rPr>
        <w:fldChar w:fldCharType="end"/>
      </w:r>
    </w:p>
    <w:p w14:paraId="0B8E31AC">
      <w:pPr>
        <w:pStyle w:val="32"/>
        <w:tabs>
          <w:tab w:val="right" w:leader="hyphen" w:pos="9094"/>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_Toc10526 </w:instrText>
      </w:r>
      <w:r>
        <w:rPr>
          <w:rFonts w:hint="eastAsia" w:ascii="宋体" w:hAnsi="宋体"/>
          <w:bCs w:val="0"/>
          <w:kern w:val="2"/>
          <w:szCs w:val="24"/>
          <w:highlight w:val="none"/>
        </w:rPr>
        <w:fldChar w:fldCharType="separate"/>
      </w:r>
      <w:r>
        <w:rPr>
          <w:rFonts w:hint="eastAsia"/>
          <w:szCs w:val="22"/>
        </w:rPr>
        <w:t xml:space="preserve">第二章 </w:t>
      </w:r>
      <w:r>
        <w:rPr>
          <w:rFonts w:hint="eastAsia"/>
          <w:szCs w:val="22"/>
          <w:highlight w:val="none"/>
        </w:rPr>
        <w:t>采购需求</w:t>
      </w:r>
      <w:r>
        <w:tab/>
      </w:r>
      <w:r>
        <w:fldChar w:fldCharType="begin"/>
      </w:r>
      <w:r>
        <w:instrText xml:space="preserve"> PAGEREF _Toc10526 \h </w:instrText>
      </w:r>
      <w:r>
        <w:fldChar w:fldCharType="separate"/>
      </w:r>
      <w:r>
        <w:t>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83C1FB3">
      <w:pPr>
        <w:pStyle w:val="32"/>
        <w:tabs>
          <w:tab w:val="right" w:leader="hyphen" w:pos="9094"/>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_Toc11529 </w:instrText>
      </w:r>
      <w:r>
        <w:rPr>
          <w:rFonts w:hint="eastAsia" w:ascii="宋体" w:hAnsi="宋体"/>
          <w:bCs w:val="0"/>
          <w:kern w:val="2"/>
          <w:szCs w:val="24"/>
          <w:highlight w:val="none"/>
        </w:rPr>
        <w:fldChar w:fldCharType="separate"/>
      </w:r>
      <w:r>
        <w:rPr>
          <w:rFonts w:hint="eastAsia"/>
          <w:szCs w:val="36"/>
          <w:highlight w:val="none"/>
        </w:rPr>
        <w:t>第三章 供应商须知</w:t>
      </w:r>
      <w:r>
        <w:tab/>
      </w:r>
      <w:r>
        <w:fldChar w:fldCharType="begin"/>
      </w:r>
      <w:r>
        <w:instrText xml:space="preserve"> PAGEREF _Toc11529 \h </w:instrText>
      </w:r>
      <w:r>
        <w:fldChar w:fldCharType="separate"/>
      </w:r>
      <w:r>
        <w:t>16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46FD97BA">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_Toc12237 </w:instrText>
      </w:r>
      <w:r>
        <w:rPr>
          <w:rFonts w:hint="eastAsia" w:ascii="宋体" w:hAnsi="宋体"/>
          <w:bCs w:val="0"/>
          <w:kern w:val="2"/>
          <w:szCs w:val="24"/>
          <w:highlight w:val="none"/>
        </w:rPr>
        <w:fldChar w:fldCharType="separate"/>
      </w:r>
      <w:r>
        <w:rPr>
          <w:rFonts w:hint="eastAsia" w:ascii="宋体" w:hAnsi="宋体"/>
          <w:szCs w:val="24"/>
          <w:highlight w:val="none"/>
        </w:rPr>
        <w:t>1．总则</w:t>
      </w:r>
      <w:r>
        <w:tab/>
      </w:r>
      <w:r>
        <w:fldChar w:fldCharType="begin"/>
      </w:r>
      <w:r>
        <w:instrText xml:space="preserve"> PAGEREF _Toc12237 \h </w:instrText>
      </w:r>
      <w:r>
        <w:fldChar w:fldCharType="separate"/>
      </w:r>
      <w:r>
        <w:t>20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13C549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_Toc22265 </w:instrText>
      </w:r>
      <w:r>
        <w:rPr>
          <w:rFonts w:hint="eastAsia" w:ascii="宋体" w:hAnsi="宋体"/>
          <w:bCs w:val="0"/>
          <w:kern w:val="2"/>
          <w:szCs w:val="24"/>
          <w:highlight w:val="none"/>
        </w:rPr>
        <w:fldChar w:fldCharType="separate"/>
      </w:r>
      <w:r>
        <w:rPr>
          <w:rFonts w:hint="eastAsia" w:ascii="宋体" w:hAnsi="宋体"/>
          <w:szCs w:val="24"/>
          <w:highlight w:val="none"/>
        </w:rPr>
        <w:t>2．竞争性磋商文件</w:t>
      </w:r>
      <w:r>
        <w:tab/>
      </w:r>
      <w:r>
        <w:fldChar w:fldCharType="begin"/>
      </w:r>
      <w:r>
        <w:instrText xml:space="preserve"> PAGEREF _Toc22265 \h </w:instrText>
      </w:r>
      <w:r>
        <w:fldChar w:fldCharType="separate"/>
      </w:r>
      <w:r>
        <w:t>24</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031DA164">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_Toc27597 </w:instrText>
      </w:r>
      <w:r>
        <w:rPr>
          <w:rFonts w:hint="eastAsia" w:ascii="宋体" w:hAnsi="宋体"/>
          <w:bCs w:val="0"/>
          <w:kern w:val="2"/>
          <w:szCs w:val="24"/>
          <w:highlight w:val="none"/>
        </w:rPr>
        <w:fldChar w:fldCharType="separate"/>
      </w:r>
      <w:r>
        <w:rPr>
          <w:rFonts w:hint="eastAsia" w:ascii="宋体" w:hAnsi="宋体"/>
          <w:szCs w:val="24"/>
          <w:highlight w:val="none"/>
        </w:rPr>
        <w:t>3．响应文件的组成</w:t>
      </w:r>
      <w:r>
        <w:tab/>
      </w:r>
      <w:r>
        <w:fldChar w:fldCharType="begin"/>
      </w:r>
      <w:r>
        <w:instrText xml:space="preserve"> PAGEREF _Toc27597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9AAF177">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_Toc9527 </w:instrText>
      </w:r>
      <w:r>
        <w:rPr>
          <w:rFonts w:hint="eastAsia" w:ascii="宋体" w:hAnsi="宋体"/>
          <w:bCs w:val="0"/>
          <w:kern w:val="2"/>
          <w:szCs w:val="24"/>
          <w:highlight w:val="none"/>
        </w:rPr>
        <w:fldChar w:fldCharType="separate"/>
      </w:r>
      <w:r>
        <w:rPr>
          <w:rFonts w:hint="eastAsia" w:ascii="宋体" w:hAnsi="宋体"/>
          <w:szCs w:val="21"/>
          <w:highlight w:val="none"/>
        </w:rPr>
        <w:t>3.1响应文件形式及效力</w:t>
      </w:r>
      <w:r>
        <w:tab/>
      </w:r>
      <w:r>
        <w:fldChar w:fldCharType="begin"/>
      </w:r>
      <w:r>
        <w:instrText xml:space="preserve"> PAGEREF _Toc9527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4CFE85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_Toc3194 </w:instrText>
      </w:r>
      <w:r>
        <w:rPr>
          <w:rFonts w:hint="eastAsia" w:ascii="宋体" w:hAnsi="宋体"/>
          <w:bCs w:val="0"/>
          <w:kern w:val="2"/>
          <w:szCs w:val="24"/>
          <w:highlight w:val="none"/>
        </w:rPr>
        <w:fldChar w:fldCharType="separate"/>
      </w:r>
      <w:r>
        <w:rPr>
          <w:rFonts w:hint="eastAsia" w:ascii="宋体" w:hAnsi="宋体"/>
          <w:szCs w:val="21"/>
          <w:highlight w:val="none"/>
        </w:rPr>
        <w:t>3.2响应文件内容的组成</w:t>
      </w:r>
      <w:r>
        <w:tab/>
      </w:r>
      <w:r>
        <w:fldChar w:fldCharType="begin"/>
      </w:r>
      <w:r>
        <w:instrText xml:space="preserve"> PAGEREF _Toc3194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220A621A">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_Toc27293 </w:instrText>
      </w:r>
      <w:r>
        <w:rPr>
          <w:rFonts w:hint="eastAsia" w:ascii="宋体" w:hAnsi="宋体"/>
          <w:bCs w:val="0"/>
          <w:kern w:val="2"/>
          <w:szCs w:val="24"/>
          <w:highlight w:val="none"/>
        </w:rPr>
        <w:fldChar w:fldCharType="separate"/>
      </w:r>
      <w:r>
        <w:rPr>
          <w:rFonts w:hint="eastAsia" w:ascii="宋体" w:hAnsi="宋体"/>
          <w:szCs w:val="21"/>
          <w:highlight w:val="none"/>
        </w:rPr>
        <w:t>3.3资格审查文件的组成</w:t>
      </w:r>
      <w:r>
        <w:tab/>
      </w:r>
      <w:r>
        <w:fldChar w:fldCharType="begin"/>
      </w:r>
      <w:r>
        <w:instrText xml:space="preserve"> PAGEREF _Toc27293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B781A71">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_Toc26907 </w:instrText>
      </w:r>
      <w:r>
        <w:rPr>
          <w:rFonts w:hint="eastAsia" w:ascii="宋体" w:hAnsi="宋体"/>
          <w:bCs w:val="0"/>
          <w:kern w:val="2"/>
          <w:szCs w:val="24"/>
          <w:highlight w:val="none"/>
        </w:rPr>
        <w:fldChar w:fldCharType="separate"/>
      </w:r>
      <w:r>
        <w:rPr>
          <w:rFonts w:hint="eastAsia" w:ascii="宋体" w:hAnsi="宋体"/>
          <w:szCs w:val="21"/>
          <w:highlight w:val="none"/>
        </w:rPr>
        <w:t>3.4资信商务及技术文件的组成</w:t>
      </w:r>
      <w:r>
        <w:tab/>
      </w:r>
      <w:r>
        <w:fldChar w:fldCharType="begin"/>
      </w:r>
      <w:r>
        <w:instrText xml:space="preserve"> PAGEREF _Toc26907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34F871B4">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_Toc25818 </w:instrText>
      </w:r>
      <w:r>
        <w:rPr>
          <w:rFonts w:hint="eastAsia" w:ascii="宋体" w:hAnsi="宋体"/>
          <w:bCs w:val="0"/>
          <w:kern w:val="2"/>
          <w:szCs w:val="24"/>
          <w:highlight w:val="none"/>
        </w:rPr>
        <w:fldChar w:fldCharType="separate"/>
      </w:r>
      <w:r>
        <w:rPr>
          <w:rFonts w:hint="eastAsia" w:ascii="宋体" w:hAnsi="宋体"/>
          <w:szCs w:val="21"/>
          <w:highlight w:val="none"/>
        </w:rPr>
        <w:t>3.5报价文件的组成</w:t>
      </w:r>
      <w:r>
        <w:tab/>
      </w:r>
      <w:r>
        <w:fldChar w:fldCharType="begin"/>
      </w:r>
      <w:r>
        <w:instrText xml:space="preserve"> PAGEREF _Toc25818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47F48EF">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_Toc1571 </w:instrText>
      </w:r>
      <w:r>
        <w:rPr>
          <w:rFonts w:hint="eastAsia" w:ascii="宋体" w:hAnsi="宋体"/>
          <w:bCs w:val="0"/>
          <w:kern w:val="2"/>
          <w:szCs w:val="24"/>
          <w:highlight w:val="none"/>
        </w:rPr>
        <w:fldChar w:fldCharType="separate"/>
      </w:r>
      <w:r>
        <w:rPr>
          <w:rFonts w:hint="eastAsia" w:ascii="宋体" w:hAnsi="宋体"/>
          <w:szCs w:val="24"/>
          <w:highlight w:val="none"/>
        </w:rPr>
        <w:t>4．响应文件的编制</w:t>
      </w:r>
      <w:r>
        <w:tab/>
      </w:r>
      <w:r>
        <w:fldChar w:fldCharType="begin"/>
      </w:r>
      <w:r>
        <w:instrText xml:space="preserve"> PAGEREF _Toc1571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66AB134">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_Toc13863 </w:instrText>
      </w:r>
      <w:r>
        <w:rPr>
          <w:rFonts w:hint="eastAsia" w:ascii="宋体" w:hAnsi="宋体"/>
          <w:bCs w:val="0"/>
          <w:kern w:val="2"/>
          <w:szCs w:val="24"/>
          <w:highlight w:val="none"/>
        </w:rPr>
        <w:fldChar w:fldCharType="separate"/>
      </w:r>
      <w:r>
        <w:rPr>
          <w:rFonts w:hint="eastAsia" w:ascii="宋体" w:hAnsi="宋体"/>
          <w:szCs w:val="21"/>
          <w:highlight w:val="none"/>
        </w:rPr>
        <w:t>4.1响应文件的编制要求</w:t>
      </w:r>
      <w:r>
        <w:tab/>
      </w:r>
      <w:r>
        <w:fldChar w:fldCharType="begin"/>
      </w:r>
      <w:r>
        <w:instrText xml:space="preserve"> PAGEREF _Toc13863 \h </w:instrText>
      </w:r>
      <w:r>
        <w:fldChar w:fldCharType="separate"/>
      </w:r>
      <w:r>
        <w:t>25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248657A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_Toc13871 </w:instrText>
      </w:r>
      <w:r>
        <w:rPr>
          <w:rFonts w:hint="eastAsia" w:ascii="宋体" w:hAnsi="宋体"/>
          <w:bCs w:val="0"/>
          <w:kern w:val="2"/>
          <w:szCs w:val="24"/>
          <w:highlight w:val="none"/>
        </w:rPr>
        <w:fldChar w:fldCharType="separate"/>
      </w:r>
      <w:r>
        <w:rPr>
          <w:rFonts w:hint="eastAsia" w:ascii="宋体" w:hAnsi="宋体"/>
          <w:szCs w:val="21"/>
          <w:highlight w:val="none"/>
        </w:rPr>
        <w:t>4.2磋商报价</w:t>
      </w:r>
      <w:r>
        <w:tab/>
      </w:r>
      <w:r>
        <w:fldChar w:fldCharType="begin"/>
      </w:r>
      <w:r>
        <w:instrText xml:space="preserve"> PAGEREF _Toc13871 \h </w:instrText>
      </w:r>
      <w:r>
        <w:fldChar w:fldCharType="separate"/>
      </w:r>
      <w:r>
        <w:t>26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3AA68CD">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_Toc25296 </w:instrText>
      </w:r>
      <w:r>
        <w:rPr>
          <w:rFonts w:hint="eastAsia" w:ascii="宋体" w:hAnsi="宋体"/>
          <w:bCs w:val="0"/>
          <w:kern w:val="2"/>
          <w:szCs w:val="24"/>
          <w:highlight w:val="none"/>
        </w:rPr>
        <w:fldChar w:fldCharType="separate"/>
      </w:r>
      <w:r>
        <w:rPr>
          <w:rFonts w:hint="eastAsia" w:ascii="宋体" w:hAnsi="宋体"/>
          <w:szCs w:val="21"/>
          <w:highlight w:val="none"/>
        </w:rPr>
        <w:t>4.3磋商有效期</w:t>
      </w:r>
      <w:r>
        <w:tab/>
      </w:r>
      <w:r>
        <w:fldChar w:fldCharType="begin"/>
      </w:r>
      <w:r>
        <w:instrText xml:space="preserve"> PAGEREF _Toc25296 \h </w:instrText>
      </w:r>
      <w:r>
        <w:fldChar w:fldCharType="separate"/>
      </w:r>
      <w:r>
        <w:t>26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4D88D050">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_Toc32755 </w:instrText>
      </w:r>
      <w:r>
        <w:rPr>
          <w:rFonts w:hint="eastAsia" w:ascii="宋体" w:hAnsi="宋体"/>
          <w:bCs w:val="0"/>
          <w:kern w:val="2"/>
          <w:szCs w:val="24"/>
          <w:highlight w:val="none"/>
        </w:rPr>
        <w:fldChar w:fldCharType="separate"/>
      </w:r>
      <w:r>
        <w:rPr>
          <w:rFonts w:hint="eastAsia" w:ascii="宋体" w:hAnsi="宋体"/>
          <w:szCs w:val="21"/>
          <w:highlight w:val="none"/>
        </w:rPr>
        <w:t>4.4响应文件的格式</w:t>
      </w:r>
      <w:r>
        <w:tab/>
      </w:r>
      <w:r>
        <w:fldChar w:fldCharType="begin"/>
      </w:r>
      <w:r>
        <w:instrText xml:space="preserve"> PAGEREF _Toc32755 \h </w:instrText>
      </w:r>
      <w:r>
        <w:fldChar w:fldCharType="separate"/>
      </w:r>
      <w:r>
        <w:t>26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29A7F9E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_Toc998 </w:instrText>
      </w:r>
      <w:r>
        <w:rPr>
          <w:rFonts w:hint="eastAsia" w:ascii="宋体" w:hAnsi="宋体"/>
          <w:bCs w:val="0"/>
          <w:kern w:val="2"/>
          <w:szCs w:val="24"/>
          <w:highlight w:val="none"/>
        </w:rPr>
        <w:fldChar w:fldCharType="separate"/>
      </w:r>
      <w:r>
        <w:rPr>
          <w:rFonts w:hint="eastAsia" w:ascii="宋体" w:hAnsi="宋体"/>
          <w:szCs w:val="21"/>
          <w:highlight w:val="none"/>
        </w:rPr>
        <w:t>4.5响应文件的份数和签署</w:t>
      </w:r>
      <w:r>
        <w:tab/>
      </w:r>
      <w:r>
        <w:fldChar w:fldCharType="begin"/>
      </w:r>
      <w:r>
        <w:instrText xml:space="preserve"> PAGEREF _Toc998 \h </w:instrText>
      </w:r>
      <w:r>
        <w:fldChar w:fldCharType="separate"/>
      </w:r>
      <w:r>
        <w:t>26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F3A472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_Toc22696 </w:instrText>
      </w:r>
      <w:r>
        <w:rPr>
          <w:rFonts w:hint="eastAsia" w:ascii="宋体" w:hAnsi="宋体"/>
          <w:bCs w:val="0"/>
          <w:kern w:val="2"/>
          <w:szCs w:val="24"/>
          <w:highlight w:val="none"/>
        </w:rPr>
        <w:fldChar w:fldCharType="separate"/>
      </w:r>
      <w:r>
        <w:rPr>
          <w:rFonts w:hint="eastAsia" w:ascii="宋体" w:hAnsi="宋体"/>
          <w:szCs w:val="24"/>
          <w:highlight w:val="none"/>
        </w:rPr>
        <w:t>5．响应文件的提交</w:t>
      </w:r>
      <w:r>
        <w:tab/>
      </w:r>
      <w:r>
        <w:fldChar w:fldCharType="begin"/>
      </w:r>
      <w:r>
        <w:instrText xml:space="preserve"> PAGEREF _Toc22696 \h </w:instrText>
      </w:r>
      <w:r>
        <w:fldChar w:fldCharType="separate"/>
      </w:r>
      <w:r>
        <w:t>26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059C81D9">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_Toc8327 </w:instrText>
      </w:r>
      <w:r>
        <w:rPr>
          <w:rFonts w:hint="eastAsia" w:ascii="宋体" w:hAnsi="宋体"/>
          <w:bCs w:val="0"/>
          <w:kern w:val="2"/>
          <w:szCs w:val="24"/>
          <w:highlight w:val="none"/>
        </w:rPr>
        <w:fldChar w:fldCharType="separate"/>
      </w:r>
      <w:r>
        <w:rPr>
          <w:rFonts w:hint="eastAsia" w:ascii="宋体" w:hAnsi="宋体"/>
          <w:szCs w:val="21"/>
          <w:highlight w:val="none"/>
        </w:rPr>
        <w:t>5.1响应文件的导入及加密</w:t>
      </w:r>
      <w:r>
        <w:tab/>
      </w:r>
      <w:r>
        <w:fldChar w:fldCharType="begin"/>
      </w:r>
      <w:r>
        <w:instrText xml:space="preserve"> PAGEREF _Toc8327 \h </w:instrText>
      </w:r>
      <w:r>
        <w:fldChar w:fldCharType="separate"/>
      </w:r>
      <w:r>
        <w:t>26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75752F05">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_Toc32429 </w:instrText>
      </w:r>
      <w:r>
        <w:rPr>
          <w:rFonts w:hint="eastAsia" w:ascii="宋体" w:hAnsi="宋体"/>
          <w:bCs w:val="0"/>
          <w:kern w:val="2"/>
          <w:szCs w:val="24"/>
          <w:highlight w:val="none"/>
        </w:rPr>
        <w:fldChar w:fldCharType="separate"/>
      </w:r>
      <w:r>
        <w:rPr>
          <w:rFonts w:hint="eastAsia" w:ascii="宋体" w:hAnsi="宋体"/>
          <w:szCs w:val="21"/>
          <w:highlight w:val="none"/>
        </w:rPr>
        <w:t>5.2 响应文件的提交</w:t>
      </w:r>
      <w:r>
        <w:tab/>
      </w:r>
      <w:r>
        <w:fldChar w:fldCharType="begin"/>
      </w:r>
      <w:r>
        <w:instrText xml:space="preserve"> PAGEREF _Toc32429 \h </w:instrText>
      </w:r>
      <w:r>
        <w:fldChar w:fldCharType="separate"/>
      </w:r>
      <w:r>
        <w:t>27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06421629">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_Toc27233 </w:instrText>
      </w:r>
      <w:r>
        <w:rPr>
          <w:rFonts w:hint="eastAsia" w:ascii="宋体" w:hAnsi="宋体"/>
          <w:bCs w:val="0"/>
          <w:kern w:val="2"/>
          <w:szCs w:val="24"/>
          <w:highlight w:val="none"/>
        </w:rPr>
        <w:fldChar w:fldCharType="separate"/>
      </w:r>
      <w:r>
        <w:rPr>
          <w:rFonts w:hint="eastAsia" w:ascii="宋体" w:hAnsi="宋体"/>
          <w:szCs w:val="21"/>
          <w:highlight w:val="none"/>
        </w:rPr>
        <w:t>5.3响应文件修改和撤回</w:t>
      </w:r>
      <w:r>
        <w:tab/>
      </w:r>
      <w:r>
        <w:fldChar w:fldCharType="begin"/>
      </w:r>
      <w:r>
        <w:instrText xml:space="preserve"> PAGEREF _Toc27233 \h </w:instrText>
      </w:r>
      <w:r>
        <w:fldChar w:fldCharType="separate"/>
      </w:r>
      <w:r>
        <w:t>27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BB76207">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_Toc24192 </w:instrText>
      </w:r>
      <w:r>
        <w:rPr>
          <w:rFonts w:hint="eastAsia" w:ascii="宋体" w:hAnsi="宋体"/>
          <w:bCs w:val="0"/>
          <w:kern w:val="2"/>
          <w:szCs w:val="24"/>
          <w:highlight w:val="none"/>
        </w:rPr>
        <w:fldChar w:fldCharType="separate"/>
      </w:r>
      <w:r>
        <w:rPr>
          <w:rFonts w:hint="eastAsia" w:ascii="宋体" w:hAnsi="宋体"/>
          <w:szCs w:val="21"/>
          <w:highlight w:val="none"/>
        </w:rPr>
        <w:t>5.4备选响应方案</w:t>
      </w:r>
      <w:r>
        <w:tab/>
      </w:r>
      <w:r>
        <w:fldChar w:fldCharType="begin"/>
      </w:r>
      <w:r>
        <w:instrText xml:space="preserve"> PAGEREF _Toc24192 \h </w:instrText>
      </w:r>
      <w:r>
        <w:fldChar w:fldCharType="separate"/>
      </w:r>
      <w:r>
        <w:t>27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1DBE9C5">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_Toc16223 </w:instrText>
      </w:r>
      <w:r>
        <w:rPr>
          <w:rFonts w:hint="eastAsia" w:ascii="宋体" w:hAnsi="宋体"/>
          <w:bCs w:val="0"/>
          <w:kern w:val="2"/>
          <w:szCs w:val="24"/>
          <w:highlight w:val="none"/>
        </w:rPr>
        <w:fldChar w:fldCharType="separate"/>
      </w:r>
      <w:r>
        <w:rPr>
          <w:rFonts w:hint="eastAsia" w:ascii="宋体" w:hAnsi="宋体"/>
          <w:szCs w:val="21"/>
          <w:highlight w:val="none"/>
        </w:rPr>
        <w:t>5.5响应诚实信用</w:t>
      </w:r>
      <w:r>
        <w:tab/>
      </w:r>
      <w:r>
        <w:fldChar w:fldCharType="begin"/>
      </w:r>
      <w:r>
        <w:instrText xml:space="preserve"> PAGEREF _Toc16223 \h </w:instrText>
      </w:r>
      <w:r>
        <w:fldChar w:fldCharType="separate"/>
      </w:r>
      <w:r>
        <w:t>27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30005344">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_Toc31807 </w:instrText>
      </w:r>
      <w:r>
        <w:rPr>
          <w:rFonts w:hint="eastAsia" w:ascii="宋体" w:hAnsi="宋体"/>
          <w:bCs w:val="0"/>
          <w:kern w:val="2"/>
          <w:szCs w:val="24"/>
          <w:highlight w:val="none"/>
        </w:rPr>
        <w:fldChar w:fldCharType="separate"/>
      </w:r>
      <w:r>
        <w:rPr>
          <w:rFonts w:hint="eastAsia" w:ascii="宋体" w:hAnsi="宋体"/>
          <w:szCs w:val="24"/>
          <w:highlight w:val="none"/>
        </w:rPr>
        <w:t>6．磋商、评审及定标</w:t>
      </w:r>
      <w:r>
        <w:tab/>
      </w:r>
      <w:r>
        <w:fldChar w:fldCharType="begin"/>
      </w:r>
      <w:r>
        <w:instrText xml:space="preserve"> PAGEREF _Toc31807 \h </w:instrText>
      </w:r>
      <w:r>
        <w:fldChar w:fldCharType="separate"/>
      </w:r>
      <w:r>
        <w:t>27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AB28611">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_Toc8603 </w:instrText>
      </w:r>
      <w:r>
        <w:rPr>
          <w:rFonts w:hint="eastAsia" w:ascii="宋体" w:hAnsi="宋体"/>
          <w:bCs w:val="0"/>
          <w:kern w:val="2"/>
          <w:szCs w:val="24"/>
          <w:highlight w:val="none"/>
        </w:rPr>
        <w:fldChar w:fldCharType="separate"/>
      </w:r>
      <w:r>
        <w:rPr>
          <w:rFonts w:hint="eastAsia" w:ascii="宋体" w:hAnsi="宋体"/>
          <w:szCs w:val="21"/>
          <w:highlight w:val="none"/>
        </w:rPr>
        <w:t>6.1磋商</w:t>
      </w:r>
      <w:r>
        <w:tab/>
      </w:r>
      <w:r>
        <w:fldChar w:fldCharType="begin"/>
      </w:r>
      <w:r>
        <w:instrText xml:space="preserve"> PAGEREF _Toc8603 \h </w:instrText>
      </w:r>
      <w:r>
        <w:fldChar w:fldCharType="separate"/>
      </w:r>
      <w:r>
        <w:t>27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2A6BB9F9">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_Toc28225 </w:instrText>
      </w:r>
      <w:r>
        <w:rPr>
          <w:rFonts w:hint="eastAsia" w:ascii="宋体" w:hAnsi="宋体"/>
          <w:bCs w:val="0"/>
          <w:kern w:val="2"/>
          <w:szCs w:val="24"/>
          <w:highlight w:val="none"/>
        </w:rPr>
        <w:fldChar w:fldCharType="separate"/>
      </w:r>
      <w:r>
        <w:rPr>
          <w:rFonts w:hint="eastAsia" w:ascii="宋体" w:hAnsi="宋体"/>
          <w:szCs w:val="21"/>
          <w:highlight w:val="none"/>
        </w:rPr>
        <w:t>6.2资格审查</w:t>
      </w:r>
      <w:r>
        <w:tab/>
      </w:r>
      <w:r>
        <w:fldChar w:fldCharType="begin"/>
      </w:r>
      <w:r>
        <w:instrText xml:space="preserve"> PAGEREF _Toc28225 \h </w:instrText>
      </w:r>
      <w:r>
        <w:fldChar w:fldCharType="separate"/>
      </w:r>
      <w:r>
        <w:t>28</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3643F28">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_Toc8206 </w:instrText>
      </w:r>
      <w:r>
        <w:rPr>
          <w:rFonts w:hint="eastAsia" w:ascii="宋体" w:hAnsi="宋体"/>
          <w:bCs w:val="0"/>
          <w:kern w:val="2"/>
          <w:szCs w:val="24"/>
          <w:highlight w:val="none"/>
        </w:rPr>
        <w:fldChar w:fldCharType="separate"/>
      </w:r>
      <w:r>
        <w:rPr>
          <w:rFonts w:hint="eastAsia" w:ascii="宋体" w:hAnsi="宋体"/>
          <w:szCs w:val="21"/>
          <w:highlight w:val="none"/>
        </w:rPr>
        <w:t>6.3磋商评审</w:t>
      </w:r>
      <w:r>
        <w:tab/>
      </w:r>
      <w:r>
        <w:fldChar w:fldCharType="begin"/>
      </w:r>
      <w:r>
        <w:instrText xml:space="preserve"> PAGEREF _Toc8206 \h </w:instrText>
      </w:r>
      <w:r>
        <w:fldChar w:fldCharType="separate"/>
      </w:r>
      <w:r>
        <w:t>29</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C356776">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_Toc6553 </w:instrText>
      </w:r>
      <w:r>
        <w:rPr>
          <w:rFonts w:hint="eastAsia" w:ascii="宋体" w:hAnsi="宋体"/>
          <w:bCs w:val="0"/>
          <w:kern w:val="2"/>
          <w:szCs w:val="24"/>
          <w:highlight w:val="none"/>
        </w:rPr>
        <w:fldChar w:fldCharType="separate"/>
      </w:r>
      <w:r>
        <w:rPr>
          <w:rFonts w:hint="eastAsia" w:ascii="宋体" w:hAnsi="宋体"/>
          <w:szCs w:val="21"/>
          <w:highlight w:val="none"/>
        </w:rPr>
        <w:t>6.4响应文件澄清、说明、补正</w:t>
      </w:r>
      <w:r>
        <w:tab/>
      </w:r>
      <w:r>
        <w:fldChar w:fldCharType="begin"/>
      </w:r>
      <w:r>
        <w:instrText xml:space="preserve"> PAGEREF _Toc6553 \h </w:instrText>
      </w:r>
      <w:r>
        <w:fldChar w:fldCharType="separate"/>
      </w:r>
      <w:r>
        <w:t>29</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DFA9442">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_Toc15765 </w:instrText>
      </w:r>
      <w:r>
        <w:rPr>
          <w:rFonts w:hint="eastAsia" w:ascii="宋体" w:hAnsi="宋体"/>
          <w:bCs w:val="0"/>
          <w:kern w:val="2"/>
          <w:szCs w:val="24"/>
          <w:highlight w:val="none"/>
        </w:rPr>
        <w:fldChar w:fldCharType="separate"/>
      </w:r>
      <w:r>
        <w:rPr>
          <w:rFonts w:hint="eastAsia" w:ascii="宋体" w:hAnsi="宋体"/>
          <w:szCs w:val="21"/>
          <w:highlight w:val="none"/>
        </w:rPr>
        <w:t>6.5报价错误修正</w:t>
      </w:r>
      <w:r>
        <w:tab/>
      </w:r>
      <w:r>
        <w:fldChar w:fldCharType="begin"/>
      </w:r>
      <w:r>
        <w:instrText xml:space="preserve"> PAGEREF _Toc15765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8E86FFC">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_Toc10102 </w:instrText>
      </w:r>
      <w:r>
        <w:rPr>
          <w:rFonts w:hint="eastAsia" w:ascii="宋体" w:hAnsi="宋体"/>
          <w:bCs w:val="0"/>
          <w:kern w:val="2"/>
          <w:szCs w:val="24"/>
          <w:highlight w:val="none"/>
        </w:rPr>
        <w:fldChar w:fldCharType="separate"/>
      </w:r>
      <w:r>
        <w:rPr>
          <w:rFonts w:hint="eastAsia" w:ascii="宋体" w:hAnsi="宋体"/>
          <w:szCs w:val="21"/>
          <w:highlight w:val="none"/>
        </w:rPr>
        <w:t>6.6磋商评审纪律</w:t>
      </w:r>
      <w:r>
        <w:tab/>
      </w:r>
      <w:r>
        <w:fldChar w:fldCharType="begin"/>
      </w:r>
      <w:r>
        <w:instrText xml:space="preserve"> PAGEREF _Toc10102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6F55CD5">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_Toc4419 </w:instrText>
      </w:r>
      <w:r>
        <w:rPr>
          <w:rFonts w:hint="eastAsia" w:ascii="宋体" w:hAnsi="宋体"/>
          <w:bCs w:val="0"/>
          <w:kern w:val="2"/>
          <w:szCs w:val="24"/>
          <w:highlight w:val="none"/>
        </w:rPr>
        <w:fldChar w:fldCharType="separate"/>
      </w:r>
      <w:r>
        <w:rPr>
          <w:rFonts w:hint="eastAsia" w:ascii="宋体" w:hAnsi="宋体"/>
          <w:szCs w:val="21"/>
          <w:highlight w:val="none"/>
        </w:rPr>
        <w:t>6.7磋商评审办法</w:t>
      </w:r>
      <w:r>
        <w:tab/>
      </w:r>
      <w:r>
        <w:fldChar w:fldCharType="begin"/>
      </w:r>
      <w:r>
        <w:instrText xml:space="preserve"> PAGEREF _Toc4419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7F8A15D3">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_Toc8895 </w:instrText>
      </w:r>
      <w:r>
        <w:rPr>
          <w:rFonts w:hint="eastAsia" w:ascii="宋体" w:hAnsi="宋体"/>
          <w:bCs w:val="0"/>
          <w:kern w:val="2"/>
          <w:szCs w:val="24"/>
          <w:highlight w:val="none"/>
        </w:rPr>
        <w:fldChar w:fldCharType="separate"/>
      </w:r>
      <w:r>
        <w:rPr>
          <w:rFonts w:hint="eastAsia" w:ascii="宋体" w:hAnsi="宋体"/>
          <w:szCs w:val="21"/>
          <w:highlight w:val="none"/>
        </w:rPr>
        <w:t>6.8磋商评审过程的监控</w:t>
      </w:r>
      <w:r>
        <w:tab/>
      </w:r>
      <w:r>
        <w:fldChar w:fldCharType="begin"/>
      </w:r>
      <w:r>
        <w:instrText xml:space="preserve"> PAGEREF _Toc8895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CD72BCC">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_Toc29205 </w:instrText>
      </w:r>
      <w:r>
        <w:rPr>
          <w:rFonts w:hint="eastAsia" w:ascii="宋体" w:hAnsi="宋体"/>
          <w:bCs w:val="0"/>
          <w:kern w:val="2"/>
          <w:szCs w:val="24"/>
          <w:highlight w:val="none"/>
        </w:rPr>
        <w:fldChar w:fldCharType="separate"/>
      </w:r>
      <w:r>
        <w:rPr>
          <w:rFonts w:hint="eastAsia" w:ascii="宋体" w:hAnsi="宋体"/>
          <w:szCs w:val="21"/>
          <w:highlight w:val="none"/>
        </w:rPr>
        <w:t>6.9定标</w:t>
      </w:r>
      <w:r>
        <w:tab/>
      </w:r>
      <w:r>
        <w:fldChar w:fldCharType="begin"/>
      </w:r>
      <w:r>
        <w:instrText xml:space="preserve"> PAGEREF _Toc29205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7A62CD3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_Toc26464 </w:instrText>
      </w:r>
      <w:r>
        <w:rPr>
          <w:rFonts w:hint="eastAsia" w:ascii="宋体" w:hAnsi="宋体"/>
          <w:bCs w:val="0"/>
          <w:kern w:val="2"/>
          <w:szCs w:val="24"/>
          <w:highlight w:val="none"/>
        </w:rPr>
        <w:fldChar w:fldCharType="separate"/>
      </w:r>
      <w:r>
        <w:rPr>
          <w:rFonts w:hint="eastAsia" w:ascii="宋体" w:hAnsi="宋体"/>
          <w:szCs w:val="24"/>
          <w:highlight w:val="none"/>
        </w:rPr>
        <w:t>7．磋商无效情形</w:t>
      </w:r>
      <w:r>
        <w:tab/>
      </w:r>
      <w:r>
        <w:fldChar w:fldCharType="begin"/>
      </w:r>
      <w:r>
        <w:instrText xml:space="preserve"> PAGEREF _Toc26464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522D9C6">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_Toc20873 </w:instrText>
      </w:r>
      <w:r>
        <w:rPr>
          <w:rFonts w:hint="eastAsia" w:ascii="宋体" w:hAnsi="宋体"/>
          <w:bCs w:val="0"/>
          <w:kern w:val="2"/>
          <w:szCs w:val="24"/>
          <w:highlight w:val="none"/>
        </w:rPr>
        <w:fldChar w:fldCharType="separate"/>
      </w:r>
      <w:r>
        <w:rPr>
          <w:rFonts w:hint="eastAsia" w:ascii="宋体" w:hAnsi="宋体"/>
          <w:szCs w:val="21"/>
          <w:highlight w:val="none"/>
        </w:rPr>
        <w:t>7.1在磋商时，如发现有以下情形之一的，其磋商无效</w:t>
      </w:r>
      <w:r>
        <w:tab/>
      </w:r>
      <w:r>
        <w:fldChar w:fldCharType="begin"/>
      </w:r>
      <w:r>
        <w:instrText xml:space="preserve"> PAGEREF _Toc20873 \h </w:instrText>
      </w:r>
      <w:r>
        <w:fldChar w:fldCharType="separate"/>
      </w:r>
      <w:r>
        <w:t>30</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0B96ACFD">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_Toc6429 </w:instrText>
      </w:r>
      <w:r>
        <w:rPr>
          <w:rFonts w:hint="eastAsia" w:ascii="宋体" w:hAnsi="宋体"/>
          <w:bCs w:val="0"/>
          <w:kern w:val="2"/>
          <w:szCs w:val="24"/>
          <w:highlight w:val="none"/>
        </w:rPr>
        <w:fldChar w:fldCharType="separate"/>
      </w:r>
      <w:r>
        <w:rPr>
          <w:rFonts w:hint="eastAsia" w:ascii="宋体" w:hAnsi="宋体"/>
          <w:szCs w:val="21"/>
          <w:highlight w:val="none"/>
        </w:rPr>
        <w:t>7.2在符合性审查时，如发现下列情形之一的，其磋商无效</w:t>
      </w:r>
      <w:r>
        <w:tab/>
      </w:r>
      <w:r>
        <w:fldChar w:fldCharType="begin"/>
      </w:r>
      <w:r>
        <w:instrText xml:space="preserve"> PAGEREF _Toc6429 \h </w:instrText>
      </w:r>
      <w:r>
        <w:fldChar w:fldCharType="separate"/>
      </w:r>
      <w:r>
        <w:t>31</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0A24F5DC">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_Toc17318 </w:instrText>
      </w:r>
      <w:r>
        <w:rPr>
          <w:rFonts w:hint="eastAsia" w:ascii="宋体" w:hAnsi="宋体"/>
          <w:bCs w:val="0"/>
          <w:kern w:val="2"/>
          <w:szCs w:val="24"/>
          <w:highlight w:val="none"/>
        </w:rPr>
        <w:fldChar w:fldCharType="separate"/>
      </w:r>
      <w:r>
        <w:rPr>
          <w:rFonts w:hint="eastAsia" w:ascii="宋体" w:hAnsi="宋体"/>
          <w:szCs w:val="21"/>
          <w:highlight w:val="none"/>
        </w:rPr>
        <w:t>7.3在商务技术评审时，如发现下列情形之一的，其磋商无效</w:t>
      </w:r>
      <w:r>
        <w:tab/>
      </w:r>
      <w:r>
        <w:fldChar w:fldCharType="begin"/>
      </w:r>
      <w:r>
        <w:instrText xml:space="preserve"> PAGEREF _Toc17318 \h </w:instrText>
      </w:r>
      <w:r>
        <w:fldChar w:fldCharType="separate"/>
      </w:r>
      <w:r>
        <w:t>31</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78F68E83">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_Toc17899 </w:instrText>
      </w:r>
      <w:r>
        <w:rPr>
          <w:rFonts w:hint="eastAsia" w:ascii="宋体" w:hAnsi="宋体"/>
          <w:bCs w:val="0"/>
          <w:kern w:val="2"/>
          <w:szCs w:val="24"/>
          <w:highlight w:val="none"/>
        </w:rPr>
        <w:fldChar w:fldCharType="separate"/>
      </w:r>
      <w:r>
        <w:rPr>
          <w:rFonts w:hint="eastAsia" w:ascii="宋体" w:hAnsi="宋体"/>
          <w:szCs w:val="21"/>
          <w:highlight w:val="none"/>
        </w:rPr>
        <w:t>7.4在报价评审时，如发现下列情形之一的，其磋商无效</w:t>
      </w:r>
      <w:r>
        <w:tab/>
      </w:r>
      <w:r>
        <w:fldChar w:fldCharType="begin"/>
      </w:r>
      <w:r>
        <w:instrText xml:space="preserve"> PAGEREF _Toc17899 \h </w:instrText>
      </w:r>
      <w:r>
        <w:fldChar w:fldCharType="separate"/>
      </w:r>
      <w:r>
        <w:t>31</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525916FD">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_Toc26734 </w:instrText>
      </w:r>
      <w:r>
        <w:rPr>
          <w:rFonts w:hint="eastAsia" w:ascii="宋体" w:hAnsi="宋体"/>
          <w:bCs w:val="0"/>
          <w:kern w:val="2"/>
          <w:szCs w:val="24"/>
          <w:highlight w:val="none"/>
        </w:rPr>
        <w:fldChar w:fldCharType="separate"/>
      </w:r>
      <w:r>
        <w:rPr>
          <w:rFonts w:hint="eastAsia" w:ascii="宋体" w:hAnsi="宋体"/>
          <w:szCs w:val="21"/>
          <w:highlight w:val="none"/>
        </w:rPr>
        <w:t>7.5有下列情形之一的，其磋商无效</w:t>
      </w:r>
      <w:r>
        <w:tab/>
      </w:r>
      <w:r>
        <w:fldChar w:fldCharType="begin"/>
      </w:r>
      <w:r>
        <w:instrText xml:space="preserve"> PAGEREF _Toc26734 \h </w:instrText>
      </w:r>
      <w:r>
        <w:fldChar w:fldCharType="separate"/>
      </w:r>
      <w:r>
        <w:t>31</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D7D562A">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_Toc14364 </w:instrText>
      </w:r>
      <w:r>
        <w:rPr>
          <w:rFonts w:hint="eastAsia" w:ascii="宋体" w:hAnsi="宋体"/>
          <w:bCs w:val="0"/>
          <w:kern w:val="2"/>
          <w:szCs w:val="24"/>
          <w:highlight w:val="none"/>
        </w:rPr>
        <w:fldChar w:fldCharType="separate"/>
      </w:r>
      <w:r>
        <w:rPr>
          <w:rFonts w:hint="eastAsia" w:ascii="宋体" w:hAnsi="宋体"/>
          <w:szCs w:val="21"/>
          <w:highlight w:val="none"/>
        </w:rPr>
        <w:t>7.6突发情况处理</w:t>
      </w:r>
      <w:r>
        <w:tab/>
      </w:r>
      <w:r>
        <w:fldChar w:fldCharType="begin"/>
      </w:r>
      <w:r>
        <w:instrText xml:space="preserve"> PAGEREF _Toc14364 \h </w:instrText>
      </w:r>
      <w:r>
        <w:fldChar w:fldCharType="separate"/>
      </w:r>
      <w:r>
        <w:t>32</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FE11DDE">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_Toc18912 </w:instrText>
      </w:r>
      <w:r>
        <w:rPr>
          <w:rFonts w:hint="eastAsia" w:ascii="宋体" w:hAnsi="宋体"/>
          <w:bCs w:val="0"/>
          <w:kern w:val="2"/>
          <w:szCs w:val="24"/>
          <w:highlight w:val="none"/>
        </w:rPr>
        <w:fldChar w:fldCharType="separate"/>
      </w:r>
      <w:r>
        <w:rPr>
          <w:rFonts w:hint="eastAsia" w:ascii="宋体" w:hAnsi="宋体"/>
          <w:szCs w:val="24"/>
          <w:highlight w:val="none"/>
        </w:rPr>
        <w:t>8．成交和合同</w:t>
      </w:r>
      <w:r>
        <w:tab/>
      </w:r>
      <w:r>
        <w:fldChar w:fldCharType="begin"/>
      </w:r>
      <w:r>
        <w:instrText xml:space="preserve"> PAGEREF _Toc18912 \h </w:instrText>
      </w:r>
      <w:r>
        <w:fldChar w:fldCharType="separate"/>
      </w:r>
      <w:r>
        <w:t>32</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EEBC6C9">
      <w:pPr>
        <w:pStyle w:val="32"/>
        <w:tabs>
          <w:tab w:val="right" w:leader="hyphen" w:pos="9094"/>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_Toc24288 </w:instrText>
      </w:r>
      <w:r>
        <w:rPr>
          <w:rFonts w:hint="eastAsia" w:ascii="宋体" w:hAnsi="宋体"/>
          <w:bCs w:val="0"/>
          <w:kern w:val="2"/>
          <w:szCs w:val="24"/>
          <w:highlight w:val="none"/>
        </w:rPr>
        <w:fldChar w:fldCharType="separate"/>
      </w:r>
      <w:r>
        <w:rPr>
          <w:rFonts w:hint="eastAsia"/>
          <w:bCs/>
          <w:szCs w:val="22"/>
          <w:highlight w:val="none"/>
        </w:rPr>
        <w:t>第四章 合同主要条款</w:t>
      </w:r>
      <w:r>
        <w:tab/>
      </w:r>
      <w:r>
        <w:fldChar w:fldCharType="begin"/>
      </w:r>
      <w:r>
        <w:instrText xml:space="preserve"> PAGEREF _Toc24288 \h </w:instrText>
      </w:r>
      <w:r>
        <w:fldChar w:fldCharType="separate"/>
      </w:r>
      <w:r>
        <w:t>35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37972353">
      <w:pPr>
        <w:pStyle w:val="24"/>
        <w:tabs>
          <w:tab w:val="right" w:leader="hyphen" w:pos="9094"/>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_Toc6885 </w:instrText>
      </w:r>
      <w:r>
        <w:rPr>
          <w:rFonts w:hint="eastAsia" w:ascii="宋体" w:hAnsi="宋体"/>
          <w:bCs w:val="0"/>
          <w:kern w:val="2"/>
          <w:szCs w:val="24"/>
          <w:highlight w:val="none"/>
        </w:rPr>
        <w:fldChar w:fldCharType="separate"/>
      </w:r>
      <w:r>
        <w:rPr>
          <w:rFonts w:hint="eastAsia" w:ascii="宋体" w:hAnsi="宋体" w:eastAsia="宋体" w:cs="宋体"/>
          <w:szCs w:val="21"/>
          <w:highlight w:val="none"/>
        </w:rPr>
        <w:t>（服务类）</w:t>
      </w:r>
      <w:r>
        <w:tab/>
      </w:r>
      <w:r>
        <w:fldChar w:fldCharType="begin"/>
      </w:r>
      <w:r>
        <w:instrText xml:space="preserve"> PAGEREF _Toc6885 \h </w:instrText>
      </w:r>
      <w:r>
        <w:fldChar w:fldCharType="separate"/>
      </w:r>
      <w:r>
        <w:t>35</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21C3A443">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_Toc10226 </w:instrText>
      </w:r>
      <w:r>
        <w:rPr>
          <w:rFonts w:hint="eastAsia" w:ascii="宋体" w:hAnsi="宋体"/>
          <w:bCs w:val="0"/>
          <w:kern w:val="2"/>
          <w:szCs w:val="24"/>
          <w:highlight w:val="none"/>
        </w:rPr>
        <w:fldChar w:fldCharType="separate"/>
      </w:r>
      <w:r>
        <w:rPr>
          <w:rFonts w:hint="eastAsia" w:ascii="宋体" w:hAnsi="宋体"/>
          <w:szCs w:val="24"/>
          <w:highlight w:val="none"/>
        </w:rPr>
        <w:t>一、</w:t>
      </w:r>
      <w:r>
        <w:rPr>
          <w:rFonts w:hint="eastAsia" w:ascii="宋体" w:hAnsi="宋体"/>
          <w:szCs w:val="30"/>
          <w:highlight w:val="none"/>
        </w:rPr>
        <w:t>资格审查文件格式</w:t>
      </w:r>
      <w:r>
        <w:tab/>
      </w:r>
      <w:r>
        <w:fldChar w:fldCharType="begin"/>
      </w:r>
      <w:r>
        <w:instrText xml:space="preserve"> PAGEREF _Toc10226 \h </w:instrText>
      </w:r>
      <w:r>
        <w:fldChar w:fldCharType="separate"/>
      </w:r>
      <w:r>
        <w:t>44</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69DBE7AF">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_Toc26345 </w:instrText>
      </w:r>
      <w:r>
        <w:rPr>
          <w:rFonts w:hint="eastAsia" w:ascii="宋体" w:hAnsi="宋体"/>
          <w:bCs w:val="0"/>
          <w:kern w:val="2"/>
          <w:szCs w:val="24"/>
          <w:highlight w:val="none"/>
        </w:rPr>
        <w:fldChar w:fldCharType="separate"/>
      </w:r>
      <w:r>
        <w:rPr>
          <w:rFonts w:hint="eastAsia" w:ascii="宋体" w:hAnsi="宋体"/>
          <w:szCs w:val="30"/>
          <w:highlight w:val="none"/>
        </w:rPr>
        <w:t>二、</w:t>
      </w:r>
      <w:r>
        <w:rPr>
          <w:rFonts w:hint="eastAsia"/>
          <w:szCs w:val="28"/>
          <w:highlight w:val="none"/>
        </w:rPr>
        <w:t>资信商务及</w:t>
      </w:r>
      <w:r>
        <w:rPr>
          <w:rFonts w:hint="eastAsia" w:ascii="宋体" w:hAnsi="宋体"/>
          <w:szCs w:val="30"/>
          <w:highlight w:val="none"/>
        </w:rPr>
        <w:t>技术文件格式</w:t>
      </w:r>
      <w:r>
        <w:tab/>
      </w:r>
      <w:r>
        <w:fldChar w:fldCharType="begin"/>
      </w:r>
      <w:r>
        <w:instrText xml:space="preserve"> PAGEREF _Toc26345 \h </w:instrText>
      </w:r>
      <w:r>
        <w:fldChar w:fldCharType="separate"/>
      </w:r>
      <w:r>
        <w:t>56</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4DE0EB6B">
      <w:pPr>
        <w:pStyle w:val="37"/>
        <w:tabs>
          <w:tab w:val="right" w:leader="hyphen" w:pos="9094"/>
          <w:tab w:val="clear" w:pos="1470"/>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_Toc15196 </w:instrText>
      </w:r>
      <w:r>
        <w:rPr>
          <w:rFonts w:hint="eastAsia" w:ascii="宋体" w:hAnsi="宋体"/>
          <w:bCs w:val="0"/>
          <w:kern w:val="2"/>
          <w:szCs w:val="24"/>
          <w:highlight w:val="none"/>
        </w:rPr>
        <w:fldChar w:fldCharType="separate"/>
      </w:r>
      <w:r>
        <w:rPr>
          <w:rFonts w:hint="eastAsia" w:ascii="宋体" w:hAnsi="宋体"/>
          <w:szCs w:val="30"/>
          <w:highlight w:val="none"/>
        </w:rPr>
        <w:t>三、报价文件格式</w:t>
      </w:r>
      <w:r>
        <w:tab/>
      </w:r>
      <w:r>
        <w:fldChar w:fldCharType="begin"/>
      </w:r>
      <w:r>
        <w:instrText xml:space="preserve"> PAGEREF _Toc15196 \h </w:instrText>
      </w:r>
      <w:r>
        <w:fldChar w:fldCharType="separate"/>
      </w:r>
      <w:r>
        <w:t>63</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110FA0FB">
      <w:pPr>
        <w:pStyle w:val="32"/>
        <w:tabs>
          <w:tab w:val="right" w:leader="hyphen" w:pos="9094"/>
          <w:tab w:val="clear" w:pos="9060"/>
        </w:tabs>
      </w:pPr>
      <w:r>
        <w:rPr>
          <w:rFonts w:hint="eastAsia" w:ascii="宋体" w:hAnsi="宋体"/>
          <w:bCs w:val="0"/>
          <w:color w:val="000000" w:themeColor="text1"/>
          <w:kern w:val="2"/>
          <w:szCs w:val="24"/>
          <w:highlight w:val="none"/>
          <w14:textFill>
            <w14:solidFill>
              <w14:schemeClr w14:val="tx1"/>
            </w14:solidFill>
          </w14:textFill>
        </w:rPr>
        <w:fldChar w:fldCharType="begin"/>
      </w:r>
      <w:r>
        <w:rPr>
          <w:rFonts w:hint="eastAsia" w:ascii="宋体" w:hAnsi="宋体"/>
          <w:bCs w:val="0"/>
          <w:kern w:val="2"/>
          <w:szCs w:val="24"/>
          <w:highlight w:val="none"/>
        </w:rPr>
        <w:instrText xml:space="preserve"> HYPERLINK \l _Toc32490 </w:instrText>
      </w:r>
      <w:r>
        <w:rPr>
          <w:rFonts w:hint="eastAsia" w:ascii="宋体" w:hAnsi="宋体"/>
          <w:bCs w:val="0"/>
          <w:kern w:val="2"/>
          <w:szCs w:val="24"/>
          <w:highlight w:val="none"/>
        </w:rPr>
        <w:fldChar w:fldCharType="separate"/>
      </w:r>
      <w:r>
        <w:rPr>
          <w:rFonts w:hint="eastAsia" w:ascii="宋体" w:hAnsi="宋体" w:eastAsia="宋体" w:cs="宋体"/>
          <w:bCs/>
          <w:szCs w:val="22"/>
        </w:rPr>
        <w:t xml:space="preserve">第六章 </w:t>
      </w:r>
      <w:r>
        <w:rPr>
          <w:rFonts w:hint="eastAsia" w:ascii="宋体" w:hAnsi="宋体" w:eastAsia="宋体" w:cs="宋体"/>
          <w:bCs/>
          <w:szCs w:val="22"/>
          <w:highlight w:val="none"/>
        </w:rPr>
        <w:t>磋商评审办法及评分标准</w:t>
      </w:r>
      <w:r>
        <w:tab/>
      </w:r>
      <w:r>
        <w:fldChar w:fldCharType="begin"/>
      </w:r>
      <w:r>
        <w:instrText xml:space="preserve"> PAGEREF _Toc32490 \h </w:instrText>
      </w:r>
      <w:r>
        <w:fldChar w:fldCharType="separate"/>
      </w:r>
      <w:r>
        <w:t>67</w:t>
      </w:r>
      <w:r>
        <w:fldChar w:fldCharType="end"/>
      </w:r>
      <w:r>
        <w:rPr>
          <w:rFonts w:hint="eastAsia" w:ascii="宋体" w:hAnsi="宋体"/>
          <w:bCs w:val="0"/>
          <w:color w:val="000000" w:themeColor="text1"/>
          <w:kern w:val="2"/>
          <w:szCs w:val="24"/>
          <w:highlight w:val="none"/>
          <w14:textFill>
            <w14:solidFill>
              <w14:schemeClr w14:val="tx1"/>
            </w14:solidFill>
          </w14:textFill>
        </w:rPr>
        <w:fldChar w:fldCharType="end"/>
      </w:r>
    </w:p>
    <w:p w14:paraId="0CA7A69F">
      <w:pPr>
        <w:pStyle w:val="5"/>
        <w:keepNext w:val="0"/>
        <w:keepLines w:val="0"/>
        <w:snapToGrid w:val="0"/>
        <w:spacing w:line="348" w:lineRule="auto"/>
        <w:rPr>
          <w:rFonts w:ascii="宋体" w:hAnsi="宋体"/>
          <w:bCs w:val="0"/>
          <w:color w:val="000000" w:themeColor="text1"/>
          <w:kern w:val="2"/>
          <w:szCs w:val="24"/>
          <w:highlight w:val="none"/>
          <w14:textFill>
            <w14:solidFill>
              <w14:schemeClr w14:val="tx1"/>
            </w14:solidFill>
          </w14:textFill>
        </w:rPr>
      </w:pPr>
      <w:r>
        <w:rPr>
          <w:rFonts w:hint="eastAsia" w:ascii="宋体" w:hAnsi="宋体"/>
          <w:bCs w:val="0"/>
          <w:color w:val="000000" w:themeColor="text1"/>
          <w:kern w:val="2"/>
          <w:szCs w:val="24"/>
          <w:highlight w:val="none"/>
          <w14:textFill>
            <w14:solidFill>
              <w14:schemeClr w14:val="tx1"/>
            </w14:solidFill>
          </w14:textFill>
        </w:rPr>
        <w:fldChar w:fldCharType="end"/>
      </w:r>
    </w:p>
    <w:p w14:paraId="315D8418">
      <w:pPr>
        <w:rPr>
          <w:color w:val="000000" w:themeColor="text1"/>
          <w:highlight w:val="none"/>
          <w14:textFill>
            <w14:solidFill>
              <w14:schemeClr w14:val="tx1"/>
            </w14:solidFill>
          </w14:textFill>
        </w:rPr>
      </w:pPr>
    </w:p>
    <w:p w14:paraId="667BD963">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6BDF3C4F">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235A2CDD">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236CA8B3">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5964BA5F">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5E403A76">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1B746782">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126DA187">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3004EEAA">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72BBBF96">
      <w:pPr>
        <w:pStyle w:val="5"/>
        <w:keepNext w:val="0"/>
        <w:keepLines w:val="0"/>
        <w:snapToGrid w:val="0"/>
        <w:spacing w:line="348" w:lineRule="auto"/>
        <w:rPr>
          <w:rStyle w:val="114"/>
          <w:rFonts w:hint="eastAsia"/>
          <w:b/>
          <w:bCs/>
          <w:color w:val="000000" w:themeColor="text1"/>
          <w:highlight w:val="none"/>
          <w14:textFill>
            <w14:solidFill>
              <w14:schemeClr w14:val="tx1"/>
            </w14:solidFill>
          </w14:textFill>
        </w:rPr>
      </w:pPr>
    </w:p>
    <w:p w14:paraId="3129E5CA">
      <w:pPr>
        <w:rPr>
          <w:rStyle w:val="114"/>
          <w:rFonts w:hint="eastAsia"/>
          <w:b/>
          <w:bCs/>
          <w:color w:val="000000" w:themeColor="text1"/>
          <w:highlight w:val="none"/>
          <w14:textFill>
            <w14:solidFill>
              <w14:schemeClr w14:val="tx1"/>
            </w14:solidFill>
          </w14:textFill>
        </w:rPr>
      </w:pPr>
      <w:bookmarkStart w:id="5" w:name="_Toc1333"/>
      <w:r>
        <w:rPr>
          <w:rStyle w:val="114"/>
          <w:rFonts w:hint="eastAsia"/>
          <w:b/>
          <w:bCs/>
          <w:color w:val="000000" w:themeColor="text1"/>
          <w:highlight w:val="none"/>
          <w14:textFill>
            <w14:solidFill>
              <w14:schemeClr w14:val="tx1"/>
            </w14:solidFill>
          </w14:textFill>
        </w:rPr>
        <w:br w:type="page"/>
      </w:r>
    </w:p>
    <w:p w14:paraId="5F0D2AFC">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r>
        <w:rPr>
          <w:rStyle w:val="114"/>
          <w:rFonts w:hint="eastAsia"/>
          <w:b/>
          <w:bCs/>
          <w:color w:val="000000" w:themeColor="text1"/>
          <w:highlight w:val="none"/>
          <w14:textFill>
            <w14:solidFill>
              <w14:schemeClr w14:val="tx1"/>
            </w14:solidFill>
          </w14:textFill>
        </w:rPr>
        <w:t xml:space="preserve">第一章 </w:t>
      </w:r>
      <w:bookmarkEnd w:id="3"/>
      <w:bookmarkEnd w:id="4"/>
      <w:r>
        <w:rPr>
          <w:rStyle w:val="114"/>
          <w:rFonts w:hint="eastAsia"/>
          <w:b/>
          <w:bCs/>
          <w:color w:val="000000" w:themeColor="text1"/>
          <w:szCs w:val="22"/>
          <w:highlight w:val="none"/>
          <w14:textFill>
            <w14:solidFill>
              <w14:schemeClr w14:val="tx1"/>
            </w14:solidFill>
          </w14:textFill>
        </w:rPr>
        <w:t>竞争性磋商公告</w:t>
      </w:r>
      <w:bookmarkEnd w:id="5"/>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8"/>
      </w:tblGrid>
      <w:tr w14:paraId="3D45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tcPr>
          <w:p w14:paraId="6284087E">
            <w:pPr>
              <w:pStyle w:val="40"/>
              <w:spacing w:before="75" w:beforeAutospacing="0" w:after="150" w:afterAutospacing="0"/>
              <w:ind w:firstLine="440" w:firstLineChars="200"/>
              <w:rPr>
                <w:color w:val="auto"/>
                <w:sz w:val="22"/>
                <w:szCs w:val="22"/>
                <w:highlight w:val="none"/>
              </w:rPr>
            </w:pPr>
            <w:r>
              <w:rPr>
                <w:rFonts w:hint="eastAsia"/>
                <w:color w:val="auto"/>
                <w:sz w:val="22"/>
                <w:szCs w:val="22"/>
                <w:highlight w:val="none"/>
              </w:rPr>
              <w:t>项目概况:</w:t>
            </w:r>
            <w:r>
              <w:rPr>
                <w:rFonts w:hint="eastAsia"/>
                <w:color w:val="auto"/>
                <w:sz w:val="22"/>
                <w:szCs w:val="22"/>
                <w:highlight w:val="none"/>
                <w:lang w:eastAsia="zh-CN"/>
              </w:rPr>
              <w:t>青田县交通运输局非现场执法设备运维服务项目</w:t>
            </w:r>
            <w:r>
              <w:rPr>
                <w:rFonts w:hint="eastAsia"/>
                <w:color w:val="auto"/>
                <w:sz w:val="22"/>
                <w:szCs w:val="22"/>
                <w:highlight w:val="none"/>
              </w:rPr>
              <w:t>的潜在供应商应在浙江省政府采购网（www.zjzfcg.gov.cn），丽水市公共资源交易网（</w:t>
            </w:r>
            <w:r>
              <w:rPr>
                <w:rFonts w:hint="eastAsia"/>
                <w:color w:val="auto"/>
                <w:sz w:val="21"/>
                <w:szCs w:val="21"/>
                <w:highlight w:val="none"/>
              </w:rPr>
              <w:t>http://lssggzy.lishui.gov.cn/</w:t>
            </w:r>
            <w:r>
              <w:rPr>
                <w:rFonts w:hint="eastAsia"/>
                <w:color w:val="auto"/>
                <w:sz w:val="22"/>
                <w:szCs w:val="22"/>
                <w:highlight w:val="none"/>
              </w:rPr>
              <w:t>）获取（下载）采购文件，并于</w:t>
            </w:r>
            <w:r>
              <w:rPr>
                <w:rFonts w:hint="eastAsia"/>
                <w:color w:val="auto"/>
                <w:sz w:val="22"/>
                <w:szCs w:val="22"/>
                <w:highlight w:val="none"/>
                <w:lang w:eastAsia="zh-CN"/>
              </w:rPr>
              <w:t>2025年</w:t>
            </w:r>
            <w:r>
              <w:rPr>
                <w:rFonts w:hint="eastAsia"/>
                <w:color w:val="auto"/>
                <w:sz w:val="22"/>
                <w:szCs w:val="22"/>
                <w:highlight w:val="none"/>
                <w:lang w:val="en-US" w:eastAsia="zh-CN"/>
              </w:rPr>
              <w:t>04</w:t>
            </w:r>
            <w:r>
              <w:rPr>
                <w:rFonts w:hint="eastAsia"/>
                <w:color w:val="auto"/>
                <w:sz w:val="22"/>
                <w:szCs w:val="22"/>
                <w:highlight w:val="none"/>
                <w:lang w:eastAsia="zh-CN"/>
              </w:rPr>
              <w:t>月</w:t>
            </w:r>
            <w:r>
              <w:rPr>
                <w:rFonts w:hint="eastAsia"/>
                <w:color w:val="auto"/>
                <w:sz w:val="22"/>
                <w:szCs w:val="22"/>
                <w:highlight w:val="none"/>
                <w:lang w:val="en-US" w:eastAsia="zh-CN"/>
              </w:rPr>
              <w:t>21</w:t>
            </w:r>
            <w:r>
              <w:rPr>
                <w:rFonts w:hint="eastAsia"/>
                <w:color w:val="auto"/>
                <w:sz w:val="22"/>
                <w:szCs w:val="22"/>
                <w:highlight w:val="none"/>
                <w:lang w:eastAsia="zh-CN"/>
              </w:rPr>
              <w:t>日</w:t>
            </w:r>
            <w:r>
              <w:rPr>
                <w:rFonts w:hint="eastAsia"/>
                <w:color w:val="auto"/>
                <w:sz w:val="22"/>
                <w:szCs w:val="22"/>
                <w:highlight w:val="none"/>
              </w:rPr>
              <w:t>09:</w:t>
            </w:r>
            <w:r>
              <w:rPr>
                <w:rFonts w:hint="eastAsia"/>
                <w:color w:val="auto"/>
                <w:sz w:val="22"/>
                <w:szCs w:val="22"/>
                <w:highlight w:val="none"/>
                <w:lang w:val="en-US" w:eastAsia="zh-CN"/>
              </w:rPr>
              <w:t>0</w:t>
            </w:r>
            <w:r>
              <w:rPr>
                <w:rFonts w:hint="eastAsia"/>
                <w:color w:val="auto"/>
                <w:sz w:val="22"/>
                <w:szCs w:val="22"/>
                <w:highlight w:val="none"/>
              </w:rPr>
              <w:t>0（北京时间）前提交（上传）响应文件。 </w:t>
            </w:r>
          </w:p>
        </w:tc>
      </w:tr>
    </w:tbl>
    <w:p w14:paraId="79F6C552">
      <w:pPr>
        <w:snapToGrid w:val="0"/>
        <w:spacing w:line="288" w:lineRule="auto"/>
        <w:ind w:firstLine="442" w:firstLineChars="200"/>
        <w:jc w:val="left"/>
        <w:rPr>
          <w:rStyle w:val="46"/>
          <w:rFonts w:ascii="宋体" w:hAnsi="宋体" w:cs="宋体"/>
          <w:color w:val="auto"/>
          <w:sz w:val="22"/>
          <w:szCs w:val="22"/>
          <w:highlight w:val="none"/>
        </w:rPr>
      </w:pPr>
      <w:r>
        <w:rPr>
          <w:rStyle w:val="46"/>
          <w:rFonts w:hint="eastAsia" w:ascii="宋体" w:hAnsi="宋体" w:cs="宋体"/>
          <w:color w:val="auto"/>
          <w:sz w:val="22"/>
          <w:szCs w:val="22"/>
          <w:highlight w:val="none"/>
        </w:rPr>
        <w:t>一、项目基本情况</w:t>
      </w:r>
    </w:p>
    <w:p w14:paraId="25136B97">
      <w:pPr>
        <w:pStyle w:val="40"/>
        <w:snapToGrid w:val="0"/>
        <w:spacing w:before="75" w:beforeAutospacing="0" w:after="75" w:afterAutospacing="0" w:line="288" w:lineRule="auto"/>
        <w:rPr>
          <w:rFonts w:hint="eastAsia" w:eastAsia="宋体"/>
          <w:color w:val="auto"/>
          <w:sz w:val="21"/>
          <w:szCs w:val="21"/>
          <w:highlight w:val="none"/>
          <w:lang w:val="en-US" w:eastAsia="zh-CN"/>
        </w:rPr>
      </w:pPr>
      <w:r>
        <w:rPr>
          <w:rFonts w:hint="eastAsia"/>
          <w:color w:val="auto"/>
          <w:sz w:val="21"/>
          <w:szCs w:val="21"/>
          <w:highlight w:val="none"/>
        </w:rPr>
        <w:t>   项目编号：</w:t>
      </w:r>
      <w:r>
        <w:rPr>
          <w:rFonts w:hint="eastAsia"/>
          <w:color w:val="auto"/>
          <w:sz w:val="21"/>
          <w:szCs w:val="21"/>
          <w:highlight w:val="none"/>
          <w:lang w:eastAsia="zh-CN"/>
        </w:rPr>
        <w:t>QTFSCG2025-048</w:t>
      </w:r>
    </w:p>
    <w:p w14:paraId="2678D765">
      <w:pPr>
        <w:pStyle w:val="40"/>
        <w:snapToGrid w:val="0"/>
        <w:spacing w:before="75" w:beforeAutospacing="0" w:after="75" w:afterAutospacing="0" w:line="288" w:lineRule="auto"/>
        <w:rPr>
          <w:rFonts w:hint="eastAsia" w:eastAsia="宋体"/>
          <w:color w:val="auto"/>
          <w:sz w:val="21"/>
          <w:szCs w:val="21"/>
          <w:highlight w:val="none"/>
          <w:lang w:eastAsia="zh-CN"/>
        </w:rPr>
      </w:pPr>
      <w:r>
        <w:rPr>
          <w:rFonts w:hint="eastAsia"/>
          <w:color w:val="auto"/>
          <w:sz w:val="21"/>
          <w:szCs w:val="21"/>
          <w:highlight w:val="none"/>
        </w:rPr>
        <w:t>   项目名称：</w:t>
      </w:r>
      <w:r>
        <w:rPr>
          <w:rFonts w:hint="eastAsia"/>
          <w:color w:val="auto"/>
          <w:sz w:val="21"/>
          <w:szCs w:val="21"/>
          <w:highlight w:val="none"/>
          <w:lang w:eastAsia="zh-CN"/>
        </w:rPr>
        <w:t>青田县交通运输局非现场执法设备运维服务项目</w:t>
      </w:r>
    </w:p>
    <w:p w14:paraId="261CE322">
      <w:pPr>
        <w:pStyle w:val="40"/>
        <w:snapToGrid w:val="0"/>
        <w:spacing w:before="75" w:beforeAutospacing="0" w:after="75" w:afterAutospacing="0" w:line="288" w:lineRule="auto"/>
        <w:rPr>
          <w:color w:val="auto"/>
          <w:sz w:val="21"/>
          <w:szCs w:val="21"/>
          <w:highlight w:val="none"/>
        </w:rPr>
      </w:pPr>
      <w:r>
        <w:rPr>
          <w:rFonts w:hint="eastAsia"/>
          <w:color w:val="auto"/>
          <w:sz w:val="21"/>
          <w:szCs w:val="21"/>
          <w:highlight w:val="none"/>
        </w:rPr>
        <w:t>   采购方式：竞争性磋商</w:t>
      </w:r>
    </w:p>
    <w:p w14:paraId="32D877C5">
      <w:pPr>
        <w:pStyle w:val="40"/>
        <w:snapToGrid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预算金额（元）：</w:t>
      </w:r>
      <w:r>
        <w:rPr>
          <w:rFonts w:hint="eastAsia"/>
          <w:color w:val="auto"/>
          <w:sz w:val="21"/>
          <w:szCs w:val="21"/>
          <w:highlight w:val="none"/>
          <w:lang w:val="en-US" w:eastAsia="zh-CN"/>
        </w:rPr>
        <w:t>490035</w:t>
      </w:r>
    </w:p>
    <w:p w14:paraId="394A0CF8">
      <w:pPr>
        <w:pStyle w:val="40"/>
        <w:snapToGrid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最高限价（元）：</w:t>
      </w:r>
      <w:r>
        <w:rPr>
          <w:rFonts w:hint="eastAsia"/>
          <w:color w:val="auto"/>
          <w:sz w:val="21"/>
          <w:szCs w:val="21"/>
          <w:highlight w:val="none"/>
          <w:lang w:val="en-US" w:eastAsia="zh-CN"/>
        </w:rPr>
        <w:t>490035</w:t>
      </w:r>
    </w:p>
    <w:p w14:paraId="1C203981">
      <w:pPr>
        <w:wordWrap w:val="0"/>
        <w:spacing w:line="312"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采购需求</w:t>
      </w:r>
    </w:p>
    <w:p w14:paraId="7CC3A11C">
      <w:pPr>
        <w:wordWrap w:val="0"/>
        <w:spacing w:line="312"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br w:type="textWrapping"/>
      </w:r>
      <w:r>
        <w:rPr>
          <w:rFonts w:hint="eastAsia" w:ascii="宋体" w:hAnsi="宋体" w:cs="宋体"/>
          <w:color w:val="auto"/>
          <w:kern w:val="0"/>
          <w:sz w:val="21"/>
          <w:szCs w:val="21"/>
          <w:highlight w:val="none"/>
        </w:rPr>
        <w:t>   数量：1 </w:t>
      </w:r>
    </w:p>
    <w:p w14:paraId="0D38201A">
      <w:pPr>
        <w:pStyle w:val="40"/>
        <w:snapToGrid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预算金额（元）:</w:t>
      </w:r>
      <w:r>
        <w:rPr>
          <w:rFonts w:hint="eastAsia"/>
          <w:color w:val="auto"/>
          <w:sz w:val="21"/>
          <w:szCs w:val="21"/>
          <w:highlight w:val="none"/>
          <w:lang w:val="en-US" w:eastAsia="zh-CN"/>
        </w:rPr>
        <w:t>490035</w:t>
      </w:r>
    </w:p>
    <w:p w14:paraId="57171E80">
      <w:pPr>
        <w:pStyle w:val="40"/>
        <w:snapToGrid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单位：项</w:t>
      </w:r>
      <w:r>
        <w:rPr>
          <w:rFonts w:hint="eastAsia"/>
          <w:color w:val="auto"/>
          <w:sz w:val="21"/>
          <w:szCs w:val="21"/>
          <w:highlight w:val="none"/>
        </w:rPr>
        <w:br w:type="textWrapping"/>
      </w:r>
      <w:r>
        <w:rPr>
          <w:rFonts w:hint="eastAsia"/>
          <w:color w:val="auto"/>
          <w:sz w:val="21"/>
          <w:szCs w:val="21"/>
          <w:highlight w:val="none"/>
        </w:rPr>
        <w:t>   简要规格描述：详见竞争性磋商文件</w:t>
      </w:r>
    </w:p>
    <w:p w14:paraId="475DBBDD">
      <w:pPr>
        <w:pStyle w:val="40"/>
        <w:snapToGrid w:val="0"/>
        <w:spacing w:before="75" w:beforeAutospacing="0" w:after="75" w:afterAutospacing="0" w:line="288" w:lineRule="auto"/>
        <w:ind w:firstLine="420" w:firstLineChars="200"/>
        <w:rPr>
          <w:rFonts w:hint="eastAsia" w:eastAsia="宋体"/>
          <w:color w:val="auto"/>
          <w:sz w:val="21"/>
          <w:szCs w:val="21"/>
          <w:highlight w:val="none"/>
          <w:lang w:val="en-US" w:eastAsia="zh-CN"/>
        </w:rPr>
      </w:pPr>
      <w:r>
        <w:rPr>
          <w:rFonts w:hint="eastAsia"/>
          <w:color w:val="auto"/>
          <w:sz w:val="21"/>
          <w:szCs w:val="21"/>
          <w:highlight w:val="none"/>
          <w:lang w:val="en-US" w:eastAsia="zh-CN"/>
        </w:rPr>
        <w:t>备注：</w:t>
      </w:r>
    </w:p>
    <w:p w14:paraId="0023008C">
      <w:pPr>
        <w:pStyle w:val="40"/>
        <w:snapToGrid w:val="0"/>
        <w:spacing w:before="75" w:beforeAutospacing="0" w:after="75" w:afterAutospacing="0" w:line="288" w:lineRule="auto"/>
        <w:ind w:firstLine="420" w:firstLineChars="200"/>
        <w:rPr>
          <w:rFonts w:hint="eastAsia"/>
          <w:color w:val="auto"/>
          <w:sz w:val="21"/>
          <w:szCs w:val="21"/>
          <w:highlight w:val="none"/>
        </w:rPr>
      </w:pPr>
    </w:p>
    <w:p w14:paraId="38885F0C">
      <w:pPr>
        <w:pStyle w:val="40"/>
        <w:snapToGrid w:val="0"/>
        <w:spacing w:before="75" w:beforeAutospacing="0" w:after="75" w:afterAutospacing="0" w:line="288" w:lineRule="auto"/>
        <w:ind w:firstLine="420" w:firstLineChars="200"/>
        <w:rPr>
          <w:rFonts w:hint="eastAsia" w:eastAsia="宋体"/>
          <w:color w:val="auto"/>
          <w:sz w:val="21"/>
          <w:szCs w:val="21"/>
          <w:highlight w:val="none"/>
          <w:lang w:eastAsia="zh-CN"/>
        </w:rPr>
      </w:pPr>
      <w:r>
        <w:rPr>
          <w:rFonts w:hint="eastAsia"/>
          <w:color w:val="auto"/>
          <w:sz w:val="21"/>
          <w:szCs w:val="21"/>
          <w:highlight w:val="none"/>
        </w:rPr>
        <w:t>合同履约期限：</w:t>
      </w:r>
      <w:r>
        <w:rPr>
          <w:rFonts w:hint="eastAsia"/>
          <w:color w:val="auto"/>
          <w:sz w:val="21"/>
          <w:szCs w:val="21"/>
          <w:highlight w:val="none"/>
          <w:lang w:val="en-US" w:eastAsia="zh-CN"/>
        </w:rPr>
        <w:t>1年。</w:t>
      </w:r>
    </w:p>
    <w:p w14:paraId="765E7ADD">
      <w:pPr>
        <w:pStyle w:val="40"/>
        <w:snapToGrid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本项目（否）接受联合体投标。</w:t>
      </w:r>
    </w:p>
    <w:p w14:paraId="3FE91F6A">
      <w:pPr>
        <w:snapToGrid w:val="0"/>
        <w:spacing w:line="288" w:lineRule="auto"/>
        <w:ind w:firstLine="442" w:firstLineChars="200"/>
        <w:jc w:val="left"/>
        <w:rPr>
          <w:rStyle w:val="46"/>
          <w:rFonts w:ascii="宋体" w:hAnsi="宋体" w:cs="宋体"/>
          <w:color w:val="auto"/>
          <w:sz w:val="22"/>
          <w:szCs w:val="22"/>
          <w:highlight w:val="none"/>
        </w:rPr>
      </w:pPr>
      <w:r>
        <w:rPr>
          <w:rStyle w:val="46"/>
          <w:rFonts w:hint="eastAsia" w:ascii="宋体" w:hAnsi="宋体" w:cs="宋体"/>
          <w:color w:val="auto"/>
          <w:sz w:val="22"/>
          <w:szCs w:val="22"/>
          <w:highlight w:val="none"/>
        </w:rPr>
        <w:t>二、申请人的资格要求</w:t>
      </w:r>
    </w:p>
    <w:p w14:paraId="28CFC1E4">
      <w:pPr>
        <w:pStyle w:val="4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00858D1">
      <w:pPr>
        <w:pStyle w:val="40"/>
        <w:keepNext w:val="0"/>
        <w:keepLines w:val="0"/>
        <w:pageBreakBefore w:val="0"/>
        <w:kinsoku/>
        <w:wordWrap/>
        <w:overflowPunct/>
        <w:topLinePunct w:val="0"/>
        <w:autoSpaceDE/>
        <w:autoSpaceDN/>
        <w:bidi w:val="0"/>
        <w:adjustRightInd/>
        <w:spacing w:before="75" w:beforeAutospacing="0" w:after="75" w:afterAutospacing="0" w:line="324" w:lineRule="auto"/>
        <w:ind w:firstLine="420" w:firstLineChars="200"/>
        <w:textAlignment w:val="auto"/>
        <w:rPr>
          <w:color w:val="auto"/>
          <w:sz w:val="21"/>
          <w:szCs w:val="21"/>
          <w:highlight w:val="none"/>
        </w:rPr>
      </w:pPr>
      <w:r>
        <w:rPr>
          <w:rFonts w:hint="eastAsia"/>
          <w:color w:val="auto"/>
          <w:sz w:val="21"/>
          <w:szCs w:val="21"/>
          <w:highlight w:val="none"/>
        </w:rPr>
        <w:t>2.落实政府采购政策需满足的资格要求：</w:t>
      </w:r>
      <w:r>
        <w:rPr>
          <w:rFonts w:hint="eastAsia"/>
          <w:b/>
          <w:bCs/>
          <w:color w:val="auto"/>
          <w:sz w:val="21"/>
          <w:szCs w:val="21"/>
          <w:highlight w:val="none"/>
        </w:rPr>
        <w:t>供应商为中小企业/小微企业。</w:t>
      </w:r>
    </w:p>
    <w:p w14:paraId="1F79EF46">
      <w:pPr>
        <w:pStyle w:val="4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3.本项目的特定资格要求：无。</w:t>
      </w:r>
    </w:p>
    <w:p w14:paraId="31EF3551">
      <w:pPr>
        <w:pStyle w:val="40"/>
        <w:snapToGrid w:val="0"/>
        <w:spacing w:before="75" w:beforeAutospacing="0" w:after="75" w:afterAutospacing="0" w:line="288" w:lineRule="auto"/>
        <w:rPr>
          <w:rStyle w:val="46"/>
          <w:rFonts w:ascii="宋体" w:hAnsi="宋体" w:cs="宋体"/>
          <w:color w:val="auto"/>
          <w:sz w:val="22"/>
          <w:szCs w:val="22"/>
          <w:highlight w:val="none"/>
        </w:rPr>
      </w:pPr>
      <w:r>
        <w:rPr>
          <w:rFonts w:hint="eastAsia"/>
          <w:color w:val="auto"/>
          <w:sz w:val="22"/>
          <w:szCs w:val="22"/>
          <w:highlight w:val="none"/>
        </w:rPr>
        <w:t xml:space="preserve">   </w:t>
      </w:r>
      <w:r>
        <w:rPr>
          <w:rStyle w:val="46"/>
          <w:rFonts w:hint="eastAsia" w:ascii="宋体" w:hAnsi="宋体" w:cs="宋体"/>
          <w:color w:val="auto"/>
          <w:sz w:val="22"/>
          <w:szCs w:val="22"/>
          <w:highlight w:val="none"/>
        </w:rPr>
        <w:t>三、获取（下载）采购文件</w:t>
      </w:r>
    </w:p>
    <w:p w14:paraId="0EBC449F">
      <w:pPr>
        <w:pStyle w:val="40"/>
        <w:widowControl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1.时间：/至</w:t>
      </w:r>
      <w:r>
        <w:rPr>
          <w:rFonts w:hint="eastAsia"/>
          <w:color w:val="auto"/>
          <w:sz w:val="21"/>
          <w:szCs w:val="21"/>
          <w:highlight w:val="none"/>
          <w:lang w:eastAsia="zh-CN"/>
        </w:rPr>
        <w:t>2025年</w:t>
      </w:r>
      <w:r>
        <w:rPr>
          <w:rFonts w:hint="eastAsia"/>
          <w:color w:val="auto"/>
          <w:sz w:val="21"/>
          <w:szCs w:val="21"/>
          <w:highlight w:val="none"/>
          <w:lang w:val="en-US" w:eastAsia="zh-CN"/>
        </w:rPr>
        <w:t>04</w:t>
      </w:r>
      <w:r>
        <w:rPr>
          <w:rFonts w:hint="eastAsia"/>
          <w:color w:val="auto"/>
          <w:sz w:val="21"/>
          <w:szCs w:val="21"/>
          <w:highlight w:val="none"/>
          <w:lang w:eastAsia="zh-CN"/>
        </w:rPr>
        <w:t>月</w:t>
      </w:r>
      <w:r>
        <w:rPr>
          <w:rFonts w:hint="eastAsia"/>
          <w:color w:val="auto"/>
          <w:sz w:val="21"/>
          <w:szCs w:val="21"/>
          <w:highlight w:val="none"/>
          <w:lang w:val="en-US" w:eastAsia="zh-CN"/>
        </w:rPr>
        <w:t>21</w:t>
      </w:r>
      <w:r>
        <w:rPr>
          <w:rFonts w:hint="eastAsia"/>
          <w:color w:val="auto"/>
          <w:sz w:val="21"/>
          <w:szCs w:val="21"/>
          <w:highlight w:val="none"/>
          <w:lang w:eastAsia="zh-CN"/>
        </w:rPr>
        <w:t>日</w:t>
      </w:r>
      <w:r>
        <w:rPr>
          <w:rFonts w:hint="eastAsia"/>
          <w:color w:val="auto"/>
          <w:sz w:val="21"/>
          <w:szCs w:val="21"/>
          <w:highlight w:val="none"/>
        </w:rPr>
        <w:t>，每天上午00:00至12:00，下午12:00至23:59（北京时间，线上获取法定节假日均可，线下获取文件法定节假日除外）。</w:t>
      </w:r>
    </w:p>
    <w:p w14:paraId="1A635FE0">
      <w:pPr>
        <w:pStyle w:val="40"/>
        <w:widowControl w:val="0"/>
        <w:spacing w:before="75" w:beforeAutospacing="0" w:after="75" w:afterAutospacing="0" w:line="288" w:lineRule="auto"/>
        <w:ind w:firstLine="420" w:firstLineChars="200"/>
        <w:rPr>
          <w:rFonts w:hint="eastAsia"/>
          <w:color w:val="auto"/>
          <w:sz w:val="21"/>
          <w:szCs w:val="21"/>
          <w:highlight w:val="none"/>
        </w:rPr>
      </w:pPr>
      <w:r>
        <w:rPr>
          <w:rFonts w:hint="eastAsia"/>
          <w:color w:val="auto"/>
          <w:sz w:val="21"/>
          <w:szCs w:val="21"/>
          <w:highlight w:val="none"/>
        </w:rPr>
        <w:t>2.地点（网址）：浙江省政府采购网（www.zjzfcg.gov.cn），丽水市公共资源交易网（http://lssggzy.lishui.gov.cn/），公告附件。</w:t>
      </w:r>
    </w:p>
    <w:p w14:paraId="5959291E">
      <w:pPr>
        <w:pStyle w:val="40"/>
        <w:widowControl w:val="0"/>
        <w:spacing w:before="75" w:beforeAutospacing="0" w:after="75" w:afterAutospacing="0" w:line="288" w:lineRule="auto"/>
        <w:ind w:firstLine="420" w:firstLineChars="200"/>
        <w:rPr>
          <w:rFonts w:hint="eastAsia"/>
          <w:color w:val="auto"/>
          <w:sz w:val="21"/>
          <w:szCs w:val="21"/>
          <w:highlight w:val="none"/>
        </w:rPr>
      </w:pPr>
      <w:r>
        <w:rPr>
          <w:rFonts w:hint="eastAsia"/>
          <w:color w:val="auto"/>
          <w:sz w:val="21"/>
          <w:szCs w:val="21"/>
          <w:highlight w:val="none"/>
        </w:rPr>
        <w:t>3.方式：供应商登录政采云平台https://www.zcygov.cn/在线申请获取采购文件（进入“项目采购”应用，在获取采购文件菜单中选择项目，申请获取竞争性磋商文件</w:t>
      </w:r>
      <w:r>
        <w:rPr>
          <w:rFonts w:hint="eastAsia"/>
          <w:color w:val="auto"/>
          <w:sz w:val="21"/>
          <w:szCs w:val="21"/>
          <w:highlight w:val="none"/>
          <w:lang w:eastAsia="zh-CN"/>
        </w:rPr>
        <w:t>）</w:t>
      </w:r>
      <w:r>
        <w:rPr>
          <w:rFonts w:hint="eastAsia"/>
          <w:color w:val="auto"/>
          <w:sz w:val="21"/>
          <w:szCs w:val="21"/>
          <w:highlight w:val="none"/>
        </w:rPr>
        <w:t>。</w:t>
      </w:r>
    </w:p>
    <w:p w14:paraId="4B3E04A0">
      <w:pPr>
        <w:pStyle w:val="40"/>
        <w:spacing w:before="75" w:beforeAutospacing="0" w:after="75" w:afterAutospacing="0" w:line="288" w:lineRule="auto"/>
        <w:rPr>
          <w:color w:val="auto"/>
          <w:sz w:val="22"/>
          <w:szCs w:val="22"/>
          <w:highlight w:val="none"/>
        </w:rPr>
      </w:pPr>
      <w:r>
        <w:rPr>
          <w:rFonts w:hint="eastAsia"/>
          <w:color w:val="auto"/>
          <w:sz w:val="22"/>
          <w:szCs w:val="22"/>
          <w:highlight w:val="none"/>
        </w:rPr>
        <w:t>  4.售价（元）：0。</w:t>
      </w:r>
    </w:p>
    <w:p w14:paraId="11BEF87F">
      <w:pPr>
        <w:snapToGrid w:val="0"/>
        <w:spacing w:line="288" w:lineRule="auto"/>
        <w:ind w:firstLine="442" w:firstLineChars="200"/>
        <w:jc w:val="left"/>
        <w:rPr>
          <w:rStyle w:val="46"/>
          <w:rFonts w:ascii="宋体" w:hAnsi="宋体" w:cs="宋体"/>
          <w:color w:val="auto"/>
          <w:sz w:val="22"/>
          <w:szCs w:val="22"/>
          <w:highlight w:val="none"/>
        </w:rPr>
      </w:pPr>
      <w:r>
        <w:rPr>
          <w:rStyle w:val="46"/>
          <w:rFonts w:hint="eastAsia" w:ascii="宋体" w:hAnsi="宋体" w:cs="宋体"/>
          <w:color w:val="auto"/>
          <w:sz w:val="22"/>
          <w:szCs w:val="22"/>
          <w:highlight w:val="none"/>
        </w:rPr>
        <w:t>四、响应文件提交（上传） </w:t>
      </w:r>
    </w:p>
    <w:p w14:paraId="1BAEC0BD">
      <w:pPr>
        <w:pStyle w:val="4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1.截止时间：</w:t>
      </w:r>
      <w:r>
        <w:rPr>
          <w:rFonts w:hint="eastAsia"/>
          <w:color w:val="auto"/>
          <w:sz w:val="21"/>
          <w:szCs w:val="21"/>
          <w:highlight w:val="none"/>
          <w:lang w:eastAsia="zh-CN"/>
        </w:rPr>
        <w:t>2025年</w:t>
      </w:r>
      <w:r>
        <w:rPr>
          <w:rFonts w:hint="eastAsia"/>
          <w:color w:val="auto"/>
          <w:sz w:val="21"/>
          <w:szCs w:val="21"/>
          <w:highlight w:val="none"/>
          <w:lang w:val="en-US" w:eastAsia="zh-CN"/>
        </w:rPr>
        <w:t>04</w:t>
      </w:r>
      <w:r>
        <w:rPr>
          <w:rFonts w:hint="eastAsia"/>
          <w:color w:val="auto"/>
          <w:sz w:val="21"/>
          <w:szCs w:val="21"/>
          <w:highlight w:val="none"/>
          <w:lang w:eastAsia="zh-CN"/>
        </w:rPr>
        <w:t>月</w:t>
      </w:r>
      <w:r>
        <w:rPr>
          <w:rFonts w:hint="eastAsia"/>
          <w:color w:val="auto"/>
          <w:sz w:val="21"/>
          <w:szCs w:val="21"/>
          <w:highlight w:val="none"/>
          <w:lang w:val="en-US" w:eastAsia="zh-CN"/>
        </w:rPr>
        <w:t>21</w:t>
      </w:r>
      <w:r>
        <w:rPr>
          <w:rFonts w:hint="eastAsia"/>
          <w:color w:val="auto"/>
          <w:sz w:val="21"/>
          <w:szCs w:val="21"/>
          <w:highlight w:val="none"/>
          <w:lang w:eastAsia="zh-CN"/>
        </w:rPr>
        <w:t>日</w:t>
      </w:r>
      <w:r>
        <w:rPr>
          <w:rFonts w:hint="eastAsia"/>
          <w:color w:val="auto"/>
          <w:sz w:val="21"/>
          <w:szCs w:val="21"/>
          <w:highlight w:val="none"/>
        </w:rPr>
        <w:t>09:</w:t>
      </w:r>
      <w:r>
        <w:rPr>
          <w:rFonts w:hint="eastAsia"/>
          <w:color w:val="auto"/>
          <w:sz w:val="21"/>
          <w:szCs w:val="21"/>
          <w:highlight w:val="none"/>
          <w:lang w:val="en-US" w:eastAsia="zh-CN"/>
        </w:rPr>
        <w:t>0</w:t>
      </w:r>
      <w:r>
        <w:rPr>
          <w:rFonts w:hint="eastAsia"/>
          <w:color w:val="auto"/>
          <w:sz w:val="21"/>
          <w:szCs w:val="21"/>
          <w:highlight w:val="none"/>
        </w:rPr>
        <w:t>0（北京时间）</w:t>
      </w:r>
    </w:p>
    <w:p w14:paraId="6ED3F68C">
      <w:pPr>
        <w:pStyle w:val="40"/>
        <w:widowControl w:val="0"/>
        <w:spacing w:before="75" w:beforeAutospacing="0" w:after="75" w:afterAutospacing="0" w:line="288" w:lineRule="auto"/>
        <w:ind w:firstLine="420" w:firstLineChars="200"/>
        <w:rPr>
          <w:color w:val="auto"/>
          <w:sz w:val="21"/>
          <w:szCs w:val="21"/>
          <w:highlight w:val="none"/>
        </w:rPr>
      </w:pPr>
      <w:r>
        <w:rPr>
          <w:rFonts w:hint="eastAsia"/>
          <w:color w:val="auto"/>
          <w:sz w:val="21"/>
          <w:szCs w:val="21"/>
          <w:highlight w:val="none"/>
        </w:rPr>
        <w:t>2.地点（网址）：本项目实行电子招投标，供应商须在投标截止时间前，前往政采云平台上传电子响应文件，无需到达现场提交响应文件。  </w:t>
      </w:r>
    </w:p>
    <w:p w14:paraId="39FB6240">
      <w:pPr>
        <w:snapToGrid w:val="0"/>
        <w:spacing w:line="288" w:lineRule="auto"/>
        <w:ind w:firstLine="442" w:firstLineChars="200"/>
        <w:jc w:val="left"/>
        <w:rPr>
          <w:rStyle w:val="46"/>
          <w:rFonts w:ascii="宋体" w:hAnsi="宋体" w:cs="宋体"/>
          <w:color w:val="auto"/>
          <w:sz w:val="22"/>
          <w:szCs w:val="22"/>
          <w:highlight w:val="none"/>
        </w:rPr>
      </w:pPr>
      <w:r>
        <w:rPr>
          <w:rStyle w:val="46"/>
          <w:rFonts w:hint="eastAsia" w:ascii="宋体" w:hAnsi="宋体" w:cs="宋体"/>
          <w:color w:val="auto"/>
          <w:sz w:val="22"/>
          <w:szCs w:val="22"/>
          <w:highlight w:val="none"/>
        </w:rPr>
        <w:t>五、响应文件开启 </w:t>
      </w:r>
    </w:p>
    <w:p w14:paraId="4D2692BE">
      <w:pPr>
        <w:pStyle w:val="40"/>
        <w:spacing w:before="75" w:beforeAutospacing="0" w:after="75" w:afterAutospacing="0" w:line="288" w:lineRule="auto"/>
        <w:rPr>
          <w:color w:val="auto"/>
          <w:sz w:val="21"/>
          <w:szCs w:val="21"/>
          <w:highlight w:val="none"/>
        </w:rPr>
      </w:pPr>
      <w:r>
        <w:rPr>
          <w:rFonts w:hint="eastAsia"/>
          <w:color w:val="auto"/>
          <w:sz w:val="22"/>
          <w:szCs w:val="22"/>
          <w:highlight w:val="none"/>
        </w:rPr>
        <w:t>   </w:t>
      </w:r>
      <w:r>
        <w:rPr>
          <w:rFonts w:hint="eastAsia"/>
          <w:color w:val="auto"/>
          <w:sz w:val="21"/>
          <w:szCs w:val="21"/>
          <w:highlight w:val="none"/>
        </w:rPr>
        <w:t>开启时间：</w:t>
      </w:r>
      <w:r>
        <w:rPr>
          <w:rFonts w:hint="eastAsia"/>
          <w:color w:val="auto"/>
          <w:sz w:val="21"/>
          <w:szCs w:val="21"/>
          <w:highlight w:val="none"/>
          <w:lang w:eastAsia="zh-CN"/>
        </w:rPr>
        <w:t>2025年</w:t>
      </w:r>
      <w:r>
        <w:rPr>
          <w:rFonts w:hint="eastAsia"/>
          <w:color w:val="auto"/>
          <w:sz w:val="21"/>
          <w:szCs w:val="21"/>
          <w:highlight w:val="none"/>
          <w:lang w:val="en-US" w:eastAsia="zh-CN"/>
        </w:rPr>
        <w:t>04</w:t>
      </w:r>
      <w:r>
        <w:rPr>
          <w:rFonts w:hint="eastAsia"/>
          <w:color w:val="auto"/>
          <w:sz w:val="21"/>
          <w:szCs w:val="21"/>
          <w:highlight w:val="none"/>
          <w:lang w:eastAsia="zh-CN"/>
        </w:rPr>
        <w:t>月</w:t>
      </w:r>
      <w:r>
        <w:rPr>
          <w:rFonts w:hint="eastAsia"/>
          <w:color w:val="auto"/>
          <w:sz w:val="21"/>
          <w:szCs w:val="21"/>
          <w:highlight w:val="none"/>
          <w:lang w:val="en-US" w:eastAsia="zh-CN"/>
        </w:rPr>
        <w:t>21</w:t>
      </w:r>
      <w:r>
        <w:rPr>
          <w:rFonts w:hint="eastAsia"/>
          <w:color w:val="auto"/>
          <w:sz w:val="21"/>
          <w:szCs w:val="21"/>
          <w:highlight w:val="none"/>
          <w:lang w:eastAsia="zh-CN"/>
        </w:rPr>
        <w:t>日</w:t>
      </w:r>
      <w:r>
        <w:rPr>
          <w:rFonts w:hint="eastAsia"/>
          <w:color w:val="auto"/>
          <w:sz w:val="21"/>
          <w:szCs w:val="21"/>
          <w:highlight w:val="none"/>
        </w:rPr>
        <w:t>09:</w:t>
      </w:r>
      <w:r>
        <w:rPr>
          <w:rFonts w:hint="eastAsia"/>
          <w:color w:val="auto"/>
          <w:sz w:val="21"/>
          <w:szCs w:val="21"/>
          <w:highlight w:val="none"/>
          <w:lang w:val="en-US" w:eastAsia="zh-CN"/>
        </w:rPr>
        <w:t>0</w:t>
      </w:r>
      <w:r>
        <w:rPr>
          <w:rFonts w:hint="eastAsia"/>
          <w:color w:val="auto"/>
          <w:sz w:val="21"/>
          <w:szCs w:val="21"/>
          <w:highlight w:val="none"/>
        </w:rPr>
        <w:t>0（北京时间）</w:t>
      </w:r>
    </w:p>
    <w:p w14:paraId="16442E4C">
      <w:pPr>
        <w:pStyle w:val="40"/>
        <w:spacing w:before="75" w:beforeAutospacing="0" w:after="75" w:afterAutospacing="0" w:line="288" w:lineRule="auto"/>
        <w:rPr>
          <w:color w:val="auto"/>
          <w:sz w:val="21"/>
          <w:szCs w:val="21"/>
          <w:highlight w:val="none"/>
        </w:rPr>
      </w:pPr>
      <w:r>
        <w:rPr>
          <w:rFonts w:hint="eastAsia"/>
          <w:color w:val="auto"/>
          <w:sz w:val="21"/>
          <w:szCs w:val="21"/>
          <w:highlight w:val="none"/>
        </w:rPr>
        <w:t>   地点（网址）：</w:t>
      </w:r>
      <w:r>
        <w:rPr>
          <w:rFonts w:hint="eastAsia"/>
          <w:color w:val="auto"/>
          <w:sz w:val="21"/>
          <w:szCs w:val="21"/>
          <w:highlight w:val="none"/>
          <w:lang w:eastAsia="zh-CN"/>
        </w:rPr>
        <w:t>青田县瓯南街道百悦城5幢（华侨总部经济大楼）12楼1201室招投标中心开标室一</w:t>
      </w:r>
      <w:r>
        <w:rPr>
          <w:rFonts w:hint="eastAsia"/>
          <w:color w:val="auto"/>
          <w:sz w:val="21"/>
          <w:szCs w:val="21"/>
          <w:highlight w:val="none"/>
        </w:rPr>
        <w:t>；供应商均应当准时在线参加，供应商需在响应文件递交截止时间后30分钟内登录政采云平台进行电子响应文件解密，解密电子响应文件时须插入CA锁。</w:t>
      </w:r>
    </w:p>
    <w:p w14:paraId="352AAE12">
      <w:pPr>
        <w:snapToGrid w:val="0"/>
        <w:spacing w:line="288" w:lineRule="auto"/>
        <w:ind w:firstLine="442" w:firstLineChars="200"/>
        <w:jc w:val="left"/>
        <w:rPr>
          <w:rStyle w:val="46"/>
          <w:rFonts w:ascii="宋体" w:hAnsi="宋体" w:cs="宋体"/>
          <w:color w:val="auto"/>
          <w:sz w:val="22"/>
          <w:szCs w:val="22"/>
          <w:highlight w:val="none"/>
        </w:rPr>
      </w:pPr>
      <w:r>
        <w:rPr>
          <w:rStyle w:val="46"/>
          <w:rFonts w:hint="eastAsia" w:ascii="宋体" w:hAnsi="宋体" w:cs="宋体"/>
          <w:color w:val="auto"/>
          <w:sz w:val="22"/>
          <w:szCs w:val="22"/>
          <w:highlight w:val="none"/>
        </w:rPr>
        <w:t>六、公告期限</w:t>
      </w:r>
    </w:p>
    <w:p w14:paraId="624004CE">
      <w:pPr>
        <w:pStyle w:val="40"/>
        <w:snapToGrid w:val="0"/>
        <w:spacing w:before="75" w:beforeAutospacing="0" w:after="75" w:afterAutospacing="0" w:line="288" w:lineRule="auto"/>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   自本公告发布之日起3个工作日。</w:t>
      </w:r>
    </w:p>
    <w:p w14:paraId="1E012A41">
      <w:pPr>
        <w:snapToGrid w:val="0"/>
        <w:spacing w:line="288" w:lineRule="auto"/>
        <w:ind w:firstLine="442" w:firstLineChars="200"/>
        <w:jc w:val="left"/>
        <w:rPr>
          <w:rStyle w:val="46"/>
          <w:rFonts w:ascii="宋体" w:hAnsi="宋体" w:cs="宋体"/>
          <w:color w:val="000000" w:themeColor="text1"/>
          <w:sz w:val="22"/>
          <w:szCs w:val="22"/>
          <w:highlight w:val="none"/>
          <w14:textFill>
            <w14:solidFill>
              <w14:schemeClr w14:val="tx1"/>
            </w14:solidFill>
          </w14:textFill>
        </w:rPr>
      </w:pPr>
      <w:r>
        <w:rPr>
          <w:rStyle w:val="46"/>
          <w:rFonts w:hint="eastAsia" w:ascii="宋体" w:hAnsi="宋体" w:cs="宋体"/>
          <w:color w:val="000000" w:themeColor="text1"/>
          <w:sz w:val="22"/>
          <w:szCs w:val="22"/>
          <w:highlight w:val="none"/>
          <w14:textFill>
            <w14:solidFill>
              <w14:schemeClr w14:val="tx1"/>
            </w14:solidFill>
          </w14:textFill>
        </w:rPr>
        <w:t>七、其他补充事宜 </w:t>
      </w:r>
    </w:p>
    <w:p w14:paraId="46EF35D5">
      <w:pPr>
        <w:pStyle w:val="40"/>
        <w:spacing w:before="75" w:beforeAutospacing="0" w:after="75" w:afterAutospacing="0" w:line="288" w:lineRule="auto"/>
        <w:ind w:firstLine="420" w:firstLineChars="2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7B8428AC">
      <w:pPr>
        <w:pStyle w:val="40"/>
        <w:spacing w:before="75" w:beforeAutospacing="0" w:after="75" w:afterAutospacing="0" w:line="288" w:lineRule="auto"/>
        <w:ind w:firstLine="420" w:firstLineChars="2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50AF8246">
      <w:pPr>
        <w:pStyle w:val="40"/>
        <w:spacing w:before="75" w:beforeAutospacing="0" w:after="75" w:afterAutospacing="0" w:line="288" w:lineRule="auto"/>
        <w:ind w:firstLine="420" w:firstLineChars="2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F6AF736">
      <w:pPr>
        <w:pStyle w:val="40"/>
        <w:spacing w:before="75" w:beforeAutospacing="0" w:after="75" w:afterAutospacing="0" w:line="288" w:lineRule="auto"/>
        <w:ind w:firstLine="420" w:firstLineChars="200"/>
        <w:rPr>
          <w:rFonts w:hint="eastAsia"/>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4.其他事项：（1）潜在供应商应当依照本公告第三条第3款规定方式获取竞争性磋商文件，其他渠道获取竞争性磋商文件的，不得对竞争性磋商文件提起质疑投诉。</w:t>
      </w:r>
      <w:r>
        <w:rPr>
          <w:rFonts w:hint="eastAsia"/>
          <w:color w:val="000000" w:themeColor="text1"/>
          <w:sz w:val="21"/>
          <w:szCs w:val="21"/>
          <w:highlight w:val="none"/>
          <w14:textFill>
            <w14:solidFill>
              <w14:schemeClr w14:val="tx1"/>
            </w14:solidFill>
          </w14:textFill>
        </w:rPr>
        <w:br w:type="textWrapping"/>
      </w:r>
      <w:r>
        <w:rPr>
          <w:rFonts w:hint="eastAsia"/>
          <w:color w:val="000000" w:themeColor="text1"/>
          <w:sz w:val="21"/>
          <w:szCs w:val="21"/>
          <w:highlight w:val="none"/>
          <w14:textFill>
            <w14:solidFill>
              <w14:schemeClr w14:val="tx1"/>
            </w14:solidFill>
          </w14:textFill>
        </w:rPr>
        <w:t>（2）备份响应文件：供应商自行确定是否提交；若提交请在响应文件截止时间前将备份响应文件打包压缩加密后（未加密造成泄密的由供应商自行承担）以电子邮件的形式发送至</w:t>
      </w:r>
      <w:r>
        <w:rPr>
          <w:rFonts w:hint="eastAsia"/>
          <w:color w:val="000000" w:themeColor="text1"/>
          <w:sz w:val="21"/>
          <w:szCs w:val="21"/>
          <w:highlight w:val="none"/>
          <w:lang w:eastAsia="zh-CN"/>
          <w14:textFill>
            <w14:solidFill>
              <w14:schemeClr w14:val="tx1"/>
            </w14:solidFill>
          </w14:textFill>
        </w:rPr>
        <w:t>397942513</w:t>
      </w:r>
      <w:r>
        <w:rPr>
          <w:rFonts w:hint="eastAsia"/>
          <w:color w:val="000000" w:themeColor="text1"/>
          <w:sz w:val="21"/>
          <w:szCs w:val="21"/>
          <w:highlight w:val="none"/>
          <w14:textFill>
            <w14:solidFill>
              <w14:schemeClr w14:val="tx1"/>
            </w14:solidFill>
          </w14:textFill>
        </w:rPr>
        <w:t>@qq.com，备份响应文件在“电子响应文件”在线解密失败后启用，否则不予以启用。   </w:t>
      </w:r>
    </w:p>
    <w:p w14:paraId="330638D2">
      <w:pPr>
        <w:snapToGrid w:val="0"/>
        <w:spacing w:line="312" w:lineRule="auto"/>
        <w:ind w:firstLine="442" w:firstLineChars="200"/>
        <w:jc w:val="left"/>
        <w:rPr>
          <w:rFonts w:ascii="宋体" w:hAnsi="宋体" w:cs="宋体"/>
          <w:b/>
          <w:bCs/>
          <w:color w:val="000000" w:themeColor="text1"/>
          <w:sz w:val="22"/>
          <w:szCs w:val="22"/>
          <w:highlight w:val="none"/>
          <w14:textFill>
            <w14:solidFill>
              <w14:schemeClr w14:val="tx1"/>
            </w14:solidFill>
          </w14:textFill>
        </w:rPr>
      </w:pPr>
      <w:r>
        <w:rPr>
          <w:rStyle w:val="46"/>
          <w:rFonts w:hint="eastAsia" w:ascii="宋体" w:hAnsi="宋体" w:cs="宋体"/>
          <w:color w:val="000000" w:themeColor="text1"/>
          <w:sz w:val="22"/>
          <w:szCs w:val="22"/>
          <w:highlight w:val="none"/>
          <w14:textFill>
            <w14:solidFill>
              <w14:schemeClr w14:val="tx1"/>
            </w14:solidFill>
          </w14:textFill>
        </w:rPr>
        <w:t>八、凡对本次采购提出询问、质疑、投诉，请按以下方式联系</w:t>
      </w:r>
    </w:p>
    <w:p w14:paraId="0E541AAB">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采购人信息</w:t>
      </w:r>
    </w:p>
    <w:p w14:paraId="238AE397">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bookmarkStart w:id="6" w:name="_Toc22550"/>
      <w:bookmarkStart w:id="7" w:name="_Toc342654505"/>
      <w:bookmarkStart w:id="8" w:name="_Toc301187515"/>
      <w:bookmarkStart w:id="9" w:name="_Toc303756355"/>
      <w:r>
        <w:rPr>
          <w:rFonts w:hint="eastAsia" w:ascii="宋体" w:hAnsi="宋体" w:cs="宋体"/>
          <w:color w:val="000000" w:themeColor="text1"/>
          <w:sz w:val="21"/>
          <w:szCs w:val="21"/>
          <w:highlight w:val="none"/>
          <w14:textFill>
            <w14:solidFill>
              <w14:schemeClr w14:val="tx1"/>
            </w14:solidFill>
          </w14:textFill>
        </w:rPr>
        <w:t>名  称：</w:t>
      </w:r>
      <w:r>
        <w:rPr>
          <w:rFonts w:hint="eastAsia" w:ascii="宋体" w:hAnsi="宋体" w:cs="宋体"/>
          <w:color w:val="000000" w:themeColor="text1"/>
          <w:sz w:val="21"/>
          <w:szCs w:val="21"/>
          <w:highlight w:val="none"/>
          <w:lang w:eastAsia="zh-CN"/>
          <w14:textFill>
            <w14:solidFill>
              <w14:schemeClr w14:val="tx1"/>
            </w14:solidFill>
          </w14:textFill>
        </w:rPr>
        <w:t>青田县交通运输局</w:t>
      </w:r>
    </w:p>
    <w:p w14:paraId="62C2268E">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地  址：浙江省丽水市青田县鹤城街道校场2号交通大楼</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color w:val="000000" w:themeColor="text1"/>
          <w:szCs w:val="21"/>
          <w:highlight w:val="none"/>
          <w:lang w:val="en-US" w:eastAsia="zh-CN"/>
          <w14:textFill>
            <w14:solidFill>
              <w14:schemeClr w14:val="tx1"/>
            </w14:solidFill>
          </w14:textFill>
        </w:rPr>
        <w:t xml:space="preserve">    </w:t>
      </w:r>
    </w:p>
    <w:p w14:paraId="6F28113F">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传  真：</w:t>
      </w:r>
    </w:p>
    <w:p w14:paraId="21295343">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项目联系人（询问）：唐凡雄</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p>
    <w:p w14:paraId="164B3BBC">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项目联系方式（询问）：13587159017</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p>
    <w:p w14:paraId="37854FC6">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质疑联系人：留娟</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val="en-US" w:eastAsia="zh-CN"/>
          <w14:textFill>
            <w14:solidFill>
              <w14:schemeClr w14:val="tx1"/>
            </w14:solidFill>
          </w14:textFill>
        </w:rPr>
        <w:t xml:space="preserve">  </w:t>
      </w:r>
    </w:p>
    <w:p w14:paraId="3291306A">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质疑联系方式：13857095283</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color w:val="000000" w:themeColor="text1"/>
          <w:highlight w:val="none"/>
          <w:lang w:val="en-US" w:eastAsia="zh-CN"/>
          <w14:textFill>
            <w14:solidFill>
              <w14:schemeClr w14:val="tx1"/>
            </w14:solidFill>
          </w14:textFill>
        </w:rPr>
        <w:t xml:space="preserve">   </w:t>
      </w:r>
    </w:p>
    <w:p w14:paraId="0DC78014">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采购代理机构</w:t>
      </w:r>
      <w:r>
        <w:rPr>
          <w:rFonts w:hint="eastAsia" w:ascii="宋体" w:hAnsi="宋体" w:eastAsia="宋体" w:cs="宋体"/>
          <w:color w:val="000000" w:themeColor="text1"/>
          <w:sz w:val="21"/>
          <w:szCs w:val="21"/>
          <w:highlight w:val="none"/>
          <w:lang w:val="en-US" w:eastAsia="zh-CN"/>
          <w14:textFill>
            <w14:solidFill>
              <w14:schemeClr w14:val="tx1"/>
            </w14:solidFill>
          </w14:textFill>
        </w:rPr>
        <w:t>信息</w:t>
      </w:r>
    </w:p>
    <w:p w14:paraId="50369EC0">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名</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称：</w:t>
      </w:r>
      <w:r>
        <w:rPr>
          <w:rFonts w:hint="eastAsia" w:ascii="宋体" w:hAnsi="宋体" w:cs="宋体"/>
          <w:color w:val="000000" w:themeColor="text1"/>
          <w:sz w:val="21"/>
          <w:szCs w:val="21"/>
          <w:highlight w:val="none"/>
          <w:lang w:eastAsia="zh-CN"/>
          <w14:textFill>
            <w14:solidFill>
              <w14:schemeClr w14:val="tx1"/>
            </w14:solidFill>
          </w14:textFill>
        </w:rPr>
        <w:t>浙江鼎峰工程咨询有限公司</w:t>
      </w:r>
      <w:r>
        <w:rPr>
          <w:rFonts w:hint="eastAsia" w:ascii="宋体" w:hAnsi="宋体" w:eastAsia="宋体" w:cs="宋体"/>
          <w:color w:val="000000" w:themeColor="text1"/>
          <w:sz w:val="21"/>
          <w:szCs w:val="21"/>
          <w:highlight w:val="none"/>
          <w:lang w:eastAsia="zh-CN"/>
          <w14:textFill>
            <w14:solidFill>
              <w14:schemeClr w14:val="tx1"/>
            </w14:solidFill>
          </w14:textFill>
        </w:rPr>
        <w:t xml:space="preserve"> </w:t>
      </w:r>
    </w:p>
    <w:p w14:paraId="347932D1">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地</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址：</w:t>
      </w:r>
      <w:r>
        <w:rPr>
          <w:rFonts w:hint="eastAsia" w:ascii="宋体" w:hAnsi="宋体" w:cs="宋体"/>
          <w:color w:val="000000" w:themeColor="text1"/>
          <w:sz w:val="21"/>
          <w:szCs w:val="21"/>
          <w:highlight w:val="none"/>
          <w:lang w:eastAsia="zh-CN"/>
          <w14:textFill>
            <w14:solidFill>
              <w14:schemeClr w14:val="tx1"/>
            </w14:solidFill>
          </w14:textFill>
        </w:rPr>
        <w:t>青田县瓯南街道水南村栖霞寺路21号5楼</w:t>
      </w:r>
    </w:p>
    <w:p w14:paraId="5B6A213D">
      <w:pPr>
        <w:pStyle w:val="20"/>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传  真：</w:t>
      </w:r>
    </w:p>
    <w:p w14:paraId="539E0C6C">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项目联系人（询问）：</w:t>
      </w:r>
      <w:r>
        <w:rPr>
          <w:rFonts w:hint="eastAsia" w:ascii="宋体" w:hAnsi="宋体" w:cs="宋体"/>
          <w:color w:val="000000" w:themeColor="text1"/>
          <w:sz w:val="21"/>
          <w:szCs w:val="21"/>
          <w:highlight w:val="none"/>
          <w:lang w:eastAsia="zh-CN"/>
          <w14:textFill>
            <w14:solidFill>
              <w14:schemeClr w14:val="tx1"/>
            </w14:solidFill>
          </w14:textFill>
        </w:rPr>
        <w:t>董春晓</w:t>
      </w:r>
    </w:p>
    <w:p w14:paraId="18EFE7A7">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项目联系方式（询问）：</w:t>
      </w:r>
      <w:r>
        <w:rPr>
          <w:rFonts w:hint="eastAsia" w:ascii="宋体" w:hAnsi="宋体" w:cs="宋体"/>
          <w:color w:val="000000" w:themeColor="text1"/>
          <w:sz w:val="21"/>
          <w:szCs w:val="21"/>
          <w:highlight w:val="none"/>
          <w:lang w:val="en-US" w:eastAsia="zh-CN"/>
          <w14:textFill>
            <w14:solidFill>
              <w14:schemeClr w14:val="tx1"/>
            </w14:solidFill>
          </w14:textFill>
        </w:rPr>
        <w:t>0578-6717500</w:t>
      </w:r>
    </w:p>
    <w:p w14:paraId="0C6B9839">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质疑联系人：</w:t>
      </w:r>
      <w:r>
        <w:rPr>
          <w:rFonts w:hint="eastAsia" w:ascii="宋体" w:hAnsi="宋体" w:cs="宋体"/>
          <w:color w:val="000000" w:themeColor="text1"/>
          <w:sz w:val="21"/>
          <w:szCs w:val="21"/>
          <w:highlight w:val="none"/>
          <w:lang w:eastAsia="zh-CN"/>
          <w14:textFill>
            <w14:solidFill>
              <w14:schemeClr w14:val="tx1"/>
            </w14:solidFill>
          </w14:textFill>
        </w:rPr>
        <w:t>叶建锋</w:t>
      </w:r>
    </w:p>
    <w:p w14:paraId="4ADE41A5">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质疑联系方式：</w:t>
      </w:r>
      <w:r>
        <w:rPr>
          <w:rFonts w:hint="eastAsia" w:ascii="宋体" w:hAnsi="宋体" w:cs="宋体"/>
          <w:color w:val="000000" w:themeColor="text1"/>
          <w:sz w:val="21"/>
          <w:szCs w:val="21"/>
          <w:highlight w:val="none"/>
          <w:lang w:eastAsia="zh-CN"/>
          <w14:textFill>
            <w14:solidFill>
              <w14:schemeClr w14:val="tx1"/>
            </w14:solidFill>
          </w14:textFill>
        </w:rPr>
        <w:t>135871328168</w:t>
      </w:r>
    </w:p>
    <w:p w14:paraId="24B27282">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同级政府采购监督管理部门</w:t>
      </w:r>
    </w:p>
    <w:p w14:paraId="15FDFBF1">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名</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称：</w:t>
      </w:r>
      <w:r>
        <w:rPr>
          <w:rFonts w:hint="eastAsia" w:ascii="宋体" w:hAnsi="宋体" w:cs="宋体"/>
          <w:color w:val="000000" w:themeColor="text1"/>
          <w:sz w:val="21"/>
          <w:szCs w:val="21"/>
          <w:highlight w:val="none"/>
          <w:lang w:eastAsia="zh-CN"/>
          <w14:textFill>
            <w14:solidFill>
              <w14:schemeClr w14:val="tx1"/>
            </w14:solidFill>
          </w14:textFill>
        </w:rPr>
        <w:t>青田县财政局</w:t>
      </w:r>
    </w:p>
    <w:p w14:paraId="03244033">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地</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址：</w:t>
      </w:r>
      <w:r>
        <w:rPr>
          <w:rFonts w:hint="eastAsia" w:ascii="宋体" w:hAnsi="宋体" w:cs="宋体"/>
          <w:color w:val="000000" w:themeColor="text1"/>
          <w:sz w:val="21"/>
          <w:szCs w:val="21"/>
          <w:highlight w:val="none"/>
          <w:lang w:eastAsia="zh-CN"/>
          <w14:textFill>
            <w14:solidFill>
              <w14:schemeClr w14:val="tx1"/>
            </w14:solidFill>
          </w14:textFill>
        </w:rPr>
        <w:t>浙江省丽水市青田县鹤城街道临江东路1号12楼1207室</w:t>
      </w:r>
    </w:p>
    <w:p w14:paraId="13D6A44A">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传</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真：</w:t>
      </w:r>
    </w:p>
    <w:p w14:paraId="739E4020">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联系人：</w:t>
      </w:r>
      <w:r>
        <w:rPr>
          <w:rFonts w:hint="eastAsia" w:ascii="宋体" w:hAnsi="宋体" w:cs="宋体"/>
          <w:color w:val="000000" w:themeColor="text1"/>
          <w:sz w:val="21"/>
          <w:szCs w:val="21"/>
          <w:highlight w:val="none"/>
          <w:lang w:eastAsia="zh-CN"/>
          <w14:textFill>
            <w14:solidFill>
              <w14:schemeClr w14:val="tx1"/>
            </w14:solidFill>
          </w14:textFill>
        </w:rPr>
        <w:t>叶先生</w:t>
      </w:r>
    </w:p>
    <w:p w14:paraId="2FA58010">
      <w:pPr>
        <w:keepNext w:val="0"/>
        <w:keepLines w:val="0"/>
        <w:pageBreakBefore w:val="0"/>
        <w:numPr>
          <w:ilvl w:val="0"/>
          <w:numId w:val="0"/>
        </w:numPr>
        <w:kinsoku/>
        <w:wordWrap/>
        <w:overflowPunct/>
        <w:topLinePunct w:val="0"/>
        <w:autoSpaceDE/>
        <w:autoSpaceDN/>
        <w:bidi w:val="0"/>
        <w:adjustRightInd/>
        <w:snapToGrid w:val="0"/>
        <w:spacing w:line="324" w:lineRule="auto"/>
        <w:ind w:firstLine="840" w:firstLineChars="4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监督投诉电话：</w:t>
      </w:r>
      <w:r>
        <w:rPr>
          <w:rFonts w:hint="eastAsia" w:ascii="宋体" w:hAnsi="宋体" w:cs="宋体"/>
          <w:color w:val="000000" w:themeColor="text1"/>
          <w:sz w:val="21"/>
          <w:szCs w:val="21"/>
          <w:highlight w:val="none"/>
          <w:lang w:eastAsia="zh-CN"/>
          <w14:textFill>
            <w14:solidFill>
              <w14:schemeClr w14:val="tx1"/>
            </w14:solidFill>
          </w14:textFill>
        </w:rPr>
        <w:t>0578-6826642</w:t>
      </w:r>
    </w:p>
    <w:p w14:paraId="09929001">
      <w:pPr>
        <w:pStyle w:val="202"/>
        <w:widowControl w:val="0"/>
        <w:spacing w:after="0" w:afterLines="0" w:line="340" w:lineRule="exact"/>
        <w:ind w:firstLine="0" w:firstLineChars="0"/>
        <w:jc w:val="center"/>
        <w:outlineLvl w:val="0"/>
        <w:rPr>
          <w:rStyle w:val="114"/>
          <w:color w:val="000000" w:themeColor="text1"/>
          <w:sz w:val="28"/>
          <w:szCs w:val="21"/>
          <w:highlight w:val="none"/>
          <w14:textFill>
            <w14:solidFill>
              <w14:schemeClr w14:val="tx1"/>
            </w14:solidFill>
          </w14:textFill>
        </w:rPr>
      </w:pPr>
    </w:p>
    <w:p w14:paraId="6C99341B">
      <w:pPr>
        <w:keepNext w:val="0"/>
        <w:keepLines w:val="0"/>
        <w:pageBreakBefore w:val="0"/>
        <w:widowControl/>
        <w:kinsoku/>
        <w:wordWrap/>
        <w:overflowPunct/>
        <w:topLinePunct w:val="0"/>
        <w:autoSpaceDE/>
        <w:autoSpaceDN/>
        <w:bidi w:val="0"/>
        <w:adjustRightInd/>
        <w:snapToGrid/>
        <w:spacing w:line="312" w:lineRule="auto"/>
        <w:ind w:firstLine="420" w:firstLineChars="200"/>
        <w:jc w:val="left"/>
        <w:textAlignment w:val="auto"/>
        <w:rPr>
          <w:rFonts w:ascii="宋体" w:hAnsi="宋体"/>
          <w:color w:val="000000" w:themeColor="text1"/>
          <w:kern w:val="0"/>
          <w:sz w:val="21"/>
          <w:szCs w:val="21"/>
          <w:highlight w:val="none"/>
          <w14:textFill>
            <w14:solidFill>
              <w14:schemeClr w14:val="tx1"/>
            </w14:solidFill>
          </w14:textFill>
        </w:rPr>
        <w:sectPr>
          <w:headerReference r:id="rId3" w:type="default"/>
          <w:footerReference r:id="rId4" w:type="default"/>
          <w:pgSz w:w="11906" w:h="16838"/>
          <w:pgMar w:top="1440" w:right="1406" w:bottom="1440" w:left="1406" w:header="851" w:footer="992" w:gutter="0"/>
          <w:cols w:space="720" w:num="1"/>
          <w:docGrid w:type="lines" w:linePitch="312" w:charSpace="0"/>
        </w:sectPr>
      </w:pPr>
      <w:r>
        <w:rPr>
          <w:rFonts w:hint="eastAsia" w:ascii="宋体" w:hAnsi="宋体"/>
          <w:color w:val="000000" w:themeColor="text1"/>
          <w:kern w:val="0"/>
          <w:sz w:val="21"/>
          <w:szCs w:val="2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w:t>
      </w:r>
      <w:r>
        <w:rPr>
          <w:rFonts w:hint="eastAsia" w:ascii="宋体" w:hAnsi="宋体"/>
          <w:color w:val="000000" w:themeColor="text1"/>
          <w:kern w:val="0"/>
          <w:sz w:val="21"/>
          <w:szCs w:val="21"/>
          <w:highlight w:val="none"/>
          <w:lang w:val="en-US" w:eastAsia="zh-CN"/>
          <w14:textFill>
            <w14:solidFill>
              <w14:schemeClr w14:val="tx1"/>
            </w14:solidFill>
          </w14:textFill>
        </w:rPr>
        <w:t>95763</w:t>
      </w:r>
      <w:r>
        <w:rPr>
          <w:rFonts w:hint="eastAsia" w:ascii="宋体" w:hAnsi="宋体"/>
          <w:color w:val="000000" w:themeColor="text1"/>
          <w:kern w:val="0"/>
          <w:sz w:val="21"/>
          <w:szCs w:val="21"/>
          <w:highlight w:val="none"/>
          <w14:textFill>
            <w14:solidFill>
              <w14:schemeClr w14:val="tx1"/>
            </w14:solidFill>
          </w14:textFill>
        </w:rPr>
        <w:t>获取热线服务帮助。CA问题联系电话（人工）：汇信CA 400-888-4636；天谷CA 400-087-8198。</w:t>
      </w:r>
    </w:p>
    <w:bookmarkEnd w:id="6"/>
    <w:bookmarkEnd w:id="7"/>
    <w:bookmarkEnd w:id="8"/>
    <w:bookmarkEnd w:id="9"/>
    <w:p w14:paraId="553E036F">
      <w:pPr>
        <w:pStyle w:val="202"/>
        <w:widowControl w:val="0"/>
        <w:numPr>
          <w:ilvl w:val="0"/>
          <w:numId w:val="2"/>
        </w:numPr>
        <w:spacing w:after="0" w:afterLines="0" w:line="340" w:lineRule="exact"/>
        <w:ind w:firstLine="0" w:firstLineChars="0"/>
        <w:jc w:val="center"/>
        <w:outlineLvl w:val="0"/>
        <w:rPr>
          <w:rStyle w:val="65"/>
          <w:rFonts w:hint="eastAsia"/>
          <w:color w:val="000000" w:themeColor="text1"/>
          <w:szCs w:val="22"/>
          <w:highlight w:val="none"/>
          <w14:textFill>
            <w14:solidFill>
              <w14:schemeClr w14:val="tx1"/>
            </w14:solidFill>
          </w14:textFill>
        </w:rPr>
      </w:pPr>
      <w:bookmarkStart w:id="10" w:name="_Toc10526"/>
      <w:r>
        <w:rPr>
          <w:rStyle w:val="65"/>
          <w:rFonts w:hint="eastAsia"/>
          <w:color w:val="000000" w:themeColor="text1"/>
          <w:szCs w:val="22"/>
          <w:highlight w:val="none"/>
          <w14:textFill>
            <w14:solidFill>
              <w14:schemeClr w14:val="tx1"/>
            </w14:solidFill>
          </w14:textFill>
        </w:rPr>
        <w:t>采购需求</w:t>
      </w:r>
      <w:bookmarkEnd w:id="10"/>
      <w:bookmarkStart w:id="11" w:name="_Toc31973"/>
      <w:bookmarkStart w:id="12" w:name="_Toc21034"/>
      <w:bookmarkStart w:id="13" w:name="_Toc5219"/>
      <w:bookmarkStart w:id="14" w:name="_Toc303756362"/>
      <w:bookmarkStart w:id="15" w:name="_Toc359934557"/>
      <w:bookmarkStart w:id="16" w:name="_Toc301187521"/>
    </w:p>
    <w:p w14:paraId="7EC42338">
      <w:pPr>
        <w:keepLines/>
        <w:snapToGrid w:val="0"/>
        <w:spacing w:line="360" w:lineRule="auto"/>
        <w:rPr>
          <w:rFonts w:hint="eastAsia" w:asciiTheme="minorEastAsia" w:hAnsiTheme="minorEastAsia" w:eastAsiaTheme="minorEastAsia" w:cstheme="minorEastAsia"/>
          <w:b/>
          <w:color w:val="000000"/>
          <w:sz w:val="21"/>
          <w:szCs w:val="21"/>
          <w:highlight w:val="none"/>
        </w:rPr>
      </w:pPr>
      <w:bookmarkStart w:id="17" w:name="_Toc510042042"/>
      <w:bookmarkStart w:id="18" w:name="_Toc41292687"/>
      <w:bookmarkStart w:id="19" w:name="_Toc449707111"/>
      <w:bookmarkStart w:id="20" w:name="_Toc28360026"/>
      <w:bookmarkStart w:id="21" w:name="_Toc481497166"/>
      <w:bookmarkStart w:id="22" w:name="_Toc355706426"/>
      <w:bookmarkStart w:id="23" w:name="_Toc353799230"/>
      <w:bookmarkStart w:id="24" w:name="_Toc128559048"/>
      <w:bookmarkStart w:id="25" w:name="_Toc128559054"/>
      <w:bookmarkStart w:id="26" w:name="OLE_LINK1"/>
      <w:r>
        <w:rPr>
          <w:rFonts w:hint="eastAsia" w:asciiTheme="minorEastAsia" w:hAnsiTheme="minorEastAsia" w:eastAsiaTheme="minorEastAsia" w:cstheme="minorEastAsia"/>
          <w:b/>
          <w:color w:val="000000"/>
          <w:sz w:val="21"/>
          <w:szCs w:val="21"/>
          <w:highlight w:val="none"/>
        </w:rPr>
        <w:t>一、</w:t>
      </w:r>
      <w:bookmarkEnd w:id="17"/>
      <w:bookmarkEnd w:id="18"/>
      <w:bookmarkEnd w:id="19"/>
      <w:bookmarkEnd w:id="20"/>
      <w:bookmarkEnd w:id="21"/>
      <w:r>
        <w:rPr>
          <w:rFonts w:hint="eastAsia" w:asciiTheme="minorEastAsia" w:hAnsiTheme="minorEastAsia" w:eastAsiaTheme="minorEastAsia" w:cstheme="minorEastAsia"/>
          <w:b/>
          <w:color w:val="000000"/>
          <w:sz w:val="21"/>
          <w:szCs w:val="21"/>
          <w:highlight w:val="none"/>
        </w:rPr>
        <w:t>项目</w:t>
      </w:r>
      <w:bookmarkEnd w:id="22"/>
      <w:bookmarkEnd w:id="23"/>
      <w:r>
        <w:rPr>
          <w:rFonts w:hint="eastAsia" w:asciiTheme="minorEastAsia" w:hAnsiTheme="minorEastAsia" w:eastAsiaTheme="minorEastAsia" w:cstheme="minorEastAsia"/>
          <w:b/>
          <w:color w:val="000000"/>
          <w:sz w:val="21"/>
          <w:szCs w:val="21"/>
          <w:highlight w:val="none"/>
        </w:rPr>
        <w:t>背景及服务内容</w:t>
      </w:r>
      <w:bookmarkEnd w:id="24"/>
    </w:p>
    <w:p w14:paraId="70F60F06">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1、非现场执法设备运维服务:根据省、市交通局相关治超非现场点位的建设要求,我队</w:t>
      </w:r>
      <w:r>
        <w:rPr>
          <w:rFonts w:hint="eastAsia" w:asciiTheme="minorEastAsia" w:hAnsiTheme="minorEastAsia" w:eastAsiaTheme="minorEastAsia" w:cstheme="minorEastAsia"/>
          <w:b/>
          <w:kern w:val="0"/>
          <w:sz w:val="21"/>
          <w:szCs w:val="21"/>
          <w:lang w:bidi="ar"/>
        </w:rPr>
        <w:t xml:space="preserve"> </w:t>
      </w:r>
      <w:r>
        <w:rPr>
          <w:rFonts w:hint="eastAsia" w:asciiTheme="minorEastAsia" w:hAnsiTheme="minorEastAsia" w:eastAsiaTheme="minorEastAsia" w:cstheme="minorEastAsia"/>
          <w:sz w:val="21"/>
          <w:szCs w:val="21"/>
        </w:rPr>
        <w:t>G330（洞合线）青田、丽水方向K160+585、X227（永庆线）青田、庆元方向K0+700、S333（六东线）青田、温州方向K35+600</w:t>
      </w:r>
      <w:r>
        <w:rPr>
          <w:rFonts w:hint="eastAsia" w:asciiTheme="minorEastAsia" w:hAnsiTheme="minorEastAsia" w:eastAsiaTheme="minorEastAsia" w:cstheme="minorEastAsia"/>
          <w:sz w:val="21"/>
          <w:szCs w:val="21"/>
          <w:lang w:eastAsia="zh-CN"/>
        </w:rPr>
        <w:t>、G330（洞合线）青田、温州方向K130+600、X203（岙海线）喇叭口方向K0+800、X211（秋高线）高岗、彭括方向K5+800，</w:t>
      </w:r>
      <w:r>
        <w:rPr>
          <w:rFonts w:hint="eastAsia" w:asciiTheme="minorEastAsia" w:hAnsiTheme="minorEastAsia" w:eastAsiaTheme="minorEastAsia" w:cstheme="minorEastAsia"/>
          <w:sz w:val="21"/>
          <w:szCs w:val="21"/>
          <w:lang w:val="en-US" w:eastAsia="zh-CN"/>
        </w:rPr>
        <w:t>6个点位的</w:t>
      </w:r>
      <w:r>
        <w:rPr>
          <w:rFonts w:hint="eastAsia" w:asciiTheme="minorEastAsia" w:hAnsiTheme="minorEastAsia" w:eastAsiaTheme="minorEastAsia" w:cstheme="minorEastAsia"/>
          <w:sz w:val="21"/>
          <w:szCs w:val="21"/>
        </w:rPr>
        <w:t>非现场执法点位已过保，需要对设备进行运维服务，保证数据正常上传浙江省治超监管平台，系统正常使用，满足省厅对各非现点位考核</w:t>
      </w:r>
      <w:r>
        <w:rPr>
          <w:rFonts w:hint="eastAsia" w:asciiTheme="minorEastAsia" w:hAnsiTheme="minorEastAsia" w:eastAsiaTheme="minorEastAsia" w:cstheme="minorEastAsia"/>
          <w:sz w:val="21"/>
          <w:szCs w:val="21"/>
          <w:lang w:eastAsia="zh-CN"/>
        </w:rPr>
        <w:t>。</w:t>
      </w:r>
    </w:p>
    <w:p w14:paraId="17C3822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2、根据《浙江省交通运输非现场执法工作指引(试行)》 (浙交【2021】2号)文件、《浙江省普通公路治超设施建设技术要点》（浙公运〔2020〕44号）、《关于加强治超非现场执法设施运行维护工作的通知》（浙公运〔2021〕74号）及市交通运输行政执法队相关要求。根据上述文件要求并结合现有各非现场执法点位的软硬件条件,非现执法治超点位视频监控设备、升级称重设备及软件等,对2处点位做好项目维护，保证非现场执法设施正常运行。</w:t>
      </w:r>
    </w:p>
    <w:p w14:paraId="498BF336">
      <w:pPr>
        <w:keepLines/>
        <w:snapToGrid w:val="0"/>
        <w:spacing w:line="360" w:lineRule="auto"/>
        <w:rPr>
          <w:rFonts w:hint="eastAsia" w:asciiTheme="minorEastAsia" w:hAnsiTheme="minorEastAsia" w:eastAsiaTheme="minorEastAsia" w:cstheme="minorEastAsia"/>
          <w:b/>
          <w:color w:val="000000"/>
          <w:sz w:val="21"/>
          <w:szCs w:val="21"/>
          <w:highlight w:val="none"/>
        </w:rPr>
      </w:pPr>
      <w:bookmarkStart w:id="27" w:name="_Toc128559049"/>
      <w:r>
        <w:rPr>
          <w:rFonts w:hint="eastAsia" w:asciiTheme="minorEastAsia" w:hAnsiTheme="minorEastAsia" w:eastAsiaTheme="minorEastAsia" w:cstheme="minorEastAsia"/>
          <w:b/>
          <w:color w:val="000000"/>
          <w:sz w:val="21"/>
          <w:szCs w:val="21"/>
          <w:highlight w:val="none"/>
        </w:rPr>
        <w:t>二、项目简介</w:t>
      </w:r>
      <w:bookmarkEnd w:id="27"/>
    </w:p>
    <w:p w14:paraId="25E2D0EE">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rPr>
        <w:t>非现场执法系统，包括：非现场执法系统 G330（洞合线）青田、丽水方向K160+585、X227（永庆线）青田、庆元方向K0+700、S333（六东线）青田、温州方向K35+600</w:t>
      </w:r>
      <w:r>
        <w:rPr>
          <w:rFonts w:hint="eastAsia" w:asciiTheme="minorEastAsia" w:hAnsiTheme="minorEastAsia" w:eastAsiaTheme="minorEastAsia" w:cstheme="minorEastAsia"/>
          <w:sz w:val="21"/>
          <w:szCs w:val="21"/>
          <w:lang w:eastAsia="zh-CN"/>
        </w:rPr>
        <w:t>、G330（洞合线）青田、温州方向K130+600、X203（岙海线）喇叭口方向K0+800、X211（秋高线）高岗、彭括方向K5+800，</w:t>
      </w:r>
      <w:r>
        <w:rPr>
          <w:rFonts w:hint="eastAsia" w:asciiTheme="minorEastAsia" w:hAnsiTheme="minorEastAsia" w:eastAsiaTheme="minorEastAsia" w:cstheme="minorEastAsia"/>
          <w:sz w:val="21"/>
          <w:szCs w:val="21"/>
          <w:lang w:val="en-US" w:eastAsia="zh-CN"/>
        </w:rPr>
        <w:t>6个点位</w:t>
      </w:r>
      <w:r>
        <w:rPr>
          <w:rFonts w:hint="eastAsia" w:asciiTheme="minorEastAsia" w:hAnsiTheme="minorEastAsia" w:eastAsiaTheme="minorEastAsia" w:cstheme="minorEastAsia"/>
          <w:sz w:val="21"/>
          <w:szCs w:val="21"/>
        </w:rPr>
        <w:t>，高清抓拍机、道路视频监控、动态称重设备、数据传输软件等</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目前各系统由专业公司负责维护。</w:t>
      </w:r>
    </w:p>
    <w:p w14:paraId="3C2D62DB">
      <w:pPr>
        <w:keepLines/>
        <w:snapToGrid w:val="0"/>
        <w:spacing w:line="360" w:lineRule="auto"/>
        <w:rPr>
          <w:rFonts w:hint="eastAsia" w:asciiTheme="minorEastAsia" w:hAnsiTheme="minorEastAsia" w:eastAsiaTheme="minorEastAsia" w:cstheme="minorEastAsia"/>
          <w:b/>
          <w:color w:val="000000"/>
          <w:sz w:val="21"/>
          <w:szCs w:val="21"/>
          <w:highlight w:val="none"/>
        </w:rPr>
      </w:pPr>
      <w:bookmarkStart w:id="28" w:name="_Toc128559050"/>
      <w:r>
        <w:rPr>
          <w:rFonts w:hint="eastAsia" w:asciiTheme="minorEastAsia" w:hAnsiTheme="minorEastAsia" w:eastAsiaTheme="minorEastAsia" w:cstheme="minorEastAsia"/>
          <w:b/>
          <w:color w:val="000000"/>
          <w:sz w:val="21"/>
          <w:szCs w:val="21"/>
          <w:highlight w:val="none"/>
        </w:rPr>
        <w:t>三、维保作业的工作重点</w:t>
      </w:r>
      <w:bookmarkEnd w:id="28"/>
    </w:p>
    <w:p w14:paraId="4FB74AB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rPr>
        <w:t>经过几年来对各系统设备维护的经验和教训，提出维保工作重点，要突出以下几个方面</w:t>
      </w:r>
      <w:r>
        <w:rPr>
          <w:rFonts w:hint="eastAsia" w:asciiTheme="minorEastAsia" w:hAnsiTheme="minorEastAsia" w:eastAsiaTheme="minorEastAsia" w:cstheme="minorEastAsia"/>
          <w:sz w:val="21"/>
          <w:szCs w:val="21"/>
          <w:lang w:eastAsia="zh-CN"/>
        </w:rPr>
        <w:t>：</w:t>
      </w:r>
    </w:p>
    <w:p w14:paraId="7A2611B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1.维持系统安全稳定运行</w:t>
      </w:r>
    </w:p>
    <w:p w14:paraId="714ECB9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1)增加备品备件，综合维保单位常年智能化系统维护的经验，以及各个系统设备运行的特点，采购一部分关键设备作为备品备件。</w:t>
      </w:r>
    </w:p>
    <w:p w14:paraId="63ED32A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2)检查易损件，对于影响使用性能的予以及时更换。</w:t>
      </w:r>
    </w:p>
    <w:p w14:paraId="7CEAC184">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3)完善内部管理机制，提高故障处理效率。</w:t>
      </w:r>
    </w:p>
    <w:p w14:paraId="1D99EE8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4)配合业主做总体预防性措施，有针对性地开展确保安全生产的各项活动。</w:t>
      </w:r>
    </w:p>
    <w:p w14:paraId="4ED18DB4">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2.全系统功能性检查</w:t>
      </w:r>
    </w:p>
    <w:p w14:paraId="2B008098">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维保单位需对所有系统进行了全系统功能性检查。检查过程中发现的隐患及问题，维保单位及时进行了故障排除和功能恢复。</w:t>
      </w:r>
    </w:p>
    <w:p w14:paraId="5C0C9EE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3.维护设备运行环境</w:t>
      </w:r>
    </w:p>
    <w:p w14:paraId="21C4823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良好的环境有利于延长设备运行寿命，降低运行维护成本。环境因素包括温度、适度、灰尘、电压等，包括以下几个方面：</w:t>
      </w:r>
    </w:p>
    <w:p w14:paraId="793A6C4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1)部分关键设备机箱内部灰尘比较大的，按计划打开清洁；</w:t>
      </w:r>
    </w:p>
    <w:p w14:paraId="200617A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2)电源系统考虑有计划地做绝缘测试，对于老化线缆予以更换；</w:t>
      </w:r>
    </w:p>
    <w:p w14:paraId="193C7E3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3)抓拍机，闪光灯等直接影响抓拍效果设备运行项目的，需要定期清洁；</w:t>
      </w:r>
    </w:p>
    <w:p w14:paraId="74566F18">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4)设备控制箱的接口老化、脱落的情况，全面检查和更新；</w:t>
      </w:r>
    </w:p>
    <w:p w14:paraId="69050898">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4.提高资料准确性</w:t>
      </w:r>
    </w:p>
    <w:p w14:paraId="1F480C5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维保单位需主动对设备线缆接续对照资料进行了核查，一方面的目的是因长期使用导致有的标签发生了遗失、脱落、字迹不清、线缆接续调整，有必要对标签、图纸进行更新；另一方面通过这项工作可以更清楚更透彻地了解系统信息流程和接续，对快速排查故障非常有益。</w:t>
      </w:r>
    </w:p>
    <w:p w14:paraId="2CCDF08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维保单位需做好以下方面的工作：</w:t>
      </w:r>
    </w:p>
    <w:p w14:paraId="37DF4667">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(1)对于控制柜内设备及接线图、线缆标签有不清晰和遗失的进行重新标注；包括前端设备等联动控制部分；</w:t>
      </w:r>
    </w:p>
    <w:p w14:paraId="70C47670">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(2)部分刚进行系统优化调整和即将调整的内容，及时制作系统资料，及时归档；</w:t>
      </w:r>
    </w:p>
    <w:p w14:paraId="522F0CF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5.加强巡检力度</w:t>
      </w:r>
    </w:p>
    <w:p w14:paraId="369B2F9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巡检是确保和预防故障发生的有效手段之一，各系统要求每周至少进行一次巡检，并记录留档。</w:t>
      </w:r>
    </w:p>
    <w:p w14:paraId="2CCEC04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6.提高隐患查找意识，积极提出解决方案和建议</w:t>
      </w:r>
    </w:p>
    <w:p w14:paraId="4C7B7F4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隐患无处不在，积极查找隐患是维护管养的基本义务，和前面所述的5项工作重点一样，但只有这一项才能将维保单位的维保标准提升到一个新的高度。因此维保单位需非常注重，不仅负责具体管养的售后工程师要积极巡回，不能浮于形式，维保单位还应派遣具有丰富经验和阅历的专家前往现场巡回，利用他们的经验多提问题，并提出积极的可行的解决方案。</w:t>
      </w:r>
    </w:p>
    <w:p w14:paraId="081BEABC">
      <w:pPr>
        <w:keepLines/>
        <w:snapToGrid w:val="0"/>
        <w:spacing w:line="360" w:lineRule="auto"/>
        <w:rPr>
          <w:rFonts w:hint="eastAsia" w:asciiTheme="minorEastAsia" w:hAnsiTheme="minorEastAsia" w:eastAsiaTheme="minorEastAsia" w:cstheme="minorEastAsia"/>
          <w:b/>
          <w:color w:val="000000"/>
          <w:sz w:val="21"/>
          <w:szCs w:val="21"/>
          <w:highlight w:val="none"/>
        </w:rPr>
      </w:pPr>
      <w:bookmarkStart w:id="29" w:name="_Toc128559051"/>
      <w:r>
        <w:rPr>
          <w:rFonts w:hint="eastAsia" w:asciiTheme="minorEastAsia" w:hAnsiTheme="minorEastAsia" w:eastAsiaTheme="minorEastAsia" w:cstheme="minorEastAsia"/>
          <w:b/>
          <w:color w:val="000000"/>
          <w:sz w:val="21"/>
          <w:szCs w:val="21"/>
          <w:highlight w:val="none"/>
        </w:rPr>
        <w:t>四、维保服务主要内容</w:t>
      </w:r>
      <w:bookmarkEnd w:id="29"/>
    </w:p>
    <w:p w14:paraId="03B38044">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计划在维保年度提供以下服务项目：现场保障、设备维修、保养，提供维修零用配件、培训操作人员、定期检查系统设备是否正常运行、是否存在安全隐患等等。</w:t>
      </w:r>
    </w:p>
    <w:p w14:paraId="5B2474A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1、现场技术保障</w:t>
      </w:r>
    </w:p>
    <w:p w14:paraId="6CBFFCDE">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安排一名以上技术人员提供保障服务，配合每年一次的计量检定服务，接受执法队的工作安排。</w:t>
      </w:r>
    </w:p>
    <w:p w14:paraId="7E6FDCC4">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2、修理</w:t>
      </w:r>
    </w:p>
    <w:p w14:paraId="08F06038">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rPr>
        <w:t>当判断故障原因为设备损坏时，将故障设备在现场维修、返回维保单位总部所在地维修或寄厂家维修；待设备修理完成并经确认检查后负责安装到位。设备过保并故障无法修复需通知甲方进行设备更换，根据实际情况增加设备购买费用。</w:t>
      </w:r>
    </w:p>
    <w:p w14:paraId="3B30A1A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3、巡检</w:t>
      </w:r>
    </w:p>
    <w:p w14:paraId="4478D18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该工作的目的是预防故障发生，对于每个系统的功能实现情况和主要设备的运行状态都应做检查测试。维保单位对各系统应每周进行一次巡检，记录并留档，巡检档案作为年度考核依据。</w:t>
      </w:r>
    </w:p>
    <w:p w14:paraId="2C855BA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4、培训</w:t>
      </w:r>
    </w:p>
    <w:p w14:paraId="451CE1F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日常维护实力提高对于整个系统的良好运行是至关重要的，因此，根据招标人的要求，结合实际情况和统筹安排，维保单位技术人员会在现场故障处理时与招标人维护人员保持技术指导，以及针对特定的系统和故障进行系统的维护培训。</w:t>
      </w:r>
    </w:p>
    <w:p w14:paraId="63D11BE9">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5、维保提案</w:t>
      </w:r>
    </w:p>
    <w:p w14:paraId="280BC31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定期和不定期地根据现场故障的实际情况，向招标人提出维保提案。维保提案可能的内容包括维护流程、维护技术、备品备件准备、系统优化和改善建议等，经招标人同意后实施。</w:t>
      </w:r>
    </w:p>
    <w:p w14:paraId="4572ABB1">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6、维护资料制作</w:t>
      </w:r>
    </w:p>
    <w:p w14:paraId="177EF1F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制作主要系统的简单基本操作步骤说明资料，建立设备档案等。</w:t>
      </w:r>
    </w:p>
    <w:p w14:paraId="0C0EF91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7、设备清洁</w:t>
      </w:r>
    </w:p>
    <w:p w14:paraId="3D741B6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定期或不定期根据现场实际情况，对各类系统的现场设备进行外观检查，主要对现场机柜设备，抓拍机等设备定期清理。</w:t>
      </w:r>
    </w:p>
    <w:p w14:paraId="05664D6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8、运维服务</w:t>
      </w:r>
    </w:p>
    <w:p w14:paraId="2DC8FED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rPr>
        <w:t>1)现场判断设备故障，并且在维保单位备品库有存货的情况下，立即予以替换，确保快速恢复。</w:t>
      </w:r>
      <w:r>
        <w:rPr>
          <w:rFonts w:hint="eastAsia" w:asciiTheme="minorEastAsia" w:hAnsiTheme="minorEastAsia" w:eastAsiaTheme="minorEastAsia" w:cstheme="minorEastAsia"/>
          <w:sz w:val="21"/>
          <w:szCs w:val="21"/>
          <w:lang w:eastAsia="zh-CN"/>
        </w:rPr>
        <w:t>运维服务涉及</w:t>
      </w:r>
      <w:r>
        <w:rPr>
          <w:rFonts w:hint="eastAsia" w:asciiTheme="minorEastAsia" w:hAnsiTheme="minorEastAsia" w:eastAsiaTheme="minorEastAsia" w:cstheme="minorEastAsia"/>
          <w:sz w:val="21"/>
          <w:szCs w:val="21"/>
        </w:rPr>
        <w:t>以</w:t>
      </w:r>
      <w:r>
        <w:rPr>
          <w:rFonts w:hint="eastAsia" w:asciiTheme="minorEastAsia" w:hAnsiTheme="minorEastAsia" w:eastAsiaTheme="minorEastAsia" w:cstheme="minorEastAsia"/>
          <w:sz w:val="21"/>
          <w:szCs w:val="21"/>
          <w:lang w:eastAsia="zh-CN"/>
        </w:rPr>
        <w:t>下</w:t>
      </w:r>
      <w:r>
        <w:rPr>
          <w:rFonts w:hint="eastAsia" w:asciiTheme="minorEastAsia" w:hAnsiTheme="minorEastAsia" w:eastAsiaTheme="minorEastAsia" w:cstheme="minorEastAsia"/>
          <w:sz w:val="21"/>
          <w:szCs w:val="21"/>
        </w:rPr>
        <w:t>设备，及各点位前置机，称重系统的年检，非现设备称重系统，视频监控系统，数据传输系统做好与浙江省综合治超监管平台数据传输等</w:t>
      </w:r>
      <w:r>
        <w:rPr>
          <w:rFonts w:hint="eastAsia" w:asciiTheme="minorEastAsia" w:hAnsiTheme="minorEastAsia" w:eastAsiaTheme="minorEastAsia" w:cstheme="minorEastAsia"/>
          <w:sz w:val="21"/>
          <w:szCs w:val="21"/>
          <w:lang w:eastAsia="zh-CN"/>
        </w:rPr>
        <w:t>：</w:t>
      </w:r>
    </w:p>
    <w:p w14:paraId="7605977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运维清单如下：</w:t>
      </w:r>
    </w:p>
    <w:tbl>
      <w:tblPr>
        <w:tblStyle w:val="44"/>
        <w:tblW w:w="89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559"/>
        <w:gridCol w:w="3606"/>
        <w:gridCol w:w="1022"/>
        <w:gridCol w:w="1136"/>
      </w:tblGrid>
      <w:tr w14:paraId="69E46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75" w:type="dxa"/>
            <w:tcBorders>
              <w:top w:val="single" w:color="auto" w:sz="4" w:space="0"/>
            </w:tcBorders>
            <w:noWrap w:val="0"/>
            <w:vAlign w:val="center"/>
          </w:tcPr>
          <w:p w14:paraId="38E330E7">
            <w:pPr>
              <w:jc w:val="center"/>
              <w:rPr>
                <w:rFonts w:hint="eastAsia" w:asciiTheme="minorEastAsia" w:hAnsiTheme="minorEastAsia" w:eastAsiaTheme="minorEastAsia" w:cstheme="minorEastAsia"/>
                <w:b/>
                <w:bCs/>
                <w:color w:val="000000"/>
                <w:sz w:val="21"/>
                <w:szCs w:val="21"/>
              </w:rPr>
            </w:pPr>
            <w:r>
              <w:rPr>
                <w:rFonts w:hint="eastAsia" w:asciiTheme="minorEastAsia" w:hAnsiTheme="minorEastAsia" w:eastAsiaTheme="minorEastAsia" w:cstheme="minorEastAsia"/>
                <w:b/>
                <w:bCs/>
                <w:color w:val="000000"/>
                <w:sz w:val="21"/>
                <w:szCs w:val="21"/>
              </w:rPr>
              <w:t>序号</w:t>
            </w:r>
          </w:p>
        </w:tc>
        <w:tc>
          <w:tcPr>
            <w:tcW w:w="2559" w:type="dxa"/>
            <w:tcBorders>
              <w:top w:val="single" w:color="auto" w:sz="4" w:space="0"/>
            </w:tcBorders>
            <w:noWrap w:val="0"/>
            <w:vAlign w:val="center"/>
          </w:tcPr>
          <w:p w14:paraId="48DC0010">
            <w:pPr>
              <w:jc w:val="center"/>
              <w:rPr>
                <w:rFonts w:hint="eastAsia" w:asciiTheme="minorEastAsia" w:hAnsiTheme="minorEastAsia" w:eastAsiaTheme="minorEastAsia" w:cstheme="minorEastAsia"/>
                <w:b/>
                <w:bCs/>
                <w:color w:val="000000"/>
                <w:sz w:val="21"/>
                <w:szCs w:val="21"/>
              </w:rPr>
            </w:pPr>
            <w:r>
              <w:rPr>
                <w:rFonts w:hint="eastAsia" w:asciiTheme="minorEastAsia" w:hAnsiTheme="minorEastAsia" w:eastAsiaTheme="minorEastAsia" w:cstheme="minorEastAsia"/>
                <w:b/>
                <w:bCs/>
                <w:color w:val="000000"/>
                <w:sz w:val="21"/>
                <w:szCs w:val="21"/>
              </w:rPr>
              <w:t>设备名称</w:t>
            </w:r>
          </w:p>
        </w:tc>
        <w:tc>
          <w:tcPr>
            <w:tcW w:w="3606" w:type="dxa"/>
            <w:tcBorders>
              <w:top w:val="single" w:color="auto" w:sz="4" w:space="0"/>
            </w:tcBorders>
            <w:noWrap w:val="0"/>
            <w:vAlign w:val="center"/>
          </w:tcPr>
          <w:p w14:paraId="583E4999">
            <w:pPr>
              <w:jc w:val="center"/>
              <w:rPr>
                <w:rFonts w:hint="eastAsia" w:asciiTheme="minorEastAsia" w:hAnsiTheme="minorEastAsia" w:eastAsiaTheme="minorEastAsia" w:cstheme="minorEastAsia"/>
                <w:b/>
                <w:bCs/>
                <w:color w:val="000000"/>
                <w:sz w:val="21"/>
                <w:szCs w:val="21"/>
              </w:rPr>
            </w:pPr>
            <w:r>
              <w:rPr>
                <w:rFonts w:hint="eastAsia" w:asciiTheme="minorEastAsia" w:hAnsiTheme="minorEastAsia" w:eastAsiaTheme="minorEastAsia" w:cstheme="minorEastAsia"/>
                <w:b/>
                <w:bCs/>
                <w:color w:val="000000"/>
                <w:sz w:val="21"/>
                <w:szCs w:val="21"/>
              </w:rPr>
              <w:t>品牌、型号</w:t>
            </w:r>
          </w:p>
        </w:tc>
        <w:tc>
          <w:tcPr>
            <w:tcW w:w="1022" w:type="dxa"/>
            <w:tcBorders>
              <w:top w:val="single" w:color="auto" w:sz="4" w:space="0"/>
            </w:tcBorders>
            <w:noWrap w:val="0"/>
            <w:vAlign w:val="center"/>
          </w:tcPr>
          <w:p w14:paraId="4C08ADDA">
            <w:pPr>
              <w:jc w:val="center"/>
              <w:rPr>
                <w:rFonts w:hint="eastAsia" w:asciiTheme="minorEastAsia" w:hAnsiTheme="minorEastAsia" w:eastAsiaTheme="minorEastAsia" w:cstheme="minorEastAsia"/>
                <w:b/>
                <w:bCs/>
                <w:color w:val="000000"/>
                <w:sz w:val="21"/>
                <w:szCs w:val="21"/>
              </w:rPr>
            </w:pPr>
            <w:r>
              <w:rPr>
                <w:rFonts w:hint="eastAsia" w:asciiTheme="minorEastAsia" w:hAnsiTheme="minorEastAsia" w:eastAsiaTheme="minorEastAsia" w:cstheme="minorEastAsia"/>
                <w:b/>
                <w:bCs/>
                <w:color w:val="000000"/>
                <w:sz w:val="21"/>
                <w:szCs w:val="21"/>
              </w:rPr>
              <w:t>数量</w:t>
            </w:r>
          </w:p>
        </w:tc>
        <w:tc>
          <w:tcPr>
            <w:tcW w:w="1136" w:type="dxa"/>
            <w:tcBorders>
              <w:top w:val="single" w:color="auto" w:sz="4" w:space="0"/>
            </w:tcBorders>
            <w:noWrap w:val="0"/>
            <w:vAlign w:val="center"/>
          </w:tcPr>
          <w:p w14:paraId="0E58D747">
            <w:pPr>
              <w:jc w:val="center"/>
              <w:rPr>
                <w:rFonts w:hint="eastAsia" w:asciiTheme="minorEastAsia" w:hAnsiTheme="minorEastAsia" w:eastAsiaTheme="minorEastAsia" w:cstheme="minorEastAsia"/>
                <w:b/>
                <w:bCs/>
                <w:color w:val="000000"/>
                <w:sz w:val="21"/>
                <w:szCs w:val="21"/>
              </w:rPr>
            </w:pPr>
            <w:r>
              <w:rPr>
                <w:rFonts w:hint="eastAsia" w:asciiTheme="minorEastAsia" w:hAnsiTheme="minorEastAsia" w:eastAsiaTheme="minorEastAsia" w:cstheme="minorEastAsia"/>
                <w:b/>
                <w:bCs/>
                <w:color w:val="000000"/>
                <w:sz w:val="21"/>
                <w:szCs w:val="21"/>
              </w:rPr>
              <w:t>安装位置</w:t>
            </w:r>
          </w:p>
        </w:tc>
      </w:tr>
      <w:tr w14:paraId="6E244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53947275">
            <w:pPr>
              <w:widowControl/>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一、</w:t>
            </w:r>
          </w:p>
        </w:tc>
        <w:tc>
          <w:tcPr>
            <w:tcW w:w="8323" w:type="dxa"/>
            <w:gridSpan w:val="4"/>
            <w:noWrap w:val="0"/>
            <w:vAlign w:val="center"/>
          </w:tcPr>
          <w:p w14:paraId="693DC8B5">
            <w:pPr>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color w:val="000000"/>
                <w:kern w:val="0"/>
                <w:sz w:val="21"/>
                <w:szCs w:val="21"/>
                <w:lang w:val="en-US" w:eastAsia="zh-CN" w:bidi="ar"/>
              </w:rPr>
              <w:t>G330（洞合线）青田、丽水方向K160+585</w:t>
            </w:r>
          </w:p>
        </w:tc>
      </w:tr>
      <w:tr w14:paraId="15A23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C71709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2559" w:type="dxa"/>
            <w:noWrap w:val="0"/>
            <w:vAlign w:val="center"/>
          </w:tcPr>
          <w:p w14:paraId="3198F746">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称重平板主体（标准型）</w:t>
            </w:r>
          </w:p>
        </w:tc>
        <w:tc>
          <w:tcPr>
            <w:tcW w:w="3606" w:type="dxa"/>
            <w:noWrap w:val="0"/>
            <w:vAlign w:val="center"/>
          </w:tcPr>
          <w:p w14:paraId="3062FDE1">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盘天</w:t>
            </w:r>
            <w:r>
              <w:rPr>
                <w:rFonts w:hint="eastAsia" w:asciiTheme="minorEastAsia" w:hAnsiTheme="minorEastAsia" w:eastAsiaTheme="minorEastAsia" w:cstheme="minorEastAsia"/>
                <w:i w:val="0"/>
                <w:iCs w:val="0"/>
                <w:color w:val="000000"/>
                <w:kern w:val="0"/>
                <w:sz w:val="21"/>
                <w:szCs w:val="21"/>
                <w:u w:val="none"/>
                <w:lang w:val="en-US" w:eastAsia="zh-CN" w:bidi="ar"/>
              </w:rPr>
              <w:t>ZDG-40-DZ</w:t>
            </w:r>
          </w:p>
        </w:tc>
        <w:tc>
          <w:tcPr>
            <w:tcW w:w="1022" w:type="dxa"/>
            <w:noWrap w:val="0"/>
            <w:vAlign w:val="center"/>
          </w:tcPr>
          <w:p w14:paraId="313C452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1136" w:type="dxa"/>
            <w:noWrap w:val="0"/>
            <w:vAlign w:val="center"/>
          </w:tcPr>
          <w:p w14:paraId="043454C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77432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438A33E">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2559" w:type="dxa"/>
            <w:noWrap w:val="0"/>
            <w:vAlign w:val="center"/>
          </w:tcPr>
          <w:p w14:paraId="6B2774DF">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称重传感器</w:t>
            </w:r>
          </w:p>
        </w:tc>
        <w:tc>
          <w:tcPr>
            <w:tcW w:w="3606" w:type="dxa"/>
            <w:noWrap w:val="0"/>
            <w:vAlign w:val="center"/>
          </w:tcPr>
          <w:p w14:paraId="598A728A">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中航</w:t>
            </w:r>
            <w:r>
              <w:rPr>
                <w:rFonts w:hint="eastAsia" w:asciiTheme="minorEastAsia" w:hAnsiTheme="minorEastAsia" w:eastAsiaTheme="minorEastAsia" w:cstheme="minorEastAsia"/>
                <w:i w:val="0"/>
                <w:iCs w:val="0"/>
                <w:color w:val="000000"/>
                <w:kern w:val="0"/>
                <w:sz w:val="21"/>
                <w:szCs w:val="21"/>
                <w:u w:val="none"/>
                <w:lang w:val="en-US" w:eastAsia="zh-CN" w:bidi="ar"/>
              </w:rPr>
              <w:t>HB-07</w:t>
            </w:r>
          </w:p>
        </w:tc>
        <w:tc>
          <w:tcPr>
            <w:tcW w:w="1022" w:type="dxa"/>
            <w:noWrap w:val="0"/>
            <w:vAlign w:val="center"/>
          </w:tcPr>
          <w:p w14:paraId="7366EBC9">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16</w:t>
            </w:r>
          </w:p>
        </w:tc>
        <w:tc>
          <w:tcPr>
            <w:tcW w:w="1136" w:type="dxa"/>
            <w:noWrap w:val="0"/>
            <w:vAlign w:val="center"/>
          </w:tcPr>
          <w:p w14:paraId="412D4F9F">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31503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BF4AD5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3</w:t>
            </w:r>
          </w:p>
        </w:tc>
        <w:tc>
          <w:tcPr>
            <w:tcW w:w="2559" w:type="dxa"/>
            <w:noWrap w:val="0"/>
            <w:vAlign w:val="center"/>
          </w:tcPr>
          <w:p w14:paraId="400AAAED">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高速动态称重控制器</w:t>
            </w:r>
          </w:p>
        </w:tc>
        <w:tc>
          <w:tcPr>
            <w:tcW w:w="3606" w:type="dxa"/>
            <w:noWrap w:val="0"/>
            <w:vAlign w:val="center"/>
          </w:tcPr>
          <w:p w14:paraId="0422EAFB">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盘天</w:t>
            </w:r>
            <w:r>
              <w:rPr>
                <w:rFonts w:hint="eastAsia" w:asciiTheme="minorEastAsia" w:hAnsiTheme="minorEastAsia" w:eastAsiaTheme="minorEastAsia" w:cstheme="minorEastAsia"/>
                <w:i w:val="0"/>
                <w:iCs w:val="0"/>
                <w:color w:val="000000"/>
                <w:kern w:val="0"/>
                <w:sz w:val="21"/>
                <w:szCs w:val="21"/>
                <w:u w:val="none"/>
                <w:lang w:val="en-US" w:eastAsia="zh-CN" w:bidi="ar"/>
              </w:rPr>
              <w:t>ZDG-40-DZ/TD</w:t>
            </w:r>
          </w:p>
        </w:tc>
        <w:tc>
          <w:tcPr>
            <w:tcW w:w="1022" w:type="dxa"/>
            <w:noWrap w:val="0"/>
            <w:vAlign w:val="center"/>
          </w:tcPr>
          <w:p w14:paraId="400B77D9">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D11F625">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0B6B2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7968396">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2559" w:type="dxa"/>
            <w:noWrap w:val="0"/>
            <w:vAlign w:val="center"/>
          </w:tcPr>
          <w:p w14:paraId="53A5B46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车辆检测器</w:t>
            </w:r>
          </w:p>
        </w:tc>
        <w:tc>
          <w:tcPr>
            <w:tcW w:w="3606" w:type="dxa"/>
            <w:noWrap w:val="0"/>
            <w:vAlign w:val="center"/>
          </w:tcPr>
          <w:p w14:paraId="7CC0C9A2">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LVD-6008</w:t>
            </w:r>
          </w:p>
        </w:tc>
        <w:tc>
          <w:tcPr>
            <w:tcW w:w="1022" w:type="dxa"/>
            <w:noWrap w:val="0"/>
            <w:vAlign w:val="center"/>
          </w:tcPr>
          <w:p w14:paraId="6E9952E1">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F640367">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3B9DB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1D1BD0F">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5</w:t>
            </w:r>
          </w:p>
        </w:tc>
        <w:tc>
          <w:tcPr>
            <w:tcW w:w="2559" w:type="dxa"/>
            <w:noWrap w:val="0"/>
            <w:vAlign w:val="center"/>
          </w:tcPr>
          <w:p w14:paraId="1D5797FA">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数据处理主机</w:t>
            </w:r>
          </w:p>
        </w:tc>
        <w:tc>
          <w:tcPr>
            <w:tcW w:w="3606" w:type="dxa"/>
            <w:noWrap w:val="0"/>
            <w:vAlign w:val="center"/>
          </w:tcPr>
          <w:p w14:paraId="27B9262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研祥</w:t>
            </w:r>
            <w:r>
              <w:rPr>
                <w:rFonts w:hint="eastAsia" w:asciiTheme="minorEastAsia" w:hAnsiTheme="minorEastAsia" w:eastAsiaTheme="minorEastAsia" w:cstheme="minorEastAsia"/>
                <w:i w:val="0"/>
                <w:iCs w:val="0"/>
                <w:color w:val="000000"/>
                <w:kern w:val="0"/>
                <w:sz w:val="21"/>
                <w:szCs w:val="21"/>
                <w:u w:val="none"/>
                <w:lang w:val="en-US" w:eastAsia="zh-CN" w:bidi="ar"/>
              </w:rPr>
              <w:t>IPC-810</w:t>
            </w:r>
          </w:p>
        </w:tc>
        <w:tc>
          <w:tcPr>
            <w:tcW w:w="1022" w:type="dxa"/>
            <w:noWrap w:val="0"/>
            <w:vAlign w:val="center"/>
          </w:tcPr>
          <w:p w14:paraId="698C9EAD">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44F3E9D4">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48CBA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292AE772">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6</w:t>
            </w:r>
          </w:p>
        </w:tc>
        <w:tc>
          <w:tcPr>
            <w:tcW w:w="2559" w:type="dxa"/>
            <w:noWrap w:val="0"/>
            <w:vAlign w:val="center"/>
          </w:tcPr>
          <w:p w14:paraId="0422AFB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数据采集系统</w:t>
            </w:r>
          </w:p>
        </w:tc>
        <w:tc>
          <w:tcPr>
            <w:tcW w:w="3606" w:type="dxa"/>
            <w:noWrap w:val="0"/>
            <w:vAlign w:val="center"/>
          </w:tcPr>
          <w:p w14:paraId="6505A94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盘天</w:t>
            </w:r>
          </w:p>
        </w:tc>
        <w:tc>
          <w:tcPr>
            <w:tcW w:w="1022" w:type="dxa"/>
            <w:noWrap w:val="0"/>
            <w:vAlign w:val="center"/>
          </w:tcPr>
          <w:p w14:paraId="20604A05">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3C763AB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27B73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0B5CEB51">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7</w:t>
            </w:r>
          </w:p>
        </w:tc>
        <w:tc>
          <w:tcPr>
            <w:tcW w:w="2559" w:type="dxa"/>
            <w:noWrap w:val="0"/>
            <w:vAlign w:val="center"/>
          </w:tcPr>
          <w:p w14:paraId="3A961881">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数据处理系统</w:t>
            </w:r>
          </w:p>
        </w:tc>
        <w:tc>
          <w:tcPr>
            <w:tcW w:w="3606" w:type="dxa"/>
            <w:noWrap w:val="0"/>
            <w:vAlign w:val="center"/>
          </w:tcPr>
          <w:p w14:paraId="5A76689E">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盘天</w:t>
            </w:r>
          </w:p>
        </w:tc>
        <w:tc>
          <w:tcPr>
            <w:tcW w:w="1022" w:type="dxa"/>
            <w:noWrap w:val="0"/>
            <w:vAlign w:val="center"/>
          </w:tcPr>
          <w:p w14:paraId="639EB3B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4FCA3EA">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71BC2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F508D7E">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2559" w:type="dxa"/>
            <w:noWrap w:val="0"/>
            <w:vAlign w:val="center"/>
          </w:tcPr>
          <w:p w14:paraId="466A35AA">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车辆信息匹配及上传系统</w:t>
            </w:r>
          </w:p>
        </w:tc>
        <w:tc>
          <w:tcPr>
            <w:tcW w:w="3606" w:type="dxa"/>
            <w:noWrap w:val="0"/>
            <w:vAlign w:val="center"/>
          </w:tcPr>
          <w:p w14:paraId="08D3A515">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盘天</w:t>
            </w:r>
          </w:p>
        </w:tc>
        <w:tc>
          <w:tcPr>
            <w:tcW w:w="1022" w:type="dxa"/>
            <w:noWrap w:val="0"/>
            <w:vAlign w:val="center"/>
          </w:tcPr>
          <w:p w14:paraId="0F70AA62">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7CBB5795">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7B78C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57BBBE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9</w:t>
            </w:r>
          </w:p>
        </w:tc>
        <w:tc>
          <w:tcPr>
            <w:tcW w:w="2559" w:type="dxa"/>
            <w:noWrap w:val="0"/>
            <w:vAlign w:val="center"/>
          </w:tcPr>
          <w:p w14:paraId="1AD5605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野外称重控制机柜</w:t>
            </w:r>
          </w:p>
        </w:tc>
        <w:tc>
          <w:tcPr>
            <w:tcW w:w="3606" w:type="dxa"/>
            <w:noWrap w:val="0"/>
            <w:vAlign w:val="center"/>
          </w:tcPr>
          <w:p w14:paraId="34778D92">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荣恩</w:t>
            </w:r>
            <w:r>
              <w:rPr>
                <w:rFonts w:hint="eastAsia" w:asciiTheme="minorEastAsia" w:hAnsiTheme="minorEastAsia" w:eastAsiaTheme="minorEastAsia" w:cstheme="minorEastAsia"/>
                <w:i w:val="0"/>
                <w:iCs w:val="0"/>
                <w:color w:val="000000"/>
                <w:kern w:val="0"/>
                <w:sz w:val="21"/>
                <w:szCs w:val="21"/>
                <w:u w:val="none"/>
                <w:lang w:val="en-US" w:eastAsia="zh-CN" w:bidi="ar"/>
              </w:rPr>
              <w:t>RE-HWJG</w:t>
            </w:r>
          </w:p>
        </w:tc>
        <w:tc>
          <w:tcPr>
            <w:tcW w:w="1022" w:type="dxa"/>
            <w:noWrap w:val="0"/>
            <w:vAlign w:val="center"/>
          </w:tcPr>
          <w:p w14:paraId="362EE379">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30E3B630">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现场路边</w:t>
            </w:r>
          </w:p>
        </w:tc>
      </w:tr>
      <w:tr w14:paraId="21A49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72ADD4F0">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10</w:t>
            </w:r>
          </w:p>
        </w:tc>
        <w:tc>
          <w:tcPr>
            <w:tcW w:w="2559" w:type="dxa"/>
            <w:noWrap w:val="0"/>
            <w:vAlign w:val="center"/>
          </w:tcPr>
          <w:p w14:paraId="52AEB08C">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前置机</w:t>
            </w:r>
          </w:p>
        </w:tc>
        <w:tc>
          <w:tcPr>
            <w:tcW w:w="3606" w:type="dxa"/>
            <w:noWrap w:val="0"/>
            <w:vAlign w:val="center"/>
          </w:tcPr>
          <w:p w14:paraId="4937D22E">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智诚</w:t>
            </w:r>
            <w:r>
              <w:rPr>
                <w:rFonts w:hint="eastAsia" w:asciiTheme="minorEastAsia" w:hAnsiTheme="minorEastAsia" w:eastAsiaTheme="minorEastAsia" w:cstheme="minorEastAsia"/>
                <w:i w:val="0"/>
                <w:iCs w:val="0"/>
                <w:color w:val="000000"/>
                <w:kern w:val="0"/>
                <w:sz w:val="21"/>
                <w:szCs w:val="21"/>
                <w:u w:val="none"/>
                <w:lang w:val="en-US" w:eastAsia="zh-CN" w:bidi="ar"/>
              </w:rPr>
              <w:t>ZC-QZ320A</w:t>
            </w:r>
          </w:p>
        </w:tc>
        <w:tc>
          <w:tcPr>
            <w:tcW w:w="1022" w:type="dxa"/>
            <w:noWrap w:val="0"/>
            <w:vAlign w:val="center"/>
          </w:tcPr>
          <w:p w14:paraId="50E236E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29A15081">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4E86A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24C6312A">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11</w:t>
            </w:r>
          </w:p>
        </w:tc>
        <w:tc>
          <w:tcPr>
            <w:tcW w:w="2559" w:type="dxa"/>
            <w:noWrap w:val="0"/>
            <w:vAlign w:val="center"/>
          </w:tcPr>
          <w:p w14:paraId="0DD76CCA">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工业交换机</w:t>
            </w:r>
          </w:p>
        </w:tc>
        <w:tc>
          <w:tcPr>
            <w:tcW w:w="3606" w:type="dxa"/>
            <w:noWrap w:val="0"/>
            <w:vAlign w:val="center"/>
          </w:tcPr>
          <w:p w14:paraId="1B43D144">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圃惠</w:t>
            </w:r>
            <w:r>
              <w:rPr>
                <w:rFonts w:hint="eastAsia" w:asciiTheme="minorEastAsia" w:hAnsiTheme="minorEastAsia" w:eastAsiaTheme="minorEastAsia" w:cstheme="minorEastAsia"/>
                <w:i w:val="0"/>
                <w:iCs w:val="0"/>
                <w:color w:val="000000"/>
                <w:kern w:val="0"/>
                <w:sz w:val="21"/>
                <w:szCs w:val="21"/>
                <w:u w:val="none"/>
                <w:lang w:val="en-US" w:eastAsia="zh-CN" w:bidi="ar"/>
              </w:rPr>
              <w:t>PH H2610</w:t>
            </w:r>
          </w:p>
        </w:tc>
        <w:tc>
          <w:tcPr>
            <w:tcW w:w="1022" w:type="dxa"/>
            <w:noWrap w:val="0"/>
            <w:vAlign w:val="center"/>
          </w:tcPr>
          <w:p w14:paraId="3EC85422">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4561786B">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5FE3C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1CE2B1F0">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12</w:t>
            </w:r>
          </w:p>
        </w:tc>
        <w:tc>
          <w:tcPr>
            <w:tcW w:w="2559" w:type="dxa"/>
            <w:noWrap w:val="0"/>
            <w:vAlign w:val="center"/>
          </w:tcPr>
          <w:p w14:paraId="0CBF03B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高清抓拍摄像机</w:t>
            </w:r>
          </w:p>
        </w:tc>
        <w:tc>
          <w:tcPr>
            <w:tcW w:w="3606" w:type="dxa"/>
            <w:noWrap w:val="0"/>
            <w:vAlign w:val="center"/>
          </w:tcPr>
          <w:p w14:paraId="78D6448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iDS-TCV900-BE/25</w:t>
            </w:r>
          </w:p>
        </w:tc>
        <w:tc>
          <w:tcPr>
            <w:tcW w:w="1022" w:type="dxa"/>
            <w:noWrap w:val="0"/>
            <w:vAlign w:val="center"/>
          </w:tcPr>
          <w:p w14:paraId="706950D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14EC526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6ADE7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0E3411E8">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13</w:t>
            </w:r>
          </w:p>
        </w:tc>
        <w:tc>
          <w:tcPr>
            <w:tcW w:w="2559" w:type="dxa"/>
            <w:noWrap w:val="0"/>
            <w:vAlign w:val="center"/>
          </w:tcPr>
          <w:p w14:paraId="50A0CACC">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爆闪灯</w:t>
            </w:r>
          </w:p>
        </w:tc>
        <w:tc>
          <w:tcPr>
            <w:tcW w:w="3606" w:type="dxa"/>
            <w:noWrap w:val="0"/>
            <w:vAlign w:val="center"/>
          </w:tcPr>
          <w:p w14:paraId="38BDE919">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CXBG-2-MC-SL-1211-3</w:t>
            </w:r>
          </w:p>
        </w:tc>
        <w:tc>
          <w:tcPr>
            <w:tcW w:w="1022" w:type="dxa"/>
            <w:noWrap w:val="0"/>
            <w:vAlign w:val="center"/>
          </w:tcPr>
          <w:p w14:paraId="39869E5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7D96242C">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门架</w:t>
            </w:r>
          </w:p>
        </w:tc>
      </w:tr>
      <w:tr w14:paraId="1227A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75" w:type="dxa"/>
            <w:noWrap w:val="0"/>
            <w:vAlign w:val="center"/>
          </w:tcPr>
          <w:p w14:paraId="5AED3804">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14</w:t>
            </w:r>
          </w:p>
        </w:tc>
        <w:tc>
          <w:tcPr>
            <w:tcW w:w="2559" w:type="dxa"/>
            <w:noWrap w:val="0"/>
            <w:vAlign w:val="center"/>
          </w:tcPr>
          <w:p w14:paraId="5C85D82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补光灯</w:t>
            </w:r>
          </w:p>
        </w:tc>
        <w:tc>
          <w:tcPr>
            <w:tcW w:w="3606" w:type="dxa"/>
            <w:noWrap w:val="0"/>
            <w:vAlign w:val="center"/>
          </w:tcPr>
          <w:p w14:paraId="2C3E010A">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CXBG-1-PS-DS-TL2000A-L3-N(暖)</w:t>
            </w:r>
          </w:p>
        </w:tc>
        <w:tc>
          <w:tcPr>
            <w:tcW w:w="1022" w:type="dxa"/>
            <w:noWrap w:val="0"/>
            <w:vAlign w:val="center"/>
          </w:tcPr>
          <w:p w14:paraId="0D6D1BB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1F5C5E48">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门架</w:t>
            </w:r>
          </w:p>
        </w:tc>
      </w:tr>
      <w:tr w14:paraId="27AB0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5342D428">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15</w:t>
            </w:r>
          </w:p>
        </w:tc>
        <w:tc>
          <w:tcPr>
            <w:tcW w:w="2559" w:type="dxa"/>
            <w:noWrap w:val="0"/>
            <w:vAlign w:val="center"/>
          </w:tcPr>
          <w:p w14:paraId="42DAB84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终端服务器</w:t>
            </w:r>
          </w:p>
        </w:tc>
        <w:tc>
          <w:tcPr>
            <w:tcW w:w="3606" w:type="dxa"/>
            <w:noWrap w:val="0"/>
            <w:vAlign w:val="center"/>
          </w:tcPr>
          <w:p w14:paraId="6558160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DS-TP50-12E(8T)</w:t>
            </w:r>
          </w:p>
        </w:tc>
        <w:tc>
          <w:tcPr>
            <w:tcW w:w="1022" w:type="dxa"/>
            <w:noWrap w:val="0"/>
            <w:vAlign w:val="center"/>
          </w:tcPr>
          <w:p w14:paraId="6906885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06C846A9">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机柜</w:t>
            </w:r>
          </w:p>
        </w:tc>
      </w:tr>
      <w:tr w14:paraId="25BF4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6F6F962">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16</w:t>
            </w:r>
          </w:p>
        </w:tc>
        <w:tc>
          <w:tcPr>
            <w:tcW w:w="2559" w:type="dxa"/>
            <w:noWrap w:val="0"/>
            <w:vAlign w:val="center"/>
          </w:tcPr>
          <w:p w14:paraId="0E6CB2A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工业交换机</w:t>
            </w:r>
          </w:p>
        </w:tc>
        <w:tc>
          <w:tcPr>
            <w:tcW w:w="3606" w:type="dxa"/>
            <w:noWrap w:val="0"/>
            <w:vAlign w:val="center"/>
          </w:tcPr>
          <w:p w14:paraId="036F2B3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DS-3E0508DL</w:t>
            </w:r>
          </w:p>
        </w:tc>
        <w:tc>
          <w:tcPr>
            <w:tcW w:w="1022" w:type="dxa"/>
            <w:noWrap w:val="0"/>
            <w:vAlign w:val="center"/>
          </w:tcPr>
          <w:p w14:paraId="184555C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173F098F">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5E0EC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A53B4F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17</w:t>
            </w:r>
          </w:p>
        </w:tc>
        <w:tc>
          <w:tcPr>
            <w:tcW w:w="2559" w:type="dxa"/>
            <w:noWrap w:val="0"/>
            <w:vAlign w:val="center"/>
          </w:tcPr>
          <w:p w14:paraId="6708208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高速智能监控球机</w:t>
            </w:r>
          </w:p>
        </w:tc>
        <w:tc>
          <w:tcPr>
            <w:tcW w:w="3606" w:type="dxa"/>
            <w:noWrap w:val="0"/>
            <w:vAlign w:val="center"/>
          </w:tcPr>
          <w:p w14:paraId="1333144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iDS-2DE7330LDM-HS</w:t>
            </w:r>
          </w:p>
        </w:tc>
        <w:tc>
          <w:tcPr>
            <w:tcW w:w="1022" w:type="dxa"/>
            <w:noWrap w:val="0"/>
            <w:vAlign w:val="center"/>
          </w:tcPr>
          <w:p w14:paraId="62777A4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01EC3B3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0541D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23389738">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18</w:t>
            </w:r>
          </w:p>
        </w:tc>
        <w:tc>
          <w:tcPr>
            <w:tcW w:w="2559" w:type="dxa"/>
            <w:noWrap w:val="0"/>
            <w:vAlign w:val="center"/>
          </w:tcPr>
          <w:p w14:paraId="71F43F8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硬盘录像机（含硬盘）</w:t>
            </w:r>
          </w:p>
        </w:tc>
        <w:tc>
          <w:tcPr>
            <w:tcW w:w="3606" w:type="dxa"/>
            <w:noWrap w:val="0"/>
            <w:vAlign w:val="center"/>
          </w:tcPr>
          <w:p w14:paraId="7E3ABC7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w:t>
            </w:r>
            <w:r>
              <w:rPr>
                <w:rFonts w:hint="eastAsia" w:asciiTheme="minorEastAsia" w:hAnsiTheme="minorEastAsia" w:eastAsiaTheme="minorEastAsia" w:cstheme="minorEastAsia"/>
                <w:i w:val="0"/>
                <w:iCs w:val="0"/>
                <w:color w:val="000000"/>
                <w:kern w:val="0"/>
                <w:sz w:val="21"/>
                <w:szCs w:val="21"/>
                <w:u w:val="none"/>
                <w:lang w:val="en-US" w:eastAsia="zh-CN" w:bidi="ar"/>
              </w:rPr>
              <w:t>DS-TP50-04H(6T）</w:t>
            </w:r>
          </w:p>
        </w:tc>
        <w:tc>
          <w:tcPr>
            <w:tcW w:w="1022" w:type="dxa"/>
            <w:noWrap w:val="0"/>
            <w:vAlign w:val="center"/>
          </w:tcPr>
          <w:p w14:paraId="3F16384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6F78E8DB">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78E0D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4B58AE3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19</w:t>
            </w:r>
          </w:p>
        </w:tc>
        <w:tc>
          <w:tcPr>
            <w:tcW w:w="2559" w:type="dxa"/>
            <w:noWrap w:val="0"/>
            <w:vAlign w:val="center"/>
          </w:tcPr>
          <w:p w14:paraId="0DAB760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信息显示屏体</w:t>
            </w:r>
          </w:p>
        </w:tc>
        <w:tc>
          <w:tcPr>
            <w:tcW w:w="3606" w:type="dxa"/>
            <w:noWrap w:val="0"/>
            <w:vAlign w:val="center"/>
          </w:tcPr>
          <w:p w14:paraId="44E2EA0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w:t>
            </w:r>
            <w:r>
              <w:rPr>
                <w:rFonts w:hint="eastAsia" w:asciiTheme="minorEastAsia" w:hAnsiTheme="minorEastAsia" w:eastAsiaTheme="minorEastAsia" w:cstheme="minorEastAsia"/>
                <w:i w:val="0"/>
                <w:iCs w:val="0"/>
                <w:color w:val="000000"/>
                <w:kern w:val="0"/>
                <w:sz w:val="21"/>
                <w:szCs w:val="21"/>
                <w:u w:val="none"/>
                <w:lang w:val="en-US" w:eastAsia="zh-CN" w:bidi="ar"/>
              </w:rPr>
              <w:t>MC100S-512</w:t>
            </w:r>
          </w:p>
        </w:tc>
        <w:tc>
          <w:tcPr>
            <w:tcW w:w="1022" w:type="dxa"/>
            <w:noWrap w:val="0"/>
            <w:vAlign w:val="center"/>
          </w:tcPr>
          <w:p w14:paraId="099CBB8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33B1A04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36B5D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4378072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20</w:t>
            </w:r>
          </w:p>
        </w:tc>
        <w:tc>
          <w:tcPr>
            <w:tcW w:w="2559" w:type="dxa"/>
            <w:noWrap w:val="0"/>
            <w:vAlign w:val="center"/>
          </w:tcPr>
          <w:p w14:paraId="3A27CFE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屏幕控制器</w:t>
            </w:r>
          </w:p>
        </w:tc>
        <w:tc>
          <w:tcPr>
            <w:tcW w:w="3606" w:type="dxa"/>
            <w:noWrap w:val="0"/>
            <w:vAlign w:val="center"/>
          </w:tcPr>
          <w:p w14:paraId="5585AD7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定制</w:t>
            </w:r>
          </w:p>
        </w:tc>
        <w:tc>
          <w:tcPr>
            <w:tcW w:w="1022" w:type="dxa"/>
            <w:noWrap w:val="0"/>
            <w:vAlign w:val="center"/>
          </w:tcPr>
          <w:p w14:paraId="1F3B63A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22D69B88">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083DC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25B3092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21</w:t>
            </w:r>
          </w:p>
        </w:tc>
        <w:tc>
          <w:tcPr>
            <w:tcW w:w="2559" w:type="dxa"/>
            <w:noWrap w:val="0"/>
            <w:vAlign w:val="center"/>
          </w:tcPr>
          <w:p w14:paraId="3D44A1C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光纤收发器</w:t>
            </w:r>
          </w:p>
        </w:tc>
        <w:tc>
          <w:tcPr>
            <w:tcW w:w="3606" w:type="dxa"/>
            <w:noWrap w:val="0"/>
            <w:vAlign w:val="center"/>
          </w:tcPr>
          <w:p w14:paraId="672A4B5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定制</w:t>
            </w:r>
          </w:p>
        </w:tc>
        <w:tc>
          <w:tcPr>
            <w:tcW w:w="1022" w:type="dxa"/>
            <w:noWrap w:val="0"/>
            <w:vAlign w:val="center"/>
          </w:tcPr>
          <w:p w14:paraId="094C832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0D1ABC28">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062B2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068EA3D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22</w:t>
            </w:r>
          </w:p>
        </w:tc>
        <w:tc>
          <w:tcPr>
            <w:tcW w:w="2559" w:type="dxa"/>
            <w:noWrap w:val="0"/>
            <w:vAlign w:val="center"/>
          </w:tcPr>
          <w:p w14:paraId="31FFEF6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路灯</w:t>
            </w:r>
          </w:p>
        </w:tc>
        <w:tc>
          <w:tcPr>
            <w:tcW w:w="3606" w:type="dxa"/>
            <w:noWrap w:val="0"/>
            <w:vAlign w:val="center"/>
          </w:tcPr>
          <w:p w14:paraId="32E0850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定制</w:t>
            </w:r>
          </w:p>
        </w:tc>
        <w:tc>
          <w:tcPr>
            <w:tcW w:w="1022" w:type="dxa"/>
            <w:noWrap w:val="0"/>
            <w:vAlign w:val="center"/>
          </w:tcPr>
          <w:p w14:paraId="10745D6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1136" w:type="dxa"/>
            <w:noWrap w:val="0"/>
            <w:vAlign w:val="center"/>
          </w:tcPr>
          <w:p w14:paraId="17A65E6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现场路边</w:t>
            </w:r>
          </w:p>
        </w:tc>
      </w:tr>
      <w:tr w14:paraId="412D0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CE193A0">
            <w:pPr>
              <w:widowControl/>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二、</w:t>
            </w:r>
          </w:p>
        </w:tc>
        <w:tc>
          <w:tcPr>
            <w:tcW w:w="8323" w:type="dxa"/>
            <w:gridSpan w:val="4"/>
            <w:noWrap w:val="0"/>
            <w:vAlign w:val="center"/>
          </w:tcPr>
          <w:p w14:paraId="7FFED04D">
            <w:pPr>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X227（永庆线）青田、庆元方向K0+700</w:t>
            </w:r>
          </w:p>
        </w:tc>
      </w:tr>
      <w:tr w14:paraId="3C189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423992E">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2559" w:type="dxa"/>
            <w:noWrap w:val="0"/>
            <w:vAlign w:val="center"/>
          </w:tcPr>
          <w:p w14:paraId="11373D06">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称重平板主体（标准型）</w:t>
            </w:r>
          </w:p>
        </w:tc>
        <w:tc>
          <w:tcPr>
            <w:tcW w:w="3606" w:type="dxa"/>
            <w:noWrap w:val="0"/>
            <w:vAlign w:val="center"/>
          </w:tcPr>
          <w:p w14:paraId="3E613D0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杭州四方ZDG-40-DZ</w:t>
            </w:r>
          </w:p>
        </w:tc>
        <w:tc>
          <w:tcPr>
            <w:tcW w:w="1022" w:type="dxa"/>
            <w:noWrap w:val="0"/>
            <w:vAlign w:val="center"/>
          </w:tcPr>
          <w:p w14:paraId="6ADB125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1136" w:type="dxa"/>
            <w:noWrap w:val="0"/>
            <w:vAlign w:val="center"/>
          </w:tcPr>
          <w:p w14:paraId="44D1321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761A2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11C697EF">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2559" w:type="dxa"/>
            <w:noWrap w:val="0"/>
            <w:vAlign w:val="center"/>
          </w:tcPr>
          <w:p w14:paraId="3AF5CB55">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称重传感器</w:t>
            </w:r>
          </w:p>
        </w:tc>
        <w:tc>
          <w:tcPr>
            <w:tcW w:w="3606" w:type="dxa"/>
            <w:noWrap w:val="0"/>
            <w:vAlign w:val="center"/>
          </w:tcPr>
          <w:p w14:paraId="4A8FD57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杭州四方SFZ-20</w:t>
            </w:r>
          </w:p>
        </w:tc>
        <w:tc>
          <w:tcPr>
            <w:tcW w:w="1022" w:type="dxa"/>
            <w:noWrap w:val="0"/>
            <w:vAlign w:val="center"/>
          </w:tcPr>
          <w:p w14:paraId="15EC5692">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16</w:t>
            </w:r>
          </w:p>
        </w:tc>
        <w:tc>
          <w:tcPr>
            <w:tcW w:w="1136" w:type="dxa"/>
            <w:noWrap w:val="0"/>
            <w:vAlign w:val="center"/>
          </w:tcPr>
          <w:p w14:paraId="1FE5885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7353C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76EABB80">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3</w:t>
            </w:r>
          </w:p>
        </w:tc>
        <w:tc>
          <w:tcPr>
            <w:tcW w:w="2559" w:type="dxa"/>
            <w:noWrap w:val="0"/>
            <w:vAlign w:val="center"/>
          </w:tcPr>
          <w:p w14:paraId="045DEEBA">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高速动态称重控制器</w:t>
            </w:r>
          </w:p>
        </w:tc>
        <w:tc>
          <w:tcPr>
            <w:tcW w:w="3606" w:type="dxa"/>
            <w:noWrap w:val="0"/>
            <w:vAlign w:val="center"/>
          </w:tcPr>
          <w:p w14:paraId="5A00683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杭州四方XK3196-DZ</w:t>
            </w:r>
          </w:p>
        </w:tc>
        <w:tc>
          <w:tcPr>
            <w:tcW w:w="1022" w:type="dxa"/>
            <w:noWrap w:val="0"/>
            <w:vAlign w:val="center"/>
          </w:tcPr>
          <w:p w14:paraId="35DBFA1F">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295BACE4">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L杆</w:t>
            </w:r>
          </w:p>
        </w:tc>
      </w:tr>
      <w:tr w14:paraId="7DF1A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7B55517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2559" w:type="dxa"/>
            <w:noWrap w:val="0"/>
            <w:vAlign w:val="center"/>
          </w:tcPr>
          <w:p w14:paraId="7D94433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车辆检测器</w:t>
            </w:r>
          </w:p>
        </w:tc>
        <w:tc>
          <w:tcPr>
            <w:tcW w:w="3606" w:type="dxa"/>
            <w:noWrap w:val="0"/>
            <w:vAlign w:val="center"/>
          </w:tcPr>
          <w:p w14:paraId="773821B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4299CEF0">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CD0C5B8">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4DC8D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777542DA">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5</w:t>
            </w:r>
          </w:p>
        </w:tc>
        <w:tc>
          <w:tcPr>
            <w:tcW w:w="2559" w:type="dxa"/>
            <w:noWrap w:val="0"/>
            <w:vAlign w:val="center"/>
          </w:tcPr>
          <w:p w14:paraId="0169911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数据处理主机</w:t>
            </w:r>
          </w:p>
        </w:tc>
        <w:tc>
          <w:tcPr>
            <w:tcW w:w="3606" w:type="dxa"/>
            <w:noWrap w:val="0"/>
            <w:vAlign w:val="center"/>
          </w:tcPr>
          <w:p w14:paraId="265256A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杭州四方IP051</w:t>
            </w:r>
          </w:p>
        </w:tc>
        <w:tc>
          <w:tcPr>
            <w:tcW w:w="1022" w:type="dxa"/>
            <w:noWrap w:val="0"/>
            <w:vAlign w:val="center"/>
          </w:tcPr>
          <w:p w14:paraId="6BA7D1BB">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C79BE5C">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41BBC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01E9FA48">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6</w:t>
            </w:r>
          </w:p>
        </w:tc>
        <w:tc>
          <w:tcPr>
            <w:tcW w:w="2559" w:type="dxa"/>
            <w:noWrap w:val="0"/>
            <w:vAlign w:val="center"/>
          </w:tcPr>
          <w:p w14:paraId="133BB64A">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数据采集系统</w:t>
            </w:r>
          </w:p>
        </w:tc>
        <w:tc>
          <w:tcPr>
            <w:tcW w:w="3606" w:type="dxa"/>
            <w:noWrap w:val="0"/>
            <w:vAlign w:val="center"/>
          </w:tcPr>
          <w:p w14:paraId="649E3B1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050932E5">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3618268D">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70329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0347CED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7</w:t>
            </w:r>
          </w:p>
        </w:tc>
        <w:tc>
          <w:tcPr>
            <w:tcW w:w="2559" w:type="dxa"/>
            <w:noWrap w:val="0"/>
            <w:vAlign w:val="center"/>
          </w:tcPr>
          <w:p w14:paraId="73AD36C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数据处理系统</w:t>
            </w:r>
          </w:p>
        </w:tc>
        <w:tc>
          <w:tcPr>
            <w:tcW w:w="3606" w:type="dxa"/>
            <w:noWrap w:val="0"/>
            <w:vAlign w:val="center"/>
          </w:tcPr>
          <w:p w14:paraId="2EDC072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708281F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2A3FE496">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29079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BBC4B20">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2559" w:type="dxa"/>
            <w:noWrap w:val="0"/>
            <w:vAlign w:val="center"/>
          </w:tcPr>
          <w:p w14:paraId="5F2C2E73">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车辆信息匹配及上传系统</w:t>
            </w:r>
          </w:p>
        </w:tc>
        <w:tc>
          <w:tcPr>
            <w:tcW w:w="3606" w:type="dxa"/>
            <w:noWrap w:val="0"/>
            <w:vAlign w:val="center"/>
          </w:tcPr>
          <w:p w14:paraId="45EA884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4EC33F15">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58989623">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1AF2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F05082B">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9</w:t>
            </w:r>
          </w:p>
        </w:tc>
        <w:tc>
          <w:tcPr>
            <w:tcW w:w="2559" w:type="dxa"/>
            <w:noWrap w:val="0"/>
            <w:vAlign w:val="center"/>
          </w:tcPr>
          <w:p w14:paraId="40E41FB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野外称重控制机柜</w:t>
            </w:r>
          </w:p>
        </w:tc>
        <w:tc>
          <w:tcPr>
            <w:tcW w:w="3606" w:type="dxa"/>
            <w:noWrap w:val="0"/>
            <w:vAlign w:val="center"/>
          </w:tcPr>
          <w:p w14:paraId="213C344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杭州四方DCS-30-04</w:t>
            </w:r>
          </w:p>
        </w:tc>
        <w:tc>
          <w:tcPr>
            <w:tcW w:w="1022" w:type="dxa"/>
            <w:noWrap w:val="0"/>
            <w:vAlign w:val="center"/>
          </w:tcPr>
          <w:p w14:paraId="389195A9">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8122B73">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现场路边</w:t>
            </w:r>
          </w:p>
        </w:tc>
      </w:tr>
      <w:tr w14:paraId="677B9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75C943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10</w:t>
            </w:r>
          </w:p>
        </w:tc>
        <w:tc>
          <w:tcPr>
            <w:tcW w:w="2559" w:type="dxa"/>
            <w:noWrap w:val="0"/>
            <w:vAlign w:val="center"/>
          </w:tcPr>
          <w:p w14:paraId="4C2DC0E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前置机</w:t>
            </w:r>
          </w:p>
        </w:tc>
        <w:tc>
          <w:tcPr>
            <w:tcW w:w="3606" w:type="dxa"/>
            <w:noWrap w:val="0"/>
            <w:vAlign w:val="center"/>
          </w:tcPr>
          <w:p w14:paraId="0498D9C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智诚ZC-QZ320A</w:t>
            </w:r>
          </w:p>
        </w:tc>
        <w:tc>
          <w:tcPr>
            <w:tcW w:w="1022" w:type="dxa"/>
            <w:noWrap w:val="0"/>
            <w:vAlign w:val="center"/>
          </w:tcPr>
          <w:p w14:paraId="5806160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24E7BF1">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机柜</w:t>
            </w:r>
          </w:p>
        </w:tc>
      </w:tr>
      <w:tr w14:paraId="7CE5D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426B2AAE">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11</w:t>
            </w:r>
          </w:p>
        </w:tc>
        <w:tc>
          <w:tcPr>
            <w:tcW w:w="2559" w:type="dxa"/>
            <w:noWrap w:val="0"/>
            <w:vAlign w:val="center"/>
          </w:tcPr>
          <w:p w14:paraId="114B0DD9">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工业交换机</w:t>
            </w:r>
          </w:p>
        </w:tc>
        <w:tc>
          <w:tcPr>
            <w:tcW w:w="3606" w:type="dxa"/>
            <w:noWrap w:val="0"/>
            <w:vAlign w:val="center"/>
          </w:tcPr>
          <w:p w14:paraId="492624C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圃惠PH H2610</w:t>
            </w:r>
          </w:p>
        </w:tc>
        <w:tc>
          <w:tcPr>
            <w:tcW w:w="1022" w:type="dxa"/>
            <w:noWrap w:val="0"/>
            <w:vAlign w:val="center"/>
          </w:tcPr>
          <w:p w14:paraId="5B894B5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3B34B74C">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3EBDC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168C6275">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12</w:t>
            </w:r>
          </w:p>
        </w:tc>
        <w:tc>
          <w:tcPr>
            <w:tcW w:w="2559" w:type="dxa"/>
            <w:noWrap w:val="0"/>
            <w:vAlign w:val="center"/>
          </w:tcPr>
          <w:p w14:paraId="5DDDE03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高清抓拍摄像机</w:t>
            </w:r>
          </w:p>
        </w:tc>
        <w:tc>
          <w:tcPr>
            <w:tcW w:w="3606" w:type="dxa"/>
            <w:noWrap w:val="0"/>
            <w:vAlign w:val="center"/>
          </w:tcPr>
          <w:p w14:paraId="2002B59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海康威视iDS-TCV900-BE/25</w:t>
            </w:r>
          </w:p>
        </w:tc>
        <w:tc>
          <w:tcPr>
            <w:tcW w:w="1022" w:type="dxa"/>
            <w:noWrap w:val="0"/>
            <w:vAlign w:val="center"/>
          </w:tcPr>
          <w:p w14:paraId="1183BED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2E13FA7F">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门架</w:t>
            </w:r>
          </w:p>
        </w:tc>
      </w:tr>
      <w:tr w14:paraId="7AEAD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AEB5588">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13</w:t>
            </w:r>
          </w:p>
        </w:tc>
        <w:tc>
          <w:tcPr>
            <w:tcW w:w="2559" w:type="dxa"/>
            <w:noWrap w:val="0"/>
            <w:vAlign w:val="center"/>
          </w:tcPr>
          <w:p w14:paraId="3472E6F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爆闪灯</w:t>
            </w:r>
          </w:p>
        </w:tc>
        <w:tc>
          <w:tcPr>
            <w:tcW w:w="3606" w:type="dxa"/>
            <w:noWrap w:val="0"/>
            <w:vAlign w:val="center"/>
          </w:tcPr>
          <w:p w14:paraId="562038C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海康威视CXBG-2-MC-SL-1211-3</w:t>
            </w:r>
          </w:p>
        </w:tc>
        <w:tc>
          <w:tcPr>
            <w:tcW w:w="1022" w:type="dxa"/>
            <w:noWrap w:val="0"/>
            <w:vAlign w:val="center"/>
          </w:tcPr>
          <w:p w14:paraId="4C09B9D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50DAC8E8">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门架</w:t>
            </w:r>
          </w:p>
        </w:tc>
      </w:tr>
      <w:tr w14:paraId="763AD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75" w:type="dxa"/>
            <w:noWrap w:val="0"/>
            <w:vAlign w:val="center"/>
          </w:tcPr>
          <w:p w14:paraId="666128AE">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14</w:t>
            </w:r>
          </w:p>
        </w:tc>
        <w:tc>
          <w:tcPr>
            <w:tcW w:w="2559" w:type="dxa"/>
            <w:noWrap w:val="0"/>
            <w:vAlign w:val="center"/>
          </w:tcPr>
          <w:p w14:paraId="5E7D793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补光灯</w:t>
            </w:r>
          </w:p>
        </w:tc>
        <w:tc>
          <w:tcPr>
            <w:tcW w:w="3606" w:type="dxa"/>
            <w:noWrap w:val="0"/>
            <w:vAlign w:val="center"/>
          </w:tcPr>
          <w:p w14:paraId="27DB68F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海康威视CXBG-1-PS-DS-TL2000A-L3-N(暖)</w:t>
            </w:r>
          </w:p>
        </w:tc>
        <w:tc>
          <w:tcPr>
            <w:tcW w:w="1022" w:type="dxa"/>
            <w:noWrap w:val="0"/>
            <w:vAlign w:val="center"/>
          </w:tcPr>
          <w:p w14:paraId="441AD818">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780DDA42">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门架</w:t>
            </w:r>
          </w:p>
        </w:tc>
      </w:tr>
      <w:tr w14:paraId="01E86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16035AAF">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15</w:t>
            </w:r>
          </w:p>
        </w:tc>
        <w:tc>
          <w:tcPr>
            <w:tcW w:w="2559" w:type="dxa"/>
            <w:noWrap w:val="0"/>
            <w:vAlign w:val="center"/>
          </w:tcPr>
          <w:p w14:paraId="2EBE9191">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终端服务器</w:t>
            </w:r>
          </w:p>
        </w:tc>
        <w:tc>
          <w:tcPr>
            <w:tcW w:w="3606" w:type="dxa"/>
            <w:noWrap w:val="0"/>
            <w:vAlign w:val="center"/>
          </w:tcPr>
          <w:p w14:paraId="3179A44B">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海康威视DS-TP50-12E(8T)</w:t>
            </w:r>
          </w:p>
        </w:tc>
        <w:tc>
          <w:tcPr>
            <w:tcW w:w="1022" w:type="dxa"/>
            <w:noWrap w:val="0"/>
            <w:vAlign w:val="center"/>
          </w:tcPr>
          <w:p w14:paraId="57F93F3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0DBC5561">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6FAF3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233ED491">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16</w:t>
            </w:r>
          </w:p>
        </w:tc>
        <w:tc>
          <w:tcPr>
            <w:tcW w:w="2559" w:type="dxa"/>
            <w:noWrap w:val="0"/>
            <w:vAlign w:val="center"/>
          </w:tcPr>
          <w:p w14:paraId="37ABD8F3">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工业交换机</w:t>
            </w:r>
          </w:p>
        </w:tc>
        <w:tc>
          <w:tcPr>
            <w:tcW w:w="3606" w:type="dxa"/>
            <w:noWrap w:val="0"/>
            <w:vAlign w:val="center"/>
          </w:tcPr>
          <w:p w14:paraId="16C98E4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海康威视DS-3E0508DL</w:t>
            </w:r>
          </w:p>
        </w:tc>
        <w:tc>
          <w:tcPr>
            <w:tcW w:w="1022" w:type="dxa"/>
            <w:noWrap w:val="0"/>
            <w:vAlign w:val="center"/>
          </w:tcPr>
          <w:p w14:paraId="49DF439B">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6CD8B032">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073C3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26FBB8B">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17</w:t>
            </w:r>
          </w:p>
        </w:tc>
        <w:tc>
          <w:tcPr>
            <w:tcW w:w="2559" w:type="dxa"/>
            <w:noWrap w:val="0"/>
            <w:vAlign w:val="center"/>
          </w:tcPr>
          <w:p w14:paraId="76C8A83F">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高速智能监控球机</w:t>
            </w:r>
          </w:p>
        </w:tc>
        <w:tc>
          <w:tcPr>
            <w:tcW w:w="3606" w:type="dxa"/>
            <w:noWrap w:val="0"/>
            <w:vAlign w:val="center"/>
          </w:tcPr>
          <w:p w14:paraId="0F860F1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海康威视iDS-2DE7330LDM-HS</w:t>
            </w:r>
          </w:p>
        </w:tc>
        <w:tc>
          <w:tcPr>
            <w:tcW w:w="1022" w:type="dxa"/>
            <w:noWrap w:val="0"/>
            <w:vAlign w:val="center"/>
          </w:tcPr>
          <w:p w14:paraId="05E6658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592F4CB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6E9D4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4A0810C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18</w:t>
            </w:r>
          </w:p>
        </w:tc>
        <w:tc>
          <w:tcPr>
            <w:tcW w:w="2559" w:type="dxa"/>
            <w:noWrap w:val="0"/>
            <w:vAlign w:val="center"/>
          </w:tcPr>
          <w:p w14:paraId="28E3A88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硬盘录像机（含硬盘）</w:t>
            </w:r>
          </w:p>
        </w:tc>
        <w:tc>
          <w:tcPr>
            <w:tcW w:w="3606" w:type="dxa"/>
            <w:noWrap w:val="0"/>
            <w:vAlign w:val="center"/>
          </w:tcPr>
          <w:p w14:paraId="784416B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海康威视DS-TP50-04H(6T）</w:t>
            </w:r>
          </w:p>
        </w:tc>
        <w:tc>
          <w:tcPr>
            <w:tcW w:w="1022" w:type="dxa"/>
            <w:noWrap w:val="0"/>
            <w:vAlign w:val="center"/>
          </w:tcPr>
          <w:p w14:paraId="5C43E8D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20B6A59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46855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6B1E79D4">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19</w:t>
            </w:r>
          </w:p>
        </w:tc>
        <w:tc>
          <w:tcPr>
            <w:tcW w:w="2559" w:type="dxa"/>
            <w:noWrap w:val="0"/>
            <w:vAlign w:val="center"/>
          </w:tcPr>
          <w:p w14:paraId="2230D91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信息显示屏体</w:t>
            </w:r>
          </w:p>
        </w:tc>
        <w:tc>
          <w:tcPr>
            <w:tcW w:w="3606" w:type="dxa"/>
            <w:noWrap w:val="0"/>
            <w:vAlign w:val="center"/>
          </w:tcPr>
          <w:p w14:paraId="01D5A52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爱特思MC100S-512 MC100S-101</w:t>
            </w:r>
          </w:p>
        </w:tc>
        <w:tc>
          <w:tcPr>
            <w:tcW w:w="1022" w:type="dxa"/>
            <w:noWrap w:val="0"/>
            <w:vAlign w:val="center"/>
          </w:tcPr>
          <w:p w14:paraId="5F62B7D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6557C40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008BC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741F6161">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20</w:t>
            </w:r>
          </w:p>
        </w:tc>
        <w:tc>
          <w:tcPr>
            <w:tcW w:w="2559" w:type="dxa"/>
            <w:noWrap w:val="0"/>
            <w:vAlign w:val="center"/>
          </w:tcPr>
          <w:p w14:paraId="177F0ED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信息显示屏体</w:t>
            </w:r>
          </w:p>
        </w:tc>
        <w:tc>
          <w:tcPr>
            <w:tcW w:w="3606" w:type="dxa"/>
            <w:noWrap w:val="0"/>
            <w:vAlign w:val="center"/>
          </w:tcPr>
          <w:p w14:paraId="1C758D7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w:t>
            </w:r>
          </w:p>
        </w:tc>
        <w:tc>
          <w:tcPr>
            <w:tcW w:w="1022" w:type="dxa"/>
            <w:noWrap w:val="0"/>
            <w:vAlign w:val="center"/>
          </w:tcPr>
          <w:p w14:paraId="4E92262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1647E378">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117AA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36FA78A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21</w:t>
            </w:r>
          </w:p>
        </w:tc>
        <w:tc>
          <w:tcPr>
            <w:tcW w:w="2559" w:type="dxa"/>
            <w:noWrap w:val="0"/>
            <w:vAlign w:val="center"/>
          </w:tcPr>
          <w:p w14:paraId="7C35589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屏幕控制器</w:t>
            </w:r>
          </w:p>
        </w:tc>
        <w:tc>
          <w:tcPr>
            <w:tcW w:w="3606" w:type="dxa"/>
            <w:noWrap w:val="0"/>
            <w:vAlign w:val="center"/>
          </w:tcPr>
          <w:p w14:paraId="21EF3F3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定制</w:t>
            </w:r>
          </w:p>
        </w:tc>
        <w:tc>
          <w:tcPr>
            <w:tcW w:w="1022" w:type="dxa"/>
            <w:noWrap w:val="0"/>
            <w:vAlign w:val="center"/>
          </w:tcPr>
          <w:p w14:paraId="49A78BD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2CBDC854">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01A75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75" w:type="dxa"/>
            <w:noWrap w:val="0"/>
            <w:vAlign w:val="center"/>
          </w:tcPr>
          <w:p w14:paraId="76EBCDA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22</w:t>
            </w:r>
          </w:p>
        </w:tc>
        <w:tc>
          <w:tcPr>
            <w:tcW w:w="2559" w:type="dxa"/>
            <w:noWrap w:val="0"/>
            <w:vAlign w:val="center"/>
          </w:tcPr>
          <w:p w14:paraId="35CB51E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光纤收发器</w:t>
            </w:r>
          </w:p>
        </w:tc>
        <w:tc>
          <w:tcPr>
            <w:tcW w:w="3606" w:type="dxa"/>
            <w:noWrap w:val="0"/>
            <w:vAlign w:val="center"/>
          </w:tcPr>
          <w:p w14:paraId="2C1BBDE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定制</w:t>
            </w:r>
          </w:p>
        </w:tc>
        <w:tc>
          <w:tcPr>
            <w:tcW w:w="1022" w:type="dxa"/>
            <w:noWrap w:val="0"/>
            <w:vAlign w:val="center"/>
          </w:tcPr>
          <w:p w14:paraId="44F5FA7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1136" w:type="dxa"/>
            <w:noWrap w:val="0"/>
            <w:vAlign w:val="center"/>
          </w:tcPr>
          <w:p w14:paraId="5F592E9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38615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0D08CBDA">
            <w:pPr>
              <w:widowControl/>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三、</w:t>
            </w:r>
          </w:p>
        </w:tc>
        <w:tc>
          <w:tcPr>
            <w:tcW w:w="8323" w:type="dxa"/>
            <w:gridSpan w:val="4"/>
            <w:noWrap w:val="0"/>
            <w:vAlign w:val="center"/>
          </w:tcPr>
          <w:p w14:paraId="733A1AB9">
            <w:pPr>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S333（六东线）青田、温州方向K35+600</w:t>
            </w:r>
          </w:p>
        </w:tc>
      </w:tr>
      <w:tr w14:paraId="038F0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2AFEC0CF">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2559" w:type="dxa"/>
            <w:noWrap w:val="0"/>
            <w:vAlign w:val="center"/>
          </w:tcPr>
          <w:p w14:paraId="150B9DB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进口石英称重传感器</w:t>
            </w:r>
          </w:p>
        </w:tc>
        <w:tc>
          <w:tcPr>
            <w:tcW w:w="3606" w:type="dxa"/>
            <w:noWrap w:val="0"/>
            <w:vAlign w:val="center"/>
          </w:tcPr>
          <w:p w14:paraId="2BFB3E5B">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奇石乐9195GC</w:t>
            </w:r>
          </w:p>
        </w:tc>
        <w:tc>
          <w:tcPr>
            <w:tcW w:w="1022" w:type="dxa"/>
            <w:noWrap w:val="0"/>
            <w:vAlign w:val="center"/>
          </w:tcPr>
          <w:p w14:paraId="7486D5C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15</w:t>
            </w:r>
          </w:p>
        </w:tc>
        <w:tc>
          <w:tcPr>
            <w:tcW w:w="1136" w:type="dxa"/>
            <w:noWrap w:val="0"/>
            <w:vAlign w:val="center"/>
          </w:tcPr>
          <w:p w14:paraId="69F158D7">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2AE61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11D07292">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2559" w:type="dxa"/>
            <w:noWrap w:val="0"/>
            <w:vAlign w:val="center"/>
          </w:tcPr>
          <w:p w14:paraId="4369CD6E">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电荷放大器</w:t>
            </w:r>
          </w:p>
        </w:tc>
        <w:tc>
          <w:tcPr>
            <w:tcW w:w="3606" w:type="dxa"/>
            <w:noWrap w:val="0"/>
            <w:vAlign w:val="center"/>
          </w:tcPr>
          <w:p w14:paraId="457EC46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杭州四方DH-1</w:t>
            </w:r>
          </w:p>
        </w:tc>
        <w:tc>
          <w:tcPr>
            <w:tcW w:w="1022" w:type="dxa"/>
            <w:noWrap w:val="0"/>
            <w:vAlign w:val="center"/>
          </w:tcPr>
          <w:p w14:paraId="3342330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3</w:t>
            </w:r>
          </w:p>
        </w:tc>
        <w:tc>
          <w:tcPr>
            <w:tcW w:w="1136" w:type="dxa"/>
            <w:noWrap w:val="0"/>
            <w:vAlign w:val="center"/>
          </w:tcPr>
          <w:p w14:paraId="33EBB68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2A164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74FAE29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3</w:t>
            </w:r>
          </w:p>
        </w:tc>
        <w:tc>
          <w:tcPr>
            <w:tcW w:w="2559" w:type="dxa"/>
            <w:noWrap w:val="0"/>
            <w:vAlign w:val="center"/>
          </w:tcPr>
          <w:p w14:paraId="14A70D5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高速动态称重控制器</w:t>
            </w:r>
          </w:p>
        </w:tc>
        <w:tc>
          <w:tcPr>
            <w:tcW w:w="3606" w:type="dxa"/>
            <w:noWrap w:val="0"/>
            <w:vAlign w:val="center"/>
          </w:tcPr>
          <w:p w14:paraId="0AA98F1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杭州四方XK3196</w:t>
            </w:r>
          </w:p>
        </w:tc>
        <w:tc>
          <w:tcPr>
            <w:tcW w:w="1022" w:type="dxa"/>
            <w:noWrap w:val="0"/>
            <w:vAlign w:val="center"/>
          </w:tcPr>
          <w:p w14:paraId="556E40D9">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53FE9E40">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6C9D5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6AAFC6A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2559" w:type="dxa"/>
            <w:noWrap w:val="0"/>
            <w:vAlign w:val="center"/>
          </w:tcPr>
          <w:p w14:paraId="47AA00E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车辆检测器</w:t>
            </w:r>
          </w:p>
        </w:tc>
        <w:tc>
          <w:tcPr>
            <w:tcW w:w="3606" w:type="dxa"/>
            <w:noWrap w:val="0"/>
            <w:vAlign w:val="center"/>
          </w:tcPr>
          <w:p w14:paraId="621F6943">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0B422CA0">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1136" w:type="dxa"/>
            <w:noWrap w:val="0"/>
            <w:vAlign w:val="center"/>
          </w:tcPr>
          <w:p w14:paraId="14689EA7">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4166E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03FAE6A4">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5</w:t>
            </w:r>
          </w:p>
        </w:tc>
        <w:tc>
          <w:tcPr>
            <w:tcW w:w="2559" w:type="dxa"/>
            <w:noWrap w:val="0"/>
            <w:vAlign w:val="center"/>
          </w:tcPr>
          <w:p w14:paraId="45EAD77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数据处理主机</w:t>
            </w:r>
          </w:p>
        </w:tc>
        <w:tc>
          <w:tcPr>
            <w:tcW w:w="3606" w:type="dxa"/>
            <w:noWrap w:val="0"/>
            <w:vAlign w:val="center"/>
          </w:tcPr>
          <w:p w14:paraId="45F5EC3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杭州四方IP051</w:t>
            </w:r>
          </w:p>
        </w:tc>
        <w:tc>
          <w:tcPr>
            <w:tcW w:w="1022" w:type="dxa"/>
            <w:noWrap w:val="0"/>
            <w:vAlign w:val="center"/>
          </w:tcPr>
          <w:p w14:paraId="2F0754A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14B115B0">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5AF90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16C24ABE">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6</w:t>
            </w:r>
          </w:p>
        </w:tc>
        <w:tc>
          <w:tcPr>
            <w:tcW w:w="2559" w:type="dxa"/>
            <w:noWrap w:val="0"/>
            <w:vAlign w:val="center"/>
          </w:tcPr>
          <w:p w14:paraId="518B05C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数据采集系统</w:t>
            </w:r>
          </w:p>
        </w:tc>
        <w:tc>
          <w:tcPr>
            <w:tcW w:w="3606" w:type="dxa"/>
            <w:noWrap w:val="0"/>
            <w:vAlign w:val="center"/>
          </w:tcPr>
          <w:p w14:paraId="0EB1EAD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5A70B3E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4</w:t>
            </w:r>
          </w:p>
        </w:tc>
        <w:tc>
          <w:tcPr>
            <w:tcW w:w="1136" w:type="dxa"/>
            <w:noWrap w:val="0"/>
            <w:vAlign w:val="center"/>
          </w:tcPr>
          <w:p w14:paraId="1AB5F973">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3CBB7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7F3BF467">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7</w:t>
            </w:r>
          </w:p>
        </w:tc>
        <w:tc>
          <w:tcPr>
            <w:tcW w:w="2559" w:type="dxa"/>
            <w:noWrap w:val="0"/>
            <w:vAlign w:val="center"/>
          </w:tcPr>
          <w:p w14:paraId="4FFADC6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数据处理系统</w:t>
            </w:r>
          </w:p>
        </w:tc>
        <w:tc>
          <w:tcPr>
            <w:tcW w:w="3606" w:type="dxa"/>
            <w:noWrap w:val="0"/>
            <w:vAlign w:val="center"/>
          </w:tcPr>
          <w:p w14:paraId="2CABE05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43BA3241">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2A933F73">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1AC03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5D10BF73">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2559" w:type="dxa"/>
            <w:noWrap w:val="0"/>
            <w:vAlign w:val="center"/>
          </w:tcPr>
          <w:p w14:paraId="2ED15BC5">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车辆信息匹配及上传系统</w:t>
            </w:r>
          </w:p>
        </w:tc>
        <w:tc>
          <w:tcPr>
            <w:tcW w:w="3606" w:type="dxa"/>
            <w:noWrap w:val="0"/>
            <w:vAlign w:val="center"/>
          </w:tcPr>
          <w:p w14:paraId="590BCFC7">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w:t>
            </w:r>
          </w:p>
        </w:tc>
        <w:tc>
          <w:tcPr>
            <w:tcW w:w="1022" w:type="dxa"/>
            <w:noWrap w:val="0"/>
            <w:vAlign w:val="center"/>
          </w:tcPr>
          <w:p w14:paraId="5BC2C2E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4F446841">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机柜</w:t>
            </w:r>
          </w:p>
        </w:tc>
      </w:tr>
      <w:tr w14:paraId="52CD7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013539FC">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9</w:t>
            </w:r>
          </w:p>
        </w:tc>
        <w:tc>
          <w:tcPr>
            <w:tcW w:w="2559" w:type="dxa"/>
            <w:noWrap w:val="0"/>
            <w:vAlign w:val="center"/>
          </w:tcPr>
          <w:p w14:paraId="1C29EE5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野外称重控制机柜</w:t>
            </w:r>
          </w:p>
        </w:tc>
        <w:tc>
          <w:tcPr>
            <w:tcW w:w="3606" w:type="dxa"/>
            <w:noWrap w:val="0"/>
            <w:vAlign w:val="center"/>
          </w:tcPr>
          <w:p w14:paraId="34CDAB4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杭州四方DCS-30-04</w:t>
            </w:r>
          </w:p>
        </w:tc>
        <w:tc>
          <w:tcPr>
            <w:tcW w:w="1022" w:type="dxa"/>
            <w:noWrap w:val="0"/>
            <w:vAlign w:val="center"/>
          </w:tcPr>
          <w:p w14:paraId="29FC50A0">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1</w:t>
            </w:r>
          </w:p>
        </w:tc>
        <w:tc>
          <w:tcPr>
            <w:tcW w:w="1136" w:type="dxa"/>
            <w:noWrap w:val="0"/>
            <w:vAlign w:val="center"/>
          </w:tcPr>
          <w:p w14:paraId="4348E1F2">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现场路边</w:t>
            </w:r>
          </w:p>
        </w:tc>
      </w:tr>
      <w:tr w14:paraId="35AE0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7B7C8A01">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10</w:t>
            </w:r>
          </w:p>
        </w:tc>
        <w:tc>
          <w:tcPr>
            <w:tcW w:w="2559" w:type="dxa"/>
            <w:noWrap w:val="0"/>
            <w:vAlign w:val="center"/>
          </w:tcPr>
          <w:p w14:paraId="114DFE5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高清抓拍摄像机</w:t>
            </w:r>
          </w:p>
        </w:tc>
        <w:tc>
          <w:tcPr>
            <w:tcW w:w="3606" w:type="dxa"/>
            <w:noWrap w:val="0"/>
            <w:vAlign w:val="center"/>
          </w:tcPr>
          <w:p w14:paraId="3FE8067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海康威视iDS-TCV900-BE/25</w:t>
            </w:r>
          </w:p>
        </w:tc>
        <w:tc>
          <w:tcPr>
            <w:tcW w:w="1022" w:type="dxa"/>
            <w:noWrap w:val="0"/>
            <w:vAlign w:val="center"/>
          </w:tcPr>
          <w:p w14:paraId="125A6BB5">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33380699">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门架</w:t>
            </w:r>
          </w:p>
        </w:tc>
      </w:tr>
      <w:tr w14:paraId="22AC7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52A06B76">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11</w:t>
            </w:r>
          </w:p>
        </w:tc>
        <w:tc>
          <w:tcPr>
            <w:tcW w:w="2559" w:type="dxa"/>
            <w:noWrap w:val="0"/>
            <w:vAlign w:val="center"/>
          </w:tcPr>
          <w:p w14:paraId="1C03DB04">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爆闪灯</w:t>
            </w:r>
          </w:p>
        </w:tc>
        <w:tc>
          <w:tcPr>
            <w:tcW w:w="3606" w:type="dxa"/>
            <w:noWrap w:val="0"/>
            <w:vAlign w:val="center"/>
          </w:tcPr>
          <w:p w14:paraId="5FC15EC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海康威视CXBG-2-MC-SL-1211-3</w:t>
            </w:r>
          </w:p>
        </w:tc>
        <w:tc>
          <w:tcPr>
            <w:tcW w:w="1022" w:type="dxa"/>
            <w:noWrap w:val="0"/>
            <w:vAlign w:val="center"/>
          </w:tcPr>
          <w:p w14:paraId="1FE4AEBF">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6F8FB64B">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门架</w:t>
            </w:r>
          </w:p>
        </w:tc>
      </w:tr>
      <w:tr w14:paraId="0A66D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75" w:type="dxa"/>
            <w:noWrap w:val="0"/>
            <w:vAlign w:val="center"/>
          </w:tcPr>
          <w:p w14:paraId="1FB31CEC">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12</w:t>
            </w:r>
          </w:p>
        </w:tc>
        <w:tc>
          <w:tcPr>
            <w:tcW w:w="2559" w:type="dxa"/>
            <w:noWrap w:val="0"/>
            <w:vAlign w:val="center"/>
          </w:tcPr>
          <w:p w14:paraId="3D6DEC0F">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补光灯</w:t>
            </w:r>
          </w:p>
        </w:tc>
        <w:tc>
          <w:tcPr>
            <w:tcW w:w="3606" w:type="dxa"/>
            <w:noWrap w:val="0"/>
            <w:vAlign w:val="center"/>
          </w:tcPr>
          <w:p w14:paraId="30CEA0F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海康威视CXBG-1-PS-DS-TL2000A-L3-N(暖)</w:t>
            </w:r>
          </w:p>
        </w:tc>
        <w:tc>
          <w:tcPr>
            <w:tcW w:w="1022" w:type="dxa"/>
            <w:noWrap w:val="0"/>
            <w:vAlign w:val="center"/>
          </w:tcPr>
          <w:p w14:paraId="3CCFC4C6">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8</w:t>
            </w:r>
          </w:p>
        </w:tc>
        <w:tc>
          <w:tcPr>
            <w:tcW w:w="1136" w:type="dxa"/>
            <w:noWrap w:val="0"/>
            <w:vAlign w:val="center"/>
          </w:tcPr>
          <w:p w14:paraId="494D842B">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门架</w:t>
            </w:r>
          </w:p>
        </w:tc>
      </w:tr>
      <w:tr w14:paraId="102CB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69CDF73B">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13</w:t>
            </w:r>
          </w:p>
        </w:tc>
        <w:tc>
          <w:tcPr>
            <w:tcW w:w="2559" w:type="dxa"/>
            <w:noWrap w:val="0"/>
            <w:vAlign w:val="center"/>
          </w:tcPr>
          <w:p w14:paraId="108A1FB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终端服务器</w:t>
            </w:r>
          </w:p>
        </w:tc>
        <w:tc>
          <w:tcPr>
            <w:tcW w:w="3606" w:type="dxa"/>
            <w:noWrap w:val="0"/>
            <w:vAlign w:val="center"/>
          </w:tcPr>
          <w:p w14:paraId="5A39B997">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海康威视DS-TP50-12E(8T)</w:t>
            </w:r>
          </w:p>
        </w:tc>
        <w:tc>
          <w:tcPr>
            <w:tcW w:w="1022" w:type="dxa"/>
            <w:noWrap w:val="0"/>
            <w:vAlign w:val="center"/>
          </w:tcPr>
          <w:p w14:paraId="1A2A6E27">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2</w:t>
            </w:r>
          </w:p>
        </w:tc>
        <w:tc>
          <w:tcPr>
            <w:tcW w:w="1136" w:type="dxa"/>
            <w:noWrap w:val="0"/>
            <w:vAlign w:val="center"/>
          </w:tcPr>
          <w:p w14:paraId="7BA965F3">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机柜</w:t>
            </w:r>
          </w:p>
        </w:tc>
      </w:tr>
      <w:tr w14:paraId="08AC4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3C8D5B3A">
            <w:pPr>
              <w:keepNext w:val="0"/>
              <w:keepLines w:val="0"/>
              <w:widowControl/>
              <w:suppressLineNumbers w:val="0"/>
              <w:jc w:val="center"/>
              <w:textAlignment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14</w:t>
            </w:r>
          </w:p>
        </w:tc>
        <w:tc>
          <w:tcPr>
            <w:tcW w:w="2559" w:type="dxa"/>
            <w:noWrap w:val="0"/>
            <w:vAlign w:val="center"/>
          </w:tcPr>
          <w:p w14:paraId="6D6CD24D">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工业交换机</w:t>
            </w:r>
          </w:p>
        </w:tc>
        <w:tc>
          <w:tcPr>
            <w:tcW w:w="3606" w:type="dxa"/>
            <w:noWrap w:val="0"/>
            <w:vAlign w:val="center"/>
          </w:tcPr>
          <w:p w14:paraId="739CBAC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海康威视DS-3E0508DL</w:t>
            </w:r>
          </w:p>
        </w:tc>
        <w:tc>
          <w:tcPr>
            <w:tcW w:w="1022" w:type="dxa"/>
            <w:noWrap w:val="0"/>
            <w:vAlign w:val="center"/>
          </w:tcPr>
          <w:p w14:paraId="23DF63F2">
            <w:pPr>
              <w:keepNext w:val="0"/>
              <w:keepLines w:val="0"/>
              <w:widowControl/>
              <w:suppressLineNumbers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color w:val="000000"/>
                <w:kern w:val="0"/>
                <w:sz w:val="21"/>
                <w:szCs w:val="21"/>
                <w:u w:val="none"/>
                <w:lang w:val="en-US" w:eastAsia="zh-CN" w:bidi="ar"/>
              </w:rPr>
              <w:t>3</w:t>
            </w:r>
          </w:p>
        </w:tc>
        <w:tc>
          <w:tcPr>
            <w:tcW w:w="1136" w:type="dxa"/>
            <w:noWrap w:val="0"/>
            <w:vAlign w:val="center"/>
          </w:tcPr>
          <w:p w14:paraId="07F9ACED">
            <w:pPr>
              <w:jc w:val="center"/>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eastAsia="zh-CN"/>
              </w:rPr>
              <w:t>机柜</w:t>
            </w:r>
          </w:p>
        </w:tc>
      </w:tr>
      <w:tr w14:paraId="52D17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69A5D003">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w:t>
            </w:r>
          </w:p>
        </w:tc>
        <w:tc>
          <w:tcPr>
            <w:tcW w:w="8323" w:type="dxa"/>
            <w:gridSpan w:val="4"/>
            <w:noWrap w:val="0"/>
            <w:vAlign w:val="center"/>
          </w:tcPr>
          <w:p w14:paraId="61C99254">
            <w:pPr>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i w:val="0"/>
                <w:color w:val="000000"/>
                <w:kern w:val="0"/>
                <w:sz w:val="21"/>
                <w:szCs w:val="21"/>
                <w:u w:val="none"/>
                <w:lang w:val="en-US" w:eastAsia="zh-CN" w:bidi="ar"/>
              </w:rPr>
              <w:t>秋高线X211 K5+800（彭括村段）</w:t>
            </w:r>
          </w:p>
        </w:tc>
      </w:tr>
      <w:tr w14:paraId="12A4C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47DFBA8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2559" w:type="dxa"/>
            <w:noWrap w:val="0"/>
            <w:vAlign w:val="center"/>
          </w:tcPr>
          <w:p w14:paraId="4683BC5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进口石英称重传感器</w:t>
            </w:r>
          </w:p>
        </w:tc>
        <w:tc>
          <w:tcPr>
            <w:tcW w:w="3606" w:type="dxa"/>
            <w:noWrap w:val="0"/>
            <w:vAlign w:val="center"/>
          </w:tcPr>
          <w:p w14:paraId="6844DCB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奇石乐9195GC</w:t>
            </w:r>
          </w:p>
        </w:tc>
        <w:tc>
          <w:tcPr>
            <w:tcW w:w="1022" w:type="dxa"/>
            <w:noWrap w:val="0"/>
            <w:vAlign w:val="center"/>
          </w:tcPr>
          <w:p w14:paraId="507DCEC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10.5</w:t>
            </w:r>
          </w:p>
        </w:tc>
        <w:tc>
          <w:tcPr>
            <w:tcW w:w="1136" w:type="dxa"/>
            <w:noWrap w:val="0"/>
            <w:vAlign w:val="center"/>
          </w:tcPr>
          <w:p w14:paraId="4B0E2FCF">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22779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0FD72A5C">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2</w:t>
            </w:r>
          </w:p>
        </w:tc>
        <w:tc>
          <w:tcPr>
            <w:tcW w:w="2559" w:type="dxa"/>
            <w:noWrap w:val="0"/>
            <w:vAlign w:val="center"/>
          </w:tcPr>
          <w:p w14:paraId="186DF76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车辆检测器</w:t>
            </w:r>
          </w:p>
        </w:tc>
        <w:tc>
          <w:tcPr>
            <w:tcW w:w="3606" w:type="dxa"/>
            <w:noWrap w:val="0"/>
            <w:vAlign w:val="center"/>
          </w:tcPr>
          <w:p w14:paraId="593A45F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海康威视LVD-6008</w:t>
            </w:r>
          </w:p>
        </w:tc>
        <w:tc>
          <w:tcPr>
            <w:tcW w:w="1022" w:type="dxa"/>
            <w:noWrap w:val="0"/>
            <w:vAlign w:val="center"/>
          </w:tcPr>
          <w:p w14:paraId="7E16F763">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1136" w:type="dxa"/>
            <w:noWrap w:val="0"/>
            <w:vAlign w:val="center"/>
          </w:tcPr>
          <w:p w14:paraId="3DE03588">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2F7C9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75" w:type="dxa"/>
            <w:noWrap w:val="0"/>
            <w:vAlign w:val="center"/>
          </w:tcPr>
          <w:p w14:paraId="515864D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3</w:t>
            </w:r>
          </w:p>
        </w:tc>
        <w:tc>
          <w:tcPr>
            <w:tcW w:w="2559" w:type="dxa"/>
            <w:noWrap w:val="0"/>
            <w:vAlign w:val="center"/>
          </w:tcPr>
          <w:p w14:paraId="1C86747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电荷放大器</w:t>
            </w:r>
          </w:p>
        </w:tc>
        <w:tc>
          <w:tcPr>
            <w:tcW w:w="3606" w:type="dxa"/>
            <w:noWrap w:val="0"/>
            <w:vAlign w:val="center"/>
          </w:tcPr>
          <w:p w14:paraId="6BDFB72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四方DH-1</w:t>
            </w:r>
          </w:p>
        </w:tc>
        <w:tc>
          <w:tcPr>
            <w:tcW w:w="1022" w:type="dxa"/>
            <w:noWrap w:val="0"/>
            <w:vAlign w:val="center"/>
          </w:tcPr>
          <w:p w14:paraId="7C2FF32C">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4</w:t>
            </w:r>
          </w:p>
        </w:tc>
        <w:tc>
          <w:tcPr>
            <w:tcW w:w="1136" w:type="dxa"/>
            <w:noWrap w:val="0"/>
            <w:vAlign w:val="center"/>
          </w:tcPr>
          <w:p w14:paraId="665E3A63">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78C27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24B4B1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4</w:t>
            </w:r>
          </w:p>
        </w:tc>
        <w:tc>
          <w:tcPr>
            <w:tcW w:w="0" w:type="auto"/>
            <w:noWrap w:val="0"/>
            <w:vAlign w:val="center"/>
          </w:tcPr>
          <w:p w14:paraId="269C60AB">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高速动态称重控制器</w:t>
            </w:r>
          </w:p>
        </w:tc>
        <w:tc>
          <w:tcPr>
            <w:tcW w:w="0" w:type="auto"/>
            <w:noWrap w:val="0"/>
            <w:vAlign w:val="center"/>
          </w:tcPr>
          <w:p w14:paraId="704578F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四方3196E3C</w:t>
            </w:r>
          </w:p>
        </w:tc>
        <w:tc>
          <w:tcPr>
            <w:tcW w:w="0" w:type="auto"/>
            <w:noWrap w:val="0"/>
            <w:vAlign w:val="center"/>
          </w:tcPr>
          <w:p w14:paraId="7421CF9E">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03F11C3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1858F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0747CA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5</w:t>
            </w:r>
          </w:p>
        </w:tc>
        <w:tc>
          <w:tcPr>
            <w:tcW w:w="0" w:type="auto"/>
            <w:noWrap w:val="0"/>
            <w:vAlign w:val="center"/>
          </w:tcPr>
          <w:p w14:paraId="4BDDBCAC">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数据采集处理器</w:t>
            </w:r>
          </w:p>
        </w:tc>
        <w:tc>
          <w:tcPr>
            <w:tcW w:w="0" w:type="auto"/>
            <w:noWrap w:val="0"/>
            <w:vAlign w:val="center"/>
          </w:tcPr>
          <w:p w14:paraId="08AAF2E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5E4EA184">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0598938A">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6BA13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E2B4EA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6</w:t>
            </w:r>
          </w:p>
        </w:tc>
        <w:tc>
          <w:tcPr>
            <w:tcW w:w="0" w:type="auto"/>
            <w:noWrap w:val="0"/>
            <w:vAlign w:val="center"/>
          </w:tcPr>
          <w:p w14:paraId="45D1260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专用野外机柜</w:t>
            </w:r>
          </w:p>
        </w:tc>
        <w:tc>
          <w:tcPr>
            <w:tcW w:w="0" w:type="auto"/>
            <w:noWrap w:val="0"/>
            <w:vAlign w:val="center"/>
          </w:tcPr>
          <w:p w14:paraId="1E47739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四方DCS-30-04</w:t>
            </w:r>
          </w:p>
        </w:tc>
        <w:tc>
          <w:tcPr>
            <w:tcW w:w="0" w:type="auto"/>
            <w:noWrap w:val="0"/>
            <w:vAlign w:val="center"/>
          </w:tcPr>
          <w:p w14:paraId="58B5761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4364537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现场路边</w:t>
            </w:r>
          </w:p>
        </w:tc>
      </w:tr>
      <w:tr w14:paraId="6295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BB02EC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7</w:t>
            </w:r>
          </w:p>
        </w:tc>
        <w:tc>
          <w:tcPr>
            <w:tcW w:w="0" w:type="auto"/>
            <w:noWrap w:val="0"/>
            <w:vAlign w:val="center"/>
          </w:tcPr>
          <w:p w14:paraId="3ACE336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前端称重系统软件</w:t>
            </w:r>
          </w:p>
        </w:tc>
        <w:tc>
          <w:tcPr>
            <w:tcW w:w="0" w:type="auto"/>
            <w:noWrap w:val="0"/>
            <w:vAlign w:val="center"/>
          </w:tcPr>
          <w:p w14:paraId="528B4A4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058BDF7C">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6088B250">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547D2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8A5F4B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8</w:t>
            </w:r>
          </w:p>
        </w:tc>
        <w:tc>
          <w:tcPr>
            <w:tcW w:w="0" w:type="auto"/>
            <w:noWrap w:val="0"/>
            <w:vAlign w:val="center"/>
          </w:tcPr>
          <w:p w14:paraId="3ADA074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协议转换器</w:t>
            </w:r>
          </w:p>
        </w:tc>
        <w:tc>
          <w:tcPr>
            <w:tcW w:w="0" w:type="auto"/>
            <w:noWrap w:val="0"/>
            <w:vAlign w:val="center"/>
          </w:tcPr>
          <w:p w14:paraId="528FCD1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四方SF1-1</w:t>
            </w:r>
          </w:p>
        </w:tc>
        <w:tc>
          <w:tcPr>
            <w:tcW w:w="0" w:type="auto"/>
            <w:noWrap w:val="0"/>
            <w:vAlign w:val="center"/>
          </w:tcPr>
          <w:p w14:paraId="3217AA5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6012F72B">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0754C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C7720B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9</w:t>
            </w:r>
          </w:p>
        </w:tc>
        <w:tc>
          <w:tcPr>
            <w:tcW w:w="0" w:type="auto"/>
            <w:noWrap w:val="0"/>
            <w:vAlign w:val="center"/>
          </w:tcPr>
          <w:p w14:paraId="6303EEE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前置机</w:t>
            </w:r>
          </w:p>
        </w:tc>
        <w:tc>
          <w:tcPr>
            <w:tcW w:w="0" w:type="auto"/>
            <w:noWrap w:val="0"/>
            <w:vAlign w:val="center"/>
          </w:tcPr>
          <w:p w14:paraId="3E11B4B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智诚C-QZ320A</w:t>
            </w:r>
          </w:p>
        </w:tc>
        <w:tc>
          <w:tcPr>
            <w:tcW w:w="0" w:type="auto"/>
            <w:noWrap w:val="0"/>
            <w:vAlign w:val="center"/>
          </w:tcPr>
          <w:p w14:paraId="433A21B6">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1B16449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1A903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1E01CFA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10</w:t>
            </w:r>
          </w:p>
        </w:tc>
        <w:tc>
          <w:tcPr>
            <w:tcW w:w="0" w:type="auto"/>
            <w:noWrap w:val="0"/>
            <w:vAlign w:val="center"/>
          </w:tcPr>
          <w:p w14:paraId="73E915B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线圈线</w:t>
            </w:r>
          </w:p>
        </w:tc>
        <w:tc>
          <w:tcPr>
            <w:tcW w:w="0" w:type="auto"/>
            <w:noWrap w:val="0"/>
            <w:vAlign w:val="center"/>
          </w:tcPr>
          <w:p w14:paraId="2232910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尖峰FVN49/0.26蓝/线圈线</w:t>
            </w:r>
          </w:p>
        </w:tc>
        <w:tc>
          <w:tcPr>
            <w:tcW w:w="0" w:type="auto"/>
            <w:noWrap w:val="0"/>
            <w:vAlign w:val="center"/>
          </w:tcPr>
          <w:p w14:paraId="6463E610">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8</w:t>
            </w:r>
          </w:p>
        </w:tc>
        <w:tc>
          <w:tcPr>
            <w:tcW w:w="0" w:type="auto"/>
            <w:noWrap w:val="0"/>
            <w:vAlign w:val="center"/>
          </w:tcPr>
          <w:p w14:paraId="1F71A5A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7D571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5B4917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r>
              <w:rPr>
                <w:rFonts w:hint="eastAsia" w:asciiTheme="minorEastAsia" w:hAnsiTheme="minorEastAsia" w:eastAsiaTheme="minorEastAsia" w:cstheme="minorEastAsia"/>
                <w:color w:val="000000"/>
                <w:kern w:val="0"/>
                <w:sz w:val="21"/>
                <w:szCs w:val="21"/>
                <w:lang w:val="en-US" w:eastAsia="zh-CN"/>
              </w:rPr>
              <w:t>1</w:t>
            </w:r>
          </w:p>
        </w:tc>
        <w:tc>
          <w:tcPr>
            <w:tcW w:w="0" w:type="auto"/>
            <w:noWrap w:val="0"/>
            <w:vAlign w:val="center"/>
          </w:tcPr>
          <w:p w14:paraId="190D6BB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高清抓拍单元</w:t>
            </w:r>
          </w:p>
        </w:tc>
        <w:tc>
          <w:tcPr>
            <w:tcW w:w="0" w:type="auto"/>
            <w:noWrap w:val="0"/>
            <w:vAlign w:val="top"/>
          </w:tcPr>
          <w:p w14:paraId="1B2E6EB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海康威视IDS-TCV700</w:t>
            </w:r>
          </w:p>
        </w:tc>
        <w:tc>
          <w:tcPr>
            <w:tcW w:w="0" w:type="auto"/>
            <w:noWrap w:val="0"/>
            <w:vAlign w:val="center"/>
          </w:tcPr>
          <w:p w14:paraId="02E70CAA">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6</w:t>
            </w:r>
          </w:p>
        </w:tc>
        <w:tc>
          <w:tcPr>
            <w:tcW w:w="0" w:type="auto"/>
            <w:noWrap w:val="0"/>
            <w:vAlign w:val="top"/>
          </w:tcPr>
          <w:p w14:paraId="49312CD6">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1C420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5920D1D">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2</w:t>
            </w:r>
          </w:p>
        </w:tc>
        <w:tc>
          <w:tcPr>
            <w:tcW w:w="0" w:type="auto"/>
            <w:noWrap w:val="0"/>
            <w:vAlign w:val="center"/>
          </w:tcPr>
          <w:p w14:paraId="6DA4634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超限专用全景视频</w:t>
            </w:r>
          </w:p>
        </w:tc>
        <w:tc>
          <w:tcPr>
            <w:tcW w:w="0" w:type="auto"/>
            <w:noWrap w:val="0"/>
            <w:vAlign w:val="top"/>
          </w:tcPr>
          <w:p w14:paraId="12E631C7">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海康威视IDS-TVM200</w:t>
            </w:r>
          </w:p>
        </w:tc>
        <w:tc>
          <w:tcPr>
            <w:tcW w:w="0" w:type="auto"/>
            <w:noWrap w:val="0"/>
            <w:vAlign w:val="center"/>
          </w:tcPr>
          <w:p w14:paraId="0555D3D2">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3CD73D5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73293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1C085A6B">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3</w:t>
            </w:r>
          </w:p>
        </w:tc>
        <w:tc>
          <w:tcPr>
            <w:tcW w:w="0" w:type="auto"/>
            <w:noWrap w:val="0"/>
            <w:vAlign w:val="center"/>
          </w:tcPr>
          <w:p w14:paraId="4DA9458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高清红外网络球机</w:t>
            </w:r>
          </w:p>
        </w:tc>
        <w:tc>
          <w:tcPr>
            <w:tcW w:w="0" w:type="auto"/>
            <w:noWrap w:val="0"/>
            <w:vAlign w:val="top"/>
          </w:tcPr>
          <w:p w14:paraId="2E98A7C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w:t>
            </w:r>
          </w:p>
        </w:tc>
        <w:tc>
          <w:tcPr>
            <w:tcW w:w="0" w:type="auto"/>
            <w:noWrap w:val="0"/>
            <w:vAlign w:val="center"/>
          </w:tcPr>
          <w:p w14:paraId="02A5F1EB">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00C3F695">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25B69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2A04E0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4</w:t>
            </w:r>
          </w:p>
        </w:tc>
        <w:tc>
          <w:tcPr>
            <w:tcW w:w="0" w:type="auto"/>
            <w:noWrap w:val="0"/>
            <w:vAlign w:val="center"/>
          </w:tcPr>
          <w:p w14:paraId="7A133E0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闪光灯</w:t>
            </w:r>
          </w:p>
        </w:tc>
        <w:tc>
          <w:tcPr>
            <w:tcW w:w="0" w:type="auto"/>
            <w:noWrap w:val="0"/>
            <w:vAlign w:val="top"/>
          </w:tcPr>
          <w:p w14:paraId="2F63A3E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海康威视CXBG-2-MC-SL-1211</w:t>
            </w:r>
          </w:p>
        </w:tc>
        <w:tc>
          <w:tcPr>
            <w:tcW w:w="0" w:type="auto"/>
            <w:noWrap w:val="0"/>
            <w:vAlign w:val="center"/>
          </w:tcPr>
          <w:p w14:paraId="756A0EE8">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6</w:t>
            </w:r>
          </w:p>
        </w:tc>
        <w:tc>
          <w:tcPr>
            <w:tcW w:w="0" w:type="auto"/>
            <w:noWrap w:val="0"/>
            <w:vAlign w:val="top"/>
          </w:tcPr>
          <w:p w14:paraId="4C9EB16A">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11838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20099CD">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5</w:t>
            </w:r>
          </w:p>
        </w:tc>
        <w:tc>
          <w:tcPr>
            <w:tcW w:w="0" w:type="auto"/>
            <w:noWrap w:val="0"/>
            <w:vAlign w:val="center"/>
          </w:tcPr>
          <w:p w14:paraId="50FA95C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补光灯</w:t>
            </w:r>
          </w:p>
        </w:tc>
        <w:tc>
          <w:tcPr>
            <w:tcW w:w="0" w:type="auto"/>
            <w:noWrap w:val="0"/>
            <w:vAlign w:val="top"/>
          </w:tcPr>
          <w:p w14:paraId="752B751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海康威视CXBG-1-PS-DS-TL2000A-L1</w:t>
            </w:r>
          </w:p>
        </w:tc>
        <w:tc>
          <w:tcPr>
            <w:tcW w:w="0" w:type="auto"/>
            <w:noWrap w:val="0"/>
            <w:vAlign w:val="center"/>
          </w:tcPr>
          <w:p w14:paraId="3DFDF6A8">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1E23069B">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732B9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CC1653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16</w:t>
            </w:r>
          </w:p>
        </w:tc>
        <w:tc>
          <w:tcPr>
            <w:tcW w:w="0" w:type="auto"/>
            <w:noWrap w:val="0"/>
            <w:vAlign w:val="center"/>
          </w:tcPr>
          <w:p w14:paraId="01EC9FB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服务终端</w:t>
            </w:r>
          </w:p>
        </w:tc>
        <w:tc>
          <w:tcPr>
            <w:tcW w:w="0" w:type="auto"/>
            <w:noWrap w:val="0"/>
            <w:vAlign w:val="top"/>
          </w:tcPr>
          <w:p w14:paraId="33978BC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海康威视TP50</w:t>
            </w:r>
          </w:p>
        </w:tc>
        <w:tc>
          <w:tcPr>
            <w:tcW w:w="0" w:type="auto"/>
            <w:noWrap w:val="0"/>
            <w:vAlign w:val="center"/>
          </w:tcPr>
          <w:p w14:paraId="25327DE0">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top"/>
          </w:tcPr>
          <w:p w14:paraId="460BDAFA">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6BB22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3C0D78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17</w:t>
            </w:r>
          </w:p>
        </w:tc>
        <w:tc>
          <w:tcPr>
            <w:tcW w:w="0" w:type="auto"/>
            <w:noWrap w:val="0"/>
            <w:vAlign w:val="center"/>
          </w:tcPr>
          <w:p w14:paraId="7B1371C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车牌抓拍简易龙门架</w:t>
            </w:r>
          </w:p>
        </w:tc>
        <w:tc>
          <w:tcPr>
            <w:tcW w:w="0" w:type="auto"/>
            <w:noWrap w:val="0"/>
            <w:vAlign w:val="top"/>
          </w:tcPr>
          <w:p w14:paraId="161D199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开元科技</w:t>
            </w:r>
          </w:p>
        </w:tc>
        <w:tc>
          <w:tcPr>
            <w:tcW w:w="0" w:type="auto"/>
            <w:noWrap w:val="0"/>
            <w:vAlign w:val="center"/>
          </w:tcPr>
          <w:p w14:paraId="442F745D">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08589094">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现场路边</w:t>
            </w:r>
          </w:p>
        </w:tc>
      </w:tr>
      <w:tr w14:paraId="45C67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17D2F74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18</w:t>
            </w:r>
          </w:p>
        </w:tc>
        <w:tc>
          <w:tcPr>
            <w:tcW w:w="0" w:type="auto"/>
            <w:noWrap w:val="0"/>
            <w:vAlign w:val="center"/>
          </w:tcPr>
          <w:p w14:paraId="27C2002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交换机</w:t>
            </w:r>
          </w:p>
        </w:tc>
        <w:tc>
          <w:tcPr>
            <w:tcW w:w="0" w:type="auto"/>
            <w:noWrap w:val="0"/>
            <w:vAlign w:val="top"/>
          </w:tcPr>
          <w:p w14:paraId="4D90C637">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华三24口千兆</w:t>
            </w:r>
          </w:p>
        </w:tc>
        <w:tc>
          <w:tcPr>
            <w:tcW w:w="0" w:type="auto"/>
            <w:noWrap w:val="0"/>
            <w:vAlign w:val="center"/>
          </w:tcPr>
          <w:p w14:paraId="6B23D76C">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top"/>
          </w:tcPr>
          <w:p w14:paraId="1AE666C3">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49DE6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DE26A9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19</w:t>
            </w:r>
          </w:p>
        </w:tc>
        <w:tc>
          <w:tcPr>
            <w:tcW w:w="0" w:type="auto"/>
            <w:noWrap w:val="0"/>
            <w:vAlign w:val="center"/>
          </w:tcPr>
          <w:p w14:paraId="3241E00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违停球机</w:t>
            </w:r>
          </w:p>
        </w:tc>
        <w:tc>
          <w:tcPr>
            <w:tcW w:w="0" w:type="auto"/>
            <w:noWrap w:val="0"/>
            <w:vAlign w:val="top"/>
          </w:tcPr>
          <w:p w14:paraId="2CCF4FE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海康威视IDS-TVM200</w:t>
            </w:r>
          </w:p>
        </w:tc>
        <w:tc>
          <w:tcPr>
            <w:tcW w:w="0" w:type="auto"/>
            <w:noWrap w:val="0"/>
            <w:vAlign w:val="center"/>
          </w:tcPr>
          <w:p w14:paraId="259C62E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12A23F50">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门架</w:t>
            </w:r>
          </w:p>
        </w:tc>
      </w:tr>
      <w:tr w14:paraId="5BE96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5E03068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20</w:t>
            </w:r>
          </w:p>
        </w:tc>
        <w:tc>
          <w:tcPr>
            <w:tcW w:w="0" w:type="auto"/>
            <w:noWrap w:val="0"/>
            <w:vAlign w:val="center"/>
          </w:tcPr>
          <w:p w14:paraId="1084B01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双基色屏体</w:t>
            </w:r>
          </w:p>
        </w:tc>
        <w:tc>
          <w:tcPr>
            <w:tcW w:w="0" w:type="auto"/>
            <w:noWrap w:val="0"/>
            <w:vAlign w:val="top"/>
          </w:tcPr>
          <w:p w14:paraId="6CDE75B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w:t>
            </w:r>
            <w:r>
              <w:rPr>
                <w:rFonts w:hint="eastAsia" w:asciiTheme="minorEastAsia" w:hAnsiTheme="minorEastAsia" w:eastAsiaTheme="minorEastAsia" w:cstheme="minorEastAsia"/>
                <w:i w:val="0"/>
                <w:color w:val="000000"/>
                <w:kern w:val="0"/>
                <w:sz w:val="21"/>
                <w:szCs w:val="21"/>
                <w:u w:val="none"/>
                <w:lang w:val="en-US" w:eastAsia="zh-CN" w:bidi="ar"/>
              </w:rPr>
              <w:tab/>
            </w:r>
            <w:r>
              <w:rPr>
                <w:rFonts w:hint="eastAsia" w:asciiTheme="minorEastAsia" w:hAnsiTheme="minorEastAsia" w:eastAsiaTheme="minorEastAsia" w:cstheme="minorEastAsia"/>
                <w:i w:val="0"/>
                <w:color w:val="000000"/>
                <w:kern w:val="0"/>
                <w:sz w:val="21"/>
                <w:szCs w:val="21"/>
                <w:u w:val="none"/>
                <w:lang w:val="en-US" w:eastAsia="zh-CN" w:bidi="ar"/>
              </w:rPr>
              <w:t>P10，3.2m×1.6m</w:t>
            </w:r>
          </w:p>
        </w:tc>
        <w:tc>
          <w:tcPr>
            <w:tcW w:w="0" w:type="auto"/>
            <w:noWrap w:val="0"/>
            <w:vAlign w:val="center"/>
          </w:tcPr>
          <w:p w14:paraId="4E5EE9B7">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41A7C52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2620C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4509C1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2</w:t>
            </w:r>
            <w:r>
              <w:rPr>
                <w:rFonts w:hint="eastAsia" w:asciiTheme="minorEastAsia" w:hAnsiTheme="minorEastAsia" w:eastAsiaTheme="minorEastAsia" w:cstheme="minorEastAsia"/>
                <w:color w:val="000000"/>
                <w:kern w:val="0"/>
                <w:sz w:val="21"/>
                <w:szCs w:val="21"/>
                <w:lang w:val="en-US" w:eastAsia="zh-CN"/>
              </w:rPr>
              <w:t>1</w:t>
            </w:r>
          </w:p>
        </w:tc>
        <w:tc>
          <w:tcPr>
            <w:tcW w:w="0" w:type="auto"/>
            <w:noWrap w:val="0"/>
            <w:vAlign w:val="center"/>
          </w:tcPr>
          <w:p w14:paraId="07E11A8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屏幕控制器</w:t>
            </w:r>
          </w:p>
        </w:tc>
        <w:tc>
          <w:tcPr>
            <w:tcW w:w="0" w:type="auto"/>
            <w:noWrap w:val="0"/>
            <w:vAlign w:val="top"/>
          </w:tcPr>
          <w:p w14:paraId="6C6854D9">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w:t>
            </w:r>
          </w:p>
        </w:tc>
        <w:tc>
          <w:tcPr>
            <w:tcW w:w="0" w:type="auto"/>
            <w:noWrap w:val="0"/>
            <w:vAlign w:val="center"/>
          </w:tcPr>
          <w:p w14:paraId="22D6A77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118E27DE">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697AD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425D29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22</w:t>
            </w:r>
          </w:p>
        </w:tc>
        <w:tc>
          <w:tcPr>
            <w:tcW w:w="0" w:type="auto"/>
            <w:noWrap w:val="0"/>
            <w:vAlign w:val="center"/>
          </w:tcPr>
          <w:p w14:paraId="0B1A931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悬臂立杆（含基础）</w:t>
            </w:r>
          </w:p>
        </w:tc>
        <w:tc>
          <w:tcPr>
            <w:tcW w:w="0" w:type="auto"/>
            <w:noWrap w:val="0"/>
            <w:vAlign w:val="top"/>
          </w:tcPr>
          <w:p w14:paraId="685F404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开元科技</w:t>
            </w:r>
          </w:p>
        </w:tc>
        <w:tc>
          <w:tcPr>
            <w:tcW w:w="0" w:type="auto"/>
            <w:noWrap w:val="0"/>
            <w:vAlign w:val="center"/>
          </w:tcPr>
          <w:p w14:paraId="60AC11ED">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23B7665F">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现场路边</w:t>
            </w:r>
          </w:p>
        </w:tc>
      </w:tr>
      <w:tr w14:paraId="4D5D7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6537B1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23</w:t>
            </w:r>
          </w:p>
        </w:tc>
        <w:tc>
          <w:tcPr>
            <w:tcW w:w="0" w:type="auto"/>
            <w:noWrap w:val="0"/>
            <w:vAlign w:val="center"/>
          </w:tcPr>
          <w:p w14:paraId="49229A9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发射端光端机</w:t>
            </w:r>
          </w:p>
        </w:tc>
        <w:tc>
          <w:tcPr>
            <w:tcW w:w="0" w:type="auto"/>
            <w:noWrap w:val="0"/>
            <w:vAlign w:val="top"/>
          </w:tcPr>
          <w:p w14:paraId="267E94E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w:t>
            </w:r>
          </w:p>
        </w:tc>
        <w:tc>
          <w:tcPr>
            <w:tcW w:w="0" w:type="auto"/>
            <w:noWrap w:val="0"/>
            <w:vAlign w:val="center"/>
          </w:tcPr>
          <w:p w14:paraId="19B3978E">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722F0D15">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机柜</w:t>
            </w:r>
          </w:p>
        </w:tc>
      </w:tr>
      <w:tr w14:paraId="755A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E51EFA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24</w:t>
            </w:r>
          </w:p>
        </w:tc>
        <w:tc>
          <w:tcPr>
            <w:tcW w:w="0" w:type="auto"/>
            <w:noWrap w:val="0"/>
            <w:vAlign w:val="center"/>
          </w:tcPr>
          <w:p w14:paraId="6E36E43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接收端光端机</w:t>
            </w:r>
          </w:p>
        </w:tc>
        <w:tc>
          <w:tcPr>
            <w:tcW w:w="0" w:type="auto"/>
            <w:noWrap w:val="0"/>
            <w:vAlign w:val="top"/>
          </w:tcPr>
          <w:p w14:paraId="239F2B9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w:t>
            </w:r>
          </w:p>
        </w:tc>
        <w:tc>
          <w:tcPr>
            <w:tcW w:w="0" w:type="auto"/>
            <w:noWrap w:val="0"/>
            <w:vAlign w:val="center"/>
          </w:tcPr>
          <w:p w14:paraId="4FF97C48">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top"/>
          </w:tcPr>
          <w:p w14:paraId="04E728B9">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F杆</w:t>
            </w:r>
          </w:p>
        </w:tc>
      </w:tr>
      <w:tr w14:paraId="61D48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8887B3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25</w:t>
            </w:r>
          </w:p>
        </w:tc>
        <w:tc>
          <w:tcPr>
            <w:tcW w:w="0" w:type="auto"/>
            <w:noWrap w:val="0"/>
            <w:vAlign w:val="center"/>
          </w:tcPr>
          <w:p w14:paraId="480E7E9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标志牌</w:t>
            </w:r>
          </w:p>
        </w:tc>
        <w:tc>
          <w:tcPr>
            <w:tcW w:w="0" w:type="auto"/>
            <w:noWrap w:val="0"/>
            <w:vAlign w:val="top"/>
          </w:tcPr>
          <w:p w14:paraId="5C43DF4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w:t>
            </w:r>
          </w:p>
        </w:tc>
        <w:tc>
          <w:tcPr>
            <w:tcW w:w="0" w:type="auto"/>
            <w:noWrap w:val="0"/>
            <w:vAlign w:val="center"/>
          </w:tcPr>
          <w:p w14:paraId="539EFB71">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top"/>
          </w:tcPr>
          <w:p w14:paraId="45BF98FF">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现场路边</w:t>
            </w:r>
          </w:p>
        </w:tc>
      </w:tr>
      <w:tr w14:paraId="06792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D57A676">
            <w:pPr>
              <w:widowControl/>
              <w:jc w:val="center"/>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五、</w:t>
            </w:r>
          </w:p>
        </w:tc>
        <w:tc>
          <w:tcPr>
            <w:tcW w:w="8323" w:type="dxa"/>
            <w:gridSpan w:val="4"/>
            <w:noWrap w:val="0"/>
            <w:vAlign w:val="center"/>
          </w:tcPr>
          <w:p w14:paraId="258FC963">
            <w:pPr>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岙海线X203 K0+800（武溪村段）</w:t>
            </w:r>
          </w:p>
        </w:tc>
      </w:tr>
      <w:tr w14:paraId="09655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79CF17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1F4186C6">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进口石英称重传感器</w:t>
            </w:r>
          </w:p>
        </w:tc>
        <w:tc>
          <w:tcPr>
            <w:tcW w:w="0" w:type="auto"/>
            <w:noWrap w:val="0"/>
            <w:vAlign w:val="top"/>
          </w:tcPr>
          <w:p w14:paraId="769ECFE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奇石乐9195GC</w:t>
            </w:r>
          </w:p>
        </w:tc>
        <w:tc>
          <w:tcPr>
            <w:tcW w:w="0" w:type="auto"/>
            <w:noWrap w:val="0"/>
            <w:vAlign w:val="center"/>
          </w:tcPr>
          <w:p w14:paraId="5F8F7FE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6</w:t>
            </w:r>
          </w:p>
        </w:tc>
        <w:tc>
          <w:tcPr>
            <w:tcW w:w="0" w:type="auto"/>
            <w:noWrap w:val="0"/>
            <w:vAlign w:val="center"/>
          </w:tcPr>
          <w:p w14:paraId="611379FE">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路面</w:t>
            </w:r>
          </w:p>
        </w:tc>
      </w:tr>
      <w:tr w14:paraId="7E1F0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52F39BA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w:t>
            </w:r>
          </w:p>
        </w:tc>
        <w:tc>
          <w:tcPr>
            <w:tcW w:w="0" w:type="auto"/>
            <w:noWrap w:val="0"/>
            <w:vAlign w:val="center"/>
          </w:tcPr>
          <w:p w14:paraId="1CF2C1A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车辆检测器</w:t>
            </w:r>
          </w:p>
        </w:tc>
        <w:tc>
          <w:tcPr>
            <w:tcW w:w="0" w:type="auto"/>
            <w:noWrap w:val="0"/>
            <w:vAlign w:val="top"/>
          </w:tcPr>
          <w:p w14:paraId="553599A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海康威视LVD-6008</w:t>
            </w:r>
          </w:p>
        </w:tc>
        <w:tc>
          <w:tcPr>
            <w:tcW w:w="0" w:type="auto"/>
            <w:noWrap w:val="0"/>
            <w:vAlign w:val="center"/>
          </w:tcPr>
          <w:p w14:paraId="306E191F">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center"/>
          </w:tcPr>
          <w:p w14:paraId="6257677A">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44E1B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CDC28FC">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3</w:t>
            </w:r>
          </w:p>
        </w:tc>
        <w:tc>
          <w:tcPr>
            <w:tcW w:w="0" w:type="auto"/>
            <w:noWrap w:val="0"/>
            <w:vAlign w:val="center"/>
          </w:tcPr>
          <w:p w14:paraId="4B4B9CD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电荷放大器</w:t>
            </w:r>
          </w:p>
        </w:tc>
        <w:tc>
          <w:tcPr>
            <w:tcW w:w="0" w:type="auto"/>
            <w:noWrap w:val="0"/>
            <w:vAlign w:val="top"/>
          </w:tcPr>
          <w:p w14:paraId="5765DB3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四方DH-1</w:t>
            </w:r>
          </w:p>
        </w:tc>
        <w:tc>
          <w:tcPr>
            <w:tcW w:w="0" w:type="auto"/>
            <w:noWrap w:val="0"/>
            <w:vAlign w:val="center"/>
          </w:tcPr>
          <w:p w14:paraId="29624A16">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center"/>
          </w:tcPr>
          <w:p w14:paraId="3123E34B">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04B6A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61F00B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4</w:t>
            </w:r>
          </w:p>
        </w:tc>
        <w:tc>
          <w:tcPr>
            <w:tcW w:w="0" w:type="auto"/>
            <w:noWrap w:val="0"/>
            <w:vAlign w:val="center"/>
          </w:tcPr>
          <w:p w14:paraId="48DE123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高速动态称重控制器</w:t>
            </w:r>
          </w:p>
        </w:tc>
        <w:tc>
          <w:tcPr>
            <w:tcW w:w="0" w:type="auto"/>
            <w:noWrap w:val="0"/>
            <w:vAlign w:val="top"/>
          </w:tcPr>
          <w:p w14:paraId="02FDD87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四方3196E3C</w:t>
            </w:r>
          </w:p>
        </w:tc>
        <w:tc>
          <w:tcPr>
            <w:tcW w:w="0" w:type="auto"/>
            <w:noWrap w:val="0"/>
            <w:vAlign w:val="center"/>
          </w:tcPr>
          <w:p w14:paraId="6683C0CB">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07AFF0F7">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0C823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1CBD5D6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5</w:t>
            </w:r>
          </w:p>
        </w:tc>
        <w:tc>
          <w:tcPr>
            <w:tcW w:w="0" w:type="auto"/>
            <w:noWrap w:val="0"/>
            <w:vAlign w:val="center"/>
          </w:tcPr>
          <w:p w14:paraId="771D6C9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数据采集处理器</w:t>
            </w:r>
          </w:p>
        </w:tc>
        <w:tc>
          <w:tcPr>
            <w:tcW w:w="0" w:type="auto"/>
            <w:noWrap w:val="0"/>
            <w:vAlign w:val="top"/>
          </w:tcPr>
          <w:p w14:paraId="00CA60B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3B2B1A6D">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70F43233">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485EC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2E32546">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6</w:t>
            </w:r>
          </w:p>
        </w:tc>
        <w:tc>
          <w:tcPr>
            <w:tcW w:w="0" w:type="auto"/>
            <w:noWrap w:val="0"/>
            <w:vAlign w:val="center"/>
          </w:tcPr>
          <w:p w14:paraId="71C050B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专用野外机柜（含基础）</w:t>
            </w:r>
          </w:p>
        </w:tc>
        <w:tc>
          <w:tcPr>
            <w:tcW w:w="0" w:type="auto"/>
            <w:noWrap w:val="0"/>
            <w:vAlign w:val="top"/>
          </w:tcPr>
          <w:p w14:paraId="672D365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四方DCS-30-04</w:t>
            </w:r>
          </w:p>
        </w:tc>
        <w:tc>
          <w:tcPr>
            <w:tcW w:w="0" w:type="auto"/>
            <w:noWrap w:val="0"/>
            <w:vAlign w:val="center"/>
          </w:tcPr>
          <w:p w14:paraId="46266242">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208414E1">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7B6E4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F2E6C2B">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7</w:t>
            </w:r>
          </w:p>
        </w:tc>
        <w:tc>
          <w:tcPr>
            <w:tcW w:w="0" w:type="auto"/>
            <w:noWrap w:val="0"/>
            <w:vAlign w:val="center"/>
          </w:tcPr>
          <w:p w14:paraId="0D11BF1D">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前端称重系统软件</w:t>
            </w:r>
          </w:p>
        </w:tc>
        <w:tc>
          <w:tcPr>
            <w:tcW w:w="0" w:type="auto"/>
            <w:noWrap w:val="0"/>
            <w:vAlign w:val="top"/>
          </w:tcPr>
          <w:p w14:paraId="4D33269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12467308">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355772B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7CCF8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7E7AA8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8</w:t>
            </w:r>
          </w:p>
        </w:tc>
        <w:tc>
          <w:tcPr>
            <w:tcW w:w="0" w:type="auto"/>
            <w:noWrap w:val="0"/>
            <w:vAlign w:val="center"/>
          </w:tcPr>
          <w:p w14:paraId="1A86A49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协议转换器</w:t>
            </w:r>
          </w:p>
        </w:tc>
        <w:tc>
          <w:tcPr>
            <w:tcW w:w="0" w:type="auto"/>
            <w:noWrap w:val="0"/>
            <w:vAlign w:val="top"/>
          </w:tcPr>
          <w:p w14:paraId="7BB72A6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四方SF1-1</w:t>
            </w:r>
          </w:p>
        </w:tc>
        <w:tc>
          <w:tcPr>
            <w:tcW w:w="0" w:type="auto"/>
            <w:noWrap w:val="0"/>
            <w:vAlign w:val="center"/>
          </w:tcPr>
          <w:p w14:paraId="1760B57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1B252BA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0010C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0DE9A9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9</w:t>
            </w:r>
          </w:p>
        </w:tc>
        <w:tc>
          <w:tcPr>
            <w:tcW w:w="0" w:type="auto"/>
            <w:noWrap w:val="0"/>
            <w:vAlign w:val="center"/>
          </w:tcPr>
          <w:p w14:paraId="5250EC1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前置机</w:t>
            </w:r>
          </w:p>
        </w:tc>
        <w:tc>
          <w:tcPr>
            <w:tcW w:w="0" w:type="auto"/>
            <w:noWrap w:val="0"/>
            <w:vAlign w:val="top"/>
          </w:tcPr>
          <w:p w14:paraId="59059B1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智诚ZC-QZ320A</w:t>
            </w:r>
          </w:p>
        </w:tc>
        <w:tc>
          <w:tcPr>
            <w:tcW w:w="0" w:type="auto"/>
            <w:noWrap w:val="0"/>
            <w:vAlign w:val="center"/>
          </w:tcPr>
          <w:p w14:paraId="6FDDE19E">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0A48E88C">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7B9E8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A3E4A9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10</w:t>
            </w:r>
          </w:p>
        </w:tc>
        <w:tc>
          <w:tcPr>
            <w:tcW w:w="0" w:type="auto"/>
            <w:noWrap w:val="0"/>
            <w:vAlign w:val="center"/>
          </w:tcPr>
          <w:p w14:paraId="25DE59C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线圈线</w:t>
            </w:r>
          </w:p>
        </w:tc>
        <w:tc>
          <w:tcPr>
            <w:tcW w:w="0" w:type="auto"/>
            <w:noWrap w:val="0"/>
            <w:vAlign w:val="top"/>
          </w:tcPr>
          <w:p w14:paraId="035633F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尖峰FVN49/0.26蓝/线圈线</w:t>
            </w:r>
          </w:p>
        </w:tc>
        <w:tc>
          <w:tcPr>
            <w:tcW w:w="0" w:type="auto"/>
            <w:noWrap w:val="0"/>
            <w:vAlign w:val="center"/>
          </w:tcPr>
          <w:p w14:paraId="248A9BBD">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4</w:t>
            </w:r>
          </w:p>
        </w:tc>
        <w:tc>
          <w:tcPr>
            <w:tcW w:w="0" w:type="auto"/>
            <w:noWrap w:val="0"/>
            <w:vAlign w:val="center"/>
          </w:tcPr>
          <w:p w14:paraId="7BA98B22">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路面</w:t>
            </w:r>
          </w:p>
        </w:tc>
      </w:tr>
      <w:tr w14:paraId="1D12A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7894A8B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6D16C35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高清抓拍单元</w:t>
            </w:r>
          </w:p>
        </w:tc>
        <w:tc>
          <w:tcPr>
            <w:tcW w:w="0" w:type="auto"/>
            <w:noWrap w:val="0"/>
            <w:vAlign w:val="center"/>
          </w:tcPr>
          <w:p w14:paraId="155FA0E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海康威视IDS-TCV700</w:t>
            </w:r>
          </w:p>
        </w:tc>
        <w:tc>
          <w:tcPr>
            <w:tcW w:w="0" w:type="auto"/>
            <w:noWrap w:val="0"/>
            <w:vAlign w:val="center"/>
          </w:tcPr>
          <w:p w14:paraId="3ED18938">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3</w:t>
            </w:r>
          </w:p>
        </w:tc>
        <w:tc>
          <w:tcPr>
            <w:tcW w:w="0" w:type="auto"/>
            <w:noWrap w:val="0"/>
            <w:vAlign w:val="center"/>
          </w:tcPr>
          <w:p w14:paraId="4343911E">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46896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01EE64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2</w:t>
            </w:r>
          </w:p>
        </w:tc>
        <w:tc>
          <w:tcPr>
            <w:tcW w:w="0" w:type="auto"/>
            <w:noWrap w:val="0"/>
            <w:vAlign w:val="center"/>
          </w:tcPr>
          <w:p w14:paraId="78A7E1BC">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超限专用全景视频</w:t>
            </w:r>
          </w:p>
        </w:tc>
        <w:tc>
          <w:tcPr>
            <w:tcW w:w="0" w:type="auto"/>
            <w:noWrap w:val="0"/>
            <w:vAlign w:val="center"/>
          </w:tcPr>
          <w:p w14:paraId="5D86FD75">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海康威视IDS-TVM200</w:t>
            </w:r>
          </w:p>
        </w:tc>
        <w:tc>
          <w:tcPr>
            <w:tcW w:w="0" w:type="auto"/>
            <w:noWrap w:val="0"/>
            <w:vAlign w:val="center"/>
          </w:tcPr>
          <w:p w14:paraId="5796B8F3">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center"/>
          </w:tcPr>
          <w:p w14:paraId="3914F6BD">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34CF3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7B35106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3</w:t>
            </w:r>
          </w:p>
        </w:tc>
        <w:tc>
          <w:tcPr>
            <w:tcW w:w="0" w:type="auto"/>
            <w:noWrap w:val="0"/>
            <w:vAlign w:val="center"/>
          </w:tcPr>
          <w:p w14:paraId="1BCCBA1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高清红外网络球机</w:t>
            </w:r>
          </w:p>
        </w:tc>
        <w:tc>
          <w:tcPr>
            <w:tcW w:w="0" w:type="auto"/>
            <w:noWrap w:val="0"/>
            <w:vAlign w:val="center"/>
          </w:tcPr>
          <w:p w14:paraId="7D28B6CB">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w:t>
            </w:r>
          </w:p>
        </w:tc>
        <w:tc>
          <w:tcPr>
            <w:tcW w:w="0" w:type="auto"/>
            <w:noWrap w:val="0"/>
            <w:vAlign w:val="center"/>
          </w:tcPr>
          <w:p w14:paraId="3BFF32C1">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2</w:t>
            </w:r>
          </w:p>
        </w:tc>
        <w:tc>
          <w:tcPr>
            <w:tcW w:w="0" w:type="auto"/>
            <w:noWrap w:val="0"/>
            <w:vAlign w:val="center"/>
          </w:tcPr>
          <w:p w14:paraId="5021C5B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4CEF9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EFD66C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4</w:t>
            </w:r>
          </w:p>
        </w:tc>
        <w:tc>
          <w:tcPr>
            <w:tcW w:w="0" w:type="auto"/>
            <w:noWrap w:val="0"/>
            <w:vAlign w:val="center"/>
          </w:tcPr>
          <w:p w14:paraId="66C4C51C">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闪光灯</w:t>
            </w:r>
          </w:p>
        </w:tc>
        <w:tc>
          <w:tcPr>
            <w:tcW w:w="0" w:type="auto"/>
            <w:noWrap w:val="0"/>
            <w:vAlign w:val="center"/>
          </w:tcPr>
          <w:p w14:paraId="6F35E411">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海康威视CXBG-2-MC-SL-1211</w:t>
            </w:r>
          </w:p>
        </w:tc>
        <w:tc>
          <w:tcPr>
            <w:tcW w:w="0" w:type="auto"/>
            <w:noWrap w:val="0"/>
            <w:vAlign w:val="center"/>
          </w:tcPr>
          <w:p w14:paraId="09078F0E">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4</w:t>
            </w:r>
          </w:p>
        </w:tc>
        <w:tc>
          <w:tcPr>
            <w:tcW w:w="0" w:type="auto"/>
            <w:noWrap w:val="0"/>
            <w:vAlign w:val="center"/>
          </w:tcPr>
          <w:p w14:paraId="2EC6D50A">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0DF1C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CF6CC8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5</w:t>
            </w:r>
          </w:p>
        </w:tc>
        <w:tc>
          <w:tcPr>
            <w:tcW w:w="0" w:type="auto"/>
            <w:noWrap w:val="0"/>
            <w:vAlign w:val="center"/>
          </w:tcPr>
          <w:p w14:paraId="478F37E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补光灯</w:t>
            </w:r>
          </w:p>
        </w:tc>
        <w:tc>
          <w:tcPr>
            <w:tcW w:w="0" w:type="auto"/>
            <w:noWrap w:val="0"/>
            <w:vAlign w:val="center"/>
          </w:tcPr>
          <w:p w14:paraId="6B78BF6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海康威视CXBG-1-PS-DS-TL2000A-L1</w:t>
            </w:r>
          </w:p>
        </w:tc>
        <w:tc>
          <w:tcPr>
            <w:tcW w:w="0" w:type="auto"/>
            <w:noWrap w:val="0"/>
            <w:vAlign w:val="center"/>
          </w:tcPr>
          <w:p w14:paraId="0819F882">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3</w:t>
            </w:r>
          </w:p>
        </w:tc>
        <w:tc>
          <w:tcPr>
            <w:tcW w:w="0" w:type="auto"/>
            <w:noWrap w:val="0"/>
            <w:vAlign w:val="center"/>
          </w:tcPr>
          <w:p w14:paraId="5352656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3D712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622FDC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6</w:t>
            </w:r>
          </w:p>
        </w:tc>
        <w:tc>
          <w:tcPr>
            <w:tcW w:w="0" w:type="auto"/>
            <w:noWrap w:val="0"/>
            <w:vAlign w:val="center"/>
          </w:tcPr>
          <w:p w14:paraId="19D1C96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杆件</w:t>
            </w:r>
          </w:p>
        </w:tc>
        <w:tc>
          <w:tcPr>
            <w:tcW w:w="0" w:type="auto"/>
            <w:noWrap w:val="0"/>
            <w:vAlign w:val="center"/>
          </w:tcPr>
          <w:p w14:paraId="0B4DDA8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L型</w:t>
            </w:r>
            <w:r>
              <w:rPr>
                <w:rFonts w:hint="eastAsia" w:asciiTheme="minorEastAsia" w:hAnsiTheme="minorEastAsia" w:eastAsiaTheme="minorEastAsia" w:cstheme="minorEastAsia"/>
                <w:i w:val="0"/>
                <w:color w:val="000000"/>
                <w:kern w:val="0"/>
                <w:sz w:val="21"/>
                <w:szCs w:val="21"/>
                <w:u w:val="none"/>
                <w:lang w:val="en-US" w:eastAsia="zh-CN" w:bidi="ar"/>
              </w:rPr>
              <w:tab/>
            </w:r>
            <w:r>
              <w:rPr>
                <w:rFonts w:hint="eastAsia" w:asciiTheme="minorEastAsia" w:hAnsiTheme="minorEastAsia" w:eastAsiaTheme="minorEastAsia" w:cstheme="minorEastAsia"/>
                <w:i w:val="0"/>
                <w:color w:val="000000"/>
                <w:kern w:val="0"/>
                <w:sz w:val="21"/>
                <w:szCs w:val="21"/>
                <w:u w:val="none"/>
                <w:lang w:val="en-US" w:eastAsia="zh-CN" w:bidi="ar"/>
              </w:rPr>
              <w:t>国产/国产</w:t>
            </w:r>
          </w:p>
        </w:tc>
        <w:tc>
          <w:tcPr>
            <w:tcW w:w="0" w:type="auto"/>
            <w:noWrap w:val="0"/>
            <w:vAlign w:val="center"/>
          </w:tcPr>
          <w:p w14:paraId="3978407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2</w:t>
            </w:r>
          </w:p>
        </w:tc>
        <w:tc>
          <w:tcPr>
            <w:tcW w:w="0" w:type="auto"/>
            <w:noWrap w:val="0"/>
            <w:vAlign w:val="center"/>
          </w:tcPr>
          <w:p w14:paraId="7409DC0C">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10836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5BF1014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r>
              <w:rPr>
                <w:rFonts w:hint="eastAsia" w:asciiTheme="minorEastAsia" w:hAnsiTheme="minorEastAsia" w:eastAsiaTheme="minorEastAsia" w:cstheme="minorEastAsia"/>
                <w:color w:val="000000"/>
                <w:kern w:val="0"/>
                <w:sz w:val="21"/>
                <w:szCs w:val="21"/>
              </w:rPr>
              <w:t>7</w:t>
            </w:r>
          </w:p>
        </w:tc>
        <w:tc>
          <w:tcPr>
            <w:tcW w:w="0" w:type="auto"/>
            <w:noWrap w:val="0"/>
            <w:vAlign w:val="center"/>
          </w:tcPr>
          <w:p w14:paraId="1277FA0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服务终端</w:t>
            </w:r>
          </w:p>
        </w:tc>
        <w:tc>
          <w:tcPr>
            <w:tcW w:w="0" w:type="auto"/>
            <w:noWrap w:val="0"/>
            <w:vAlign w:val="center"/>
          </w:tcPr>
          <w:p w14:paraId="404694B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海康威视TP50</w:t>
            </w:r>
          </w:p>
        </w:tc>
        <w:tc>
          <w:tcPr>
            <w:tcW w:w="0" w:type="auto"/>
            <w:noWrap w:val="0"/>
            <w:vAlign w:val="center"/>
          </w:tcPr>
          <w:p w14:paraId="577A99FF">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2DC1B20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12EE6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7D0539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18</w:t>
            </w:r>
          </w:p>
        </w:tc>
        <w:tc>
          <w:tcPr>
            <w:tcW w:w="0" w:type="auto"/>
            <w:noWrap w:val="0"/>
            <w:vAlign w:val="center"/>
          </w:tcPr>
          <w:p w14:paraId="1DF1A5C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交换机</w:t>
            </w:r>
          </w:p>
        </w:tc>
        <w:tc>
          <w:tcPr>
            <w:tcW w:w="0" w:type="auto"/>
            <w:noWrap w:val="0"/>
            <w:vAlign w:val="center"/>
          </w:tcPr>
          <w:p w14:paraId="7C45E37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华三24口千兆</w:t>
            </w:r>
          </w:p>
        </w:tc>
        <w:tc>
          <w:tcPr>
            <w:tcW w:w="0" w:type="auto"/>
            <w:noWrap w:val="0"/>
            <w:vAlign w:val="center"/>
          </w:tcPr>
          <w:p w14:paraId="643B801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0CF331C4">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7620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E9ED65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r>
              <w:rPr>
                <w:rFonts w:hint="eastAsia" w:asciiTheme="minorEastAsia" w:hAnsiTheme="minorEastAsia" w:eastAsiaTheme="minorEastAsia" w:cstheme="minorEastAsia"/>
                <w:color w:val="000000"/>
                <w:kern w:val="0"/>
                <w:sz w:val="21"/>
                <w:szCs w:val="21"/>
                <w:lang w:val="en-US" w:eastAsia="zh-CN"/>
              </w:rPr>
              <w:t>9</w:t>
            </w:r>
          </w:p>
        </w:tc>
        <w:tc>
          <w:tcPr>
            <w:tcW w:w="0" w:type="auto"/>
            <w:noWrap w:val="0"/>
            <w:vAlign w:val="center"/>
          </w:tcPr>
          <w:p w14:paraId="48455D9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双基色屏体</w:t>
            </w:r>
          </w:p>
        </w:tc>
        <w:tc>
          <w:tcPr>
            <w:tcW w:w="0" w:type="auto"/>
            <w:noWrap w:val="0"/>
            <w:vAlign w:val="center"/>
          </w:tcPr>
          <w:p w14:paraId="5FAF41B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w:t>
            </w:r>
            <w:r>
              <w:rPr>
                <w:rFonts w:hint="eastAsia" w:asciiTheme="minorEastAsia" w:hAnsiTheme="minorEastAsia" w:eastAsiaTheme="minorEastAsia" w:cstheme="minorEastAsia"/>
                <w:i w:val="0"/>
                <w:color w:val="000000"/>
                <w:kern w:val="0"/>
                <w:sz w:val="21"/>
                <w:szCs w:val="21"/>
                <w:u w:val="none"/>
                <w:lang w:val="en-US" w:eastAsia="zh-CN" w:bidi="ar"/>
              </w:rPr>
              <w:tab/>
            </w:r>
            <w:r>
              <w:rPr>
                <w:rFonts w:hint="eastAsia" w:asciiTheme="minorEastAsia" w:hAnsiTheme="minorEastAsia" w:eastAsiaTheme="minorEastAsia" w:cstheme="minorEastAsia"/>
                <w:i w:val="0"/>
                <w:color w:val="000000"/>
                <w:kern w:val="0"/>
                <w:sz w:val="21"/>
                <w:szCs w:val="21"/>
                <w:u w:val="none"/>
                <w:lang w:val="en-US" w:eastAsia="zh-CN" w:bidi="ar"/>
              </w:rPr>
              <w:t>P10，3.2m×1.6m</w:t>
            </w:r>
          </w:p>
        </w:tc>
        <w:tc>
          <w:tcPr>
            <w:tcW w:w="0" w:type="auto"/>
            <w:noWrap w:val="0"/>
            <w:vAlign w:val="center"/>
          </w:tcPr>
          <w:p w14:paraId="46267B4A">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24A4DE02">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F杆</w:t>
            </w:r>
          </w:p>
        </w:tc>
      </w:tr>
      <w:tr w14:paraId="60AC4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63F14E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2</w:t>
            </w:r>
            <w:r>
              <w:rPr>
                <w:rFonts w:hint="eastAsia" w:asciiTheme="minorEastAsia" w:hAnsiTheme="minorEastAsia" w:eastAsiaTheme="minorEastAsia" w:cstheme="minorEastAsia"/>
                <w:color w:val="000000"/>
                <w:kern w:val="0"/>
                <w:sz w:val="21"/>
                <w:szCs w:val="21"/>
                <w:lang w:val="en-US" w:eastAsia="zh-CN"/>
              </w:rPr>
              <w:t>0</w:t>
            </w:r>
          </w:p>
        </w:tc>
        <w:tc>
          <w:tcPr>
            <w:tcW w:w="0" w:type="auto"/>
            <w:noWrap w:val="0"/>
            <w:vAlign w:val="center"/>
          </w:tcPr>
          <w:p w14:paraId="60E0600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屏幕控制器</w:t>
            </w:r>
          </w:p>
        </w:tc>
        <w:tc>
          <w:tcPr>
            <w:tcW w:w="0" w:type="auto"/>
            <w:noWrap w:val="0"/>
            <w:vAlign w:val="top"/>
          </w:tcPr>
          <w:p w14:paraId="6E68A49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爱特思　</w:t>
            </w:r>
          </w:p>
        </w:tc>
        <w:tc>
          <w:tcPr>
            <w:tcW w:w="0" w:type="auto"/>
            <w:noWrap w:val="0"/>
            <w:vAlign w:val="center"/>
          </w:tcPr>
          <w:p w14:paraId="631E661F">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270A30E0">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F杆</w:t>
            </w:r>
          </w:p>
        </w:tc>
      </w:tr>
      <w:tr w14:paraId="72D40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56209A8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21</w:t>
            </w:r>
          </w:p>
        </w:tc>
        <w:tc>
          <w:tcPr>
            <w:tcW w:w="0" w:type="auto"/>
            <w:noWrap w:val="0"/>
            <w:vAlign w:val="center"/>
          </w:tcPr>
          <w:p w14:paraId="47FDB8E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发射端光端机</w:t>
            </w:r>
          </w:p>
        </w:tc>
        <w:tc>
          <w:tcPr>
            <w:tcW w:w="0" w:type="auto"/>
            <w:noWrap w:val="0"/>
            <w:vAlign w:val="top"/>
          </w:tcPr>
          <w:p w14:paraId="0B23F3A3">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国产1口百兆光纤收发器</w:t>
            </w:r>
          </w:p>
        </w:tc>
        <w:tc>
          <w:tcPr>
            <w:tcW w:w="0" w:type="auto"/>
            <w:noWrap w:val="0"/>
            <w:vAlign w:val="center"/>
          </w:tcPr>
          <w:p w14:paraId="19DD6BF1">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27407293">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机柜</w:t>
            </w:r>
          </w:p>
        </w:tc>
      </w:tr>
      <w:tr w14:paraId="7BCD5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1ED66D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22</w:t>
            </w:r>
          </w:p>
        </w:tc>
        <w:tc>
          <w:tcPr>
            <w:tcW w:w="0" w:type="auto"/>
            <w:noWrap w:val="0"/>
            <w:vAlign w:val="center"/>
          </w:tcPr>
          <w:p w14:paraId="35A628F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接收端光端机</w:t>
            </w:r>
          </w:p>
        </w:tc>
        <w:tc>
          <w:tcPr>
            <w:tcW w:w="0" w:type="auto"/>
            <w:noWrap w:val="0"/>
            <w:vAlign w:val="top"/>
          </w:tcPr>
          <w:p w14:paraId="43FF0DD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国产1口百兆光纤收发器</w:t>
            </w:r>
          </w:p>
        </w:tc>
        <w:tc>
          <w:tcPr>
            <w:tcW w:w="0" w:type="auto"/>
            <w:noWrap w:val="0"/>
            <w:vAlign w:val="center"/>
          </w:tcPr>
          <w:p w14:paraId="52730266">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35BA9FDF">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F杆</w:t>
            </w:r>
          </w:p>
        </w:tc>
      </w:tr>
      <w:tr w14:paraId="07709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D14231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23</w:t>
            </w:r>
          </w:p>
        </w:tc>
        <w:tc>
          <w:tcPr>
            <w:tcW w:w="0" w:type="auto"/>
            <w:noWrap w:val="0"/>
            <w:vAlign w:val="center"/>
          </w:tcPr>
          <w:p w14:paraId="0A0EA10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悬臂立杆（含基础）</w:t>
            </w:r>
          </w:p>
        </w:tc>
        <w:tc>
          <w:tcPr>
            <w:tcW w:w="0" w:type="auto"/>
            <w:noWrap w:val="0"/>
            <w:vAlign w:val="top"/>
          </w:tcPr>
          <w:p w14:paraId="56CE73B7">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　开元科技</w:t>
            </w:r>
          </w:p>
        </w:tc>
        <w:tc>
          <w:tcPr>
            <w:tcW w:w="0" w:type="auto"/>
            <w:noWrap w:val="0"/>
            <w:vAlign w:val="center"/>
          </w:tcPr>
          <w:p w14:paraId="309C8B5B">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7315CB19">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18344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3B4129D">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24</w:t>
            </w:r>
          </w:p>
        </w:tc>
        <w:tc>
          <w:tcPr>
            <w:tcW w:w="0" w:type="auto"/>
            <w:noWrap w:val="0"/>
            <w:vAlign w:val="center"/>
          </w:tcPr>
          <w:p w14:paraId="07C0BA1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标志牌</w:t>
            </w:r>
          </w:p>
        </w:tc>
        <w:tc>
          <w:tcPr>
            <w:tcW w:w="0" w:type="auto"/>
            <w:noWrap w:val="0"/>
            <w:vAlign w:val="top"/>
          </w:tcPr>
          <w:p w14:paraId="1133321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国产/国产</w:t>
            </w:r>
          </w:p>
        </w:tc>
        <w:tc>
          <w:tcPr>
            <w:tcW w:w="0" w:type="auto"/>
            <w:noWrap w:val="0"/>
            <w:vAlign w:val="center"/>
          </w:tcPr>
          <w:p w14:paraId="7FBD14AE">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top"/>
          </w:tcPr>
          <w:p w14:paraId="44613DEB">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7C144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197C9992">
            <w:pPr>
              <w:widowControl/>
              <w:jc w:val="center"/>
              <w:rPr>
                <w:rFonts w:hint="eastAsia" w:asciiTheme="minorEastAsia" w:hAnsiTheme="minorEastAsia" w:eastAsiaTheme="minorEastAsia" w:cstheme="minorEastAsia"/>
                <w:color w:val="000000"/>
                <w:kern w:val="0"/>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六、</w:t>
            </w:r>
          </w:p>
        </w:tc>
        <w:tc>
          <w:tcPr>
            <w:tcW w:w="8323" w:type="dxa"/>
            <w:gridSpan w:val="4"/>
            <w:noWrap w:val="0"/>
            <w:vAlign w:val="center"/>
          </w:tcPr>
          <w:p w14:paraId="7823B754">
            <w:pPr>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color w:val="000000"/>
                <w:kern w:val="0"/>
                <w:sz w:val="21"/>
                <w:szCs w:val="21"/>
                <w:lang w:val="en-US" w:eastAsia="zh-CN"/>
              </w:rPr>
              <w:t>G330国道（魁市段）</w:t>
            </w:r>
          </w:p>
        </w:tc>
      </w:tr>
      <w:tr w14:paraId="24436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5335230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w:t>
            </w:r>
          </w:p>
        </w:tc>
        <w:tc>
          <w:tcPr>
            <w:tcW w:w="0" w:type="auto"/>
            <w:noWrap w:val="0"/>
            <w:vAlign w:val="center"/>
          </w:tcPr>
          <w:p w14:paraId="66ABD0CD">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称重平板主体（标准型）</w:t>
            </w:r>
          </w:p>
        </w:tc>
        <w:tc>
          <w:tcPr>
            <w:tcW w:w="0" w:type="auto"/>
            <w:noWrap w:val="0"/>
            <w:vAlign w:val="top"/>
          </w:tcPr>
          <w:p w14:paraId="15E11A9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四方ZDG-40-DZ</w:t>
            </w:r>
          </w:p>
        </w:tc>
        <w:tc>
          <w:tcPr>
            <w:tcW w:w="0" w:type="auto"/>
            <w:noWrap w:val="0"/>
            <w:vAlign w:val="center"/>
          </w:tcPr>
          <w:p w14:paraId="06204AFB">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4</w:t>
            </w:r>
          </w:p>
        </w:tc>
        <w:tc>
          <w:tcPr>
            <w:tcW w:w="0" w:type="auto"/>
            <w:noWrap w:val="0"/>
            <w:vAlign w:val="top"/>
          </w:tcPr>
          <w:p w14:paraId="448CC54C">
            <w:pPr>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路面</w:t>
            </w:r>
          </w:p>
        </w:tc>
      </w:tr>
      <w:tr w14:paraId="0D27C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7C451A4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w:t>
            </w:r>
          </w:p>
        </w:tc>
        <w:tc>
          <w:tcPr>
            <w:tcW w:w="0" w:type="auto"/>
            <w:noWrap w:val="0"/>
            <w:vAlign w:val="center"/>
          </w:tcPr>
          <w:p w14:paraId="226E8C9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称重传感器</w:t>
            </w:r>
          </w:p>
        </w:tc>
        <w:tc>
          <w:tcPr>
            <w:tcW w:w="0" w:type="auto"/>
            <w:noWrap w:val="0"/>
            <w:vAlign w:val="top"/>
          </w:tcPr>
          <w:p w14:paraId="4CF9B233">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四方SFZ-20</w:t>
            </w:r>
          </w:p>
        </w:tc>
        <w:tc>
          <w:tcPr>
            <w:tcW w:w="0" w:type="auto"/>
            <w:noWrap w:val="0"/>
            <w:vAlign w:val="center"/>
          </w:tcPr>
          <w:p w14:paraId="23CF265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32</w:t>
            </w:r>
          </w:p>
        </w:tc>
        <w:tc>
          <w:tcPr>
            <w:tcW w:w="0" w:type="auto"/>
            <w:noWrap w:val="0"/>
            <w:vAlign w:val="center"/>
          </w:tcPr>
          <w:p w14:paraId="6AF1DA2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路面</w:t>
            </w:r>
          </w:p>
        </w:tc>
      </w:tr>
      <w:tr w14:paraId="2CC0E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727F1FA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3</w:t>
            </w:r>
          </w:p>
        </w:tc>
        <w:tc>
          <w:tcPr>
            <w:tcW w:w="0" w:type="auto"/>
            <w:noWrap w:val="0"/>
            <w:vAlign w:val="center"/>
          </w:tcPr>
          <w:p w14:paraId="0352C17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高速动态称重控制器</w:t>
            </w:r>
          </w:p>
        </w:tc>
        <w:tc>
          <w:tcPr>
            <w:tcW w:w="0" w:type="auto"/>
            <w:noWrap w:val="0"/>
            <w:vAlign w:val="top"/>
          </w:tcPr>
          <w:p w14:paraId="1C6603A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四方XK3196-DZ</w:t>
            </w:r>
          </w:p>
        </w:tc>
        <w:tc>
          <w:tcPr>
            <w:tcW w:w="0" w:type="auto"/>
            <w:noWrap w:val="0"/>
            <w:vAlign w:val="center"/>
          </w:tcPr>
          <w:p w14:paraId="5B220DA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6E8B455B">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308D9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DEB1E1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4</w:t>
            </w:r>
          </w:p>
        </w:tc>
        <w:tc>
          <w:tcPr>
            <w:tcW w:w="0" w:type="auto"/>
            <w:noWrap w:val="0"/>
            <w:vAlign w:val="center"/>
          </w:tcPr>
          <w:p w14:paraId="1E479B4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车辆检测器</w:t>
            </w:r>
          </w:p>
        </w:tc>
        <w:tc>
          <w:tcPr>
            <w:tcW w:w="0" w:type="auto"/>
            <w:noWrap w:val="0"/>
            <w:vAlign w:val="top"/>
          </w:tcPr>
          <w:p w14:paraId="40A82C0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海康威视LVD-6008</w:t>
            </w:r>
          </w:p>
        </w:tc>
        <w:tc>
          <w:tcPr>
            <w:tcW w:w="0" w:type="auto"/>
            <w:noWrap w:val="0"/>
            <w:vAlign w:val="center"/>
          </w:tcPr>
          <w:p w14:paraId="2F57462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6CDBEE6D">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3D2F4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64762D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5</w:t>
            </w:r>
          </w:p>
        </w:tc>
        <w:tc>
          <w:tcPr>
            <w:tcW w:w="0" w:type="auto"/>
            <w:noWrap w:val="0"/>
            <w:vAlign w:val="center"/>
          </w:tcPr>
          <w:p w14:paraId="4F12FA2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数据处理主机</w:t>
            </w:r>
          </w:p>
        </w:tc>
        <w:tc>
          <w:tcPr>
            <w:tcW w:w="0" w:type="auto"/>
            <w:noWrap w:val="0"/>
            <w:vAlign w:val="top"/>
          </w:tcPr>
          <w:p w14:paraId="4F7201C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四方IP051</w:t>
            </w:r>
          </w:p>
        </w:tc>
        <w:tc>
          <w:tcPr>
            <w:tcW w:w="0" w:type="auto"/>
            <w:noWrap w:val="0"/>
            <w:vAlign w:val="center"/>
          </w:tcPr>
          <w:p w14:paraId="5DA3C66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23353045">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3EB21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C7AA726">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6</w:t>
            </w:r>
          </w:p>
        </w:tc>
        <w:tc>
          <w:tcPr>
            <w:tcW w:w="0" w:type="auto"/>
            <w:noWrap w:val="0"/>
            <w:vAlign w:val="center"/>
          </w:tcPr>
          <w:p w14:paraId="35E458E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数据采集系统</w:t>
            </w:r>
          </w:p>
        </w:tc>
        <w:tc>
          <w:tcPr>
            <w:tcW w:w="0" w:type="auto"/>
            <w:noWrap w:val="0"/>
            <w:vAlign w:val="top"/>
          </w:tcPr>
          <w:p w14:paraId="1D16055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2B05154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7F1995BA">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69566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174608F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7</w:t>
            </w:r>
          </w:p>
        </w:tc>
        <w:tc>
          <w:tcPr>
            <w:tcW w:w="0" w:type="auto"/>
            <w:noWrap w:val="0"/>
            <w:vAlign w:val="center"/>
          </w:tcPr>
          <w:p w14:paraId="41E3C79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数据处理系统</w:t>
            </w:r>
          </w:p>
        </w:tc>
        <w:tc>
          <w:tcPr>
            <w:tcW w:w="0" w:type="auto"/>
            <w:noWrap w:val="0"/>
            <w:vAlign w:val="top"/>
          </w:tcPr>
          <w:p w14:paraId="5721A66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2618052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4F9E39B2">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机柜</w:t>
            </w:r>
          </w:p>
        </w:tc>
      </w:tr>
      <w:tr w14:paraId="5BADF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AFC2C5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8</w:t>
            </w:r>
          </w:p>
        </w:tc>
        <w:tc>
          <w:tcPr>
            <w:tcW w:w="0" w:type="auto"/>
            <w:noWrap w:val="0"/>
            <w:vAlign w:val="center"/>
          </w:tcPr>
          <w:p w14:paraId="122A7D8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车辆信息匹配及上传系统</w:t>
            </w:r>
          </w:p>
        </w:tc>
        <w:tc>
          <w:tcPr>
            <w:tcW w:w="0" w:type="auto"/>
            <w:noWrap w:val="0"/>
            <w:vAlign w:val="top"/>
          </w:tcPr>
          <w:p w14:paraId="2C66B194">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w:t>
            </w:r>
          </w:p>
        </w:tc>
        <w:tc>
          <w:tcPr>
            <w:tcW w:w="0" w:type="auto"/>
            <w:noWrap w:val="0"/>
            <w:vAlign w:val="center"/>
          </w:tcPr>
          <w:p w14:paraId="25A94A5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1DDA7F92">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1BCEF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A25807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9</w:t>
            </w:r>
          </w:p>
        </w:tc>
        <w:tc>
          <w:tcPr>
            <w:tcW w:w="0" w:type="auto"/>
            <w:noWrap w:val="0"/>
            <w:vAlign w:val="center"/>
          </w:tcPr>
          <w:p w14:paraId="3003A7C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野外称重控制机柜</w:t>
            </w:r>
          </w:p>
        </w:tc>
        <w:tc>
          <w:tcPr>
            <w:tcW w:w="0" w:type="auto"/>
            <w:noWrap w:val="0"/>
            <w:vAlign w:val="top"/>
          </w:tcPr>
          <w:p w14:paraId="12286C52">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四方DCS-30-04</w:t>
            </w:r>
          </w:p>
        </w:tc>
        <w:tc>
          <w:tcPr>
            <w:tcW w:w="0" w:type="auto"/>
            <w:noWrap w:val="0"/>
            <w:vAlign w:val="center"/>
          </w:tcPr>
          <w:p w14:paraId="3360635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04C34505">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602B4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F2B7F01">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10</w:t>
            </w:r>
          </w:p>
        </w:tc>
        <w:tc>
          <w:tcPr>
            <w:tcW w:w="0" w:type="auto"/>
            <w:noWrap w:val="0"/>
            <w:vAlign w:val="center"/>
          </w:tcPr>
          <w:p w14:paraId="41E73D6E">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前置机</w:t>
            </w:r>
          </w:p>
        </w:tc>
        <w:tc>
          <w:tcPr>
            <w:tcW w:w="0" w:type="auto"/>
            <w:noWrap w:val="0"/>
            <w:vAlign w:val="top"/>
          </w:tcPr>
          <w:p w14:paraId="4212EC9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智诚ZC-QZ320A</w:t>
            </w:r>
          </w:p>
        </w:tc>
        <w:tc>
          <w:tcPr>
            <w:tcW w:w="0" w:type="auto"/>
            <w:noWrap w:val="0"/>
            <w:vAlign w:val="center"/>
          </w:tcPr>
          <w:p w14:paraId="3F718E1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01E75A81">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1C89F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3E84D46">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11</w:t>
            </w:r>
          </w:p>
        </w:tc>
        <w:tc>
          <w:tcPr>
            <w:tcW w:w="0" w:type="auto"/>
            <w:noWrap w:val="0"/>
            <w:vAlign w:val="center"/>
          </w:tcPr>
          <w:p w14:paraId="103E061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高清抓拍单元</w:t>
            </w:r>
          </w:p>
        </w:tc>
        <w:tc>
          <w:tcPr>
            <w:tcW w:w="0" w:type="auto"/>
            <w:noWrap w:val="0"/>
            <w:vAlign w:val="top"/>
          </w:tcPr>
          <w:p w14:paraId="4FB1E8F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海康威视IDS-TCV700</w:t>
            </w:r>
          </w:p>
        </w:tc>
        <w:tc>
          <w:tcPr>
            <w:tcW w:w="0" w:type="auto"/>
            <w:noWrap w:val="0"/>
            <w:vAlign w:val="center"/>
          </w:tcPr>
          <w:p w14:paraId="38D464C6">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6</w:t>
            </w:r>
          </w:p>
        </w:tc>
        <w:tc>
          <w:tcPr>
            <w:tcW w:w="0" w:type="auto"/>
            <w:noWrap w:val="0"/>
            <w:vAlign w:val="center"/>
          </w:tcPr>
          <w:p w14:paraId="50CA26D4">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45869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088A5D6">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12</w:t>
            </w:r>
          </w:p>
        </w:tc>
        <w:tc>
          <w:tcPr>
            <w:tcW w:w="0" w:type="auto"/>
            <w:noWrap w:val="0"/>
            <w:vAlign w:val="center"/>
          </w:tcPr>
          <w:p w14:paraId="1597553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高清红外网络球机</w:t>
            </w:r>
          </w:p>
        </w:tc>
        <w:tc>
          <w:tcPr>
            <w:tcW w:w="0" w:type="auto"/>
            <w:noWrap w:val="0"/>
            <w:vAlign w:val="top"/>
          </w:tcPr>
          <w:p w14:paraId="53D10D3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w:t>
            </w:r>
          </w:p>
        </w:tc>
        <w:tc>
          <w:tcPr>
            <w:tcW w:w="0" w:type="auto"/>
            <w:noWrap w:val="0"/>
            <w:vAlign w:val="center"/>
          </w:tcPr>
          <w:p w14:paraId="47AD9869">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2</w:t>
            </w:r>
          </w:p>
        </w:tc>
        <w:tc>
          <w:tcPr>
            <w:tcW w:w="0" w:type="auto"/>
            <w:noWrap w:val="0"/>
            <w:vAlign w:val="center"/>
          </w:tcPr>
          <w:p w14:paraId="72D9AB98">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04BD3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7E329C5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13</w:t>
            </w:r>
          </w:p>
        </w:tc>
        <w:tc>
          <w:tcPr>
            <w:tcW w:w="0" w:type="auto"/>
            <w:noWrap w:val="0"/>
            <w:vAlign w:val="center"/>
          </w:tcPr>
          <w:p w14:paraId="12286FF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闪光灯</w:t>
            </w:r>
          </w:p>
        </w:tc>
        <w:tc>
          <w:tcPr>
            <w:tcW w:w="0" w:type="auto"/>
            <w:noWrap w:val="0"/>
            <w:vAlign w:val="top"/>
          </w:tcPr>
          <w:p w14:paraId="0211C306">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海康威视CXBG-2-MC-SL-1211</w:t>
            </w:r>
          </w:p>
        </w:tc>
        <w:tc>
          <w:tcPr>
            <w:tcW w:w="0" w:type="auto"/>
            <w:noWrap w:val="0"/>
            <w:vAlign w:val="center"/>
          </w:tcPr>
          <w:p w14:paraId="000531DB">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6</w:t>
            </w:r>
          </w:p>
        </w:tc>
        <w:tc>
          <w:tcPr>
            <w:tcW w:w="0" w:type="auto"/>
            <w:noWrap w:val="0"/>
            <w:vAlign w:val="center"/>
          </w:tcPr>
          <w:p w14:paraId="266AAE7A">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4BAAC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575A0C6">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14</w:t>
            </w:r>
          </w:p>
        </w:tc>
        <w:tc>
          <w:tcPr>
            <w:tcW w:w="0" w:type="auto"/>
            <w:noWrap w:val="0"/>
            <w:vAlign w:val="center"/>
          </w:tcPr>
          <w:p w14:paraId="5598F6C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补光灯</w:t>
            </w:r>
          </w:p>
        </w:tc>
        <w:tc>
          <w:tcPr>
            <w:tcW w:w="0" w:type="auto"/>
            <w:noWrap w:val="0"/>
            <w:vAlign w:val="top"/>
          </w:tcPr>
          <w:p w14:paraId="0220895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海康威视CXBG-1-PS-DS-TL2000A-L1</w:t>
            </w:r>
          </w:p>
        </w:tc>
        <w:tc>
          <w:tcPr>
            <w:tcW w:w="0" w:type="auto"/>
            <w:noWrap w:val="0"/>
            <w:vAlign w:val="center"/>
          </w:tcPr>
          <w:p w14:paraId="23342FBA">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4</w:t>
            </w:r>
          </w:p>
        </w:tc>
        <w:tc>
          <w:tcPr>
            <w:tcW w:w="0" w:type="auto"/>
            <w:noWrap w:val="0"/>
            <w:vAlign w:val="center"/>
          </w:tcPr>
          <w:p w14:paraId="11DE46AE">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68CE0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0FAE67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15</w:t>
            </w:r>
          </w:p>
        </w:tc>
        <w:tc>
          <w:tcPr>
            <w:tcW w:w="0" w:type="auto"/>
            <w:noWrap w:val="0"/>
            <w:vAlign w:val="center"/>
          </w:tcPr>
          <w:p w14:paraId="6D817625">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车牌抓拍简易龙门架</w:t>
            </w:r>
          </w:p>
        </w:tc>
        <w:tc>
          <w:tcPr>
            <w:tcW w:w="0" w:type="auto"/>
            <w:noWrap w:val="0"/>
            <w:vAlign w:val="top"/>
          </w:tcPr>
          <w:p w14:paraId="35B65837">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开元科技 规格：10mX6m</w:t>
            </w:r>
          </w:p>
        </w:tc>
        <w:tc>
          <w:tcPr>
            <w:tcW w:w="0" w:type="auto"/>
            <w:noWrap w:val="0"/>
            <w:vAlign w:val="center"/>
          </w:tcPr>
          <w:p w14:paraId="70299D6F">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05C82587">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104C0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B4D549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16</w:t>
            </w:r>
          </w:p>
        </w:tc>
        <w:tc>
          <w:tcPr>
            <w:tcW w:w="0" w:type="auto"/>
            <w:noWrap w:val="0"/>
            <w:vAlign w:val="center"/>
          </w:tcPr>
          <w:p w14:paraId="6892B2E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L杆</w:t>
            </w:r>
          </w:p>
        </w:tc>
        <w:tc>
          <w:tcPr>
            <w:tcW w:w="0" w:type="auto"/>
            <w:noWrap w:val="0"/>
            <w:vAlign w:val="top"/>
          </w:tcPr>
          <w:p w14:paraId="406D17C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开元科技 规格：10mX6m</w:t>
            </w:r>
          </w:p>
        </w:tc>
        <w:tc>
          <w:tcPr>
            <w:tcW w:w="0" w:type="auto"/>
            <w:noWrap w:val="0"/>
            <w:vAlign w:val="center"/>
          </w:tcPr>
          <w:p w14:paraId="6B73F16B">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0DE86A20">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5AA4B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B48A70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17</w:t>
            </w:r>
          </w:p>
        </w:tc>
        <w:tc>
          <w:tcPr>
            <w:tcW w:w="0" w:type="auto"/>
            <w:noWrap w:val="0"/>
            <w:vAlign w:val="center"/>
          </w:tcPr>
          <w:p w14:paraId="36EAB96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服务终端</w:t>
            </w:r>
          </w:p>
        </w:tc>
        <w:tc>
          <w:tcPr>
            <w:tcW w:w="0" w:type="auto"/>
            <w:noWrap w:val="0"/>
            <w:vAlign w:val="top"/>
          </w:tcPr>
          <w:p w14:paraId="74BAC75B">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海康威视TP50</w:t>
            </w:r>
          </w:p>
        </w:tc>
        <w:tc>
          <w:tcPr>
            <w:tcW w:w="0" w:type="auto"/>
            <w:noWrap w:val="0"/>
            <w:vAlign w:val="center"/>
          </w:tcPr>
          <w:p w14:paraId="752A6989">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284797C7">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561C1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691137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18</w:t>
            </w:r>
          </w:p>
        </w:tc>
        <w:tc>
          <w:tcPr>
            <w:tcW w:w="0" w:type="auto"/>
            <w:noWrap w:val="0"/>
            <w:vAlign w:val="center"/>
          </w:tcPr>
          <w:p w14:paraId="7A9588A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交换机</w:t>
            </w:r>
          </w:p>
        </w:tc>
        <w:tc>
          <w:tcPr>
            <w:tcW w:w="0" w:type="auto"/>
            <w:noWrap w:val="0"/>
            <w:vAlign w:val="top"/>
          </w:tcPr>
          <w:p w14:paraId="3786B6C0">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华为24口千兆</w:t>
            </w:r>
          </w:p>
        </w:tc>
        <w:tc>
          <w:tcPr>
            <w:tcW w:w="0" w:type="auto"/>
            <w:noWrap w:val="0"/>
            <w:vAlign w:val="center"/>
          </w:tcPr>
          <w:p w14:paraId="7054570B">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center"/>
          </w:tcPr>
          <w:p w14:paraId="45DEFD37">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57AE9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C8E1A6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19</w:t>
            </w:r>
          </w:p>
        </w:tc>
        <w:tc>
          <w:tcPr>
            <w:tcW w:w="0" w:type="auto"/>
            <w:noWrap w:val="0"/>
            <w:vAlign w:val="center"/>
          </w:tcPr>
          <w:p w14:paraId="7E0030A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违停球机</w:t>
            </w:r>
          </w:p>
        </w:tc>
        <w:tc>
          <w:tcPr>
            <w:tcW w:w="0" w:type="auto"/>
            <w:noWrap w:val="0"/>
            <w:vAlign w:val="top"/>
          </w:tcPr>
          <w:p w14:paraId="25759E8B">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海康威视IDS-TVM200</w:t>
            </w:r>
          </w:p>
        </w:tc>
        <w:tc>
          <w:tcPr>
            <w:tcW w:w="0" w:type="auto"/>
            <w:noWrap w:val="0"/>
            <w:vAlign w:val="center"/>
          </w:tcPr>
          <w:p w14:paraId="3C06CACF">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0053312A">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门架</w:t>
            </w:r>
          </w:p>
        </w:tc>
      </w:tr>
      <w:tr w14:paraId="38B3D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26950D1B">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20</w:t>
            </w:r>
          </w:p>
        </w:tc>
        <w:tc>
          <w:tcPr>
            <w:tcW w:w="0" w:type="auto"/>
            <w:noWrap w:val="0"/>
            <w:vAlign w:val="center"/>
          </w:tcPr>
          <w:p w14:paraId="0CB5F77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违停终端</w:t>
            </w:r>
          </w:p>
        </w:tc>
        <w:tc>
          <w:tcPr>
            <w:tcW w:w="0" w:type="auto"/>
            <w:noWrap w:val="0"/>
            <w:vAlign w:val="top"/>
          </w:tcPr>
          <w:p w14:paraId="1C5BA6E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海康威视TP50</w:t>
            </w:r>
          </w:p>
        </w:tc>
        <w:tc>
          <w:tcPr>
            <w:tcW w:w="0" w:type="auto"/>
            <w:noWrap w:val="0"/>
            <w:vAlign w:val="center"/>
          </w:tcPr>
          <w:p w14:paraId="1CE072C2">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top"/>
          </w:tcPr>
          <w:p w14:paraId="5C0F8FAE">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机柜</w:t>
            </w:r>
          </w:p>
        </w:tc>
      </w:tr>
      <w:tr w14:paraId="3FA52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0C1FD65F">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w:t>
            </w:r>
            <w:r>
              <w:rPr>
                <w:rFonts w:hint="eastAsia" w:asciiTheme="minorEastAsia" w:hAnsiTheme="minorEastAsia" w:eastAsiaTheme="minorEastAsia" w:cstheme="minorEastAsia"/>
                <w:color w:val="000000"/>
                <w:kern w:val="0"/>
                <w:sz w:val="21"/>
                <w:szCs w:val="21"/>
              </w:rPr>
              <w:t>1</w:t>
            </w:r>
          </w:p>
        </w:tc>
        <w:tc>
          <w:tcPr>
            <w:tcW w:w="0" w:type="auto"/>
            <w:noWrap w:val="0"/>
            <w:vAlign w:val="center"/>
          </w:tcPr>
          <w:p w14:paraId="479DB22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双基色屏体</w:t>
            </w:r>
          </w:p>
        </w:tc>
        <w:tc>
          <w:tcPr>
            <w:tcW w:w="0" w:type="auto"/>
            <w:noWrap w:val="0"/>
            <w:vAlign w:val="top"/>
          </w:tcPr>
          <w:p w14:paraId="773CD6E8">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上海三思P10，1m×8m</w:t>
            </w:r>
          </w:p>
        </w:tc>
        <w:tc>
          <w:tcPr>
            <w:tcW w:w="0" w:type="auto"/>
            <w:noWrap w:val="0"/>
            <w:vAlign w:val="center"/>
          </w:tcPr>
          <w:p w14:paraId="16F47910">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14FE7F85">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F杆</w:t>
            </w:r>
          </w:p>
        </w:tc>
      </w:tr>
      <w:tr w14:paraId="5BA1B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579DB444">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w:t>
            </w:r>
            <w:r>
              <w:rPr>
                <w:rFonts w:hint="eastAsia" w:asciiTheme="minorEastAsia" w:hAnsiTheme="minorEastAsia" w:eastAsiaTheme="minorEastAsia" w:cstheme="minorEastAsia"/>
                <w:color w:val="000000"/>
                <w:kern w:val="0"/>
                <w:sz w:val="21"/>
                <w:szCs w:val="21"/>
              </w:rPr>
              <w:t>2</w:t>
            </w:r>
          </w:p>
        </w:tc>
        <w:tc>
          <w:tcPr>
            <w:tcW w:w="0" w:type="auto"/>
            <w:noWrap w:val="0"/>
            <w:vAlign w:val="center"/>
          </w:tcPr>
          <w:p w14:paraId="45C88D50">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屏幕控制器</w:t>
            </w:r>
          </w:p>
        </w:tc>
        <w:tc>
          <w:tcPr>
            <w:tcW w:w="0" w:type="auto"/>
            <w:noWrap w:val="0"/>
            <w:vAlign w:val="top"/>
          </w:tcPr>
          <w:p w14:paraId="56CB63BE">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上海三思</w:t>
            </w:r>
          </w:p>
        </w:tc>
        <w:tc>
          <w:tcPr>
            <w:tcW w:w="0" w:type="auto"/>
            <w:noWrap w:val="0"/>
            <w:vAlign w:val="center"/>
          </w:tcPr>
          <w:p w14:paraId="71D1667A">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6DAD3FE0">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F杆</w:t>
            </w:r>
          </w:p>
        </w:tc>
      </w:tr>
      <w:tr w14:paraId="61A6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3F6DD4C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23</w:t>
            </w:r>
          </w:p>
        </w:tc>
        <w:tc>
          <w:tcPr>
            <w:tcW w:w="0" w:type="auto"/>
            <w:noWrap w:val="0"/>
            <w:vAlign w:val="center"/>
          </w:tcPr>
          <w:p w14:paraId="3A535C8A">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发射端光端机</w:t>
            </w:r>
          </w:p>
        </w:tc>
        <w:tc>
          <w:tcPr>
            <w:tcW w:w="0" w:type="auto"/>
            <w:noWrap w:val="0"/>
            <w:vAlign w:val="top"/>
          </w:tcPr>
          <w:p w14:paraId="410C492D">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国产1口百兆光纤收发器</w:t>
            </w:r>
          </w:p>
        </w:tc>
        <w:tc>
          <w:tcPr>
            <w:tcW w:w="0" w:type="auto"/>
            <w:noWrap w:val="0"/>
            <w:vAlign w:val="center"/>
          </w:tcPr>
          <w:p w14:paraId="4FA76854">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5D3591C0">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机柜</w:t>
            </w:r>
          </w:p>
        </w:tc>
      </w:tr>
      <w:tr w14:paraId="66FB3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4C4746C3">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24</w:t>
            </w:r>
          </w:p>
        </w:tc>
        <w:tc>
          <w:tcPr>
            <w:tcW w:w="0" w:type="auto"/>
            <w:noWrap w:val="0"/>
            <w:vAlign w:val="center"/>
          </w:tcPr>
          <w:p w14:paraId="24F812F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rPr>
              <w:t>接收端光端机</w:t>
            </w:r>
          </w:p>
        </w:tc>
        <w:tc>
          <w:tcPr>
            <w:tcW w:w="0" w:type="auto"/>
            <w:noWrap w:val="0"/>
            <w:vAlign w:val="top"/>
          </w:tcPr>
          <w:p w14:paraId="11F8BB9A">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国产1口百兆光纤收发器</w:t>
            </w:r>
          </w:p>
        </w:tc>
        <w:tc>
          <w:tcPr>
            <w:tcW w:w="0" w:type="auto"/>
            <w:noWrap w:val="0"/>
            <w:vAlign w:val="center"/>
          </w:tcPr>
          <w:p w14:paraId="26457F95">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219719B2">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F杆</w:t>
            </w:r>
          </w:p>
        </w:tc>
      </w:tr>
      <w:tr w14:paraId="7BEEB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0" w:type="auto"/>
            <w:noWrap w:val="0"/>
            <w:vAlign w:val="center"/>
          </w:tcPr>
          <w:p w14:paraId="6CFB5008">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25</w:t>
            </w:r>
          </w:p>
        </w:tc>
        <w:tc>
          <w:tcPr>
            <w:tcW w:w="0" w:type="auto"/>
            <w:noWrap w:val="0"/>
            <w:vAlign w:val="center"/>
          </w:tcPr>
          <w:p w14:paraId="7423CAA7">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门架</w:t>
            </w:r>
            <w:r>
              <w:rPr>
                <w:rFonts w:hint="eastAsia" w:asciiTheme="minorEastAsia" w:hAnsiTheme="minorEastAsia" w:eastAsiaTheme="minorEastAsia" w:cstheme="minorEastAsia"/>
                <w:color w:val="000000"/>
                <w:kern w:val="0"/>
                <w:sz w:val="21"/>
                <w:szCs w:val="21"/>
              </w:rPr>
              <w:t>（含基础）</w:t>
            </w:r>
          </w:p>
        </w:tc>
        <w:tc>
          <w:tcPr>
            <w:tcW w:w="0" w:type="auto"/>
            <w:noWrap w:val="0"/>
            <w:vAlign w:val="top"/>
          </w:tcPr>
          <w:p w14:paraId="424303EC">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开元科技</w:t>
            </w:r>
          </w:p>
        </w:tc>
        <w:tc>
          <w:tcPr>
            <w:tcW w:w="0" w:type="auto"/>
            <w:noWrap w:val="0"/>
            <w:vAlign w:val="center"/>
          </w:tcPr>
          <w:p w14:paraId="5E2610C3">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rPr>
              <w:t>1</w:t>
            </w:r>
          </w:p>
        </w:tc>
        <w:tc>
          <w:tcPr>
            <w:tcW w:w="0" w:type="auto"/>
            <w:noWrap w:val="0"/>
            <w:vAlign w:val="top"/>
          </w:tcPr>
          <w:p w14:paraId="14857EA0">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r w14:paraId="04A34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0" w:type="auto"/>
            <w:noWrap w:val="0"/>
            <w:vAlign w:val="center"/>
          </w:tcPr>
          <w:p w14:paraId="6ECEE2A9">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26</w:t>
            </w:r>
          </w:p>
        </w:tc>
        <w:tc>
          <w:tcPr>
            <w:tcW w:w="0" w:type="auto"/>
            <w:noWrap w:val="0"/>
            <w:vAlign w:val="center"/>
          </w:tcPr>
          <w:p w14:paraId="1DD30012">
            <w:pPr>
              <w:widowControl/>
              <w:jc w:val="center"/>
              <w:rPr>
                <w:rFonts w:hint="eastAsia" w:asciiTheme="minorEastAsia" w:hAnsiTheme="minorEastAsia" w:eastAsiaTheme="minorEastAsia" w:cstheme="minorEastAsia"/>
                <w:color w:val="000000"/>
                <w:kern w:val="0"/>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rPr>
              <w:t>标志牌</w:t>
            </w:r>
          </w:p>
        </w:tc>
        <w:tc>
          <w:tcPr>
            <w:tcW w:w="0" w:type="auto"/>
            <w:noWrap w:val="0"/>
            <w:vAlign w:val="top"/>
          </w:tcPr>
          <w:p w14:paraId="3AC35EEF">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1"/>
                <w:szCs w:val="21"/>
                <w:u w:val="none"/>
                <w:lang w:val="en-US" w:eastAsia="zh-CN" w:bidi="ar"/>
              </w:rPr>
            </w:pPr>
            <w:r>
              <w:rPr>
                <w:rFonts w:hint="eastAsia" w:asciiTheme="minorEastAsia" w:hAnsiTheme="minorEastAsia" w:eastAsiaTheme="minorEastAsia" w:cstheme="minorEastAsia"/>
                <w:i w:val="0"/>
                <w:color w:val="000000"/>
                <w:kern w:val="0"/>
                <w:sz w:val="21"/>
                <w:szCs w:val="21"/>
                <w:u w:val="none"/>
                <w:lang w:val="en-US" w:eastAsia="zh-CN" w:bidi="ar"/>
              </w:rPr>
              <w:t>国产/国产</w:t>
            </w:r>
          </w:p>
        </w:tc>
        <w:tc>
          <w:tcPr>
            <w:tcW w:w="0" w:type="auto"/>
            <w:noWrap w:val="0"/>
            <w:vAlign w:val="center"/>
          </w:tcPr>
          <w:p w14:paraId="5AB6BC83">
            <w:pPr>
              <w:widowControl/>
              <w:jc w:val="center"/>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rPr>
              <w:t>1</w:t>
            </w:r>
          </w:p>
        </w:tc>
        <w:tc>
          <w:tcPr>
            <w:tcW w:w="0" w:type="auto"/>
            <w:noWrap w:val="0"/>
            <w:vAlign w:val="top"/>
          </w:tcPr>
          <w:p w14:paraId="0080C5ED">
            <w:pPr>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sz w:val="21"/>
                <w:szCs w:val="21"/>
                <w:lang w:val="en-US" w:eastAsia="zh-CN"/>
              </w:rPr>
              <w:t>现场路边</w:t>
            </w:r>
          </w:p>
        </w:tc>
      </w:tr>
    </w:tbl>
    <w:p w14:paraId="6061F799">
      <w:pPr>
        <w:spacing w:beforeLines="0" w:afterLines="0" w:line="360" w:lineRule="auto"/>
        <w:ind w:firstLine="48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包括但不限于</w:t>
      </w:r>
      <w:r>
        <w:rPr>
          <w:rFonts w:hint="eastAsia" w:asciiTheme="minorEastAsia" w:hAnsiTheme="minorEastAsia" w:eastAsiaTheme="minorEastAsia" w:cstheme="minorEastAsia"/>
          <w:sz w:val="21"/>
          <w:szCs w:val="21"/>
        </w:rPr>
        <w:t>以上设备，及各点位前置机</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称重系统的年检</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非现设备称重系统</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视频监控系统</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数据传输系统做好与浙江省综合治超监管平台数据传输</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各点位网络租赁</w:t>
      </w:r>
      <w:r>
        <w:rPr>
          <w:rFonts w:hint="eastAsia" w:asciiTheme="minorEastAsia" w:hAnsiTheme="minorEastAsia" w:eastAsiaTheme="minorEastAsia" w:cstheme="minorEastAsia"/>
          <w:sz w:val="21"/>
          <w:szCs w:val="21"/>
        </w:rPr>
        <w:t>等。</w:t>
      </w:r>
    </w:p>
    <w:p w14:paraId="0665A845">
      <w:pPr>
        <w:spacing w:beforeLines="0" w:afterLines="0" w:line="360" w:lineRule="auto"/>
        <w:ind w:firstLine="48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3）为保证数据传输，本次项目需针对</w:t>
      </w:r>
      <w:r>
        <w:rPr>
          <w:rFonts w:hint="eastAsia" w:asciiTheme="minorEastAsia" w:hAnsiTheme="minorEastAsia" w:eastAsiaTheme="minorEastAsia" w:cstheme="minorEastAsia"/>
          <w:b/>
          <w:kern w:val="0"/>
          <w:sz w:val="21"/>
          <w:szCs w:val="21"/>
          <w:lang w:bidi="ar"/>
        </w:rPr>
        <w:t xml:space="preserve"> </w:t>
      </w:r>
      <w:r>
        <w:rPr>
          <w:rFonts w:hint="eastAsia" w:asciiTheme="minorEastAsia" w:hAnsiTheme="minorEastAsia" w:eastAsiaTheme="minorEastAsia" w:cstheme="minorEastAsia"/>
          <w:sz w:val="21"/>
          <w:szCs w:val="21"/>
        </w:rPr>
        <w:t xml:space="preserve"> G330（洞合线）青田、丽水方向K160+585、X227（永庆线）青田、庆元方向K0+700、S333（六东线）青田、温州方向K35+600、G330（洞合线）青田、温州方向K130+600、X203（岙海线）喇叭口方向K0+800、X211（秋高线）高岗、彭括方向K5+800，</w:t>
      </w:r>
      <w:r>
        <w:rPr>
          <w:rFonts w:hint="eastAsia" w:asciiTheme="minorEastAsia" w:hAnsiTheme="minorEastAsia" w:eastAsiaTheme="minorEastAsia" w:cstheme="minorEastAsia"/>
          <w:sz w:val="21"/>
          <w:szCs w:val="21"/>
          <w:lang w:val="en-US" w:eastAsia="zh-CN"/>
        </w:rPr>
        <w:t>6</w:t>
      </w:r>
      <w:r>
        <w:rPr>
          <w:rFonts w:hint="eastAsia" w:asciiTheme="minorEastAsia" w:hAnsiTheme="minorEastAsia" w:eastAsiaTheme="minorEastAsia" w:cstheme="minorEastAsia"/>
          <w:sz w:val="21"/>
          <w:szCs w:val="21"/>
        </w:rPr>
        <w:t>个点位的非现场执法点位</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提供不低于原点位带宽的光纤租赁业务。</w:t>
      </w:r>
    </w:p>
    <w:p w14:paraId="0FD3EAE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9、运维保障</w:t>
      </w:r>
    </w:p>
    <w:p w14:paraId="62088B30">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▲1)供应商成交后需按采购人要求保证非现点位数据满足省厅考核完好率，做到非现设备称重系统，视频监控系统，数据传输系统设备完好，出现故障及时修复。本次服务范围 G330（洞合线）青田、丽水方向K160+585、X227（永庆线）青田、庆元方向K0+700、S333（六东线）青田、温州方向K35+600、G330（洞合线）青田、温州方向K130+600、X203（岙海线）喇叭口方向K0+800、X211（秋高线）高岗、彭括方向K5+800，</w:t>
      </w:r>
      <w:r>
        <w:rPr>
          <w:rFonts w:hint="eastAsia" w:asciiTheme="minorEastAsia" w:hAnsiTheme="minorEastAsia" w:eastAsiaTheme="minorEastAsia" w:cstheme="minorEastAsia"/>
          <w:sz w:val="21"/>
          <w:szCs w:val="21"/>
          <w:lang w:val="en-US" w:eastAsia="zh-CN"/>
        </w:rPr>
        <w:t>6</w:t>
      </w:r>
      <w:r>
        <w:rPr>
          <w:rFonts w:hint="eastAsia" w:asciiTheme="minorEastAsia" w:hAnsiTheme="minorEastAsia" w:eastAsiaTheme="minorEastAsia" w:cstheme="minorEastAsia"/>
          <w:sz w:val="21"/>
          <w:szCs w:val="21"/>
        </w:rPr>
        <w:t>个点位的非现场执法点位运维服务。</w:t>
      </w:r>
    </w:p>
    <w:p w14:paraId="3350EFB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a.前端网络链路及线路维护；</w:t>
      </w:r>
    </w:p>
    <w:p w14:paraId="75A48EA8">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b.机房服务器及软件维护；</w:t>
      </w:r>
    </w:p>
    <w:p w14:paraId="530460F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c.供应商须向采购人确定其现场服务联系机构的电话和联系人姓名。提供全天候(7×24小时)的热线电话响应服务。成交人需指定一名主要联系人及两名替补联系人与用户方联系。若成交人指定人员如因特殊原因离职或更换电话，应及时通知用户方，并指定合格的接替人员。</w:t>
      </w:r>
    </w:p>
    <w:p w14:paraId="49E6DF2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d.对供应商要求有专门的维保团队，提供实时的后端和远程数据支撑。</w:t>
      </w:r>
    </w:p>
    <w:p w14:paraId="03656FD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e.提供全面巡检服务，每周进行一次全面巡检，包括高速动态称重设备、车牌抓拍单元设备、监控设备、情报板设备、镜头清洗，巡检结束后，向用户提交详细的巡检报告。出现设备故障问题，则在半小时内电话响应，现场排除故障响应时间小于4小时，24小时内恢复系统设备正常运行。非第三方原因，超过24小时不能排除故障，采购人将自行采取必要的措施，由此产生风险和费用由供应商全部承担。若因第三方原因及不可抗力造成的，须在48小时内以书面形式向采购人提出故障设备维修替换等解决方案。若非因不可抗力，及第三方原因造成的故障，供应商不及时维修，未履行合同规定义务，导致设备不能正常使用，不能满足省厅考核要求，业主有权追究成交人违约责任。</w:t>
      </w:r>
    </w:p>
    <w:p w14:paraId="0E982E8B">
      <w:pPr>
        <w:keepLines/>
        <w:snapToGrid w:val="0"/>
        <w:spacing w:line="360" w:lineRule="auto"/>
        <w:rPr>
          <w:rFonts w:hint="eastAsia" w:asciiTheme="minorEastAsia" w:hAnsiTheme="minorEastAsia" w:eastAsiaTheme="minorEastAsia" w:cstheme="minorEastAsia"/>
          <w:b/>
          <w:color w:val="000000"/>
          <w:sz w:val="21"/>
          <w:szCs w:val="21"/>
          <w:highlight w:val="none"/>
        </w:rPr>
      </w:pPr>
      <w:bookmarkStart w:id="30" w:name="_Toc128559052"/>
      <w:r>
        <w:rPr>
          <w:rFonts w:hint="eastAsia" w:asciiTheme="minorEastAsia" w:hAnsiTheme="minorEastAsia" w:eastAsiaTheme="minorEastAsia" w:cstheme="minorEastAsia"/>
          <w:b/>
          <w:color w:val="000000"/>
          <w:sz w:val="21"/>
          <w:szCs w:val="21"/>
          <w:highlight w:val="none"/>
        </w:rPr>
        <w:t>五、维保服务期内交付文档</w:t>
      </w:r>
      <w:bookmarkEnd w:id="30"/>
    </w:p>
    <w:p w14:paraId="6D36DF2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为了便于采购单位及时了解维保服务的执行情况，在维保服务期内供应商需提供以下文档和报告。</w:t>
      </w:r>
    </w:p>
    <w:p w14:paraId="31F78AC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1、维保现场服务报告：在提供每次现场服务时，需填写：《维保现场服务报告》，提供详细的操作日志。</w:t>
      </w:r>
    </w:p>
    <w:p w14:paraId="3066610A">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2、重大故障分析报告：在重大故障发生后2个工作日内，提供详细故障分析报告。内容包括事件发生的时间、地点、状况、受到影响的范围、事故原因、处理结果、责任认定、未来防范措施等。</w:t>
      </w:r>
    </w:p>
    <w:p w14:paraId="17D4613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3、月度服务清单：每月10日向采购人提供上一个月的《月度服务清单》，以便全面了解系统的运行及维护状况。月度服务清单中每次服务内容包括日期、故障设备、故障描述、故障状态、确认人、联系方法等。</w:t>
      </w:r>
    </w:p>
    <w:p w14:paraId="45CB5CF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4、年度服务清单：负责在合同期结束10天内，提供《年度服务清单》，每项服务内容同《月度服务清单》，并根据《年度服务清单》，对整年的维保进行成本费用分析。</w:t>
      </w:r>
    </w:p>
    <w:p w14:paraId="61FF37F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5、年度维保服务报告：负责在合同期结束10天内，提供《年度维保服务报告》，对全年的维保服务进行分析和总结。</w:t>
      </w:r>
    </w:p>
    <w:p w14:paraId="2428CBAE">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6、系统综合性分析和评估建议报告：以服务年度为周期，服务年度结束时，由维保人就运行一年来的系统综合运行情况、流程管理等内容进行分析，提供维保工作报告，提出具备可行性的改进建议方案。</w:t>
      </w:r>
    </w:p>
    <w:p w14:paraId="0AD1CE8E">
      <w:pPr>
        <w:keepLines/>
        <w:snapToGrid w:val="0"/>
        <w:spacing w:line="360" w:lineRule="auto"/>
        <w:rPr>
          <w:rFonts w:hint="eastAsia" w:asciiTheme="minorEastAsia" w:hAnsiTheme="minorEastAsia" w:eastAsiaTheme="minorEastAsia" w:cstheme="minorEastAsia"/>
          <w:b/>
          <w:color w:val="000000"/>
          <w:sz w:val="21"/>
          <w:szCs w:val="21"/>
          <w:highlight w:val="none"/>
        </w:rPr>
      </w:pPr>
      <w:bookmarkStart w:id="31" w:name="_Toc128559053"/>
      <w:r>
        <w:rPr>
          <w:rFonts w:hint="eastAsia" w:asciiTheme="minorEastAsia" w:hAnsiTheme="minorEastAsia" w:eastAsiaTheme="minorEastAsia" w:cstheme="minorEastAsia"/>
          <w:b/>
          <w:color w:val="000000"/>
          <w:sz w:val="21"/>
          <w:szCs w:val="21"/>
          <w:highlight w:val="none"/>
        </w:rPr>
        <w:t>六、安全规范</w:t>
      </w:r>
      <w:bookmarkEnd w:id="31"/>
    </w:p>
    <w:p w14:paraId="21ED392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1、供应商应认真执行《中华人民共和国安全生产法》、《中华人民共和国电力法》以及用户方对安全工作的要求，并与用户方签订安全协议书。</w:t>
      </w:r>
    </w:p>
    <w:p w14:paraId="737B66A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2、供应商所有派遣人员必须持有国家颁发的有关证件上岗，严格遵守用户方设备的操作规则，不得违章操作。</w:t>
      </w:r>
    </w:p>
    <w:p w14:paraId="3B119E52">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3、供应商在工作过程中，必须佩戴必要的防护工具，必须使用合格的专业的工具。</w:t>
      </w:r>
    </w:p>
    <w:p w14:paraId="2EB78175">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4、对于违反上述3条内容，造成人员意外伤亡事故以及用户方正常设备损坏的，由供应商负全部责任，用户方概不承担。</w:t>
      </w:r>
    </w:p>
    <w:p w14:paraId="0ED6E83D">
      <w:pPr>
        <w:keepLines/>
        <w:snapToGrid w:val="0"/>
        <w:spacing w:line="360" w:lineRule="auto"/>
        <w:rPr>
          <w:rFonts w:hint="eastAsia" w:asciiTheme="minorEastAsia" w:hAnsiTheme="minorEastAsia" w:eastAsiaTheme="minorEastAsia" w:cstheme="minorEastAsia"/>
          <w:b/>
          <w:color w:val="000000"/>
          <w:sz w:val="21"/>
          <w:szCs w:val="21"/>
          <w:highlight w:val="none"/>
          <w:lang w:eastAsia="zh-CN"/>
        </w:rPr>
      </w:pPr>
      <w:r>
        <w:rPr>
          <w:rFonts w:hint="eastAsia" w:asciiTheme="minorEastAsia" w:hAnsiTheme="minorEastAsia" w:eastAsiaTheme="minorEastAsia" w:cstheme="minorEastAsia"/>
          <w:b/>
          <w:color w:val="000000"/>
          <w:sz w:val="21"/>
          <w:szCs w:val="21"/>
          <w:highlight w:val="none"/>
        </w:rPr>
        <w:t>七、</w:t>
      </w:r>
      <w:r>
        <w:rPr>
          <w:rFonts w:hint="eastAsia" w:asciiTheme="minorEastAsia" w:hAnsiTheme="minorEastAsia" w:eastAsiaTheme="minorEastAsia" w:cstheme="minorEastAsia"/>
          <w:b/>
          <w:color w:val="000000"/>
          <w:sz w:val="21"/>
          <w:szCs w:val="21"/>
          <w:highlight w:val="none"/>
          <w:lang w:eastAsia="zh-CN"/>
        </w:rPr>
        <w:t>人员及车辆要求</w:t>
      </w:r>
    </w:p>
    <w:p w14:paraId="70335A7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1.人员要求</w:t>
      </w:r>
    </w:p>
    <w:p w14:paraId="490E012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结合本项目要求：配置项目负责人≥1名，负责与协调各方事务，对项目班组负责；配置≥4个专业维护技术人员，负责前端故障排查。</w:t>
      </w:r>
    </w:p>
    <w:p w14:paraId="0B3F53F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2.车辆要求</w:t>
      </w:r>
    </w:p>
    <w:p w14:paraId="15B6687B">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维修专用车≥1辆，</w:t>
      </w:r>
      <w:r>
        <w:rPr>
          <w:rFonts w:hint="eastAsia" w:asciiTheme="minorEastAsia" w:hAnsiTheme="minorEastAsia" w:eastAsiaTheme="minorEastAsia" w:cstheme="minorEastAsia"/>
          <w:sz w:val="21"/>
          <w:szCs w:val="21"/>
        </w:rPr>
        <w:t>（提供行驶证</w:t>
      </w:r>
      <w:r>
        <w:rPr>
          <w:rFonts w:hint="eastAsia" w:asciiTheme="minorEastAsia" w:hAnsiTheme="minorEastAsia" w:eastAsiaTheme="minorEastAsia" w:cstheme="minorEastAsia"/>
          <w:sz w:val="21"/>
          <w:szCs w:val="21"/>
          <w:lang w:eastAsia="zh-CN"/>
        </w:rPr>
        <w:t>或车辆租赁合同证明车辆所有人或使用单位为投标人）</w:t>
      </w:r>
    </w:p>
    <w:p w14:paraId="79DBDF8A">
      <w:pPr>
        <w:keepLines/>
        <w:snapToGrid w:val="0"/>
        <w:spacing w:line="360" w:lineRule="auto"/>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eastAsia="zh-CN"/>
        </w:rPr>
        <w:t>八、</w:t>
      </w:r>
      <w:r>
        <w:rPr>
          <w:rFonts w:hint="eastAsia" w:asciiTheme="minorEastAsia" w:hAnsiTheme="minorEastAsia" w:eastAsiaTheme="minorEastAsia" w:cstheme="minorEastAsia"/>
          <w:b/>
          <w:color w:val="000000"/>
          <w:sz w:val="21"/>
          <w:szCs w:val="21"/>
          <w:highlight w:val="none"/>
        </w:rPr>
        <w:t>商务要求</w:t>
      </w:r>
    </w:p>
    <w:p w14:paraId="4801669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r>
        <w:rPr>
          <w:rFonts w:hint="eastAsia" w:asciiTheme="minorEastAsia" w:hAnsiTheme="minorEastAsia" w:eastAsiaTheme="minorEastAsia" w:cstheme="minorEastAsia"/>
          <w:b/>
          <w:bCs/>
          <w:sz w:val="21"/>
          <w:szCs w:val="21"/>
        </w:rPr>
        <w:t>服务期：一年（具体期限以合同签订时间为准）</w:t>
      </w:r>
      <w:r>
        <w:rPr>
          <w:rFonts w:hint="eastAsia" w:asciiTheme="minorEastAsia" w:hAnsiTheme="minorEastAsia" w:eastAsiaTheme="minorEastAsia" w:cstheme="minorEastAsia"/>
          <w:sz w:val="21"/>
          <w:szCs w:val="21"/>
        </w:rPr>
        <w:t>。</w:t>
      </w:r>
    </w:p>
    <w:p w14:paraId="74CC3E07">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2、付款方式：</w:t>
      </w:r>
    </w:p>
    <w:p w14:paraId="58A4A68C">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在合同生效以及具备实施条件后7个工作日内支付合同总价50%的预付款。采购人可以根据中标供应商信用等情况，决定是否要求中标供应商提交和预付款同等额度的银行、保险公司等金融机构出具的预付款保函或其他担保措施（采用保函形式的必须符合丽水市相关规定）；</w:t>
      </w:r>
    </w:p>
    <w:p w14:paraId="7D4B3FBF">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运维人员到位，维保期设备运行正常6个月且收到正式</w:t>
      </w:r>
      <w:r>
        <w:rPr>
          <w:rFonts w:hint="eastAsia" w:asciiTheme="minorEastAsia" w:hAnsiTheme="minorEastAsia" w:eastAsiaTheme="minorEastAsia" w:cstheme="minorEastAsia"/>
          <w:sz w:val="21"/>
          <w:szCs w:val="21"/>
          <w:lang w:eastAsia="zh-CN"/>
        </w:rPr>
        <w:t>服务</w:t>
      </w:r>
      <w:r>
        <w:rPr>
          <w:rFonts w:hint="eastAsia" w:asciiTheme="minorEastAsia" w:hAnsiTheme="minorEastAsia" w:eastAsiaTheme="minorEastAsia" w:cstheme="minorEastAsia"/>
          <w:sz w:val="21"/>
          <w:szCs w:val="21"/>
        </w:rPr>
        <w:t>发票后7个工作日内，支付</w:t>
      </w:r>
      <w:r>
        <w:rPr>
          <w:rFonts w:hint="eastAsia" w:asciiTheme="minorEastAsia" w:hAnsiTheme="minorEastAsia" w:eastAsiaTheme="minorEastAsia" w:cstheme="minorEastAsia"/>
          <w:sz w:val="21"/>
          <w:szCs w:val="21"/>
          <w:lang w:eastAsia="zh-CN"/>
        </w:rPr>
        <w:t>至</w:t>
      </w:r>
      <w:r>
        <w:rPr>
          <w:rFonts w:hint="eastAsia" w:asciiTheme="minorEastAsia" w:hAnsiTheme="minorEastAsia" w:eastAsiaTheme="minorEastAsia" w:cstheme="minorEastAsia"/>
          <w:sz w:val="21"/>
          <w:szCs w:val="21"/>
        </w:rPr>
        <w:t>合同</w:t>
      </w:r>
      <w:r>
        <w:rPr>
          <w:rFonts w:hint="eastAsia" w:asciiTheme="minorEastAsia" w:hAnsiTheme="minorEastAsia" w:eastAsiaTheme="minorEastAsia" w:cstheme="minorEastAsia"/>
          <w:sz w:val="21"/>
          <w:szCs w:val="21"/>
          <w:lang w:eastAsia="zh-CN"/>
        </w:rPr>
        <w:t>总价</w:t>
      </w:r>
      <w:r>
        <w:rPr>
          <w:rFonts w:hint="eastAsia" w:asciiTheme="minorEastAsia" w:hAnsiTheme="minorEastAsia" w:eastAsiaTheme="minorEastAsia" w:cstheme="minorEastAsia"/>
          <w:sz w:val="21"/>
          <w:szCs w:val="21"/>
        </w:rPr>
        <w:t>款的</w:t>
      </w:r>
      <w:r>
        <w:rPr>
          <w:rFonts w:hint="eastAsia" w:asciiTheme="minorEastAsia" w:hAnsiTheme="minorEastAsia" w:eastAsiaTheme="minorEastAsia" w:cstheme="minorEastAsia"/>
          <w:sz w:val="21"/>
          <w:szCs w:val="21"/>
          <w:lang w:val="en-US" w:eastAsia="zh-CN"/>
        </w:rPr>
        <w:t>80</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eastAsia="zh-CN"/>
        </w:rPr>
        <w:t>；</w:t>
      </w:r>
    </w:p>
    <w:p w14:paraId="325BD446">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3.完成履约任务，满足合同约定支付条件的，自采购人收到发票后7个工作日内支付至合同总价的100%。发票应随付进度款同时提供（包含按照国家有关规定缴纳相应税费）。</w:t>
      </w:r>
    </w:p>
    <w:bookmarkEnd w:id="25"/>
    <w:p w14:paraId="6B4C8FF3">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lang w:val="zh-CN"/>
        </w:rPr>
      </w:pPr>
      <w:r>
        <w:rPr>
          <w:rFonts w:hint="eastAsia" w:asciiTheme="minorEastAsia" w:hAnsiTheme="minorEastAsia" w:eastAsiaTheme="minorEastAsia" w:cstheme="minorEastAsia"/>
          <w:sz w:val="21"/>
          <w:szCs w:val="21"/>
          <w:lang w:val="en-US" w:eastAsia="zh-CN"/>
        </w:rPr>
        <w:t>3</w:t>
      </w:r>
      <w:r>
        <w:rPr>
          <w:rFonts w:hint="eastAsia" w:asciiTheme="minorEastAsia" w:hAnsiTheme="minorEastAsia" w:eastAsiaTheme="minorEastAsia" w:cstheme="minorEastAsia"/>
          <w:sz w:val="21"/>
          <w:szCs w:val="21"/>
          <w:lang w:val="zh-CN"/>
        </w:rPr>
        <w:t>、其他</w:t>
      </w:r>
    </w:p>
    <w:p w14:paraId="53BA113D">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.本项目所涉及税收、人工费、安装费等一切与之相关的所有费用都需包含在报价中。</w:t>
      </w:r>
    </w:p>
    <w:p w14:paraId="63B819AB">
      <w:pPr>
        <w:pageBreakBefore w:val="0"/>
        <w:widowControl w:val="0"/>
        <w:kinsoku/>
        <w:wordWrap/>
        <w:overflowPunct/>
        <w:topLinePunct w:val="0"/>
        <w:autoSpaceDE/>
        <w:autoSpaceDN/>
        <w:bidi w:val="0"/>
        <w:adjustRightInd/>
        <w:snapToGrid w:val="0"/>
        <w:spacing w:line="360" w:lineRule="auto"/>
        <w:ind w:firstLine="442" w:firstLineChars="200"/>
        <w:textAlignment w:val="auto"/>
        <w:rPr>
          <w:rStyle w:val="65"/>
          <w:rFonts w:hint="eastAsia"/>
          <w:color w:val="000000" w:themeColor="text1"/>
          <w:sz w:val="36"/>
          <w:szCs w:val="36"/>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本章和第五章内容为磋商过程中可能实质性变动的内容。</w:t>
      </w:r>
      <w:bookmarkEnd w:id="11"/>
      <w:bookmarkEnd w:id="12"/>
    </w:p>
    <w:bookmarkEnd w:id="26"/>
    <w:p w14:paraId="03995AB2">
      <w:pPr>
        <w:spacing w:line="360" w:lineRule="auto"/>
        <w:jc w:val="center"/>
        <w:rPr>
          <w:rStyle w:val="65"/>
          <w:rFonts w:hint="eastAsia"/>
          <w:color w:val="000000" w:themeColor="text1"/>
          <w:sz w:val="36"/>
          <w:szCs w:val="36"/>
          <w:highlight w:val="none"/>
          <w14:textFill>
            <w14:solidFill>
              <w14:schemeClr w14:val="tx1"/>
            </w14:solidFill>
          </w14:textFill>
        </w:rPr>
      </w:pPr>
    </w:p>
    <w:p w14:paraId="0C7BA3B8">
      <w:pPr>
        <w:spacing w:line="360" w:lineRule="auto"/>
        <w:jc w:val="center"/>
        <w:rPr>
          <w:rStyle w:val="65"/>
          <w:color w:val="000000" w:themeColor="text1"/>
          <w:sz w:val="36"/>
          <w:szCs w:val="36"/>
          <w:highlight w:val="none"/>
          <w14:textFill>
            <w14:solidFill>
              <w14:schemeClr w14:val="tx1"/>
            </w14:solidFill>
          </w14:textFill>
        </w:rPr>
      </w:pPr>
      <w:bookmarkStart w:id="32" w:name="_Toc11529"/>
      <w:r>
        <w:rPr>
          <w:rStyle w:val="65"/>
          <w:rFonts w:hint="eastAsia"/>
          <w:color w:val="000000" w:themeColor="text1"/>
          <w:sz w:val="36"/>
          <w:szCs w:val="36"/>
          <w:highlight w:val="none"/>
          <w14:textFill>
            <w14:solidFill>
              <w14:schemeClr w14:val="tx1"/>
            </w14:solidFill>
          </w14:textFill>
        </w:rPr>
        <w:t>第三章 供应商须知</w:t>
      </w:r>
      <w:bookmarkEnd w:id="13"/>
      <w:bookmarkEnd w:id="14"/>
      <w:bookmarkEnd w:id="15"/>
      <w:bookmarkEnd w:id="16"/>
    </w:p>
    <w:bookmarkEnd w:id="32"/>
    <w:p w14:paraId="745067B6">
      <w:pPr>
        <w:spacing w:line="360" w:lineRule="auto"/>
        <w:jc w:val="center"/>
        <w:rPr>
          <w:b/>
          <w:bCs/>
          <w:color w:val="000000" w:themeColor="text1"/>
          <w:sz w:val="28"/>
          <w:szCs w:val="28"/>
          <w:highlight w:val="none"/>
          <w14:textFill>
            <w14:solidFill>
              <w14:schemeClr w14:val="tx1"/>
            </w14:solidFill>
          </w14:textFill>
        </w:rPr>
      </w:pPr>
      <w:r>
        <w:rPr>
          <w:rFonts w:hint="eastAsia"/>
          <w:b/>
          <w:bCs/>
          <w:color w:val="000000" w:themeColor="text1"/>
          <w:sz w:val="28"/>
          <w:szCs w:val="28"/>
          <w:highlight w:val="none"/>
          <w14:textFill>
            <w14:solidFill>
              <w14:schemeClr w14:val="tx1"/>
            </w14:solidFill>
          </w14:textFill>
        </w:rPr>
        <w:t>第一节 供应商须知前附表</w:t>
      </w:r>
      <w:r>
        <w:rPr>
          <w:rFonts w:hint="eastAsia"/>
          <w:b/>
          <w:bCs/>
          <w:color w:val="000000"/>
          <w:sz w:val="28"/>
          <w:szCs w:val="28"/>
        </w:rPr>
        <w:t>（一）</w:t>
      </w:r>
    </w:p>
    <w:tbl>
      <w:tblPr>
        <w:tblStyle w:val="43"/>
        <w:tblW w:w="9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1857"/>
        <w:gridCol w:w="6753"/>
      </w:tblGrid>
      <w:tr w14:paraId="1FEE3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4E9B3398">
            <w:pPr>
              <w:snapToGri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条款号</w:t>
            </w:r>
          </w:p>
        </w:tc>
        <w:tc>
          <w:tcPr>
            <w:tcW w:w="1857" w:type="dxa"/>
            <w:vAlign w:val="center"/>
          </w:tcPr>
          <w:p w14:paraId="75BA3328">
            <w:pPr>
              <w:snapToGri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条款名称</w:t>
            </w:r>
          </w:p>
        </w:tc>
        <w:tc>
          <w:tcPr>
            <w:tcW w:w="6753" w:type="dxa"/>
            <w:vAlign w:val="center"/>
          </w:tcPr>
          <w:p w14:paraId="0D4147D6">
            <w:pPr>
              <w:snapToGrid w:val="0"/>
              <w:spacing w:line="312" w:lineRule="auto"/>
              <w:ind w:left="-108"/>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编列内容</w:t>
            </w:r>
          </w:p>
        </w:tc>
      </w:tr>
      <w:tr w14:paraId="261A1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76423407">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1.2.1</w:t>
            </w:r>
          </w:p>
        </w:tc>
        <w:tc>
          <w:tcPr>
            <w:tcW w:w="1857" w:type="dxa"/>
            <w:vAlign w:val="center"/>
          </w:tcPr>
          <w:p w14:paraId="4561CB46">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采购人</w:t>
            </w:r>
          </w:p>
        </w:tc>
        <w:tc>
          <w:tcPr>
            <w:tcW w:w="6753" w:type="dxa"/>
            <w:vAlign w:val="center"/>
          </w:tcPr>
          <w:p w14:paraId="5678FAAB">
            <w:pPr>
              <w:spacing w:line="312" w:lineRule="auto"/>
              <w:rPr>
                <w:rFonts w:hint="eastAsia" w:ascii="宋体" w:hAnsi="宋体" w:eastAsia="宋体" w:cs="宋体"/>
                <w:bCs/>
                <w:color w:val="000000" w:themeColor="text1"/>
                <w:szCs w:val="21"/>
                <w:highlight w:val="none"/>
                <w:lang w:eastAsia="zh-CN"/>
                <w14:textFill>
                  <w14:solidFill>
                    <w14:schemeClr w14:val="tx1"/>
                  </w14:solidFill>
                </w14:textFill>
              </w:rPr>
            </w:pPr>
            <w:r>
              <w:rPr>
                <w:rFonts w:hint="eastAsia" w:ascii="宋体" w:hAnsi="宋体" w:cs="宋体"/>
                <w:bCs/>
                <w:color w:val="000000" w:themeColor="text1"/>
                <w:szCs w:val="21"/>
                <w:highlight w:val="none"/>
                <w:lang w:eastAsia="zh-CN"/>
                <w14:textFill>
                  <w14:solidFill>
                    <w14:schemeClr w14:val="tx1"/>
                  </w14:solidFill>
                </w14:textFill>
              </w:rPr>
              <w:t>青田县交通运输局</w:t>
            </w:r>
          </w:p>
        </w:tc>
      </w:tr>
      <w:tr w14:paraId="457D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575E49CB">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1.2.2</w:t>
            </w:r>
          </w:p>
        </w:tc>
        <w:tc>
          <w:tcPr>
            <w:tcW w:w="1857" w:type="dxa"/>
            <w:vAlign w:val="center"/>
          </w:tcPr>
          <w:p w14:paraId="32FA2803">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采购代理机构</w:t>
            </w:r>
          </w:p>
        </w:tc>
        <w:tc>
          <w:tcPr>
            <w:tcW w:w="6753" w:type="dxa"/>
            <w:vAlign w:val="center"/>
          </w:tcPr>
          <w:p w14:paraId="5397CB65">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lang w:eastAsia="zh-CN"/>
                <w14:textFill>
                  <w14:solidFill>
                    <w14:schemeClr w14:val="tx1"/>
                  </w14:solidFill>
                </w14:textFill>
              </w:rPr>
              <w:t>浙江鼎峰工程咨询有限公司</w:t>
            </w:r>
            <w:r>
              <w:rPr>
                <w:rFonts w:hint="eastAsia" w:ascii="宋体" w:hAnsi="宋体" w:cs="宋体"/>
                <w:bCs/>
                <w:color w:val="000000" w:themeColor="text1"/>
                <w:szCs w:val="21"/>
                <w:highlight w:val="none"/>
                <w14:textFill>
                  <w14:solidFill>
                    <w14:schemeClr w14:val="tx1"/>
                  </w14:solidFill>
                </w14:textFill>
              </w:rPr>
              <w:t xml:space="preserve">  </w:t>
            </w:r>
          </w:p>
        </w:tc>
      </w:tr>
      <w:tr w14:paraId="6FF15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2DF011E1">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1.3.1</w:t>
            </w:r>
          </w:p>
        </w:tc>
        <w:tc>
          <w:tcPr>
            <w:tcW w:w="1857" w:type="dxa"/>
            <w:vAlign w:val="center"/>
          </w:tcPr>
          <w:p w14:paraId="730B51E0">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合格的供应商</w:t>
            </w:r>
          </w:p>
        </w:tc>
        <w:tc>
          <w:tcPr>
            <w:tcW w:w="6753" w:type="dxa"/>
            <w:vAlign w:val="center"/>
          </w:tcPr>
          <w:p w14:paraId="10F06DAC">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见磋商公告中供应商资格要求</w:t>
            </w:r>
          </w:p>
        </w:tc>
      </w:tr>
      <w:tr w14:paraId="0E25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6ACCED64">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1.4.1</w:t>
            </w:r>
          </w:p>
        </w:tc>
        <w:tc>
          <w:tcPr>
            <w:tcW w:w="1857" w:type="dxa"/>
            <w:vAlign w:val="center"/>
          </w:tcPr>
          <w:p w14:paraId="2DE266A5">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联合体磋商</w:t>
            </w:r>
          </w:p>
        </w:tc>
        <w:tc>
          <w:tcPr>
            <w:tcW w:w="6753" w:type="dxa"/>
            <w:vAlign w:val="center"/>
          </w:tcPr>
          <w:p w14:paraId="0087EB34">
            <w:pPr>
              <w:snapToGrid w:val="0"/>
              <w:spacing w:line="312" w:lineRule="auto"/>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fldChar w:fldCharType="begin"/>
            </w:r>
            <w:r>
              <w:rPr>
                <w:rFonts w:hint="eastAsia" w:ascii="宋体" w:hAnsi="宋体" w:eastAsia="宋体" w:cs="宋体"/>
                <w:bCs/>
                <w:color w:val="000000" w:themeColor="text1"/>
                <w:szCs w:val="21"/>
                <w:highlight w:val="none"/>
                <w14:textFill>
                  <w14:solidFill>
                    <w14:schemeClr w14:val="tx1"/>
                  </w14:solidFill>
                </w14:textFill>
              </w:rPr>
              <w:instrText xml:space="preserve"> eq \o\ac(□,√)</w:instrText>
            </w:r>
            <w:r>
              <w:rPr>
                <w:rFonts w:hint="eastAsia" w:ascii="宋体" w:hAnsi="宋体" w:eastAsia="宋体" w:cs="宋体"/>
                <w:bCs/>
                <w:color w:val="000000" w:themeColor="text1"/>
                <w:szCs w:val="21"/>
                <w:highlight w:val="none"/>
                <w14:textFill>
                  <w14:solidFill>
                    <w14:schemeClr w14:val="tx1"/>
                  </w14:solidFill>
                </w14:textFill>
              </w:rPr>
              <w:fldChar w:fldCharType="end"/>
            </w:r>
            <w:r>
              <w:rPr>
                <w:rFonts w:hint="eastAsia" w:ascii="宋体" w:hAnsi="宋体" w:eastAsia="宋体" w:cs="宋体"/>
                <w:bCs/>
                <w:color w:val="000000" w:themeColor="text1"/>
                <w:szCs w:val="21"/>
                <w:highlight w:val="none"/>
                <w14:textFill>
                  <w14:solidFill>
                    <w14:schemeClr w14:val="tx1"/>
                  </w14:solidFill>
                </w14:textFill>
              </w:rPr>
              <w:t>不接受；</w:t>
            </w:r>
            <w:r>
              <w:rPr>
                <w:rFonts w:hint="eastAsia" w:ascii="宋体" w:hAnsi="宋体" w:eastAsia="宋体" w:cs="宋体"/>
                <w:bCs/>
                <w:color w:val="000000" w:themeColor="text1"/>
                <w:szCs w:val="21"/>
                <w:highlight w:val="none"/>
                <w:lang w:val="en-US" w:eastAsia="zh-CN"/>
                <w14:textFill>
                  <w14:solidFill>
                    <w14:schemeClr w14:val="tx1"/>
                  </w14:solidFill>
                </w14:textFill>
              </w:rPr>
              <w:t xml:space="preserve">     </w:t>
            </w: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接受。</w:t>
            </w:r>
          </w:p>
        </w:tc>
      </w:tr>
      <w:tr w14:paraId="0E34F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6B64BDDD">
            <w:pPr>
              <w:spacing w:line="300" w:lineRule="auto"/>
              <w:ind w:left="-88" w:leftChars="-42" w:right="-113" w:rightChars="-54"/>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1.7.1</w:t>
            </w:r>
          </w:p>
        </w:tc>
        <w:tc>
          <w:tcPr>
            <w:tcW w:w="1857" w:type="dxa"/>
            <w:vAlign w:val="center"/>
          </w:tcPr>
          <w:p w14:paraId="40579129">
            <w:pPr>
              <w:spacing w:line="300" w:lineRule="auto"/>
              <w:ind w:left="-53" w:leftChars="-53" w:right="-65" w:rightChars="-31" w:hanging="58" w:hangingChars="28"/>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现场踏勘</w:t>
            </w:r>
          </w:p>
        </w:tc>
        <w:tc>
          <w:tcPr>
            <w:tcW w:w="6753" w:type="dxa"/>
            <w:vAlign w:val="center"/>
          </w:tcPr>
          <w:p w14:paraId="2D51D120">
            <w:pPr>
              <w:snapToGrid w:val="0"/>
              <w:spacing w:line="312" w:lineRule="auto"/>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sym w:font="Wingdings" w:char="00FE"/>
            </w:r>
            <w:r>
              <w:rPr>
                <w:rFonts w:hint="eastAsia" w:ascii="宋体" w:hAnsi="宋体" w:eastAsia="宋体" w:cs="宋体"/>
                <w:bCs/>
                <w:color w:val="000000" w:themeColor="text1"/>
                <w:szCs w:val="21"/>
                <w:highlight w:val="none"/>
                <w14:textFill>
                  <w14:solidFill>
                    <w14:schemeClr w14:val="tx1"/>
                  </w14:solidFill>
                </w14:textFill>
              </w:rPr>
              <w:t xml:space="preserve"> 不组织；</w:t>
            </w:r>
            <w:r>
              <w:rPr>
                <w:rFonts w:hint="eastAsia" w:ascii="宋体" w:hAnsi="宋体" w:cs="宋体"/>
                <w:bCs/>
                <w:color w:val="000000" w:themeColor="text1"/>
                <w:szCs w:val="21"/>
                <w:highlight w:val="none"/>
                <w:lang w:val="en-US" w:eastAsia="zh-CN"/>
                <w14:textFill>
                  <w14:solidFill>
                    <w14:schemeClr w14:val="tx1"/>
                  </w14:solidFill>
                </w14:textFill>
              </w:rPr>
              <w:t xml:space="preserve">    </w:t>
            </w: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 xml:space="preserve">组织，详见第二章采购需求。     </w:t>
            </w:r>
          </w:p>
        </w:tc>
      </w:tr>
      <w:tr w14:paraId="7D9B0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4A599702">
            <w:pPr>
              <w:spacing w:line="300" w:lineRule="auto"/>
              <w:ind w:left="-88" w:leftChars="-42" w:right="-113" w:rightChars="-54"/>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1.8.1</w:t>
            </w:r>
          </w:p>
        </w:tc>
        <w:tc>
          <w:tcPr>
            <w:tcW w:w="1857" w:type="dxa"/>
            <w:vAlign w:val="center"/>
          </w:tcPr>
          <w:p w14:paraId="617585B4">
            <w:pPr>
              <w:spacing w:line="300" w:lineRule="auto"/>
              <w:ind w:left="-53" w:leftChars="-53" w:right="-65" w:rightChars="-31" w:hanging="58" w:hangingChars="28"/>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答疑会</w:t>
            </w:r>
          </w:p>
        </w:tc>
        <w:tc>
          <w:tcPr>
            <w:tcW w:w="6753" w:type="dxa"/>
            <w:vAlign w:val="center"/>
          </w:tcPr>
          <w:p w14:paraId="13AA5151">
            <w:pPr>
              <w:snapToGrid w:val="0"/>
              <w:spacing w:line="312" w:lineRule="auto"/>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sym w:font="Wingdings" w:char="00FE"/>
            </w:r>
            <w:r>
              <w:rPr>
                <w:rFonts w:hint="eastAsia" w:ascii="宋体" w:hAnsi="宋体" w:eastAsia="宋体" w:cs="宋体"/>
                <w:bCs/>
                <w:color w:val="000000" w:themeColor="text1"/>
                <w:szCs w:val="21"/>
                <w:highlight w:val="none"/>
                <w14:textFill>
                  <w14:solidFill>
                    <w14:schemeClr w14:val="tx1"/>
                  </w14:solidFill>
                </w14:textFill>
              </w:rPr>
              <w:t xml:space="preserve"> 不召开；</w:t>
            </w:r>
            <w:r>
              <w:rPr>
                <w:rFonts w:hint="eastAsia" w:ascii="宋体" w:hAnsi="宋体" w:eastAsia="宋体" w:cs="宋体"/>
                <w:bCs/>
                <w:color w:val="000000" w:themeColor="text1"/>
                <w:szCs w:val="21"/>
                <w:highlight w:val="none"/>
                <w:lang w:val="en-US" w:eastAsia="zh-CN"/>
                <w14:textFill>
                  <w14:solidFill>
                    <w14:schemeClr w14:val="tx1"/>
                  </w14:solidFill>
                </w14:textFill>
              </w:rPr>
              <w:t xml:space="preserve">    </w:t>
            </w:r>
            <w:r>
              <w:rPr>
                <w:rFonts w:hint="eastAsia" w:ascii="宋体" w:hAnsi="宋体" w:cs="宋体"/>
                <w:bCs/>
                <w:color w:val="000000" w:themeColor="text1"/>
                <w:szCs w:val="21"/>
                <w:highlight w:val="none"/>
                <w:lang w:val="en-US" w:eastAsia="zh-CN"/>
                <w14:textFill>
                  <w14:solidFill>
                    <w14:schemeClr w14:val="tx1"/>
                  </w14:solidFill>
                </w14:textFill>
              </w:rPr>
              <w:t xml:space="preserve"> </w:t>
            </w: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召开。</w:t>
            </w:r>
          </w:p>
        </w:tc>
      </w:tr>
      <w:tr w14:paraId="79ED5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39" w:type="dxa"/>
            <w:vAlign w:val="center"/>
          </w:tcPr>
          <w:p w14:paraId="40E85607">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1.9.1</w:t>
            </w:r>
          </w:p>
        </w:tc>
        <w:tc>
          <w:tcPr>
            <w:tcW w:w="1857" w:type="dxa"/>
            <w:vAlign w:val="center"/>
          </w:tcPr>
          <w:p w14:paraId="73BB5220">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分包</w:t>
            </w:r>
          </w:p>
        </w:tc>
        <w:tc>
          <w:tcPr>
            <w:tcW w:w="6753" w:type="dxa"/>
            <w:vAlign w:val="center"/>
          </w:tcPr>
          <w:p w14:paraId="5C3679BD">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sym w:font="Wingdings" w:char="00FE"/>
            </w:r>
            <w:r>
              <w:rPr>
                <w:rFonts w:hint="eastAsia" w:ascii="宋体" w:hAnsi="宋体" w:cs="宋体"/>
                <w:bCs/>
                <w:color w:val="000000" w:themeColor="text1"/>
                <w:szCs w:val="21"/>
                <w:highlight w:val="none"/>
                <w14:textFill>
                  <w14:solidFill>
                    <w14:schemeClr w14:val="tx1"/>
                  </w14:solidFill>
                </w14:textFill>
              </w:rPr>
              <w:t xml:space="preserve"> 1.本项目不允许分包。</w:t>
            </w:r>
          </w:p>
          <w:p w14:paraId="69B1C34C">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sym w:font="Wingdings" w:char="00A8"/>
            </w:r>
            <w:r>
              <w:rPr>
                <w:rFonts w:hint="eastAsia" w:ascii="宋体" w:hAnsi="宋体" w:cs="宋体"/>
                <w:bCs/>
                <w:color w:val="000000" w:themeColor="text1"/>
                <w:szCs w:val="21"/>
                <w:highlight w:val="none"/>
                <w14:textFill>
                  <w14:solidFill>
                    <w14:schemeClr w14:val="tx1"/>
                  </w14:solidFill>
                </w14:textFill>
              </w:rPr>
              <w:t xml:space="preserve"> 2.本项目可以分包，但主体部分不得分包。本项目主体部分是指：  </w:t>
            </w:r>
          </w:p>
          <w:p w14:paraId="76167458">
            <w:pPr>
              <w:snapToGrid w:val="0"/>
              <w:spacing w:line="312"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u w:val="single"/>
                <w14:textFill>
                  <w14:solidFill>
                    <w14:schemeClr w14:val="tx1"/>
                  </w14:solidFill>
                </w14:textFill>
              </w:rPr>
              <w:t xml:space="preserve">   /   </w:t>
            </w:r>
            <w:r>
              <w:rPr>
                <w:rFonts w:hint="eastAsia" w:ascii="宋体" w:hAnsi="宋体" w:cs="宋体"/>
                <w:bCs/>
                <w:color w:val="000000" w:themeColor="text1"/>
                <w:szCs w:val="21"/>
                <w:highlight w:val="none"/>
                <w14:textFill>
                  <w14:solidFill>
                    <w14:schemeClr w14:val="tx1"/>
                  </w14:solidFill>
                </w14:textFill>
              </w:rPr>
              <w:t>（根据项目具体情况确定）。</w:t>
            </w:r>
          </w:p>
        </w:tc>
      </w:tr>
      <w:tr w14:paraId="45A42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939" w:type="dxa"/>
            <w:vAlign w:val="center"/>
          </w:tcPr>
          <w:p w14:paraId="034E1816">
            <w:pPr>
              <w:snapToGrid w:val="0"/>
              <w:spacing w:line="312" w:lineRule="auto"/>
              <w:jc w:val="center"/>
              <w:rPr>
                <w:rFonts w:ascii="宋体" w:hAnsi="宋体" w:cs="Arial"/>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1.11.1</w:t>
            </w:r>
          </w:p>
        </w:tc>
        <w:tc>
          <w:tcPr>
            <w:tcW w:w="1857" w:type="dxa"/>
            <w:vAlign w:val="center"/>
          </w:tcPr>
          <w:p w14:paraId="7252CA55">
            <w:pPr>
              <w:snapToGrid w:val="0"/>
              <w:spacing w:line="312" w:lineRule="auto"/>
              <w:jc w:val="center"/>
              <w:rPr>
                <w:rFonts w:ascii="宋体" w:hAnsi="宋体" w:cs="Arial"/>
                <w:bCs/>
                <w:color w:val="000000" w:themeColor="text1"/>
                <w:szCs w:val="21"/>
                <w:highlight w:val="none"/>
                <w14:textFill>
                  <w14:solidFill>
                    <w14:schemeClr w14:val="tx1"/>
                  </w14:solidFill>
                </w14:textFill>
              </w:rPr>
            </w:pPr>
            <w:r>
              <w:rPr>
                <w:rFonts w:hint="eastAsia" w:ascii="宋体" w:hAnsi="宋体" w:cs="Arial"/>
                <w:bCs/>
                <w:color w:val="000000" w:themeColor="text1"/>
                <w:szCs w:val="21"/>
                <w:highlight w:val="none"/>
                <w14:textFill>
                  <w14:solidFill>
                    <w14:schemeClr w14:val="tx1"/>
                  </w14:solidFill>
                </w14:textFill>
              </w:rPr>
              <w:t>节能环保产品</w:t>
            </w:r>
            <w:r>
              <w:rPr>
                <w:rFonts w:hint="eastAsia" w:ascii="宋体" w:hAnsi="宋体" w:cs="Arial"/>
                <w:bCs/>
                <w:color w:val="000000" w:themeColor="text1"/>
                <w:szCs w:val="21"/>
                <w:highlight w:val="none"/>
                <w:lang w:val="en-US" w:eastAsia="zh-CN"/>
                <w14:textFill>
                  <w14:solidFill>
                    <w14:schemeClr w14:val="tx1"/>
                  </w14:solidFill>
                </w14:textFill>
              </w:rPr>
              <w:t xml:space="preserve">  </w:t>
            </w:r>
            <w:r>
              <w:rPr>
                <w:rFonts w:hint="eastAsia" w:ascii="宋体" w:hAnsi="宋体" w:cs="Arial"/>
                <w:bCs/>
                <w:color w:val="000000" w:themeColor="text1"/>
                <w:szCs w:val="21"/>
                <w:highlight w:val="none"/>
                <w14:textFill>
                  <w14:solidFill>
                    <w14:schemeClr w14:val="tx1"/>
                  </w14:solidFill>
                </w14:textFill>
              </w:rPr>
              <w:t>认证</w:t>
            </w:r>
          </w:p>
        </w:tc>
        <w:tc>
          <w:tcPr>
            <w:tcW w:w="6753" w:type="dxa"/>
            <w:vAlign w:val="center"/>
          </w:tcPr>
          <w:p w14:paraId="51928C9C">
            <w:pPr>
              <w:snapToGrid w:val="0"/>
              <w:spacing w:line="288" w:lineRule="auto"/>
              <w:rPr>
                <w:rFonts w:ascii="宋体" w:hAnsi="宋体" w:cs="Arial"/>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须提供</w:t>
            </w:r>
            <w:r>
              <w:rPr>
                <w:rFonts w:ascii="宋体" w:hAnsi="宋体"/>
                <w:bCs/>
                <w:color w:val="000000" w:themeColor="text1"/>
                <w:szCs w:val="21"/>
                <w:highlight w:val="none"/>
                <w14:textFill>
                  <w14:solidFill>
                    <w14:schemeClr w14:val="tx1"/>
                  </w14:solidFill>
                </w14:textFill>
              </w:rPr>
              <w:t>节能产品、</w:t>
            </w:r>
            <w:r>
              <w:rPr>
                <w:rFonts w:hint="eastAsia" w:ascii="宋体" w:hAnsi="宋体"/>
                <w:bCs/>
                <w:color w:val="000000" w:themeColor="text1"/>
                <w:szCs w:val="21"/>
                <w:highlight w:val="none"/>
                <w14:textFill>
                  <w14:solidFill>
                    <w14:schemeClr w14:val="tx1"/>
                  </w14:solidFill>
                </w14:textFill>
              </w:rPr>
              <w:t>环境</w:t>
            </w:r>
            <w:r>
              <w:rPr>
                <w:rFonts w:ascii="宋体" w:hAnsi="宋体"/>
                <w:bCs/>
                <w:color w:val="000000" w:themeColor="text1"/>
                <w:szCs w:val="21"/>
                <w:highlight w:val="none"/>
                <w14:textFill>
                  <w14:solidFill>
                    <w14:schemeClr w14:val="tx1"/>
                  </w14:solidFill>
                </w14:textFill>
              </w:rPr>
              <w:t>标志产品的</w:t>
            </w:r>
            <w:r>
              <w:rPr>
                <w:rFonts w:hint="eastAsia" w:ascii="宋体" w:hAnsi="宋体"/>
                <w:bCs/>
                <w:color w:val="000000" w:themeColor="text1"/>
                <w:szCs w:val="21"/>
                <w:highlight w:val="none"/>
                <w14:textFill>
                  <w14:solidFill>
                    <w14:schemeClr w14:val="tx1"/>
                  </w14:solidFill>
                </w14:textFill>
              </w:rPr>
              <w:t>有效</w:t>
            </w:r>
            <w:r>
              <w:rPr>
                <w:rFonts w:ascii="宋体" w:hAnsi="宋体"/>
                <w:bCs/>
                <w:color w:val="000000" w:themeColor="text1"/>
                <w:szCs w:val="21"/>
                <w:highlight w:val="none"/>
                <w14:textFill>
                  <w14:solidFill>
                    <w14:schemeClr w14:val="tx1"/>
                  </w14:solidFill>
                </w14:textFill>
              </w:rPr>
              <w:t>认证证书</w:t>
            </w:r>
            <w:r>
              <w:rPr>
                <w:rFonts w:hint="eastAsia" w:ascii="宋体" w:hAnsi="宋体"/>
                <w:bCs/>
                <w:color w:val="000000" w:themeColor="text1"/>
                <w:szCs w:val="21"/>
                <w:highlight w:val="none"/>
                <w14:textFill>
                  <w14:solidFill>
                    <w14:schemeClr w14:val="tx1"/>
                  </w14:solidFill>
                </w14:textFill>
              </w:rPr>
              <w:t>或者中国政府采购网的有效节能产品、环境标志产品</w:t>
            </w:r>
            <w:r>
              <w:rPr>
                <w:rFonts w:hint="eastAsia" w:ascii="宋体" w:hAnsi="宋体"/>
                <w:bCs/>
                <w:color w:val="000000" w:themeColor="text1"/>
                <w:szCs w:val="21"/>
                <w:highlight w:val="none"/>
                <w:lang w:val="en-US" w:eastAsia="zh-CN"/>
                <w14:textFill>
                  <w14:solidFill>
                    <w14:schemeClr w14:val="tx1"/>
                  </w14:solidFill>
                </w14:textFill>
              </w:rPr>
              <w:t>查询</w:t>
            </w:r>
            <w:r>
              <w:rPr>
                <w:rFonts w:hint="eastAsia" w:ascii="宋体" w:hAnsi="宋体"/>
                <w:bCs/>
                <w:color w:val="000000" w:themeColor="text1"/>
                <w:szCs w:val="21"/>
                <w:highlight w:val="none"/>
                <w14:textFill>
                  <w14:solidFill>
                    <w14:schemeClr w14:val="tx1"/>
                  </w14:solidFill>
                </w14:textFill>
              </w:rPr>
              <w:t>截图。</w:t>
            </w:r>
          </w:p>
        </w:tc>
      </w:tr>
      <w:tr w14:paraId="4F794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39" w:type="dxa"/>
            <w:vAlign w:val="center"/>
          </w:tcPr>
          <w:p w14:paraId="3DC7470B">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1.11.2</w:t>
            </w:r>
          </w:p>
        </w:tc>
        <w:tc>
          <w:tcPr>
            <w:tcW w:w="1857" w:type="dxa"/>
            <w:vAlign w:val="center"/>
          </w:tcPr>
          <w:p w14:paraId="54C0F169">
            <w:pPr>
              <w:snapToGrid w:val="0"/>
              <w:spacing w:line="312" w:lineRule="auto"/>
              <w:jc w:val="center"/>
              <w:rPr>
                <w:rFonts w:ascii="宋体" w:hAnsi="宋体" w:cs="Arial"/>
                <w:bCs/>
                <w:color w:val="000000" w:themeColor="text1"/>
                <w:szCs w:val="21"/>
                <w:highlight w:val="none"/>
                <w:lang w:bidi="ar"/>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Arial"/>
                <w:bCs/>
                <w:color w:val="000000" w:themeColor="text1"/>
                <w:szCs w:val="21"/>
                <w:highlight w:val="none"/>
                <w:lang w:bidi="ar"/>
                <w14:textFill>
                  <w14:solidFill>
                    <w14:schemeClr w14:val="tx1"/>
                  </w14:solidFill>
                </w14:textFill>
              </w:rPr>
              <w:t>强制采购的节能产品清单品目</w:t>
            </w:r>
          </w:p>
        </w:tc>
        <w:tc>
          <w:tcPr>
            <w:tcW w:w="6753" w:type="dxa"/>
            <w:vAlign w:val="center"/>
          </w:tcPr>
          <w:p w14:paraId="1C6FF9F5">
            <w:pPr>
              <w:snapToGrid w:val="0"/>
              <w:spacing w:line="312"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□台式计算机（工作站）  □便携式计算机  □平板式微型计算机</w:t>
            </w:r>
          </w:p>
          <w:p w14:paraId="58A11B8D">
            <w:pPr>
              <w:snapToGrid w:val="0"/>
              <w:spacing w:line="312"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□激光打印机  □针式打印机    □液晶显示设备  □水嘴</w:t>
            </w:r>
          </w:p>
          <w:p w14:paraId="5D61405E">
            <w:pPr>
              <w:snapToGrid w:val="0"/>
              <w:spacing w:line="312"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□制冷压缩机  □空调机组      □专用制冷、空调设备</w:t>
            </w:r>
          </w:p>
          <w:p w14:paraId="306515C0">
            <w:pPr>
              <w:snapToGrid w:val="0"/>
              <w:spacing w:line="312"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□镇流器      □视频设备      □电热水器      □便器</w:t>
            </w:r>
          </w:p>
          <w:p w14:paraId="0937501E">
            <w:pPr>
              <w:snapToGrid w:val="0"/>
              <w:spacing w:line="312" w:lineRule="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□普通照明用双端荧光灯        □电视设备      □空调机</w:t>
            </w:r>
          </w:p>
          <w:p w14:paraId="5E503F89">
            <w:pPr>
              <w:pStyle w:val="6"/>
              <w:spacing w:line="240" w:lineRule="auto"/>
              <w:rPr>
                <w:color w:val="000000" w:themeColor="text1"/>
                <w:highlight w:val="none"/>
                <w14:textFill>
                  <w14:solidFill>
                    <w14:schemeClr w14:val="tx1"/>
                  </w14:solidFill>
                </w14:textFill>
              </w:rPr>
            </w:pPr>
            <w:bookmarkStart w:id="33" w:name="_Toc25249"/>
            <w:bookmarkStart w:id="34" w:name="_Toc12398"/>
            <w:bookmarkStart w:id="35" w:name="_Toc4365"/>
            <w:bookmarkStart w:id="36" w:name="_Toc11844"/>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详细品目请对照《关于印发节能产品政府采购品目清单的通知》（财库〔2019〕19号）。</w:t>
            </w:r>
            <w:bookmarkEnd w:id="33"/>
            <w:bookmarkEnd w:id="34"/>
            <w:bookmarkEnd w:id="35"/>
            <w:bookmarkEnd w:id="36"/>
          </w:p>
        </w:tc>
      </w:tr>
      <w:tr w14:paraId="68A07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7553E3D7">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1.11.6</w:t>
            </w:r>
          </w:p>
        </w:tc>
        <w:tc>
          <w:tcPr>
            <w:tcW w:w="1857" w:type="dxa"/>
            <w:vAlign w:val="center"/>
          </w:tcPr>
          <w:p w14:paraId="188B39C3">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采购进口产品</w:t>
            </w:r>
          </w:p>
        </w:tc>
        <w:tc>
          <w:tcPr>
            <w:tcW w:w="6753" w:type="dxa"/>
            <w:vAlign w:val="center"/>
          </w:tcPr>
          <w:p w14:paraId="2351C5C1">
            <w:pPr>
              <w:snapToGrid w:val="0"/>
              <w:spacing w:line="312"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fldChar w:fldCharType="begin"/>
            </w:r>
            <w:r>
              <w:rPr>
                <w:rFonts w:hint="eastAsia" w:ascii="宋体" w:hAnsi="宋体" w:cs="宋体"/>
                <w:bCs/>
                <w:color w:val="000000" w:themeColor="text1"/>
                <w:szCs w:val="21"/>
                <w:highlight w:val="none"/>
                <w14:textFill>
                  <w14:solidFill>
                    <w14:schemeClr w14:val="tx1"/>
                  </w14:solidFill>
                </w14:textFill>
              </w:rPr>
              <w:instrText xml:space="preserve"> eq \o\ac(□,√)</w:instrText>
            </w:r>
            <w:r>
              <w:rPr>
                <w:rFonts w:hint="eastAsia" w:ascii="宋体" w:hAnsi="宋体" w:cs="宋体"/>
                <w:bCs/>
                <w:color w:val="000000" w:themeColor="text1"/>
                <w:szCs w:val="21"/>
                <w:highlight w:val="none"/>
                <w14:textFill>
                  <w14:solidFill>
                    <w14:schemeClr w14:val="tx1"/>
                  </w14:solidFill>
                </w14:textFill>
              </w:rPr>
              <w:fldChar w:fldCharType="end"/>
            </w:r>
            <w:r>
              <w:rPr>
                <w:rFonts w:hint="eastAsia" w:ascii="宋体" w:hAnsi="宋体" w:cs="宋体"/>
                <w:bCs/>
                <w:color w:val="000000" w:themeColor="text1"/>
                <w:szCs w:val="21"/>
                <w:highlight w:val="none"/>
                <w14:textFill>
                  <w14:solidFill>
                    <w14:schemeClr w14:val="tx1"/>
                  </w14:solidFill>
                </w14:textFill>
              </w:rPr>
              <w:t>不允许采购进口产品</w:t>
            </w:r>
            <w:r>
              <w:rPr>
                <w:rFonts w:hint="eastAsia" w:ascii="宋体" w:hAnsi="宋体" w:cs="宋体"/>
                <w:bCs/>
                <w:color w:val="000000" w:themeColor="text1"/>
                <w:szCs w:val="21"/>
                <w:highlight w:val="none"/>
                <w:lang w:val="en-US" w:eastAsia="zh-CN"/>
                <w14:textFill>
                  <w14:solidFill>
                    <w14:schemeClr w14:val="tx1"/>
                  </w14:solidFill>
                </w14:textFill>
              </w:rPr>
              <w:t xml:space="preserve">      </w:t>
            </w:r>
            <w:r>
              <w:rPr>
                <w:rFonts w:hint="eastAsia" w:ascii="宋体" w:hAnsi="宋体" w:cs="宋体"/>
                <w:bCs/>
                <w:color w:val="000000" w:themeColor="text1"/>
                <w:szCs w:val="21"/>
                <w:highlight w:val="none"/>
                <w14:textFill>
                  <w14:solidFill>
                    <w14:schemeClr w14:val="tx1"/>
                  </w14:solidFill>
                </w14:textFill>
              </w:rPr>
              <w:t>□允许采购进口产品</w:t>
            </w:r>
          </w:p>
        </w:tc>
      </w:tr>
      <w:tr w14:paraId="5EABC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03F97404">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1.12.2</w:t>
            </w:r>
          </w:p>
        </w:tc>
        <w:tc>
          <w:tcPr>
            <w:tcW w:w="1857" w:type="dxa"/>
            <w:vAlign w:val="center"/>
          </w:tcPr>
          <w:p w14:paraId="51271F87">
            <w:pPr>
              <w:snapToGrid w:val="0"/>
              <w:spacing w:line="312"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核心产品</w:t>
            </w:r>
          </w:p>
        </w:tc>
        <w:tc>
          <w:tcPr>
            <w:tcW w:w="6753" w:type="dxa"/>
            <w:vAlign w:val="center"/>
          </w:tcPr>
          <w:p w14:paraId="37133A1E">
            <w:pPr>
              <w:widowControl/>
              <w:spacing w:line="312" w:lineRule="auto"/>
              <w:jc w:val="left"/>
              <w:rPr>
                <w:rFonts w:ascii="宋体" w:hAnsi="宋体" w:cs="宋体"/>
                <w:b/>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w:t>
            </w:r>
          </w:p>
        </w:tc>
      </w:tr>
      <w:tr w14:paraId="215E3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119B2A22">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1.13.2</w:t>
            </w:r>
          </w:p>
        </w:tc>
        <w:tc>
          <w:tcPr>
            <w:tcW w:w="1857" w:type="dxa"/>
            <w:vAlign w:val="center"/>
          </w:tcPr>
          <w:p w14:paraId="131267DD">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信用信息记录</w:t>
            </w:r>
          </w:p>
          <w:p w14:paraId="45BAF4AE">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查询截止时间</w:t>
            </w:r>
          </w:p>
        </w:tc>
        <w:tc>
          <w:tcPr>
            <w:tcW w:w="6753" w:type="dxa"/>
            <w:vAlign w:val="center"/>
          </w:tcPr>
          <w:p w14:paraId="7C028F1B">
            <w:pPr>
              <w:snapToGrid w:val="0"/>
              <w:spacing w:line="312"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同资格审查结束时间。</w:t>
            </w:r>
          </w:p>
        </w:tc>
      </w:tr>
      <w:tr w14:paraId="73476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3BE5CA15">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1.14.6</w:t>
            </w:r>
          </w:p>
        </w:tc>
        <w:tc>
          <w:tcPr>
            <w:tcW w:w="1857" w:type="dxa"/>
            <w:vAlign w:val="center"/>
          </w:tcPr>
          <w:p w14:paraId="54DB0390">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质疑联系人</w:t>
            </w:r>
          </w:p>
        </w:tc>
        <w:tc>
          <w:tcPr>
            <w:tcW w:w="6753" w:type="dxa"/>
            <w:vAlign w:val="center"/>
          </w:tcPr>
          <w:p w14:paraId="6142F6CD">
            <w:pPr>
              <w:spacing w:line="30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14:textFill>
                  <w14:solidFill>
                    <w14:schemeClr w14:val="tx1"/>
                  </w14:solidFill>
                </w14:textFill>
              </w:rPr>
              <w:t>.采购需求及供应商资格条件质疑：</w:t>
            </w:r>
          </w:p>
          <w:p w14:paraId="53B40AA4">
            <w:pPr>
              <w:spacing w:line="30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  单  位：</w:t>
            </w:r>
            <w:r>
              <w:rPr>
                <w:rFonts w:hint="eastAsia" w:ascii="宋体" w:hAnsi="宋体" w:cs="宋体"/>
                <w:color w:val="000000" w:themeColor="text1"/>
                <w:szCs w:val="21"/>
                <w:highlight w:val="none"/>
                <w:lang w:eastAsia="zh-CN"/>
                <w14:textFill>
                  <w14:solidFill>
                    <w14:schemeClr w14:val="tx1"/>
                  </w14:solidFill>
                </w14:textFill>
              </w:rPr>
              <w:t>青田县交通运输局</w:t>
            </w:r>
            <w:r>
              <w:rPr>
                <w:rFonts w:hint="eastAsia" w:ascii="宋体" w:hAnsi="宋体" w:eastAsia="宋体" w:cs="宋体"/>
                <w:color w:val="000000" w:themeColor="text1"/>
                <w:szCs w:val="21"/>
                <w:highlight w:val="none"/>
                <w14:textFill>
                  <w14:solidFill>
                    <w14:schemeClr w14:val="tx1"/>
                  </w14:solidFill>
                </w14:textFill>
              </w:rPr>
              <w:t xml:space="preserve"> </w:t>
            </w:r>
          </w:p>
          <w:p w14:paraId="3B4ED6FD">
            <w:pPr>
              <w:spacing w:line="300" w:lineRule="auto"/>
              <w:ind w:firstLine="210" w:firstLineChars="100"/>
              <w:rPr>
                <w:rFonts w:hint="default" w:ascii="宋体" w:hAnsi="宋体" w:eastAsia="宋体" w:cs="宋体"/>
                <w:bCs/>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联系人：</w:t>
            </w:r>
            <w:r>
              <w:rPr>
                <w:rFonts w:hint="eastAsia" w:ascii="宋体" w:hAnsi="宋体" w:cs="宋体"/>
                <w:color w:val="000000" w:themeColor="text1"/>
                <w:highlight w:val="none"/>
                <w:lang w:val="en-US" w:eastAsia="zh-CN"/>
                <w14:textFill>
                  <w14:solidFill>
                    <w14:schemeClr w14:val="tx1"/>
                  </w14:solidFill>
                </w14:textFill>
              </w:rPr>
              <w:t xml:space="preserve">     </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 xml:space="preserve"> 联系电话：</w:t>
            </w:r>
            <w:r>
              <w:rPr>
                <w:rFonts w:hint="eastAsia" w:ascii="宋体" w:hAnsi="宋体" w:cs="宋体"/>
                <w:color w:val="000000" w:themeColor="text1"/>
                <w:highlight w:val="none"/>
                <w:lang w:val="en-US" w:eastAsia="zh-CN"/>
                <w14:textFill>
                  <w14:solidFill>
                    <w14:schemeClr w14:val="tx1"/>
                  </w14:solidFill>
                </w14:textFill>
              </w:rPr>
              <w:t xml:space="preserve">     </w:t>
            </w:r>
          </w:p>
          <w:p w14:paraId="3ACBE364">
            <w:pPr>
              <w:spacing w:line="30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bCs/>
                <w:color w:val="000000" w:themeColor="text1"/>
                <w:szCs w:val="21"/>
                <w:highlight w:val="none"/>
                <w:lang w:val="en-US" w:eastAsia="zh-CN"/>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单  位：</w:t>
            </w:r>
            <w:r>
              <w:rPr>
                <w:rFonts w:hint="eastAsia" w:ascii="宋体" w:hAnsi="宋体" w:cs="宋体"/>
                <w:color w:val="000000" w:themeColor="text1"/>
                <w:szCs w:val="21"/>
                <w:highlight w:val="none"/>
                <w:lang w:eastAsia="zh-CN"/>
                <w14:textFill>
                  <w14:solidFill>
                    <w14:schemeClr w14:val="tx1"/>
                  </w14:solidFill>
                </w14:textFill>
              </w:rPr>
              <w:t>浙江鼎峰工程咨询有限公司</w:t>
            </w:r>
          </w:p>
          <w:p w14:paraId="5968F66E">
            <w:pPr>
              <w:widowControl/>
              <w:spacing w:line="312" w:lineRule="auto"/>
              <w:ind w:firstLine="210" w:firstLineChars="100"/>
              <w:jc w:val="left"/>
              <w:rPr>
                <w:rFonts w:hint="eastAsia" w:ascii="宋体" w:hAnsi="宋体" w:eastAsia="宋体" w:cs="宋体"/>
                <w:b/>
                <w:color w:val="000000" w:themeColor="text1"/>
                <w:kern w:val="0"/>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联系人：</w:t>
            </w:r>
            <w:r>
              <w:rPr>
                <w:rFonts w:hint="eastAsia" w:ascii="宋体" w:hAnsi="宋体" w:cs="宋体"/>
                <w:color w:val="000000" w:themeColor="text1"/>
                <w:szCs w:val="21"/>
                <w:highlight w:val="none"/>
                <w:lang w:val="en-US" w:eastAsia="zh-CN"/>
                <w14:textFill>
                  <w14:solidFill>
                    <w14:schemeClr w14:val="tx1"/>
                  </w14:solidFill>
                </w14:textFill>
              </w:rPr>
              <w:t>叶建锋</w:t>
            </w:r>
            <w:r>
              <w:rPr>
                <w:rFonts w:hint="eastAsia" w:ascii="宋体" w:hAnsi="宋体" w:cs="宋体"/>
                <w:color w:val="000000" w:themeColor="text1"/>
                <w:szCs w:val="21"/>
                <w:highlight w:val="none"/>
                <w14:textFill>
                  <w14:solidFill>
                    <w14:schemeClr w14:val="tx1"/>
                  </w14:solidFill>
                </w14:textFill>
              </w:rPr>
              <w:t xml:space="preserve">   联系电话：</w:t>
            </w:r>
            <w:r>
              <w:rPr>
                <w:rFonts w:hint="eastAsia" w:ascii="宋体" w:hAnsi="宋体" w:cs="宋体"/>
                <w:color w:val="000000" w:themeColor="text1"/>
                <w:szCs w:val="21"/>
                <w:highlight w:val="none"/>
                <w:lang w:eastAsia="zh-CN"/>
                <w14:textFill>
                  <w14:solidFill>
                    <w14:schemeClr w14:val="tx1"/>
                  </w14:solidFill>
                </w14:textFill>
              </w:rPr>
              <w:t>135871328168</w:t>
            </w:r>
          </w:p>
        </w:tc>
      </w:tr>
      <w:tr w14:paraId="5CD22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939" w:type="dxa"/>
            <w:vAlign w:val="center"/>
          </w:tcPr>
          <w:p w14:paraId="73A285E1">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1.14.11</w:t>
            </w:r>
          </w:p>
        </w:tc>
        <w:tc>
          <w:tcPr>
            <w:tcW w:w="1857" w:type="dxa"/>
            <w:vAlign w:val="center"/>
          </w:tcPr>
          <w:p w14:paraId="06F30E74">
            <w:pPr>
              <w:spacing w:line="300" w:lineRule="auto"/>
              <w:ind w:left="-53" w:leftChars="-53" w:right="-65" w:rightChars="-31" w:hanging="58" w:hangingChars="28"/>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同级政府采购</w:t>
            </w:r>
          </w:p>
          <w:p w14:paraId="360B8935">
            <w:pPr>
              <w:spacing w:line="300" w:lineRule="auto"/>
              <w:ind w:left="-53" w:leftChars="-53" w:right="-65" w:rightChars="-31" w:hanging="58" w:hangingChars="28"/>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监督管理部门</w:t>
            </w:r>
          </w:p>
        </w:tc>
        <w:tc>
          <w:tcPr>
            <w:tcW w:w="6753" w:type="dxa"/>
            <w:vAlign w:val="center"/>
          </w:tcPr>
          <w:p w14:paraId="21849C21">
            <w:pPr>
              <w:spacing w:line="300"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详见</w:t>
            </w:r>
            <w:r>
              <w:rPr>
                <w:rFonts w:hint="eastAsia" w:ascii="宋体" w:hAnsi="宋体"/>
                <w:bCs/>
                <w:color w:val="000000" w:themeColor="text1"/>
                <w:szCs w:val="21"/>
                <w:highlight w:val="none"/>
                <w14:textFill>
                  <w14:solidFill>
                    <w14:schemeClr w14:val="tx1"/>
                  </w14:solidFill>
                </w14:textFill>
              </w:rPr>
              <w:t>第一章竞争性磋商公</w:t>
            </w:r>
            <w:r>
              <w:rPr>
                <w:rFonts w:ascii="宋体" w:hAnsi="宋体"/>
                <w:bCs/>
                <w:color w:val="000000" w:themeColor="text1"/>
                <w:szCs w:val="21"/>
                <w:highlight w:val="none"/>
                <w14:textFill>
                  <w14:solidFill>
                    <w14:schemeClr w14:val="tx1"/>
                  </w14:solidFill>
                </w14:textFill>
              </w:rPr>
              <w:t>告</w:t>
            </w:r>
          </w:p>
        </w:tc>
      </w:tr>
      <w:tr w14:paraId="5D6AB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486EACD3">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2.2.1</w:t>
            </w:r>
          </w:p>
        </w:tc>
        <w:tc>
          <w:tcPr>
            <w:tcW w:w="1857" w:type="dxa"/>
            <w:vAlign w:val="center"/>
          </w:tcPr>
          <w:p w14:paraId="5C7E1115">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竞争性磋商文件的澄清、答疑、修改、补充截止时间</w:t>
            </w:r>
          </w:p>
        </w:tc>
        <w:tc>
          <w:tcPr>
            <w:tcW w:w="6753" w:type="dxa"/>
            <w:vAlign w:val="center"/>
          </w:tcPr>
          <w:p w14:paraId="61F6C9F2">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响应文件递交截止时间3天前。</w:t>
            </w:r>
          </w:p>
        </w:tc>
      </w:tr>
      <w:tr w14:paraId="300C1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3" w:hRule="atLeast"/>
          <w:jc w:val="center"/>
        </w:trPr>
        <w:tc>
          <w:tcPr>
            <w:tcW w:w="939" w:type="dxa"/>
            <w:vAlign w:val="center"/>
          </w:tcPr>
          <w:p w14:paraId="42FB8097">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2.2.2</w:t>
            </w:r>
          </w:p>
        </w:tc>
        <w:tc>
          <w:tcPr>
            <w:tcW w:w="1857" w:type="dxa"/>
            <w:vAlign w:val="center"/>
          </w:tcPr>
          <w:p w14:paraId="6B3D9E40">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竞争性磋商文件的澄清、答疑、修改、补充发布地点</w:t>
            </w:r>
          </w:p>
        </w:tc>
        <w:tc>
          <w:tcPr>
            <w:tcW w:w="6753" w:type="dxa"/>
            <w:vAlign w:val="center"/>
          </w:tcPr>
          <w:p w14:paraId="5FF5C436">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浙江政府采购网（</w:t>
            </w:r>
            <w:r>
              <w:rPr>
                <w:rFonts w:hint="eastAsia" w:ascii="宋体" w:hAnsi="宋体" w:eastAsia="宋体" w:cs="宋体"/>
                <w:bCs/>
                <w:color w:val="000000" w:themeColor="text1"/>
                <w:szCs w:val="21"/>
                <w:highlight w:val="none"/>
                <w14:textFill>
                  <w14:solidFill>
                    <w14:schemeClr w14:val="tx1"/>
                  </w14:solidFill>
                </w14:textFill>
              </w:rPr>
              <w:fldChar w:fldCharType="begin"/>
            </w:r>
            <w:r>
              <w:rPr>
                <w:rFonts w:hint="eastAsia" w:ascii="宋体" w:hAnsi="宋体" w:eastAsia="宋体" w:cs="宋体"/>
                <w:bCs/>
                <w:color w:val="000000" w:themeColor="text1"/>
                <w:szCs w:val="21"/>
                <w:highlight w:val="none"/>
                <w14:textFill>
                  <w14:solidFill>
                    <w14:schemeClr w14:val="tx1"/>
                  </w14:solidFill>
                </w14:textFill>
              </w:rPr>
              <w:instrText xml:space="preserve"> HYPERLINK "http://zfcg.czt.zj.gov.cn/" </w:instrText>
            </w:r>
            <w:r>
              <w:rPr>
                <w:rFonts w:hint="eastAsia" w:ascii="宋体" w:hAnsi="宋体" w:eastAsia="宋体" w:cs="宋体"/>
                <w:bCs/>
                <w:color w:val="000000" w:themeColor="text1"/>
                <w:szCs w:val="21"/>
                <w:highlight w:val="none"/>
                <w14:textFill>
                  <w14:solidFill>
                    <w14:schemeClr w14:val="tx1"/>
                  </w14:solidFill>
                </w14:textFill>
              </w:rPr>
              <w:fldChar w:fldCharType="separate"/>
            </w:r>
            <w:r>
              <w:rPr>
                <w:rFonts w:hint="eastAsia" w:ascii="宋体" w:hAnsi="宋体" w:eastAsia="宋体" w:cs="宋体"/>
                <w:bCs/>
                <w:color w:val="000000" w:themeColor="text1"/>
                <w:szCs w:val="21"/>
                <w:highlight w:val="none"/>
                <w14:textFill>
                  <w14:solidFill>
                    <w14:schemeClr w14:val="tx1"/>
                  </w14:solidFill>
                </w14:textFill>
              </w:rPr>
              <w:t>http://zfcg.czt.zj.gov.cn/</w:t>
            </w:r>
            <w:r>
              <w:rPr>
                <w:rFonts w:hint="eastAsia" w:ascii="宋体" w:hAnsi="宋体" w:eastAsia="宋体" w:cs="宋体"/>
                <w:bCs/>
                <w:color w:val="000000" w:themeColor="text1"/>
                <w:szCs w:val="21"/>
                <w:highlight w:val="none"/>
                <w14:textFill>
                  <w14:solidFill>
                    <w14:schemeClr w14:val="tx1"/>
                  </w14:solidFill>
                </w14:textFill>
              </w:rPr>
              <w:fldChar w:fldCharType="end"/>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w:t>
            </w:r>
          </w:p>
          <w:p w14:paraId="74FFF192">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丽水市公共资源交易网（http://lssggzy.lishui.gov.cn/）。</w:t>
            </w:r>
          </w:p>
        </w:tc>
      </w:tr>
      <w:tr w14:paraId="62A87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0" w:hRule="atLeast"/>
          <w:jc w:val="center"/>
        </w:trPr>
        <w:tc>
          <w:tcPr>
            <w:tcW w:w="939" w:type="dxa"/>
            <w:vAlign w:val="center"/>
          </w:tcPr>
          <w:p w14:paraId="238D3C97">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3.3.1</w:t>
            </w:r>
          </w:p>
        </w:tc>
        <w:tc>
          <w:tcPr>
            <w:tcW w:w="1857" w:type="dxa"/>
            <w:vAlign w:val="center"/>
          </w:tcPr>
          <w:p w14:paraId="313EF141">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资格审查文件的组成</w:t>
            </w:r>
          </w:p>
        </w:tc>
        <w:tc>
          <w:tcPr>
            <w:tcW w:w="6753" w:type="dxa"/>
            <w:vAlign w:val="center"/>
          </w:tcPr>
          <w:p w14:paraId="0FC80C68">
            <w:pPr>
              <w:snapToGrid w:val="0"/>
              <w:spacing w:line="312"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1</w:t>
            </w:r>
            <w:r>
              <w:rPr>
                <w:rFonts w:hint="eastAsia" w:ascii="宋体" w:hAnsi="宋体" w:cs="宋体"/>
                <w:bCs/>
                <w:color w:val="000000" w:themeColor="text1"/>
                <w:szCs w:val="21"/>
                <w:highlight w:val="none"/>
                <w:lang w:val="zh-CN"/>
                <w14:textFill>
                  <w14:solidFill>
                    <w14:schemeClr w14:val="tx1"/>
                  </w14:solidFill>
                </w14:textFill>
              </w:rPr>
              <w:t>）远程参与磋商会议诚信承诺书</w:t>
            </w:r>
            <w:r>
              <w:rPr>
                <w:rFonts w:hint="eastAsia" w:ascii="宋体" w:hAnsi="宋体" w:cs="宋体"/>
                <w:bCs/>
                <w:color w:val="000000" w:themeColor="text1"/>
                <w:szCs w:val="21"/>
                <w:highlight w:val="none"/>
                <w14:textFill>
                  <w14:solidFill>
                    <w14:schemeClr w14:val="tx1"/>
                  </w14:solidFill>
                </w14:textFill>
              </w:rPr>
              <w:t>；</w:t>
            </w:r>
          </w:p>
          <w:p w14:paraId="5E8003E4">
            <w:pPr>
              <w:snapToGrid w:val="0"/>
              <w:spacing w:line="312"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（2）</w:t>
            </w:r>
            <w:r>
              <w:rPr>
                <w:rFonts w:hint="eastAsia" w:ascii="宋体" w:hAnsi="宋体" w:eastAsia="宋体" w:cs="宋体"/>
                <w:bCs/>
                <w:color w:val="000000" w:themeColor="text1"/>
                <w:szCs w:val="21"/>
                <w:highlight w:val="none"/>
                <w:lang w:eastAsia="zh-CN"/>
                <w14:textFill>
                  <w14:solidFill>
                    <w14:schemeClr w14:val="tx1"/>
                  </w14:solidFill>
                </w14:textFill>
              </w:rPr>
              <w:t>有效的营业执照电子文档</w:t>
            </w:r>
            <w:r>
              <w:rPr>
                <w:rFonts w:hint="eastAsia" w:ascii="宋体" w:hAnsi="宋体" w:cs="宋体"/>
                <w:bCs/>
                <w:color w:val="000000" w:themeColor="text1"/>
                <w:szCs w:val="21"/>
                <w:highlight w:val="none"/>
                <w14:textFill>
                  <w14:solidFill>
                    <w14:schemeClr w14:val="tx1"/>
                  </w14:solidFill>
                </w14:textFill>
              </w:rPr>
              <w:t>；</w:t>
            </w:r>
          </w:p>
          <w:p w14:paraId="6B71D38A">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法定代表人</w:t>
            </w:r>
            <w:r>
              <w:rPr>
                <w:rFonts w:hint="eastAsia" w:ascii="宋体" w:hAnsi="宋体" w:eastAsia="宋体" w:cs="宋体"/>
                <w:color w:val="000000" w:themeColor="text1"/>
                <w:szCs w:val="21"/>
                <w:highlight w:val="none"/>
                <w:lang w:eastAsia="zh-CN"/>
                <w14:textFill>
                  <w14:solidFill>
                    <w14:schemeClr w14:val="tx1"/>
                  </w14:solidFill>
                </w14:textFill>
              </w:rPr>
              <w:t>（负责人）</w:t>
            </w:r>
            <w:r>
              <w:rPr>
                <w:rFonts w:hint="eastAsia" w:ascii="宋体" w:hAnsi="宋体" w:eastAsia="宋体" w:cs="宋体"/>
                <w:color w:val="000000" w:themeColor="text1"/>
                <w:szCs w:val="21"/>
                <w:highlight w:val="none"/>
                <w14:textFill>
                  <w14:solidFill>
                    <w14:schemeClr w14:val="tx1"/>
                  </w14:solidFill>
                </w14:textFill>
              </w:rPr>
              <w:t>身份证</w:t>
            </w:r>
            <w:r>
              <w:rPr>
                <w:rFonts w:hint="eastAsia" w:ascii="宋体" w:hAnsi="宋体" w:eastAsia="宋体" w:cs="宋体"/>
                <w:bCs/>
                <w:color w:val="000000" w:themeColor="text1"/>
                <w:szCs w:val="21"/>
                <w:highlight w:val="none"/>
                <w14:textFill>
                  <w14:solidFill>
                    <w14:schemeClr w14:val="tx1"/>
                  </w14:solidFill>
                </w14:textFill>
              </w:rPr>
              <w:t>电子文档；</w:t>
            </w:r>
          </w:p>
          <w:p w14:paraId="2654C24F">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eastAsia="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若有委托代理人的，则还应当提供授权委托书及委托代理人的身份证</w:t>
            </w:r>
            <w:r>
              <w:rPr>
                <w:rFonts w:hint="eastAsia" w:ascii="宋体" w:hAnsi="宋体" w:eastAsia="宋体" w:cs="宋体"/>
                <w:bCs/>
                <w:color w:val="000000" w:themeColor="text1"/>
                <w:szCs w:val="21"/>
                <w:highlight w:val="none"/>
                <w14:textFill>
                  <w14:solidFill>
                    <w14:schemeClr w14:val="tx1"/>
                  </w14:solidFill>
                </w14:textFill>
              </w:rPr>
              <w:t>电子文档</w:t>
            </w:r>
            <w:r>
              <w:rPr>
                <w:rFonts w:hint="eastAsia" w:ascii="宋体" w:hAnsi="宋体" w:eastAsia="宋体" w:cs="宋体"/>
                <w:color w:val="000000" w:themeColor="text1"/>
                <w:szCs w:val="21"/>
                <w:highlight w:val="none"/>
                <w14:textFill>
                  <w14:solidFill>
                    <w14:schemeClr w14:val="tx1"/>
                  </w14:solidFill>
                </w14:textFill>
              </w:rPr>
              <w:t>；</w:t>
            </w:r>
          </w:p>
          <w:p w14:paraId="33422CEE">
            <w:pPr>
              <w:snapToGrid w:val="0"/>
              <w:spacing w:line="312"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（5）具有良好的财务会计制度、依法缴纳税收和社会保障资金的承诺函；</w:t>
            </w:r>
          </w:p>
          <w:p w14:paraId="5D70925F">
            <w:pPr>
              <w:snapToGrid w:val="0"/>
              <w:spacing w:line="312"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6</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具备履行合同所必需的设备和专业技术能力的</w:t>
            </w:r>
            <w:r>
              <w:rPr>
                <w:rFonts w:hint="eastAsia" w:ascii="宋体" w:hAnsi="宋体" w:cs="宋体"/>
                <w:bCs/>
                <w:color w:val="000000" w:themeColor="text1"/>
                <w:szCs w:val="21"/>
                <w:highlight w:val="none"/>
                <w14:textFill>
                  <w14:solidFill>
                    <w14:schemeClr w14:val="tx1"/>
                  </w14:solidFill>
                </w14:textFill>
              </w:rPr>
              <w:t>承诺函</w:t>
            </w:r>
            <w:r>
              <w:rPr>
                <w:rFonts w:hint="eastAsia" w:ascii="宋体" w:hAnsi="宋体" w:cs="宋体"/>
                <w:bCs/>
                <w:color w:val="000000" w:themeColor="text1"/>
                <w:szCs w:val="21"/>
                <w:highlight w:val="none"/>
                <w:lang w:val="en-US" w:eastAsia="zh-CN"/>
                <w14:textFill>
                  <w14:solidFill>
                    <w14:schemeClr w14:val="tx1"/>
                  </w14:solidFill>
                </w14:textFill>
              </w:rPr>
              <w:t>；</w:t>
            </w:r>
          </w:p>
          <w:p w14:paraId="1B227B0E">
            <w:pPr>
              <w:snapToGrid w:val="0"/>
              <w:spacing w:line="312" w:lineRule="auto"/>
              <w:rPr>
                <w:rFonts w:hint="eastAsia" w:ascii="宋体" w:hAnsi="宋体" w:cs="宋体"/>
                <w:bCs/>
                <w:color w:val="000000" w:themeColor="text1"/>
                <w:szCs w:val="21"/>
                <w:highlight w:val="none"/>
                <w:lang w:eastAsia="zh-CN"/>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7</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无</w:t>
            </w:r>
            <w:r>
              <w:rPr>
                <w:rFonts w:hint="eastAsia" w:ascii="宋体" w:hAnsi="宋体" w:cs="宋体"/>
                <w:bCs/>
                <w:color w:val="000000" w:themeColor="text1"/>
                <w:szCs w:val="21"/>
                <w:highlight w:val="none"/>
                <w14:textFill>
                  <w14:solidFill>
                    <w14:schemeClr w14:val="tx1"/>
                  </w14:solidFill>
                </w14:textFill>
              </w:rPr>
              <w:t>重大违法记录的书面声明</w:t>
            </w:r>
            <w:r>
              <w:rPr>
                <w:rFonts w:hint="eastAsia" w:ascii="宋体" w:hAnsi="宋体" w:cs="宋体"/>
                <w:bCs/>
                <w:color w:val="000000" w:themeColor="text1"/>
                <w:szCs w:val="21"/>
                <w:highlight w:val="none"/>
                <w:lang w:eastAsia="zh-CN"/>
                <w14:textFill>
                  <w14:solidFill>
                    <w14:schemeClr w14:val="tx1"/>
                  </w14:solidFill>
                </w14:textFill>
              </w:rPr>
              <w:t>；</w:t>
            </w:r>
          </w:p>
          <w:p w14:paraId="2A840E0E">
            <w:pPr>
              <w:numPr>
                <w:ilvl w:val="0"/>
                <w:numId w:val="0"/>
              </w:numPr>
              <w:snapToGrid w:val="0"/>
              <w:spacing w:line="312" w:lineRule="auto"/>
              <w:rPr>
                <w:rFonts w:hint="eastAsia" w:ascii="宋体" w:hAnsi="宋体" w:cs="宋体"/>
                <w:bCs/>
                <w:color w:val="000000" w:themeColor="text1"/>
                <w:szCs w:val="21"/>
                <w:highlight w:val="none"/>
                <w:lang w:eastAsia="zh-CN"/>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eastAsia="宋体" w:cs="宋体"/>
                <w:bCs/>
                <w:color w:val="000000" w:themeColor="text1"/>
                <w:kern w:val="2"/>
                <w:sz w:val="21"/>
                <w:szCs w:val="21"/>
                <w:lang w:val="en-US" w:eastAsia="zh-CN" w:bidi="ar-SA"/>
                <w14:textFill>
                  <w14:solidFill>
                    <w14:schemeClr w14:val="tx1"/>
                  </w14:solidFill>
                </w14:textFill>
              </w:rPr>
              <w:t>（8）</w:t>
            </w:r>
            <w:r>
              <w:rPr>
                <w:rFonts w:hint="eastAsia" w:ascii="宋体" w:hAnsi="宋体" w:cs="宋体"/>
                <w:bCs/>
                <w:color w:val="000000" w:themeColor="text1"/>
                <w:szCs w:val="21"/>
                <w:highlight w:val="none"/>
                <w14:textFill>
                  <w14:solidFill>
                    <w14:schemeClr w14:val="tx1"/>
                  </w14:solidFill>
                </w14:textFill>
              </w:rPr>
              <w:t>供应商信用信息声明书</w:t>
            </w:r>
            <w:r>
              <w:rPr>
                <w:rFonts w:hint="eastAsia" w:ascii="宋体" w:hAnsi="宋体" w:cs="宋体"/>
                <w:bCs/>
                <w:color w:val="000000" w:themeColor="text1"/>
                <w:szCs w:val="21"/>
                <w:highlight w:val="none"/>
                <w:lang w:eastAsia="zh-CN"/>
                <w14:textFill>
                  <w14:solidFill>
                    <w14:schemeClr w14:val="tx1"/>
                  </w14:solidFill>
                </w14:textFill>
              </w:rPr>
              <w:t>；</w:t>
            </w:r>
          </w:p>
          <w:p w14:paraId="73DEF35C">
            <w:pPr>
              <w:numPr>
                <w:ilvl w:val="0"/>
                <w:numId w:val="0"/>
              </w:numPr>
              <w:snapToGrid w:val="0"/>
              <w:spacing w:line="312" w:lineRule="auto"/>
              <w:rPr>
                <w:rFonts w:hint="eastAsia" w:ascii="宋体" w:hAnsi="宋体" w:eastAsia="宋体" w:cs="宋体"/>
                <w:bCs/>
                <w:color w:val="000000" w:themeColor="text1"/>
                <w:kern w:val="2"/>
                <w:sz w:val="21"/>
                <w:szCs w:val="21"/>
                <w:lang w:val="en-US" w:eastAsia="zh-CN" w:bidi="ar-SA"/>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eastAsia="宋体" w:cs="宋体"/>
                <w:bCs/>
                <w:color w:val="000000" w:themeColor="text1"/>
                <w:kern w:val="2"/>
                <w:sz w:val="21"/>
                <w:szCs w:val="21"/>
                <w:lang w:val="en-US" w:eastAsia="zh-CN" w:bidi="ar-SA"/>
                <w14:textFill>
                  <w14:solidFill>
                    <w14:schemeClr w14:val="tx1"/>
                  </w14:solidFill>
                </w14:textFill>
              </w:rPr>
              <w:t>（9）企业类型声明函</w:t>
            </w:r>
            <w:r>
              <w:rPr>
                <w:rFonts w:hint="eastAsia" w:ascii="宋体" w:hAnsi="宋体" w:cs="宋体"/>
                <w:bCs/>
                <w:color w:val="000000" w:themeColor="text1"/>
                <w:kern w:val="2"/>
                <w:sz w:val="21"/>
                <w:szCs w:val="21"/>
                <w:lang w:val="en-US" w:eastAsia="zh-CN" w:bidi="ar-SA"/>
                <w14:textFill>
                  <w14:solidFill>
                    <w14:schemeClr w14:val="tx1"/>
                  </w14:solidFill>
                </w14:textFill>
              </w:rPr>
              <w:t>；</w:t>
            </w:r>
          </w:p>
          <w:p w14:paraId="401616DD">
            <w:pPr>
              <w:numPr>
                <w:ilvl w:val="0"/>
                <w:numId w:val="0"/>
              </w:numPr>
              <w:snapToGrid w:val="0"/>
              <w:spacing w:line="312" w:lineRule="auto"/>
              <w:rPr>
                <w:rFonts w:hint="eastAsia" w:ascii="宋体" w:hAnsi="宋体" w:cs="宋体"/>
                <w:bCs/>
                <w:color w:val="000000" w:themeColor="text1"/>
                <w:szCs w:val="21"/>
                <w:highlight w:val="none"/>
                <w:lang w:eastAsia="zh-CN"/>
                <w14:textFill>
                  <w14:solidFill>
                    <w14:schemeClr w14:val="tx1"/>
                  </w14:solidFill>
                </w14:textFill>
              </w:rPr>
            </w:pPr>
            <w:r>
              <w:rPr>
                <w:rFonts w:hint="eastAsia" w:ascii="宋体" w:hAnsi="宋体" w:cs="宋体"/>
                <w:bCs/>
                <w:color w:val="000000" w:themeColor="text1"/>
                <w:kern w:val="2"/>
                <w:sz w:val="21"/>
                <w:szCs w:val="21"/>
                <w:lang w:val="en-US" w:eastAsia="zh-CN" w:bidi="ar-SA"/>
                <w14:textFill>
                  <w14:solidFill>
                    <w14:schemeClr w14:val="tx1"/>
                  </w14:solidFill>
                </w14:textFill>
              </w:rPr>
              <w:t>（10）</w:t>
            </w:r>
            <w:r>
              <w:rPr>
                <w:rFonts w:hint="eastAsia" w:ascii="宋体" w:hAnsi="宋体" w:cs="宋体"/>
                <w:bCs/>
                <w:color w:val="000000" w:themeColor="text1"/>
                <w:szCs w:val="21"/>
                <w:highlight w:val="none"/>
                <w:lang w:eastAsia="zh-CN"/>
                <w14:textFill>
                  <w14:solidFill>
                    <w14:schemeClr w14:val="tx1"/>
                  </w14:solidFill>
                </w14:textFill>
              </w:rPr>
              <w:t>其他</w:t>
            </w:r>
            <w:r>
              <w:rPr>
                <w:rFonts w:hint="eastAsia" w:ascii="宋体" w:hAnsi="宋体" w:cs="宋体"/>
                <w:bCs/>
                <w:color w:val="000000" w:themeColor="text1"/>
                <w:szCs w:val="21"/>
                <w:highlight w:val="none"/>
                <w14:textFill>
                  <w14:solidFill>
                    <w14:schemeClr w14:val="tx1"/>
                  </w14:solidFill>
                </w14:textFill>
              </w:rPr>
              <w:t>。</w:t>
            </w:r>
          </w:p>
          <w:p w14:paraId="56A72E0B">
            <w:pPr>
              <w:pStyle w:val="2"/>
              <w:ind w:left="0" w:leftChars="0" w:firstLine="0"/>
              <w:rPr>
                <w:color w:val="000000" w:themeColor="text1"/>
                <w:highlight w:val="none"/>
                <w14:textFill>
                  <w14:solidFill>
                    <w14:schemeClr w14:val="tx1"/>
                  </w14:solidFill>
                </w14:textFill>
              </w:rPr>
            </w:pPr>
            <w:r>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t>注：编制格式要求见第五章响应文件格式，无格式的自行设计。</w:t>
            </w:r>
          </w:p>
        </w:tc>
      </w:tr>
      <w:tr w14:paraId="151F1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0" w:hRule="atLeast"/>
          <w:jc w:val="center"/>
        </w:trPr>
        <w:tc>
          <w:tcPr>
            <w:tcW w:w="939" w:type="dxa"/>
            <w:vAlign w:val="center"/>
          </w:tcPr>
          <w:p w14:paraId="2CD5F3FF">
            <w:pPr>
              <w:snapToGrid w:val="0"/>
              <w:spacing w:line="312" w:lineRule="auto"/>
              <w:jc w:val="center"/>
              <w:rPr>
                <w:color w:val="000000" w:themeColor="text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3.4.1</w:t>
            </w:r>
          </w:p>
          <w:p w14:paraId="002657FC">
            <w:pPr>
              <w:pStyle w:val="2"/>
              <w:rPr>
                <w:color w:val="000000" w:themeColor="text1"/>
                <w:highlight w:val="none"/>
                <w14:textFill>
                  <w14:solidFill>
                    <w14:schemeClr w14:val="tx1"/>
                  </w14:solidFill>
                </w14:textFill>
              </w:rPr>
            </w:pPr>
          </w:p>
        </w:tc>
        <w:tc>
          <w:tcPr>
            <w:tcW w:w="1857" w:type="dxa"/>
            <w:vAlign w:val="center"/>
          </w:tcPr>
          <w:p w14:paraId="51E611AC">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资信商务及技术文件的组成</w:t>
            </w:r>
          </w:p>
        </w:tc>
        <w:tc>
          <w:tcPr>
            <w:tcW w:w="6753" w:type="dxa"/>
            <w:vAlign w:val="center"/>
          </w:tcPr>
          <w:p w14:paraId="4D696AB3">
            <w:pPr>
              <w:snapToGrid w:val="0"/>
              <w:spacing w:line="312"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一、资信商务文件</w:t>
            </w:r>
          </w:p>
          <w:p w14:paraId="310AD230">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（1）磋商函</w:t>
            </w:r>
            <w:r>
              <w:rPr>
                <w:rFonts w:hint="eastAsia" w:ascii="宋体" w:hAnsi="宋体" w:cs="宋体"/>
                <w:color w:val="000000" w:themeColor="text1"/>
                <w:highlight w:val="none"/>
                <w:lang w:eastAsia="zh-CN"/>
                <w14:textFill>
                  <w14:solidFill>
                    <w14:schemeClr w14:val="tx1"/>
                  </w14:solidFill>
                </w14:textFill>
              </w:rPr>
              <w:t>；</w:t>
            </w:r>
          </w:p>
          <w:p w14:paraId="3083D690">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（2）商务响应表</w:t>
            </w:r>
            <w:r>
              <w:rPr>
                <w:rFonts w:hint="eastAsia" w:ascii="宋体" w:hAnsi="宋体" w:cs="宋体"/>
                <w:color w:val="000000" w:themeColor="text1"/>
                <w:highlight w:val="none"/>
                <w:lang w:eastAsia="zh-CN"/>
                <w14:textFill>
                  <w14:solidFill>
                    <w14:schemeClr w14:val="tx1"/>
                  </w14:solidFill>
                </w14:textFill>
              </w:rPr>
              <w:t>；</w:t>
            </w:r>
          </w:p>
          <w:p w14:paraId="0484FF41">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（3）类似业绩表</w:t>
            </w:r>
            <w:r>
              <w:rPr>
                <w:rFonts w:hint="eastAsia" w:ascii="宋体" w:hAnsi="宋体" w:cs="宋体"/>
                <w:color w:val="000000" w:themeColor="text1"/>
                <w:highlight w:val="none"/>
                <w:lang w:eastAsia="zh-CN"/>
                <w14:textFill>
                  <w14:solidFill>
                    <w14:schemeClr w14:val="tx1"/>
                  </w14:solidFill>
                </w14:textFill>
              </w:rPr>
              <w:t>；</w:t>
            </w:r>
          </w:p>
          <w:p w14:paraId="11ECD041">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（4）供应商认为有利于本次磋商的其它资信商务文件</w:t>
            </w:r>
            <w:r>
              <w:rPr>
                <w:rFonts w:hint="eastAsia" w:ascii="宋体" w:hAnsi="宋体" w:cs="宋体"/>
                <w:color w:val="000000" w:themeColor="text1"/>
                <w:highlight w:val="none"/>
                <w:lang w:eastAsia="zh-CN"/>
                <w14:textFill>
                  <w14:solidFill>
                    <w14:schemeClr w14:val="tx1"/>
                  </w14:solidFill>
                </w14:textFill>
              </w:rPr>
              <w:t>。</w:t>
            </w:r>
          </w:p>
          <w:p w14:paraId="2D003035">
            <w:pPr>
              <w:snapToGrid w:val="0"/>
              <w:spacing w:line="312"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二、技术文件</w:t>
            </w:r>
          </w:p>
          <w:p w14:paraId="3AC9A6C8">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（5）现有系统了解情况</w:t>
            </w:r>
            <w:r>
              <w:rPr>
                <w:rFonts w:hint="eastAsia" w:ascii="宋体" w:hAnsi="宋体" w:cs="宋体"/>
                <w:color w:val="000000" w:themeColor="text1"/>
                <w:highlight w:val="none"/>
                <w:lang w:eastAsia="zh-CN"/>
                <w14:textFill>
                  <w14:solidFill>
                    <w14:schemeClr w14:val="tx1"/>
                  </w14:solidFill>
                </w14:textFill>
              </w:rPr>
              <w:t>；</w:t>
            </w:r>
          </w:p>
          <w:p w14:paraId="37512EB5">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（6）运维服务方案</w:t>
            </w:r>
            <w:r>
              <w:rPr>
                <w:rFonts w:hint="eastAsia" w:ascii="宋体" w:hAnsi="宋体" w:cs="宋体"/>
                <w:color w:val="000000" w:themeColor="text1"/>
                <w:highlight w:val="none"/>
                <w:lang w:eastAsia="zh-CN"/>
                <w14:textFill>
                  <w14:solidFill>
                    <w14:schemeClr w14:val="tx1"/>
                  </w14:solidFill>
                </w14:textFill>
              </w:rPr>
              <w:t>；</w:t>
            </w:r>
          </w:p>
          <w:p w14:paraId="34268FDF">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（7）项目人员配置</w:t>
            </w:r>
            <w:r>
              <w:rPr>
                <w:rFonts w:hint="eastAsia" w:ascii="宋体" w:hAnsi="宋体" w:cs="宋体"/>
                <w:color w:val="000000" w:themeColor="text1"/>
                <w:highlight w:val="none"/>
                <w:lang w:eastAsia="zh-CN"/>
                <w14:textFill>
                  <w14:solidFill>
                    <w14:schemeClr w14:val="tx1"/>
                  </w14:solidFill>
                </w14:textFill>
              </w:rPr>
              <w:t>；</w:t>
            </w:r>
          </w:p>
          <w:p w14:paraId="62B951DE">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（8）项目设备配置</w:t>
            </w:r>
            <w:r>
              <w:rPr>
                <w:rFonts w:hint="eastAsia" w:ascii="宋体" w:hAnsi="宋体" w:cs="宋体"/>
                <w:color w:val="000000" w:themeColor="text1"/>
                <w:highlight w:val="none"/>
                <w:lang w:eastAsia="zh-CN"/>
                <w14:textFill>
                  <w14:solidFill>
                    <w14:schemeClr w14:val="tx1"/>
                  </w14:solidFill>
                </w14:textFill>
              </w:rPr>
              <w:t>；</w:t>
            </w:r>
          </w:p>
          <w:p w14:paraId="1DB0A195">
            <w:pPr>
              <w:snapToGrid w:val="0"/>
              <w:spacing w:line="312" w:lineRule="auto"/>
              <w:rPr>
                <w:rFonts w:hint="eastAsia" w:ascii="宋体" w:hAnsi="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（9）安全文明作业保障措施</w:t>
            </w:r>
            <w:r>
              <w:rPr>
                <w:rFonts w:hint="eastAsia" w:ascii="宋体" w:hAnsi="宋体" w:cs="宋体"/>
                <w:color w:val="000000" w:themeColor="text1"/>
                <w:highlight w:val="none"/>
                <w:lang w:eastAsia="zh-CN"/>
                <w14:textFill>
                  <w14:solidFill>
                    <w14:schemeClr w14:val="tx1"/>
                  </w14:solidFill>
                </w14:textFill>
              </w:rPr>
              <w:t>；</w:t>
            </w:r>
          </w:p>
          <w:p w14:paraId="00C8B1EE">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（10）项目质量保证方案</w:t>
            </w:r>
            <w:r>
              <w:rPr>
                <w:rFonts w:hint="eastAsia" w:ascii="宋体" w:hAnsi="宋体" w:cs="宋体"/>
                <w:color w:val="000000" w:themeColor="text1"/>
                <w:highlight w:val="none"/>
                <w:lang w:eastAsia="zh-CN"/>
                <w14:textFill>
                  <w14:solidFill>
                    <w14:schemeClr w14:val="tx1"/>
                  </w14:solidFill>
                </w14:textFill>
              </w:rPr>
              <w:t>；</w:t>
            </w:r>
          </w:p>
          <w:p w14:paraId="6A9DCEDD">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（11）应急保障措施</w:t>
            </w:r>
            <w:r>
              <w:rPr>
                <w:rFonts w:hint="eastAsia" w:ascii="宋体" w:hAnsi="宋体" w:cs="宋体"/>
                <w:color w:val="000000" w:themeColor="text1"/>
                <w:highlight w:val="none"/>
                <w:lang w:eastAsia="zh-CN"/>
                <w14:textFill>
                  <w14:solidFill>
                    <w14:schemeClr w14:val="tx1"/>
                  </w14:solidFill>
                </w14:textFill>
              </w:rPr>
              <w:t>；</w:t>
            </w:r>
          </w:p>
          <w:p w14:paraId="3700EC3E">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（12）合理化建议</w:t>
            </w:r>
            <w:r>
              <w:rPr>
                <w:rFonts w:hint="eastAsia" w:ascii="宋体" w:hAnsi="宋体" w:cs="宋体"/>
                <w:color w:val="000000" w:themeColor="text1"/>
                <w:highlight w:val="none"/>
                <w:lang w:eastAsia="zh-CN"/>
                <w14:textFill>
                  <w14:solidFill>
                    <w14:schemeClr w14:val="tx1"/>
                  </w14:solidFill>
                </w14:textFill>
              </w:rPr>
              <w:t>；</w:t>
            </w:r>
          </w:p>
          <w:p w14:paraId="48DD5C6F">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（13）服务方案</w:t>
            </w:r>
            <w:r>
              <w:rPr>
                <w:rFonts w:hint="eastAsia" w:ascii="宋体" w:hAnsi="宋体" w:cs="宋体"/>
                <w:color w:val="000000" w:themeColor="text1"/>
                <w:highlight w:val="none"/>
                <w:lang w:eastAsia="zh-CN"/>
                <w14:textFill>
                  <w14:solidFill>
                    <w14:schemeClr w14:val="tx1"/>
                  </w14:solidFill>
                </w14:textFill>
              </w:rPr>
              <w:t>；</w:t>
            </w:r>
          </w:p>
          <w:p w14:paraId="5C046705">
            <w:pPr>
              <w:snapToGrid w:val="0"/>
              <w:spacing w:line="312"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（14）公路治超非现场执法系统软件维护能力</w:t>
            </w:r>
            <w:r>
              <w:rPr>
                <w:rFonts w:hint="eastAsia" w:ascii="宋体" w:hAnsi="宋体" w:cs="宋体"/>
                <w:color w:val="000000" w:themeColor="text1"/>
                <w:highlight w:val="none"/>
                <w:lang w:eastAsia="zh-CN"/>
                <w14:textFill>
                  <w14:solidFill>
                    <w14:schemeClr w14:val="tx1"/>
                  </w14:solidFill>
                </w14:textFill>
              </w:rPr>
              <w:t>；</w:t>
            </w:r>
          </w:p>
          <w:p w14:paraId="10BC4B6D">
            <w:pPr>
              <w:snapToGrid w:val="0"/>
              <w:spacing w:line="312" w:lineRule="auto"/>
              <w:rPr>
                <w:rFonts w:hint="eastAsia" w:ascii="宋体" w:hAnsi="宋体" w:cs="宋体"/>
                <w:color w:val="000000" w:themeColor="text1"/>
                <w:highlight w:val="none"/>
                <w:lang w:val="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（15）供应商认为有利于本次磋商的其它技术文件</w:t>
            </w:r>
            <w:r>
              <w:rPr>
                <w:rFonts w:hint="eastAsia" w:ascii="宋体" w:hAnsi="宋体" w:cs="宋体"/>
                <w:color w:val="000000" w:themeColor="text1"/>
                <w:highlight w:val="none"/>
                <w:lang w:val="zh-CN"/>
                <w14:textFill>
                  <w14:solidFill>
                    <w14:schemeClr w14:val="tx1"/>
                  </w14:solidFill>
                </w14:textFill>
              </w:rPr>
              <w:t>。</w:t>
            </w:r>
          </w:p>
          <w:p w14:paraId="681A8266">
            <w:pPr>
              <w:snapToGrid w:val="0"/>
              <w:spacing w:line="312" w:lineRule="auto"/>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注：编制格式要求见第五章响应文件格式，无格式的自行设计。</w:t>
            </w:r>
          </w:p>
        </w:tc>
      </w:tr>
      <w:tr w14:paraId="33FAD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1E656933">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3.5.1</w:t>
            </w:r>
          </w:p>
        </w:tc>
        <w:tc>
          <w:tcPr>
            <w:tcW w:w="1857" w:type="dxa"/>
            <w:vAlign w:val="center"/>
          </w:tcPr>
          <w:p w14:paraId="5715E2D0">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报价文件的组成</w:t>
            </w:r>
          </w:p>
        </w:tc>
        <w:tc>
          <w:tcPr>
            <w:tcW w:w="6753" w:type="dxa"/>
            <w:vAlign w:val="center"/>
          </w:tcPr>
          <w:p w14:paraId="3B27CA05">
            <w:pPr>
              <w:snapToGrid w:val="0"/>
              <w:spacing w:line="312"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（1）磋商一览表；</w:t>
            </w:r>
          </w:p>
          <w:p w14:paraId="3087E64D">
            <w:pPr>
              <w:snapToGrid w:val="0"/>
              <w:spacing w:line="312"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（2）报价明细表；</w:t>
            </w:r>
          </w:p>
          <w:p w14:paraId="32F511BB">
            <w:pPr>
              <w:snapToGrid w:val="0"/>
              <w:spacing w:line="312"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（3）供应商针对报价需要说明的其他文件和说明。</w:t>
            </w:r>
          </w:p>
          <w:p w14:paraId="10659A81">
            <w:pPr>
              <w:snapToGrid w:val="0"/>
              <w:spacing w:line="312"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注：编制格式要求见第五章响应文件格式，无格式的自行设计。</w:t>
            </w:r>
          </w:p>
        </w:tc>
      </w:tr>
      <w:tr w14:paraId="62B99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3E2035E6">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4.3.1</w:t>
            </w:r>
          </w:p>
        </w:tc>
        <w:tc>
          <w:tcPr>
            <w:tcW w:w="1857" w:type="dxa"/>
            <w:vAlign w:val="center"/>
          </w:tcPr>
          <w:p w14:paraId="4B33E614">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磋商有效期</w:t>
            </w:r>
          </w:p>
        </w:tc>
        <w:tc>
          <w:tcPr>
            <w:tcW w:w="6753" w:type="dxa"/>
            <w:vAlign w:val="center"/>
          </w:tcPr>
          <w:p w14:paraId="3668277B">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90天</w:t>
            </w:r>
          </w:p>
        </w:tc>
      </w:tr>
      <w:tr w14:paraId="7927B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6ED7DE9C">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4.5.1</w:t>
            </w:r>
          </w:p>
        </w:tc>
        <w:tc>
          <w:tcPr>
            <w:tcW w:w="1857" w:type="dxa"/>
            <w:vAlign w:val="center"/>
          </w:tcPr>
          <w:p w14:paraId="16D792E9">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响应文件的份数</w:t>
            </w:r>
          </w:p>
        </w:tc>
        <w:tc>
          <w:tcPr>
            <w:tcW w:w="6753" w:type="dxa"/>
            <w:vAlign w:val="center"/>
          </w:tcPr>
          <w:p w14:paraId="5E1BE68E">
            <w:pPr>
              <w:snapToGrid w:val="0"/>
              <w:spacing w:line="288"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（1）电子加密响应文件1份，自行在政府采购云平台在线提交。</w:t>
            </w:r>
          </w:p>
          <w:p w14:paraId="27A480D7">
            <w:pPr>
              <w:snapToGrid w:val="0"/>
              <w:spacing w:line="288"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HYPERLINK "mailto:2、备份响应文件1份，由供应商自行确定是否提交；若提交请将备份响应文件打包压缩加密后以电子邮件的形式发送至454093773@qq.com。" </w:instrText>
            </w:r>
            <w:r>
              <w:rPr>
                <w:rFonts w:hint="eastAsia" w:ascii="宋体" w:hAnsi="宋体" w:cs="宋体"/>
                <w:color w:val="000000" w:themeColor="text1"/>
                <w:szCs w:val="21"/>
                <w:highlight w:val="none"/>
                <w14:textFill>
                  <w14:solidFill>
                    <w14:schemeClr w14:val="tx1"/>
                  </w14:solidFill>
                </w14:textFill>
              </w:rPr>
              <w:fldChar w:fldCharType="separate"/>
            </w:r>
            <w:r>
              <w:rPr>
                <w:rFonts w:hint="eastAsia" w:ascii="宋体" w:hAnsi="宋体" w:cs="宋体"/>
                <w:color w:val="000000" w:themeColor="text1"/>
                <w:szCs w:val="21"/>
                <w:highlight w:val="none"/>
                <w14:textFill>
                  <w14:solidFill>
                    <w14:schemeClr w14:val="tx1"/>
                  </w14:solidFill>
                </w14:textFill>
              </w:rPr>
              <w:t>2）备份响应文件1份，供应商自行确定是否提交；若提交请在响应文件截止时间前将备份响应文件打包压缩加密后（未加密造成泄密的由供应商自行承担）以电子邮件的形式发送至</w:t>
            </w:r>
            <w:r>
              <w:rPr>
                <w:rFonts w:hint="eastAsia" w:ascii="宋体" w:hAnsi="宋体" w:cs="宋体"/>
                <w:color w:val="000000" w:themeColor="text1"/>
                <w:szCs w:val="21"/>
                <w:highlight w:val="none"/>
                <w:lang w:eastAsia="zh-CN"/>
                <w14:textFill>
                  <w14:solidFill>
                    <w14:schemeClr w14:val="tx1"/>
                  </w14:solidFill>
                </w14:textFill>
              </w:rPr>
              <w:t>397942513</w:t>
            </w:r>
            <w:r>
              <w:rPr>
                <w:rFonts w:hint="eastAsia" w:ascii="宋体" w:hAnsi="宋体" w:cs="宋体"/>
                <w:color w:val="000000" w:themeColor="text1"/>
                <w:szCs w:val="21"/>
                <w:highlight w:val="none"/>
                <w14:textFill>
                  <w14:solidFill>
                    <w14:schemeClr w14:val="tx1"/>
                  </w14:solidFill>
                </w14:textFill>
              </w:rPr>
              <w:t>@qq.com</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"mailto:投标人自行确定是否提交；如果提交的，应当在提交投标文件截止时间前以电子邮件的形式发送至（qtzfcg@163.com），备份投标文件在"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fldChar w:fldCharType="end"/>
            </w:r>
          </w:p>
          <w:p w14:paraId="49E50F02">
            <w:pPr>
              <w:snapToGrid w:val="0"/>
              <w:spacing w:line="288"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（3）成交供应商在领取成交通知书时同时提供纸质响应文件</w:t>
            </w: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份，纸质响应文件内容必须与电子文件一致。</w:t>
            </w:r>
          </w:p>
          <w:p w14:paraId="638AF45A">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注：供应商在线解密失败后，启用备份响应文件，否则不启用备份响应文件。</w:t>
            </w:r>
          </w:p>
        </w:tc>
      </w:tr>
      <w:tr w14:paraId="43A73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9" w:hRule="atLeast"/>
          <w:jc w:val="center"/>
        </w:trPr>
        <w:tc>
          <w:tcPr>
            <w:tcW w:w="939" w:type="dxa"/>
            <w:vAlign w:val="center"/>
          </w:tcPr>
          <w:p w14:paraId="409AED90">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5.2.1</w:t>
            </w:r>
          </w:p>
        </w:tc>
        <w:tc>
          <w:tcPr>
            <w:tcW w:w="1857" w:type="dxa"/>
            <w:vAlign w:val="center"/>
          </w:tcPr>
          <w:p w14:paraId="235AB202">
            <w:pPr>
              <w:snapToGrid w:val="0"/>
              <w:spacing w:line="312" w:lineRule="auto"/>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响应文件提交</w:t>
            </w:r>
          </w:p>
          <w:p w14:paraId="371ED567">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截止时间</w:t>
            </w:r>
          </w:p>
        </w:tc>
        <w:tc>
          <w:tcPr>
            <w:tcW w:w="6753" w:type="dxa"/>
            <w:vAlign w:val="center"/>
          </w:tcPr>
          <w:p w14:paraId="6B57188F">
            <w:pPr>
              <w:snapToGrid w:val="0"/>
              <w:spacing w:line="312" w:lineRule="auto"/>
              <w:rPr>
                <w:rFonts w:ascii="宋体" w:hAnsi="宋体" w:cs="宋体"/>
                <w:bCs/>
                <w:color w:val="000000" w:themeColor="text1"/>
                <w:szCs w:val="21"/>
                <w:highlight w:val="none"/>
                <w14:textFill>
                  <w14:solidFill>
                    <w14:schemeClr w14:val="tx1"/>
                  </w14:solidFill>
                </w14:textFill>
              </w:rPr>
            </w:pPr>
            <w:r>
              <w:rPr>
                <w:rFonts w:hint="eastAsia" w:ascii="宋体" w:hAnsi="宋体"/>
                <w:b/>
                <w:bCs/>
                <w:color w:val="000000" w:themeColor="text1"/>
                <w:sz w:val="21"/>
                <w:szCs w:val="21"/>
                <w:highlight w:val="none"/>
                <w14:textFill>
                  <w14:solidFill>
                    <w14:schemeClr w14:val="tx1"/>
                  </w14:solidFill>
                </w14:textFill>
              </w:rPr>
              <w:t>同</w:t>
            </w:r>
            <w:r>
              <w:rPr>
                <w:rFonts w:hint="eastAsia" w:ascii="宋体" w:hAnsi="宋体"/>
                <w:b/>
                <w:color w:val="000000" w:themeColor="text1"/>
                <w:sz w:val="21"/>
                <w:szCs w:val="21"/>
                <w:highlight w:val="none"/>
                <w14:textFill>
                  <w14:solidFill>
                    <w14:schemeClr w14:val="tx1"/>
                  </w14:solidFill>
                </w14:textFill>
              </w:rPr>
              <w:t>磋商</w:t>
            </w:r>
            <w:r>
              <w:rPr>
                <w:rFonts w:ascii="宋体" w:hAnsi="宋体"/>
                <w:b/>
                <w:bCs/>
                <w:color w:val="000000" w:themeColor="text1"/>
                <w:sz w:val="21"/>
                <w:szCs w:val="21"/>
                <w:highlight w:val="none"/>
                <w14:textFill>
                  <w14:solidFill>
                    <w14:schemeClr w14:val="tx1"/>
                  </w14:solidFill>
                </w14:textFill>
              </w:rPr>
              <w:t>截止时间</w:t>
            </w:r>
            <w:r>
              <w:rPr>
                <w:rFonts w:hint="eastAsia" w:ascii="宋体" w:hAnsi="宋体"/>
                <w:b/>
                <w:bCs/>
                <w:color w:val="000000" w:themeColor="text1"/>
                <w:sz w:val="21"/>
                <w:szCs w:val="21"/>
                <w:highlight w:val="none"/>
                <w14:textFill>
                  <w14:solidFill>
                    <w14:schemeClr w14:val="tx1"/>
                  </w14:solidFill>
                </w14:textFill>
              </w:rPr>
              <w:t>，见</w:t>
            </w:r>
            <w:r>
              <w:rPr>
                <w:rFonts w:hint="eastAsia" w:ascii="宋体" w:hAnsi="宋体"/>
                <w:b/>
                <w:color w:val="000000" w:themeColor="text1"/>
                <w:sz w:val="21"/>
                <w:szCs w:val="21"/>
                <w:highlight w:val="none"/>
                <w14:textFill>
                  <w14:solidFill>
                    <w14:schemeClr w14:val="tx1"/>
                  </w14:solidFill>
                </w14:textFill>
              </w:rPr>
              <w:t>第一章竞争性磋商公告。</w:t>
            </w:r>
          </w:p>
        </w:tc>
      </w:tr>
      <w:tr w14:paraId="09223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39" w:type="dxa"/>
            <w:vAlign w:val="center"/>
          </w:tcPr>
          <w:p w14:paraId="6FC95B3D">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5.2.2</w:t>
            </w:r>
          </w:p>
        </w:tc>
        <w:tc>
          <w:tcPr>
            <w:tcW w:w="1857" w:type="dxa"/>
            <w:vAlign w:val="center"/>
          </w:tcPr>
          <w:p w14:paraId="6BDE5C56">
            <w:pPr>
              <w:keepNext w:val="0"/>
              <w:keepLines w:val="0"/>
              <w:pageBreakBefore w:val="0"/>
              <w:kinsoku/>
              <w:wordWrap/>
              <w:overflowPunct/>
              <w:topLinePunct w:val="0"/>
              <w:autoSpaceDE/>
              <w:autoSpaceDN/>
              <w:bidi w:val="0"/>
              <w:adjustRightInd/>
              <w:spacing w:line="312"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响应文件提交</w:t>
            </w: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bCs/>
                <w:color w:val="auto"/>
                <w:szCs w:val="21"/>
                <w:highlight w:val="none"/>
              </w:rPr>
              <w:t>地点</w:t>
            </w:r>
          </w:p>
        </w:tc>
        <w:tc>
          <w:tcPr>
            <w:tcW w:w="6753" w:type="dxa"/>
            <w:vAlign w:val="center"/>
          </w:tcPr>
          <w:p w14:paraId="01BA5625">
            <w:pPr>
              <w:keepNext w:val="0"/>
              <w:keepLines w:val="0"/>
              <w:pageBreakBefore w:val="0"/>
              <w:kinsoku/>
              <w:wordWrap/>
              <w:overflowPunct/>
              <w:topLinePunct w:val="0"/>
              <w:autoSpaceDE/>
              <w:autoSpaceDN/>
              <w:bidi w:val="0"/>
              <w:adjustRightInd/>
              <w:spacing w:line="312"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本项目实行电子招投标，供应商须在磋商截止时间前，前往政采云平台上传电子响应文件，无需到达现场提交响应文件。</w:t>
            </w:r>
          </w:p>
        </w:tc>
      </w:tr>
      <w:tr w14:paraId="74764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939" w:type="dxa"/>
            <w:vAlign w:val="center"/>
          </w:tcPr>
          <w:p w14:paraId="406E4462">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6.1.1</w:t>
            </w:r>
          </w:p>
        </w:tc>
        <w:tc>
          <w:tcPr>
            <w:tcW w:w="1857" w:type="dxa"/>
            <w:vAlign w:val="center"/>
          </w:tcPr>
          <w:p w14:paraId="645F9FF1">
            <w:pPr>
              <w:keepNext w:val="0"/>
              <w:keepLines w:val="0"/>
              <w:pageBreakBefore w:val="0"/>
              <w:kinsoku/>
              <w:wordWrap/>
              <w:overflowPunct/>
              <w:topLinePunct w:val="0"/>
              <w:autoSpaceDE/>
              <w:autoSpaceDN/>
              <w:bidi w:val="0"/>
              <w:adjustRightInd/>
              <w:spacing w:line="312"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磋商时间和地点</w:t>
            </w:r>
          </w:p>
        </w:tc>
        <w:tc>
          <w:tcPr>
            <w:tcW w:w="6753" w:type="dxa"/>
            <w:vAlign w:val="center"/>
          </w:tcPr>
          <w:p w14:paraId="0B64E0DD">
            <w:pPr>
              <w:keepNext w:val="0"/>
              <w:keepLines w:val="0"/>
              <w:pageBreakBefore w:val="0"/>
              <w:kinsoku/>
              <w:wordWrap/>
              <w:overflowPunct/>
              <w:topLinePunct w:val="0"/>
              <w:autoSpaceDE/>
              <w:autoSpaceDN/>
              <w:bidi w:val="0"/>
              <w:adjustRightInd/>
              <w:spacing w:line="312"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磋商时间：</w:t>
            </w:r>
            <w:r>
              <w:rPr>
                <w:rFonts w:hint="eastAsia" w:ascii="宋体" w:hAnsi="宋体" w:cs="宋体"/>
                <w:bCs/>
                <w:color w:val="auto"/>
                <w:szCs w:val="21"/>
                <w:highlight w:val="none"/>
                <w:lang w:eastAsia="zh-CN"/>
              </w:rPr>
              <w:t>2025年</w:t>
            </w:r>
            <w:r>
              <w:rPr>
                <w:rFonts w:hint="eastAsia" w:ascii="宋体" w:hAnsi="宋体" w:cs="宋体"/>
                <w:bCs/>
                <w:color w:val="auto"/>
                <w:szCs w:val="21"/>
                <w:highlight w:val="none"/>
                <w:lang w:val="en-US" w:eastAsia="zh-CN"/>
              </w:rPr>
              <w:t>04</w:t>
            </w:r>
            <w:r>
              <w:rPr>
                <w:rFonts w:hint="eastAsia" w:ascii="宋体" w:hAnsi="宋体" w:cs="宋体"/>
                <w:bCs/>
                <w:color w:val="auto"/>
                <w:szCs w:val="21"/>
                <w:highlight w:val="none"/>
                <w:lang w:eastAsia="zh-CN"/>
              </w:rPr>
              <w:t>月</w:t>
            </w:r>
            <w:r>
              <w:rPr>
                <w:rFonts w:hint="eastAsia" w:ascii="宋体" w:hAnsi="宋体" w:cs="宋体"/>
                <w:bCs/>
                <w:color w:val="auto"/>
                <w:szCs w:val="21"/>
                <w:highlight w:val="none"/>
                <w:lang w:val="en-US" w:eastAsia="zh-CN"/>
              </w:rPr>
              <w:t>21</w:t>
            </w:r>
            <w:r>
              <w:rPr>
                <w:rFonts w:hint="eastAsia" w:ascii="宋体" w:hAnsi="宋体" w:cs="宋体"/>
                <w:bCs/>
                <w:color w:val="auto"/>
                <w:szCs w:val="21"/>
                <w:highlight w:val="none"/>
                <w:lang w:eastAsia="zh-CN"/>
              </w:rPr>
              <w:t>日</w:t>
            </w:r>
            <w:r>
              <w:rPr>
                <w:rFonts w:hint="eastAsia" w:ascii="宋体" w:hAnsi="宋体" w:eastAsia="宋体" w:cs="宋体"/>
                <w:bCs/>
                <w:color w:val="auto"/>
                <w:szCs w:val="21"/>
                <w:highlight w:val="none"/>
                <w:lang w:val="en-US" w:eastAsia="zh-CN"/>
              </w:rPr>
              <w:t>09</w:t>
            </w:r>
            <w:r>
              <w:rPr>
                <w:rFonts w:hint="eastAsia" w:ascii="宋体" w:hAnsi="宋体" w:eastAsia="宋体" w:cs="宋体"/>
                <w:bCs/>
                <w:color w:val="auto"/>
                <w:szCs w:val="21"/>
                <w:highlight w:val="none"/>
              </w:rPr>
              <w:t>时</w:t>
            </w:r>
            <w:r>
              <w:rPr>
                <w:rFonts w:hint="eastAsia" w:ascii="宋体" w:hAnsi="宋体" w:eastAsia="宋体" w:cs="宋体"/>
                <w:bCs/>
                <w:color w:val="auto"/>
                <w:szCs w:val="21"/>
                <w:highlight w:val="none"/>
                <w:lang w:val="en-US" w:eastAsia="zh-CN"/>
              </w:rPr>
              <w:t>00</w:t>
            </w:r>
            <w:r>
              <w:rPr>
                <w:rFonts w:hint="eastAsia" w:ascii="宋体" w:hAnsi="宋体" w:eastAsia="宋体" w:cs="宋体"/>
                <w:bCs/>
                <w:color w:val="auto"/>
                <w:szCs w:val="21"/>
                <w:highlight w:val="none"/>
              </w:rPr>
              <w:t>分；</w:t>
            </w:r>
          </w:p>
          <w:p w14:paraId="532BD71E">
            <w:pPr>
              <w:keepNext w:val="0"/>
              <w:keepLines w:val="0"/>
              <w:pageBreakBefore w:val="0"/>
              <w:kinsoku/>
              <w:wordWrap/>
              <w:overflowPunct/>
              <w:topLinePunct w:val="0"/>
              <w:autoSpaceDE/>
              <w:autoSpaceDN/>
              <w:bidi w:val="0"/>
              <w:adjustRightInd/>
              <w:spacing w:line="312"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磋商地点：供应商均应当准时在线参加（政采云平台）。</w:t>
            </w:r>
          </w:p>
        </w:tc>
      </w:tr>
      <w:tr w14:paraId="68A91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49684B54">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6.7</w:t>
            </w:r>
          </w:p>
        </w:tc>
        <w:tc>
          <w:tcPr>
            <w:tcW w:w="1857" w:type="dxa"/>
            <w:vAlign w:val="center"/>
          </w:tcPr>
          <w:p w14:paraId="3408BF72">
            <w:pPr>
              <w:keepNext w:val="0"/>
              <w:keepLines w:val="0"/>
              <w:pageBreakBefore w:val="0"/>
              <w:kinsoku/>
              <w:wordWrap/>
              <w:overflowPunct/>
              <w:topLinePunct w:val="0"/>
              <w:autoSpaceDE/>
              <w:autoSpaceDN/>
              <w:bidi w:val="0"/>
              <w:adjustRightInd/>
              <w:spacing w:line="312"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磋商评审办法</w:t>
            </w:r>
          </w:p>
        </w:tc>
        <w:tc>
          <w:tcPr>
            <w:tcW w:w="6753" w:type="dxa"/>
            <w:vAlign w:val="center"/>
          </w:tcPr>
          <w:p w14:paraId="1AF289B4">
            <w:pPr>
              <w:keepNext w:val="0"/>
              <w:keepLines w:val="0"/>
              <w:pageBreakBefore w:val="0"/>
              <w:kinsoku/>
              <w:wordWrap/>
              <w:overflowPunct/>
              <w:topLinePunct w:val="0"/>
              <w:autoSpaceDE/>
              <w:autoSpaceDN/>
              <w:bidi w:val="0"/>
              <w:adjustRightInd/>
              <w:spacing w:line="312"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本项目的磋商评审办法是：</w:t>
            </w:r>
          </w:p>
          <w:p w14:paraId="5F021C9F">
            <w:pPr>
              <w:keepNext w:val="0"/>
              <w:keepLines w:val="0"/>
              <w:pageBreakBefore w:val="0"/>
              <w:kinsoku/>
              <w:wordWrap/>
              <w:overflowPunct/>
              <w:topLinePunct w:val="0"/>
              <w:autoSpaceDE/>
              <w:autoSpaceDN/>
              <w:bidi w:val="0"/>
              <w:adjustRightInd/>
              <w:spacing w:line="312" w:lineRule="auto"/>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fldChar w:fldCharType="begin"/>
            </w:r>
            <w:r>
              <w:rPr>
                <w:rFonts w:hint="eastAsia" w:ascii="宋体" w:hAnsi="宋体" w:eastAsia="宋体" w:cs="宋体"/>
                <w:bCs/>
                <w:color w:val="auto"/>
                <w:szCs w:val="21"/>
                <w:highlight w:val="none"/>
              </w:rPr>
              <w:instrText xml:space="preserve"> eq \o\ac(□,√)</w:instrText>
            </w:r>
            <w:r>
              <w:rPr>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综合评分法□最低价评审价法，具体磋商评审内容及评分标准等详见《第六章：磋商评审办法及评分标准》</w:t>
            </w:r>
          </w:p>
        </w:tc>
      </w:tr>
      <w:tr w14:paraId="64E4D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9" w:type="dxa"/>
            <w:vAlign w:val="center"/>
          </w:tcPr>
          <w:p w14:paraId="1C9911F4">
            <w:pPr>
              <w:snapToGrid w:val="0"/>
              <w:spacing w:line="312" w:lineRule="auto"/>
              <w:jc w:val="center"/>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szCs w:val="21"/>
                <w:highlight w:val="none"/>
              </w:rPr>
              <w:t>6.9.1</w:t>
            </w:r>
          </w:p>
        </w:tc>
        <w:tc>
          <w:tcPr>
            <w:tcW w:w="1857" w:type="dxa"/>
            <w:vAlign w:val="center"/>
          </w:tcPr>
          <w:p w14:paraId="4AC09C79">
            <w:pPr>
              <w:snapToGrid w:val="0"/>
              <w:spacing w:line="312"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推荐</w:t>
            </w:r>
          </w:p>
          <w:p w14:paraId="61EA9799">
            <w:pPr>
              <w:snapToGrid w:val="0"/>
              <w:spacing w:line="312" w:lineRule="auto"/>
              <w:jc w:val="center"/>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szCs w:val="21"/>
                <w:highlight w:val="none"/>
              </w:rPr>
              <w:t>成交候选人家数</w:t>
            </w:r>
          </w:p>
        </w:tc>
        <w:tc>
          <w:tcPr>
            <w:tcW w:w="6753" w:type="dxa"/>
            <w:vAlign w:val="center"/>
          </w:tcPr>
          <w:p w14:paraId="174762A6">
            <w:pPr>
              <w:snapToGrid w:val="0"/>
              <w:spacing w:line="312" w:lineRule="auto"/>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szCs w:val="21"/>
                <w:highlight w:val="none"/>
              </w:rPr>
              <w:t>推荐</w:t>
            </w:r>
            <w:r>
              <w:rPr>
                <w:rFonts w:hint="eastAsia" w:ascii="宋体" w:hAnsi="宋体" w:cs="宋体"/>
                <w:bCs/>
                <w:color w:val="000000"/>
                <w:szCs w:val="21"/>
                <w:highlight w:val="none"/>
                <w:lang w:val="en-US" w:eastAsia="zh-CN"/>
              </w:rPr>
              <w:t>3</w:t>
            </w:r>
            <w:r>
              <w:rPr>
                <w:rFonts w:hint="eastAsia" w:ascii="宋体" w:hAnsi="宋体" w:eastAsia="宋体" w:cs="宋体"/>
                <w:bCs/>
                <w:color w:val="000000"/>
                <w:szCs w:val="21"/>
                <w:highlight w:val="none"/>
              </w:rPr>
              <w:t>家，确定1家。</w:t>
            </w:r>
          </w:p>
        </w:tc>
      </w:tr>
      <w:tr w14:paraId="4521D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939" w:type="dxa"/>
            <w:vAlign w:val="center"/>
          </w:tcPr>
          <w:p w14:paraId="2D9411EA">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8.3.1</w:t>
            </w:r>
          </w:p>
        </w:tc>
        <w:tc>
          <w:tcPr>
            <w:tcW w:w="1857" w:type="dxa"/>
            <w:vAlign w:val="center"/>
          </w:tcPr>
          <w:p w14:paraId="3BBD50C6">
            <w:pPr>
              <w:keepNext w:val="0"/>
              <w:keepLines w:val="0"/>
              <w:pageBreakBefore w:val="0"/>
              <w:kinsoku/>
              <w:wordWrap/>
              <w:overflowPunct/>
              <w:topLinePunct w:val="0"/>
              <w:autoSpaceDE/>
              <w:autoSpaceDN/>
              <w:bidi w:val="0"/>
              <w:adjustRightInd/>
              <w:spacing w:line="312" w:lineRule="auto"/>
              <w:ind w:left="-53" w:leftChars="-53" w:right="-65" w:rightChars="-31" w:hanging="58" w:hangingChars="28"/>
              <w:jc w:val="center"/>
              <w:textAlignment w:val="auto"/>
              <w:rPr>
                <w:rFonts w:ascii="宋体" w:hAnsi="宋体" w:cs="Arial"/>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成交</w:t>
            </w:r>
            <w:r>
              <w:rPr>
                <w:rFonts w:ascii="宋体" w:hAnsi="宋体"/>
                <w:bCs/>
                <w:color w:val="000000" w:themeColor="text1"/>
                <w:szCs w:val="21"/>
                <w:highlight w:val="none"/>
                <w14:textFill>
                  <w14:solidFill>
                    <w14:schemeClr w14:val="tx1"/>
                  </w14:solidFill>
                </w14:textFill>
              </w:rPr>
              <w:t>公告发布</w:t>
            </w:r>
            <w:r>
              <w:rPr>
                <w:rFonts w:hint="eastAsia" w:ascii="宋体" w:hAnsi="宋体"/>
                <w:bCs/>
                <w:color w:val="000000" w:themeColor="text1"/>
                <w:szCs w:val="21"/>
                <w:highlight w:val="none"/>
                <w14:textFill>
                  <w14:solidFill>
                    <w14:schemeClr w14:val="tx1"/>
                  </w14:solidFill>
                </w14:textFill>
              </w:rPr>
              <w:t>网址</w:t>
            </w:r>
          </w:p>
        </w:tc>
        <w:tc>
          <w:tcPr>
            <w:tcW w:w="6753" w:type="dxa"/>
            <w:vAlign w:val="center"/>
          </w:tcPr>
          <w:p w14:paraId="7C03C519">
            <w:pPr>
              <w:keepNext w:val="0"/>
              <w:keepLines w:val="0"/>
              <w:pageBreakBefore w:val="0"/>
              <w:kinsoku/>
              <w:wordWrap/>
              <w:overflowPunct/>
              <w:topLinePunct w:val="0"/>
              <w:autoSpaceDE/>
              <w:autoSpaceDN/>
              <w:bidi w:val="0"/>
              <w:adjustRightInd/>
              <w:spacing w:line="312" w:lineRule="auto"/>
              <w:textAlignment w:val="auto"/>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浙江政府采购网（</w:t>
            </w:r>
            <w:r>
              <w:rPr>
                <w:rFonts w:hint="eastAsia" w:ascii="宋体" w:hAnsi="宋体" w:eastAsia="宋体" w:cs="宋体"/>
                <w:bCs/>
                <w:color w:val="000000" w:themeColor="text1"/>
                <w:szCs w:val="21"/>
                <w:highlight w:val="none"/>
                <w14:textFill>
                  <w14:solidFill>
                    <w14:schemeClr w14:val="tx1"/>
                  </w14:solidFill>
                </w14:textFill>
              </w:rPr>
              <w:fldChar w:fldCharType="begin"/>
            </w:r>
            <w:r>
              <w:rPr>
                <w:rFonts w:hint="eastAsia" w:ascii="宋体" w:hAnsi="宋体" w:eastAsia="宋体" w:cs="宋体"/>
                <w:bCs/>
                <w:color w:val="000000" w:themeColor="text1"/>
                <w:szCs w:val="21"/>
                <w:highlight w:val="none"/>
                <w14:textFill>
                  <w14:solidFill>
                    <w14:schemeClr w14:val="tx1"/>
                  </w14:solidFill>
                </w14:textFill>
              </w:rPr>
              <w:instrText xml:space="preserve"> HYPERLINK "http://zfcg.czt.zj.gov.cn/" </w:instrText>
            </w:r>
            <w:r>
              <w:rPr>
                <w:rFonts w:hint="eastAsia" w:ascii="宋体" w:hAnsi="宋体" w:eastAsia="宋体" w:cs="宋体"/>
                <w:bCs/>
                <w:color w:val="000000" w:themeColor="text1"/>
                <w:szCs w:val="21"/>
                <w:highlight w:val="none"/>
                <w14:textFill>
                  <w14:solidFill>
                    <w14:schemeClr w14:val="tx1"/>
                  </w14:solidFill>
                </w14:textFill>
              </w:rPr>
              <w:fldChar w:fldCharType="separate"/>
            </w:r>
            <w:r>
              <w:rPr>
                <w:rFonts w:hint="eastAsia" w:ascii="宋体" w:hAnsi="宋体" w:eastAsia="宋体" w:cs="宋体"/>
                <w:bCs/>
                <w:color w:val="000000" w:themeColor="text1"/>
                <w:szCs w:val="21"/>
                <w:highlight w:val="none"/>
                <w14:textFill>
                  <w14:solidFill>
                    <w14:schemeClr w14:val="tx1"/>
                  </w14:solidFill>
                </w14:textFill>
              </w:rPr>
              <w:t>http://zfcg.czt.zj.gov.cn/</w:t>
            </w:r>
            <w:r>
              <w:rPr>
                <w:rFonts w:hint="eastAsia" w:ascii="宋体" w:hAnsi="宋体" w:eastAsia="宋体" w:cs="宋体"/>
                <w:bCs/>
                <w:color w:val="000000" w:themeColor="text1"/>
                <w:szCs w:val="21"/>
                <w:highlight w:val="none"/>
                <w14:textFill>
                  <w14:solidFill>
                    <w14:schemeClr w14:val="tx1"/>
                  </w14:solidFill>
                </w14:textFill>
              </w:rPr>
              <w:fldChar w:fldCharType="end"/>
            </w:r>
            <w:r>
              <w:rPr>
                <w:rFonts w:hint="eastAsia" w:ascii="宋体" w:hAnsi="宋体" w:eastAsia="宋体" w:cs="宋体"/>
                <w:bCs/>
                <w:color w:val="000000" w:themeColor="text1"/>
                <w:szCs w:val="21"/>
                <w:highlight w:val="none"/>
                <w14:textFill>
                  <w14:solidFill>
                    <w14:schemeClr w14:val="tx1"/>
                  </w14:solidFill>
                </w14:textFill>
              </w:rPr>
              <w:t>）</w:t>
            </w:r>
          </w:p>
          <w:p w14:paraId="412563E3">
            <w:pPr>
              <w:keepNext w:val="0"/>
              <w:keepLines w:val="0"/>
              <w:pageBreakBefore w:val="0"/>
              <w:kinsoku/>
              <w:wordWrap/>
              <w:overflowPunct/>
              <w:topLinePunct w:val="0"/>
              <w:autoSpaceDE/>
              <w:autoSpaceDN/>
              <w:bidi w:val="0"/>
              <w:adjustRightInd/>
              <w:spacing w:line="312" w:lineRule="auto"/>
              <w:textAlignment w:val="auto"/>
              <w:rPr>
                <w:rFonts w:ascii="宋体" w:hAnsi="宋体" w:cs="Arial"/>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丽水市公共资源交易网（http://lssggzy.lishui.gov.cn/）</w:t>
            </w:r>
          </w:p>
        </w:tc>
      </w:tr>
      <w:tr w14:paraId="2D699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939" w:type="dxa"/>
            <w:vAlign w:val="center"/>
          </w:tcPr>
          <w:p w14:paraId="5FDA5F24">
            <w:pPr>
              <w:snapToGrid w:val="0"/>
              <w:spacing w:line="312"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8.4.1</w:t>
            </w:r>
          </w:p>
        </w:tc>
        <w:tc>
          <w:tcPr>
            <w:tcW w:w="1857" w:type="dxa"/>
            <w:vAlign w:val="center"/>
          </w:tcPr>
          <w:p w14:paraId="7C810EB2">
            <w:pPr>
              <w:snapToGrid w:val="0"/>
              <w:spacing w:line="36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履约保证金</w:t>
            </w:r>
          </w:p>
        </w:tc>
        <w:tc>
          <w:tcPr>
            <w:tcW w:w="6753" w:type="dxa"/>
            <w:vAlign w:val="center"/>
          </w:tcPr>
          <w:p w14:paraId="7EBC654B">
            <w:pPr>
              <w:snapToGrid w:val="0"/>
              <w:spacing w:line="312" w:lineRule="auto"/>
              <w:rPr>
                <w:rFonts w:hint="eastAsia" w:ascii="宋体" w:hAnsi="宋体" w:eastAsia="宋体" w:cs="宋体"/>
                <w:bCs/>
                <w:color w:val="000000" w:themeColor="text1"/>
                <w:szCs w:val="21"/>
                <w:highlight w:val="none"/>
                <w:lang w:eastAsia="zh-CN"/>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w:t>
            </w:r>
          </w:p>
        </w:tc>
      </w:tr>
    </w:tbl>
    <w:p w14:paraId="027D2222">
      <w:pPr>
        <w:pStyle w:val="6"/>
        <w:keepNext w:val="0"/>
        <w:keepLines w:val="0"/>
        <w:spacing w:line="360" w:lineRule="auto"/>
        <w:rPr>
          <w:rFonts w:ascii="宋体" w:hAnsi="宋体"/>
          <w:color w:val="000000" w:themeColor="text1"/>
          <w:szCs w:val="21"/>
          <w:highlight w:val="none"/>
          <w14:textFill>
            <w14:solidFill>
              <w14:schemeClr w14:val="tx1"/>
            </w14:solidFill>
          </w14:textFill>
        </w:rPr>
      </w:pPr>
      <w:bookmarkStart w:id="37" w:name="_Toc499128550"/>
      <w:bookmarkStart w:id="38" w:name="_Toc498327005"/>
      <w:bookmarkStart w:id="39" w:name="_Toc301187598"/>
      <w:bookmarkStart w:id="40" w:name="_Toc24183"/>
    </w:p>
    <w:p w14:paraId="1755697B">
      <w:pPr>
        <w:rPr>
          <w:rFonts w:ascii="宋体" w:hAnsi="宋体"/>
          <w:color w:val="000000" w:themeColor="text1"/>
          <w:szCs w:val="21"/>
          <w:highlight w:val="none"/>
          <w14:textFill>
            <w14:solidFill>
              <w14:schemeClr w14:val="tx1"/>
            </w14:solidFill>
          </w14:textFill>
        </w:rPr>
      </w:pPr>
    </w:p>
    <w:p w14:paraId="7FBA058C">
      <w:pPr>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br w:type="page"/>
      </w:r>
    </w:p>
    <w:p w14:paraId="44165B65">
      <w:pPr>
        <w:spacing w:line="360" w:lineRule="auto"/>
        <w:jc w:val="center"/>
        <w:rPr>
          <w:rFonts w:hint="eastAsia"/>
          <w:b/>
          <w:bCs/>
          <w:color w:val="000000" w:themeColor="text1"/>
          <w:sz w:val="28"/>
          <w:szCs w:val="28"/>
          <w:highlight w:val="none"/>
          <w14:textFill>
            <w14:solidFill>
              <w14:schemeClr w14:val="tx1"/>
            </w14:solidFill>
          </w14:textFill>
        </w:rPr>
      </w:pPr>
      <w:bookmarkStart w:id="41" w:name="_Toc10630"/>
      <w:bookmarkStart w:id="42" w:name="_Toc27200"/>
      <w:bookmarkStart w:id="43" w:name="_Toc1484"/>
      <w:bookmarkStart w:id="44" w:name="_Toc11885_WPSOffice_Level2"/>
      <w:bookmarkStart w:id="45" w:name="_Toc5824"/>
      <w:bookmarkStart w:id="46" w:name="_Toc9591312"/>
      <w:bookmarkStart w:id="47" w:name="_Toc9734"/>
      <w:bookmarkStart w:id="48" w:name="_Toc13459"/>
      <w:bookmarkStart w:id="49" w:name="_Toc16901"/>
      <w:bookmarkStart w:id="50" w:name="_Toc5754"/>
      <w:bookmarkStart w:id="51" w:name="_Toc42183823"/>
      <w:bookmarkStart w:id="52" w:name="_Toc20640"/>
      <w:bookmarkStart w:id="53" w:name="_Toc25702"/>
      <w:bookmarkStart w:id="54" w:name="_Toc21751"/>
      <w:bookmarkStart w:id="55" w:name="_Toc20258_WPSOffice_Level2"/>
      <w:bookmarkStart w:id="56" w:name="_Toc11256"/>
      <w:bookmarkStart w:id="57" w:name="_Toc262"/>
      <w:bookmarkStart w:id="58" w:name="_Toc17984"/>
      <w:bookmarkStart w:id="59" w:name="_Toc60214485"/>
      <w:bookmarkStart w:id="60" w:name="_Toc21596"/>
      <w:bookmarkStart w:id="61" w:name="_Toc19832"/>
      <w:bookmarkStart w:id="62" w:name="_Toc12536"/>
      <w:bookmarkStart w:id="63" w:name="_Toc43455636"/>
      <w:bookmarkStart w:id="64" w:name="_Toc23765"/>
      <w:bookmarkStart w:id="65" w:name="_Toc4021"/>
      <w:bookmarkStart w:id="66" w:name="_Toc43456238"/>
      <w:bookmarkStart w:id="67" w:name="_Toc21056"/>
      <w:bookmarkStart w:id="68" w:name="_Toc15948"/>
      <w:bookmarkStart w:id="69" w:name="_Toc342"/>
    </w:p>
    <w:p w14:paraId="29CFDAFA">
      <w:pPr>
        <w:spacing w:line="360" w:lineRule="auto"/>
        <w:jc w:val="center"/>
        <w:rPr>
          <w:rFonts w:hint="eastAsia" w:ascii="宋体" w:hAnsi="宋体" w:cs="宋体"/>
          <w:b/>
          <w:bCs/>
          <w:color w:val="000000"/>
          <w:sz w:val="28"/>
          <w:szCs w:val="28"/>
        </w:rPr>
      </w:pPr>
      <w:r>
        <w:rPr>
          <w:rFonts w:hint="eastAsia" w:ascii="宋体" w:hAnsi="宋体" w:cs="宋体"/>
          <w:b/>
          <w:bCs/>
          <w:color w:val="000000"/>
          <w:sz w:val="28"/>
          <w:szCs w:val="28"/>
        </w:rPr>
        <w:t>第二节 供应商须知前附表（二）</w:t>
      </w:r>
    </w:p>
    <w:p w14:paraId="18BE32D8">
      <w:pPr>
        <w:spacing w:line="360" w:lineRule="auto"/>
        <w:jc w:val="center"/>
        <w:rPr>
          <w:rFonts w:hint="eastAsia" w:ascii="宋体" w:hAnsi="宋体" w:cs="宋体"/>
          <w:b/>
          <w:color w:val="000000"/>
          <w:sz w:val="24"/>
        </w:rPr>
      </w:pPr>
      <w:bookmarkStart w:id="70" w:name="_Toc27726_WPSOffice_Level3"/>
      <w:bookmarkStart w:id="71" w:name="_Toc10497_WPSOffice_Level3"/>
      <w:r>
        <w:rPr>
          <w:rFonts w:hint="eastAsia" w:ascii="宋体" w:hAnsi="宋体" w:cs="宋体"/>
          <w:b/>
          <w:color w:val="000000"/>
          <w:sz w:val="24"/>
        </w:rPr>
        <w:t>采购活动日程安排表</w:t>
      </w:r>
      <w:bookmarkEnd w:id="70"/>
      <w:bookmarkEnd w:id="71"/>
    </w:p>
    <w:tbl>
      <w:tblPr>
        <w:tblStyle w:val="43"/>
        <w:tblW w:w="94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5"/>
        <w:gridCol w:w="1838"/>
        <w:gridCol w:w="3604"/>
        <w:gridCol w:w="3482"/>
      </w:tblGrid>
      <w:tr w14:paraId="3DC0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15" w:type="dxa"/>
            <w:noWrap w:val="0"/>
            <w:vAlign w:val="center"/>
          </w:tcPr>
          <w:p w14:paraId="0F099739">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序号</w:t>
            </w:r>
          </w:p>
        </w:tc>
        <w:tc>
          <w:tcPr>
            <w:tcW w:w="1838" w:type="dxa"/>
            <w:noWrap w:val="0"/>
            <w:vAlign w:val="center"/>
          </w:tcPr>
          <w:p w14:paraId="7CC02E2F">
            <w:pPr>
              <w:jc w:val="center"/>
              <w:rPr>
                <w:rFonts w:hint="eastAsia" w:ascii="宋体" w:hAnsi="宋体" w:eastAsia="宋体" w:cs="宋体"/>
                <w:b/>
                <w:bCs/>
                <w:color w:val="000000"/>
                <w:szCs w:val="21"/>
              </w:rPr>
            </w:pPr>
            <w:r>
              <w:rPr>
                <w:rFonts w:hint="eastAsia" w:ascii="宋体" w:hAnsi="宋体" w:eastAsia="宋体" w:cs="宋体"/>
                <w:b/>
                <w:bCs/>
                <w:color w:val="000000"/>
                <w:szCs w:val="21"/>
              </w:rPr>
              <w:t>工作内容</w:t>
            </w:r>
          </w:p>
        </w:tc>
        <w:tc>
          <w:tcPr>
            <w:tcW w:w="3604" w:type="dxa"/>
            <w:noWrap w:val="0"/>
            <w:vAlign w:val="center"/>
          </w:tcPr>
          <w:p w14:paraId="019BDBA8">
            <w:pPr>
              <w:jc w:val="center"/>
              <w:rPr>
                <w:rFonts w:hint="eastAsia" w:ascii="宋体" w:hAnsi="宋体" w:eastAsia="宋体" w:cs="宋体"/>
                <w:b/>
                <w:bCs/>
                <w:color w:val="000000"/>
                <w:szCs w:val="21"/>
              </w:rPr>
            </w:pPr>
            <w:r>
              <w:rPr>
                <w:rFonts w:hint="eastAsia" w:ascii="宋体" w:hAnsi="宋体" w:eastAsia="宋体" w:cs="宋体"/>
                <w:b/>
                <w:bCs/>
                <w:color w:val="000000"/>
                <w:szCs w:val="21"/>
              </w:rPr>
              <w:t>时间安排</w:t>
            </w:r>
          </w:p>
        </w:tc>
        <w:tc>
          <w:tcPr>
            <w:tcW w:w="3482" w:type="dxa"/>
            <w:noWrap w:val="0"/>
            <w:vAlign w:val="center"/>
          </w:tcPr>
          <w:p w14:paraId="13AFC112">
            <w:pPr>
              <w:jc w:val="center"/>
              <w:rPr>
                <w:rFonts w:hint="eastAsia" w:ascii="宋体" w:hAnsi="宋体" w:eastAsia="宋体" w:cs="宋体"/>
                <w:b/>
                <w:bCs/>
                <w:color w:val="000000"/>
                <w:szCs w:val="21"/>
              </w:rPr>
            </w:pPr>
            <w:r>
              <w:rPr>
                <w:rFonts w:hint="eastAsia" w:ascii="宋体" w:hAnsi="宋体" w:eastAsia="宋体" w:cs="宋体"/>
                <w:b/>
                <w:bCs/>
                <w:color w:val="000000"/>
                <w:szCs w:val="21"/>
              </w:rPr>
              <w:t>备注</w:t>
            </w:r>
          </w:p>
        </w:tc>
      </w:tr>
      <w:tr w14:paraId="01B4A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515" w:type="dxa"/>
            <w:noWrap w:val="0"/>
            <w:vAlign w:val="center"/>
          </w:tcPr>
          <w:p w14:paraId="350C0771">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1</w:t>
            </w:r>
          </w:p>
        </w:tc>
        <w:tc>
          <w:tcPr>
            <w:tcW w:w="1838" w:type="dxa"/>
            <w:noWrap w:val="0"/>
            <w:vAlign w:val="center"/>
          </w:tcPr>
          <w:p w14:paraId="1FD1D7BE">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发布采购公告</w:t>
            </w:r>
          </w:p>
        </w:tc>
        <w:tc>
          <w:tcPr>
            <w:tcW w:w="3604" w:type="dxa"/>
            <w:noWrap w:val="0"/>
            <w:vAlign w:val="center"/>
          </w:tcPr>
          <w:p w14:paraId="20CA2AB4">
            <w:pPr>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lang w:eastAsia="zh-CN"/>
              </w:rPr>
              <w:t>2025</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04</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11 </w:t>
            </w:r>
            <w:r>
              <w:rPr>
                <w:rFonts w:hint="eastAsia" w:ascii="宋体" w:hAnsi="宋体" w:eastAsia="宋体" w:cs="宋体"/>
                <w:color w:val="auto"/>
                <w:szCs w:val="21"/>
                <w:highlight w:val="none"/>
              </w:rPr>
              <w:t>日</w:t>
            </w:r>
          </w:p>
        </w:tc>
        <w:tc>
          <w:tcPr>
            <w:tcW w:w="3482" w:type="dxa"/>
            <w:noWrap w:val="0"/>
            <w:vAlign w:val="center"/>
          </w:tcPr>
          <w:p w14:paraId="0BB21318">
            <w:pPr>
              <w:spacing w:line="288"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浙江省政府采购网（</w:t>
            </w:r>
            <w:r>
              <w:rPr>
                <w:rFonts w:hint="eastAsia" w:ascii="宋体" w:hAnsi="宋体" w:eastAsia="宋体" w:cs="宋体"/>
                <w:bCs/>
                <w:color w:val="auto"/>
                <w:szCs w:val="21"/>
                <w:highlight w:val="none"/>
              </w:rPr>
              <w:fldChar w:fldCharType="begin"/>
            </w:r>
            <w:r>
              <w:rPr>
                <w:rFonts w:hint="eastAsia" w:ascii="宋体" w:hAnsi="宋体" w:eastAsia="宋体" w:cs="宋体"/>
                <w:bCs/>
                <w:color w:val="auto"/>
                <w:szCs w:val="21"/>
                <w:highlight w:val="none"/>
              </w:rPr>
              <w:instrText xml:space="preserve"> HYPERLINK "http://zfcg.czt.zj.gov.cn/" </w:instrText>
            </w:r>
            <w:r>
              <w:rPr>
                <w:rFonts w:hint="eastAsia" w:ascii="宋体" w:hAnsi="宋体" w:eastAsia="宋体" w:cs="宋体"/>
                <w:bCs/>
                <w:color w:val="auto"/>
                <w:szCs w:val="21"/>
                <w:highlight w:val="none"/>
              </w:rPr>
              <w:fldChar w:fldCharType="separate"/>
            </w:r>
            <w:r>
              <w:rPr>
                <w:rFonts w:hint="eastAsia" w:ascii="宋体" w:hAnsi="宋体" w:eastAsia="宋体" w:cs="宋体"/>
                <w:bCs/>
                <w:color w:val="auto"/>
                <w:szCs w:val="21"/>
                <w:highlight w:val="none"/>
              </w:rPr>
              <w:t>http://zfcg.czt.zj.gov.cn/</w:t>
            </w:r>
            <w:r>
              <w:rPr>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w:t>
            </w:r>
          </w:p>
          <w:p w14:paraId="672D5ADB">
            <w:pPr>
              <w:jc w:val="center"/>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丽水市公共资源交易网（http://lssggzy.lishui.gov.cn/）</w:t>
            </w:r>
          </w:p>
        </w:tc>
      </w:tr>
      <w:tr w14:paraId="79D3A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15" w:type="dxa"/>
            <w:noWrap w:val="0"/>
            <w:vAlign w:val="center"/>
          </w:tcPr>
          <w:p w14:paraId="207B2FAB">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2</w:t>
            </w:r>
          </w:p>
        </w:tc>
        <w:tc>
          <w:tcPr>
            <w:tcW w:w="1838" w:type="dxa"/>
            <w:noWrap w:val="0"/>
            <w:vAlign w:val="center"/>
          </w:tcPr>
          <w:p w14:paraId="13B9B77A">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发放</w:t>
            </w:r>
          </w:p>
          <w:p w14:paraId="097C328E">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竞争性磋商文件</w:t>
            </w:r>
          </w:p>
        </w:tc>
        <w:tc>
          <w:tcPr>
            <w:tcW w:w="3604" w:type="dxa"/>
            <w:noWrap w:val="0"/>
            <w:vAlign w:val="center"/>
          </w:tcPr>
          <w:p w14:paraId="05B5A176">
            <w:pPr>
              <w:spacing w:line="288"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lang w:eastAsia="zh-CN"/>
              </w:rPr>
              <w:t>2025</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04</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11</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日起</w:t>
            </w:r>
          </w:p>
        </w:tc>
        <w:tc>
          <w:tcPr>
            <w:tcW w:w="3482" w:type="dxa"/>
            <w:noWrap w:val="0"/>
            <w:vAlign w:val="center"/>
          </w:tcPr>
          <w:p w14:paraId="1EED8F71">
            <w:pPr>
              <w:tabs>
                <w:tab w:val="left" w:pos="2752"/>
              </w:tabs>
              <w:rPr>
                <w:rFonts w:hint="eastAsia" w:ascii="宋体" w:hAnsi="宋体" w:eastAsia="宋体" w:cs="宋体"/>
                <w:color w:val="auto"/>
                <w:szCs w:val="21"/>
                <w:highlight w:val="none"/>
              </w:rPr>
            </w:pPr>
            <w:r>
              <w:rPr>
                <w:rFonts w:hint="eastAsia" w:ascii="宋体" w:hAnsi="宋体" w:eastAsia="宋体" w:cs="宋体"/>
                <w:color w:val="auto"/>
                <w:szCs w:val="21"/>
                <w:highlight w:val="none"/>
              </w:rPr>
              <w:t>获取方式：采购公告附件自行下载</w:t>
            </w:r>
          </w:p>
        </w:tc>
      </w:tr>
      <w:tr w14:paraId="441FF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515" w:type="dxa"/>
            <w:noWrap w:val="0"/>
            <w:vAlign w:val="center"/>
          </w:tcPr>
          <w:p w14:paraId="4F875D16">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3</w:t>
            </w:r>
          </w:p>
        </w:tc>
        <w:tc>
          <w:tcPr>
            <w:tcW w:w="1838" w:type="dxa"/>
            <w:noWrap w:val="0"/>
            <w:vAlign w:val="center"/>
          </w:tcPr>
          <w:p w14:paraId="10BB65FA">
            <w:pPr>
              <w:jc w:val="center"/>
              <w:rPr>
                <w:rFonts w:hint="eastAsia" w:ascii="宋体" w:hAnsi="宋体" w:eastAsia="宋体" w:cs="宋体"/>
                <w:b/>
                <w:bCs/>
                <w:color w:val="auto"/>
                <w:szCs w:val="21"/>
              </w:rPr>
            </w:pPr>
            <w:r>
              <w:rPr>
                <w:rFonts w:hint="eastAsia" w:ascii="宋体" w:hAnsi="宋体" w:eastAsia="宋体" w:cs="宋体"/>
                <w:b/>
                <w:bCs/>
                <w:color w:val="auto"/>
                <w:szCs w:val="21"/>
              </w:rPr>
              <w:t>现场踏勘和答疑</w:t>
            </w:r>
          </w:p>
        </w:tc>
        <w:tc>
          <w:tcPr>
            <w:tcW w:w="3604" w:type="dxa"/>
            <w:noWrap w:val="0"/>
            <w:vAlign w:val="center"/>
          </w:tcPr>
          <w:p w14:paraId="2C84C0D5">
            <w:pPr>
              <w:spacing w:line="288" w:lineRule="auto"/>
              <w:jc w:val="center"/>
              <w:rPr>
                <w:rFonts w:hint="eastAsia" w:ascii="宋体" w:hAnsi="宋体" w:eastAsia="宋体" w:cs="宋体"/>
                <w:color w:val="auto"/>
                <w:szCs w:val="21"/>
              </w:rPr>
            </w:pPr>
            <w:r>
              <w:rPr>
                <w:rFonts w:hint="eastAsia" w:ascii="宋体" w:hAnsi="宋体" w:eastAsia="宋体" w:cs="宋体"/>
                <w:bCs/>
                <w:color w:val="auto"/>
                <w:szCs w:val="21"/>
              </w:rPr>
              <w:sym w:font="Wingdings" w:char="00FE"/>
            </w:r>
            <w:r>
              <w:rPr>
                <w:rFonts w:hint="eastAsia" w:ascii="宋体" w:hAnsi="宋体" w:eastAsia="宋体" w:cs="宋体"/>
                <w:bCs/>
                <w:color w:val="auto"/>
                <w:szCs w:val="21"/>
              </w:rPr>
              <w:t xml:space="preserve"> </w:t>
            </w:r>
            <w:r>
              <w:rPr>
                <w:rFonts w:hint="eastAsia" w:ascii="宋体" w:hAnsi="宋体" w:eastAsia="宋体" w:cs="宋体"/>
                <w:color w:val="auto"/>
                <w:szCs w:val="21"/>
              </w:rPr>
              <w:t xml:space="preserve">无   </w:t>
            </w:r>
            <w:r>
              <w:rPr>
                <w:rFonts w:hint="eastAsia" w:ascii="宋体" w:hAnsi="宋体" w:eastAsia="宋体" w:cs="宋体"/>
                <w:bCs/>
                <w:color w:val="auto"/>
                <w:szCs w:val="21"/>
              </w:rPr>
              <w:sym w:font="Wingdings" w:char="00A8"/>
            </w:r>
            <w:r>
              <w:rPr>
                <w:rFonts w:hint="eastAsia" w:ascii="宋体" w:hAnsi="宋体" w:eastAsia="宋体" w:cs="宋体"/>
                <w:bCs/>
                <w:color w:val="auto"/>
                <w:szCs w:val="21"/>
              </w:rPr>
              <w:t xml:space="preserve"> </w:t>
            </w:r>
            <w:r>
              <w:rPr>
                <w:rFonts w:hint="eastAsia" w:ascii="宋体" w:hAnsi="宋体" w:eastAsia="宋体" w:cs="宋体"/>
                <w:color w:val="auto"/>
                <w:szCs w:val="21"/>
              </w:rPr>
              <w:t>有</w:t>
            </w:r>
          </w:p>
        </w:tc>
        <w:tc>
          <w:tcPr>
            <w:tcW w:w="3482" w:type="dxa"/>
            <w:noWrap w:val="0"/>
            <w:vAlign w:val="center"/>
          </w:tcPr>
          <w:p w14:paraId="210B4851">
            <w:pPr>
              <w:rPr>
                <w:rFonts w:hint="eastAsia" w:ascii="宋体" w:hAnsi="宋体" w:eastAsia="宋体" w:cs="宋体"/>
                <w:color w:val="auto"/>
                <w:szCs w:val="21"/>
              </w:rPr>
            </w:pPr>
          </w:p>
        </w:tc>
      </w:tr>
      <w:tr w14:paraId="1961F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515" w:type="dxa"/>
            <w:noWrap w:val="0"/>
            <w:vAlign w:val="center"/>
          </w:tcPr>
          <w:p w14:paraId="3F14E0D5">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4</w:t>
            </w:r>
          </w:p>
        </w:tc>
        <w:tc>
          <w:tcPr>
            <w:tcW w:w="1838" w:type="dxa"/>
            <w:noWrap w:val="0"/>
            <w:vAlign w:val="center"/>
          </w:tcPr>
          <w:p w14:paraId="7C65990B">
            <w:pPr>
              <w:jc w:val="center"/>
              <w:rPr>
                <w:rFonts w:hint="eastAsia" w:ascii="宋体" w:hAnsi="宋体" w:eastAsia="宋体" w:cs="宋体"/>
                <w:b/>
                <w:bCs/>
                <w:color w:val="000000"/>
                <w:szCs w:val="21"/>
              </w:rPr>
            </w:pPr>
            <w:r>
              <w:rPr>
                <w:rFonts w:hint="eastAsia" w:ascii="宋体" w:hAnsi="宋体" w:eastAsia="宋体" w:cs="宋体"/>
                <w:b/>
                <w:bCs/>
                <w:color w:val="000000"/>
                <w:szCs w:val="21"/>
              </w:rPr>
              <w:t>更正公告</w:t>
            </w:r>
          </w:p>
        </w:tc>
        <w:tc>
          <w:tcPr>
            <w:tcW w:w="3604" w:type="dxa"/>
            <w:noWrap w:val="0"/>
            <w:vAlign w:val="center"/>
          </w:tcPr>
          <w:p w14:paraId="33156F66">
            <w:pPr>
              <w:jc w:val="left"/>
              <w:rPr>
                <w:rFonts w:hint="eastAsia" w:ascii="宋体" w:hAnsi="宋体" w:eastAsia="宋体" w:cs="宋体"/>
                <w:color w:val="000000"/>
                <w:szCs w:val="21"/>
              </w:rPr>
            </w:pPr>
            <w:r>
              <w:rPr>
                <w:rFonts w:hint="eastAsia" w:ascii="宋体" w:hAnsi="宋体" w:eastAsia="宋体" w:cs="宋体"/>
                <w:color w:val="000000"/>
                <w:szCs w:val="21"/>
              </w:rPr>
              <w:t>澄清或修改内容可能影响电子响应文件编制的，磋商响应截止时间5日前，不足5日的，顺延</w:t>
            </w:r>
            <w:r>
              <w:rPr>
                <w:rFonts w:hint="eastAsia" w:ascii="宋体" w:hAnsi="宋体" w:eastAsia="宋体" w:cs="宋体"/>
                <w:bCs/>
                <w:color w:val="000000"/>
                <w:szCs w:val="21"/>
              </w:rPr>
              <w:t>磋商响应截止时间</w:t>
            </w:r>
            <w:r>
              <w:rPr>
                <w:rFonts w:hint="eastAsia" w:ascii="宋体" w:hAnsi="宋体" w:eastAsia="宋体" w:cs="宋体"/>
                <w:color w:val="000000"/>
                <w:szCs w:val="21"/>
              </w:rPr>
              <w:t>。</w:t>
            </w:r>
          </w:p>
        </w:tc>
        <w:tc>
          <w:tcPr>
            <w:tcW w:w="3482" w:type="dxa"/>
            <w:noWrap w:val="0"/>
            <w:vAlign w:val="center"/>
          </w:tcPr>
          <w:p w14:paraId="1042EB63">
            <w:pPr>
              <w:jc w:val="left"/>
              <w:rPr>
                <w:rFonts w:hint="eastAsia" w:ascii="宋体" w:hAnsi="宋体" w:eastAsia="宋体" w:cs="宋体"/>
                <w:color w:val="000000"/>
                <w:szCs w:val="21"/>
              </w:rPr>
            </w:pPr>
            <w:r>
              <w:rPr>
                <w:rFonts w:hint="eastAsia" w:ascii="宋体" w:hAnsi="宋体" w:eastAsia="宋体" w:cs="宋体"/>
                <w:color w:val="000000"/>
                <w:szCs w:val="21"/>
              </w:rPr>
              <w:t>澄清或修改内容获取方式：更正公告</w:t>
            </w:r>
          </w:p>
        </w:tc>
      </w:tr>
      <w:tr w14:paraId="00298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15" w:type="dxa"/>
            <w:noWrap w:val="0"/>
            <w:vAlign w:val="center"/>
          </w:tcPr>
          <w:p w14:paraId="037B0236">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5</w:t>
            </w:r>
          </w:p>
        </w:tc>
        <w:tc>
          <w:tcPr>
            <w:tcW w:w="1838" w:type="dxa"/>
            <w:noWrap w:val="0"/>
            <w:vAlign w:val="center"/>
          </w:tcPr>
          <w:p w14:paraId="46A1DF8F">
            <w:pPr>
              <w:jc w:val="center"/>
              <w:rPr>
                <w:rFonts w:hint="eastAsia" w:ascii="宋体" w:hAnsi="宋体" w:eastAsia="宋体" w:cs="宋体"/>
                <w:b/>
                <w:bCs/>
                <w:color w:val="000000"/>
                <w:szCs w:val="21"/>
              </w:rPr>
            </w:pPr>
            <w:r>
              <w:rPr>
                <w:rFonts w:hint="eastAsia" w:ascii="宋体" w:hAnsi="宋体" w:eastAsia="宋体" w:cs="宋体"/>
                <w:b/>
                <w:bCs/>
                <w:color w:val="000000"/>
                <w:szCs w:val="21"/>
              </w:rPr>
              <w:t>响应文件</w:t>
            </w:r>
          </w:p>
          <w:p w14:paraId="3C9E61E4">
            <w:pPr>
              <w:jc w:val="center"/>
              <w:rPr>
                <w:rFonts w:hint="eastAsia" w:ascii="宋体" w:hAnsi="宋体" w:eastAsia="宋体" w:cs="宋体"/>
                <w:b/>
                <w:bCs/>
                <w:color w:val="000000"/>
                <w:szCs w:val="21"/>
              </w:rPr>
            </w:pPr>
            <w:r>
              <w:rPr>
                <w:rFonts w:hint="eastAsia" w:ascii="宋体" w:hAnsi="宋体" w:eastAsia="宋体" w:cs="宋体"/>
                <w:b/>
                <w:bCs/>
                <w:color w:val="000000"/>
                <w:szCs w:val="21"/>
              </w:rPr>
              <w:t>提交截止时间</w:t>
            </w:r>
          </w:p>
        </w:tc>
        <w:tc>
          <w:tcPr>
            <w:tcW w:w="3604" w:type="dxa"/>
            <w:noWrap w:val="0"/>
            <w:vAlign w:val="center"/>
          </w:tcPr>
          <w:p w14:paraId="3EDC38A2">
            <w:pPr>
              <w:jc w:val="left"/>
              <w:rPr>
                <w:rFonts w:hint="eastAsia" w:ascii="宋体" w:hAnsi="宋体" w:eastAsia="宋体" w:cs="宋体"/>
                <w:color w:val="000000"/>
                <w:szCs w:val="21"/>
              </w:rPr>
            </w:pPr>
            <w:r>
              <w:rPr>
                <w:rFonts w:hint="eastAsia" w:ascii="宋体" w:hAnsi="宋体" w:eastAsia="宋体" w:cs="宋体"/>
                <w:color w:val="000000"/>
                <w:szCs w:val="21"/>
              </w:rPr>
              <w:t>同供应商须知前附表（一）</w:t>
            </w:r>
          </w:p>
        </w:tc>
        <w:tc>
          <w:tcPr>
            <w:tcW w:w="3482" w:type="dxa"/>
            <w:noWrap w:val="0"/>
            <w:vAlign w:val="center"/>
          </w:tcPr>
          <w:p w14:paraId="152233FF">
            <w:pPr>
              <w:rPr>
                <w:rFonts w:hint="eastAsia" w:ascii="宋体" w:hAnsi="宋体" w:eastAsia="宋体" w:cs="宋体"/>
                <w:color w:val="000000"/>
                <w:szCs w:val="21"/>
              </w:rPr>
            </w:pPr>
          </w:p>
        </w:tc>
      </w:tr>
      <w:tr w14:paraId="1DEAA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15" w:type="dxa"/>
            <w:noWrap w:val="0"/>
            <w:vAlign w:val="center"/>
          </w:tcPr>
          <w:p w14:paraId="70B2A7E7">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6</w:t>
            </w:r>
          </w:p>
        </w:tc>
        <w:tc>
          <w:tcPr>
            <w:tcW w:w="1838" w:type="dxa"/>
            <w:noWrap w:val="0"/>
            <w:vAlign w:val="center"/>
          </w:tcPr>
          <w:p w14:paraId="73290EBF">
            <w:pPr>
              <w:jc w:val="center"/>
              <w:rPr>
                <w:rFonts w:hint="eastAsia" w:ascii="宋体" w:hAnsi="宋体" w:eastAsia="宋体" w:cs="宋体"/>
                <w:b/>
                <w:bCs/>
                <w:color w:val="000000"/>
                <w:szCs w:val="21"/>
              </w:rPr>
            </w:pPr>
            <w:r>
              <w:rPr>
                <w:rFonts w:hint="eastAsia" w:ascii="宋体" w:hAnsi="宋体" w:eastAsia="宋体" w:cs="宋体"/>
                <w:b/>
                <w:bCs/>
                <w:color w:val="000000"/>
                <w:szCs w:val="21"/>
              </w:rPr>
              <w:t>磋商时间</w:t>
            </w:r>
          </w:p>
        </w:tc>
        <w:tc>
          <w:tcPr>
            <w:tcW w:w="3604" w:type="dxa"/>
            <w:noWrap w:val="0"/>
            <w:vAlign w:val="center"/>
          </w:tcPr>
          <w:p w14:paraId="4C341E3B">
            <w:pPr>
              <w:jc w:val="left"/>
              <w:rPr>
                <w:rFonts w:hint="eastAsia" w:ascii="宋体" w:hAnsi="宋体" w:eastAsia="宋体" w:cs="宋体"/>
                <w:color w:val="000000"/>
                <w:szCs w:val="21"/>
              </w:rPr>
            </w:pPr>
            <w:r>
              <w:rPr>
                <w:rFonts w:hint="eastAsia" w:ascii="宋体" w:hAnsi="宋体" w:eastAsia="宋体" w:cs="宋体"/>
                <w:color w:val="000000"/>
                <w:szCs w:val="21"/>
              </w:rPr>
              <w:t>同磋商响应截止时间</w:t>
            </w:r>
          </w:p>
        </w:tc>
        <w:tc>
          <w:tcPr>
            <w:tcW w:w="3482" w:type="dxa"/>
            <w:noWrap w:val="0"/>
            <w:vAlign w:val="center"/>
          </w:tcPr>
          <w:p w14:paraId="5ADC3F5E">
            <w:pPr>
              <w:rPr>
                <w:rFonts w:hint="eastAsia" w:ascii="宋体" w:hAnsi="宋体" w:eastAsia="宋体" w:cs="宋体"/>
                <w:color w:val="000000"/>
                <w:szCs w:val="21"/>
              </w:rPr>
            </w:pPr>
          </w:p>
        </w:tc>
      </w:tr>
      <w:tr w14:paraId="3DB1C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15" w:type="dxa"/>
            <w:noWrap w:val="0"/>
            <w:vAlign w:val="center"/>
          </w:tcPr>
          <w:p w14:paraId="698E5AA8">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7</w:t>
            </w:r>
          </w:p>
        </w:tc>
        <w:tc>
          <w:tcPr>
            <w:tcW w:w="1838" w:type="dxa"/>
            <w:noWrap w:val="0"/>
            <w:vAlign w:val="center"/>
          </w:tcPr>
          <w:p w14:paraId="43CD48C4">
            <w:pPr>
              <w:jc w:val="center"/>
              <w:rPr>
                <w:rFonts w:hint="eastAsia" w:ascii="宋体" w:hAnsi="宋体" w:eastAsia="宋体" w:cs="宋体"/>
                <w:b/>
                <w:bCs/>
                <w:color w:val="000000"/>
                <w:szCs w:val="21"/>
              </w:rPr>
            </w:pPr>
            <w:r>
              <w:rPr>
                <w:rFonts w:hint="eastAsia" w:ascii="宋体" w:hAnsi="宋体" w:eastAsia="宋体" w:cs="宋体"/>
                <w:b/>
                <w:bCs/>
                <w:color w:val="000000"/>
                <w:szCs w:val="21"/>
              </w:rPr>
              <w:t>成交公告及     成交通知书</w:t>
            </w:r>
          </w:p>
        </w:tc>
        <w:tc>
          <w:tcPr>
            <w:tcW w:w="3604" w:type="dxa"/>
            <w:noWrap w:val="0"/>
            <w:vAlign w:val="center"/>
          </w:tcPr>
          <w:p w14:paraId="6F2CC174">
            <w:pPr>
              <w:jc w:val="left"/>
              <w:rPr>
                <w:rFonts w:hint="eastAsia" w:ascii="宋体" w:hAnsi="宋体" w:eastAsia="宋体" w:cs="宋体"/>
                <w:color w:val="000000"/>
                <w:szCs w:val="21"/>
              </w:rPr>
            </w:pPr>
            <w:r>
              <w:rPr>
                <w:rFonts w:hint="eastAsia" w:ascii="宋体" w:hAnsi="宋体" w:eastAsia="宋体" w:cs="宋体"/>
                <w:color w:val="000000"/>
                <w:szCs w:val="21"/>
              </w:rPr>
              <w:t>成交人确定之日起2个工作日内</w:t>
            </w:r>
          </w:p>
        </w:tc>
        <w:tc>
          <w:tcPr>
            <w:tcW w:w="3482" w:type="dxa"/>
            <w:noWrap w:val="0"/>
            <w:vAlign w:val="center"/>
          </w:tcPr>
          <w:p w14:paraId="3F1248F9">
            <w:pPr>
              <w:rPr>
                <w:rFonts w:hint="eastAsia" w:ascii="宋体" w:hAnsi="宋体" w:eastAsia="宋体" w:cs="宋体"/>
                <w:color w:val="000000"/>
                <w:szCs w:val="21"/>
              </w:rPr>
            </w:pPr>
          </w:p>
        </w:tc>
      </w:tr>
      <w:tr w14:paraId="53F82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515" w:type="dxa"/>
            <w:noWrap w:val="0"/>
            <w:vAlign w:val="center"/>
          </w:tcPr>
          <w:p w14:paraId="749CDE23">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8</w:t>
            </w:r>
          </w:p>
        </w:tc>
        <w:tc>
          <w:tcPr>
            <w:tcW w:w="1838" w:type="dxa"/>
            <w:noWrap w:val="0"/>
            <w:vAlign w:val="center"/>
          </w:tcPr>
          <w:p w14:paraId="291DDB3C">
            <w:pPr>
              <w:jc w:val="center"/>
              <w:rPr>
                <w:rFonts w:hint="eastAsia" w:ascii="宋体" w:hAnsi="宋体" w:eastAsia="宋体" w:cs="宋体"/>
                <w:b/>
                <w:bCs/>
                <w:color w:val="000000"/>
                <w:szCs w:val="21"/>
              </w:rPr>
            </w:pPr>
            <w:r>
              <w:rPr>
                <w:rFonts w:hint="eastAsia" w:ascii="宋体" w:hAnsi="宋体" w:eastAsia="宋体" w:cs="宋体"/>
                <w:b/>
                <w:bCs/>
                <w:color w:val="000000"/>
                <w:szCs w:val="21"/>
              </w:rPr>
              <w:t>成交结果质疑期限</w:t>
            </w:r>
          </w:p>
        </w:tc>
        <w:tc>
          <w:tcPr>
            <w:tcW w:w="3604" w:type="dxa"/>
            <w:noWrap w:val="0"/>
            <w:vAlign w:val="center"/>
          </w:tcPr>
          <w:p w14:paraId="3F5C9658">
            <w:pPr>
              <w:jc w:val="left"/>
              <w:rPr>
                <w:rFonts w:hint="eastAsia" w:ascii="宋体" w:hAnsi="宋体" w:eastAsia="宋体" w:cs="宋体"/>
                <w:color w:val="000000"/>
                <w:szCs w:val="21"/>
              </w:rPr>
            </w:pPr>
            <w:r>
              <w:rPr>
                <w:rFonts w:hint="eastAsia" w:ascii="宋体" w:hAnsi="宋体" w:eastAsia="宋体" w:cs="宋体"/>
                <w:color w:val="000000"/>
                <w:szCs w:val="21"/>
              </w:rPr>
              <w:t>成交结果公告期限届满之日起7个工作日内。</w:t>
            </w:r>
          </w:p>
        </w:tc>
        <w:tc>
          <w:tcPr>
            <w:tcW w:w="3482" w:type="dxa"/>
            <w:noWrap w:val="0"/>
            <w:vAlign w:val="center"/>
          </w:tcPr>
          <w:p w14:paraId="6632B29F">
            <w:pPr>
              <w:rPr>
                <w:rFonts w:hint="eastAsia" w:ascii="宋体" w:hAnsi="宋体" w:eastAsia="宋体" w:cs="宋体"/>
                <w:color w:val="000000"/>
                <w:szCs w:val="21"/>
              </w:rPr>
            </w:pPr>
          </w:p>
        </w:tc>
      </w:tr>
      <w:tr w14:paraId="43B8A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15" w:type="dxa"/>
            <w:noWrap w:val="0"/>
            <w:vAlign w:val="center"/>
          </w:tcPr>
          <w:p w14:paraId="3F6ADEDB">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9</w:t>
            </w:r>
          </w:p>
        </w:tc>
        <w:tc>
          <w:tcPr>
            <w:tcW w:w="1838" w:type="dxa"/>
            <w:noWrap w:val="0"/>
            <w:vAlign w:val="center"/>
          </w:tcPr>
          <w:p w14:paraId="206429B3">
            <w:pPr>
              <w:jc w:val="center"/>
              <w:rPr>
                <w:rFonts w:hint="eastAsia" w:ascii="宋体" w:hAnsi="宋体" w:eastAsia="宋体" w:cs="宋体"/>
                <w:b/>
                <w:bCs/>
                <w:color w:val="000000"/>
                <w:szCs w:val="21"/>
              </w:rPr>
            </w:pPr>
            <w:r>
              <w:rPr>
                <w:rFonts w:hint="eastAsia" w:ascii="宋体" w:hAnsi="宋体" w:eastAsia="宋体" w:cs="宋体"/>
                <w:b/>
                <w:bCs/>
                <w:color w:val="000000"/>
                <w:szCs w:val="21"/>
              </w:rPr>
              <w:t>成交结果投诉期限</w:t>
            </w:r>
          </w:p>
        </w:tc>
        <w:tc>
          <w:tcPr>
            <w:tcW w:w="3604" w:type="dxa"/>
            <w:noWrap w:val="0"/>
            <w:vAlign w:val="center"/>
          </w:tcPr>
          <w:p w14:paraId="7B5FB894">
            <w:pPr>
              <w:jc w:val="left"/>
              <w:rPr>
                <w:rFonts w:hint="eastAsia" w:ascii="宋体" w:hAnsi="宋体" w:eastAsia="宋体" w:cs="宋体"/>
                <w:color w:val="000000"/>
                <w:szCs w:val="21"/>
              </w:rPr>
            </w:pPr>
            <w:r>
              <w:rPr>
                <w:rFonts w:hint="eastAsia" w:ascii="宋体" w:hAnsi="宋体" w:eastAsia="宋体" w:cs="宋体"/>
                <w:color w:val="000000"/>
                <w:szCs w:val="21"/>
              </w:rPr>
              <w:t>质疑答复期满后15个工作日。</w:t>
            </w:r>
          </w:p>
        </w:tc>
        <w:tc>
          <w:tcPr>
            <w:tcW w:w="3482" w:type="dxa"/>
            <w:noWrap w:val="0"/>
            <w:vAlign w:val="center"/>
          </w:tcPr>
          <w:p w14:paraId="24478944">
            <w:pPr>
              <w:rPr>
                <w:rFonts w:hint="eastAsia" w:ascii="宋体" w:hAnsi="宋体" w:eastAsia="宋体" w:cs="宋体"/>
                <w:color w:val="000000"/>
                <w:szCs w:val="21"/>
              </w:rPr>
            </w:pPr>
          </w:p>
        </w:tc>
      </w:tr>
      <w:tr w14:paraId="76975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515" w:type="dxa"/>
            <w:noWrap w:val="0"/>
            <w:vAlign w:val="center"/>
          </w:tcPr>
          <w:p w14:paraId="03C3EEA2">
            <w:pPr>
              <w:ind w:left="-126" w:leftChars="-60" w:right="-99" w:rightChars="-47"/>
              <w:jc w:val="center"/>
              <w:rPr>
                <w:rFonts w:hint="eastAsia" w:ascii="宋体" w:hAnsi="宋体" w:eastAsia="宋体" w:cs="宋体"/>
                <w:b/>
                <w:bCs/>
                <w:color w:val="000000"/>
                <w:szCs w:val="21"/>
              </w:rPr>
            </w:pPr>
            <w:r>
              <w:rPr>
                <w:rFonts w:hint="eastAsia" w:ascii="宋体" w:hAnsi="宋体" w:eastAsia="宋体" w:cs="宋体"/>
                <w:b/>
                <w:bCs/>
                <w:color w:val="000000"/>
                <w:szCs w:val="21"/>
              </w:rPr>
              <w:t>10</w:t>
            </w:r>
          </w:p>
        </w:tc>
        <w:tc>
          <w:tcPr>
            <w:tcW w:w="1838" w:type="dxa"/>
            <w:noWrap w:val="0"/>
            <w:vAlign w:val="center"/>
          </w:tcPr>
          <w:p w14:paraId="4E79E1CA">
            <w:pPr>
              <w:jc w:val="center"/>
              <w:rPr>
                <w:rFonts w:hint="eastAsia" w:ascii="宋体" w:hAnsi="宋体" w:eastAsia="宋体" w:cs="宋体"/>
                <w:b/>
                <w:bCs/>
                <w:color w:val="000000"/>
                <w:szCs w:val="21"/>
              </w:rPr>
            </w:pPr>
            <w:r>
              <w:rPr>
                <w:rFonts w:hint="eastAsia" w:ascii="宋体" w:hAnsi="宋体" w:eastAsia="宋体" w:cs="宋体"/>
                <w:b/>
                <w:bCs/>
                <w:color w:val="000000"/>
                <w:szCs w:val="21"/>
              </w:rPr>
              <w:t>签订合同</w:t>
            </w:r>
          </w:p>
        </w:tc>
        <w:tc>
          <w:tcPr>
            <w:tcW w:w="3604" w:type="dxa"/>
            <w:noWrap w:val="0"/>
            <w:vAlign w:val="center"/>
          </w:tcPr>
          <w:p w14:paraId="38787E9C">
            <w:pPr>
              <w:rPr>
                <w:rFonts w:hint="eastAsia" w:ascii="宋体" w:hAnsi="宋体" w:eastAsia="宋体" w:cs="宋体"/>
                <w:color w:val="000000"/>
                <w:szCs w:val="21"/>
              </w:rPr>
            </w:pPr>
            <w:r>
              <w:rPr>
                <w:rFonts w:hint="eastAsia" w:ascii="宋体" w:hAnsi="宋体" w:eastAsia="宋体" w:cs="宋体"/>
                <w:color w:val="000000"/>
                <w:szCs w:val="21"/>
              </w:rPr>
              <w:t>成交通知书发出之日起</w:t>
            </w:r>
            <w:r>
              <w:rPr>
                <w:rFonts w:hint="eastAsia" w:ascii="宋体" w:hAnsi="宋体" w:eastAsia="宋体" w:cs="宋体"/>
                <w:color w:val="000000"/>
                <w:szCs w:val="21"/>
                <w:u w:val="single"/>
              </w:rPr>
              <w:t xml:space="preserve"> 30 </w:t>
            </w:r>
            <w:r>
              <w:rPr>
                <w:rFonts w:hint="eastAsia" w:ascii="宋体" w:hAnsi="宋体" w:eastAsia="宋体" w:cs="宋体"/>
                <w:color w:val="000000"/>
                <w:szCs w:val="21"/>
              </w:rPr>
              <w:t>日内，按照竞争性磋商文件和响应文件确定的事项，与成交人签订书面采购合同。</w:t>
            </w:r>
          </w:p>
        </w:tc>
        <w:tc>
          <w:tcPr>
            <w:tcW w:w="3482" w:type="dxa"/>
            <w:noWrap w:val="0"/>
            <w:vAlign w:val="center"/>
          </w:tcPr>
          <w:p w14:paraId="30BEC103">
            <w:pPr>
              <w:rPr>
                <w:rFonts w:hint="eastAsia" w:ascii="宋体" w:hAnsi="宋体" w:eastAsia="宋体" w:cs="宋体"/>
                <w:color w:val="000000"/>
                <w:szCs w:val="21"/>
              </w:rPr>
            </w:pPr>
          </w:p>
        </w:tc>
      </w:tr>
    </w:tbl>
    <w:p w14:paraId="74ADFA3D">
      <w:pPr>
        <w:pStyle w:val="25"/>
        <w:rPr>
          <w:rFonts w:hint="eastAsia"/>
          <w:b/>
          <w:bCs/>
          <w:color w:val="000000" w:themeColor="text1"/>
          <w:sz w:val="28"/>
          <w:szCs w:val="28"/>
          <w:highlight w:val="none"/>
          <w14:textFill>
            <w14:solidFill>
              <w14:schemeClr w14:val="tx1"/>
            </w14:solidFill>
          </w14:textFill>
        </w:rPr>
      </w:pPr>
    </w:p>
    <w:p w14:paraId="18CAE76B">
      <w:pPr>
        <w:rPr>
          <w:rFonts w:hint="eastAsia"/>
          <w:b/>
          <w:bCs/>
          <w:color w:val="000000" w:themeColor="text1"/>
          <w:sz w:val="28"/>
          <w:szCs w:val="28"/>
          <w:highlight w:val="none"/>
          <w14:textFill>
            <w14:solidFill>
              <w14:schemeClr w14:val="tx1"/>
            </w14:solidFill>
          </w14:textFill>
        </w:rPr>
      </w:pPr>
    </w:p>
    <w:p w14:paraId="652DE264">
      <w:pPr>
        <w:pStyle w:val="25"/>
        <w:rPr>
          <w:rFonts w:hint="eastAsia"/>
          <w:b/>
          <w:bCs/>
          <w:color w:val="000000" w:themeColor="text1"/>
          <w:sz w:val="28"/>
          <w:szCs w:val="28"/>
          <w:highlight w:val="none"/>
          <w14:textFill>
            <w14:solidFill>
              <w14:schemeClr w14:val="tx1"/>
            </w14:solidFill>
          </w14:textFill>
        </w:rPr>
      </w:pPr>
    </w:p>
    <w:p w14:paraId="26F3E416">
      <w:pPr>
        <w:rPr>
          <w:rFonts w:hint="eastAsia"/>
          <w:b/>
          <w:bCs/>
          <w:color w:val="000000" w:themeColor="text1"/>
          <w:sz w:val="28"/>
          <w:szCs w:val="28"/>
          <w:highlight w:val="none"/>
          <w14:textFill>
            <w14:solidFill>
              <w14:schemeClr w14:val="tx1"/>
            </w14:solidFill>
          </w14:textFill>
        </w:rPr>
      </w:pPr>
    </w:p>
    <w:p w14:paraId="2FF161FC">
      <w:pPr>
        <w:pStyle w:val="25"/>
        <w:rPr>
          <w:rFonts w:hint="eastAsia"/>
          <w:b/>
          <w:bCs/>
          <w:color w:val="000000" w:themeColor="text1"/>
          <w:sz w:val="28"/>
          <w:szCs w:val="28"/>
          <w:highlight w:val="none"/>
          <w14:textFill>
            <w14:solidFill>
              <w14:schemeClr w14:val="tx1"/>
            </w14:solidFill>
          </w14:textFill>
        </w:rPr>
      </w:pPr>
    </w:p>
    <w:p w14:paraId="1F75F227">
      <w:pPr>
        <w:rPr>
          <w:rFonts w:hint="eastAsia"/>
          <w:b/>
          <w:bCs/>
          <w:color w:val="000000" w:themeColor="text1"/>
          <w:sz w:val="28"/>
          <w:szCs w:val="28"/>
          <w:highlight w:val="none"/>
          <w14:textFill>
            <w14:solidFill>
              <w14:schemeClr w14:val="tx1"/>
            </w14:solidFill>
          </w14:textFill>
        </w:rPr>
      </w:pPr>
    </w:p>
    <w:p w14:paraId="4F7842A1">
      <w:pPr>
        <w:pStyle w:val="25"/>
        <w:rPr>
          <w:rFonts w:hint="eastAsia"/>
          <w:b/>
          <w:bCs/>
          <w:color w:val="000000" w:themeColor="text1"/>
          <w:sz w:val="28"/>
          <w:szCs w:val="28"/>
          <w:highlight w:val="none"/>
          <w14:textFill>
            <w14:solidFill>
              <w14:schemeClr w14:val="tx1"/>
            </w14:solidFill>
          </w14:textFill>
        </w:rPr>
      </w:pPr>
    </w:p>
    <w:p w14:paraId="15977F25">
      <w:pPr>
        <w:rPr>
          <w:rFonts w:hint="eastAsia"/>
          <w:color w:val="000000" w:themeColor="text1"/>
          <w:highlight w:val="none"/>
          <w14:textFill>
            <w14:solidFill>
              <w14:schemeClr w14:val="tx1"/>
            </w14:solidFill>
          </w14:textFill>
        </w:rPr>
      </w:pPr>
    </w:p>
    <w:p w14:paraId="12A09730">
      <w:pPr>
        <w:rPr>
          <w:rFonts w:hint="eastAsia"/>
          <w:color w:val="000000" w:themeColor="text1"/>
          <w:highlight w:val="none"/>
          <w14:textFill>
            <w14:solidFill>
              <w14:schemeClr w14:val="tx1"/>
            </w14:solidFill>
          </w14:textFill>
        </w:rPr>
      </w:pPr>
    </w:p>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14:paraId="7563E636">
      <w:pPr>
        <w:pStyle w:val="6"/>
        <w:spacing w:line="360" w:lineRule="auto"/>
        <w:rPr>
          <w:rFonts w:hint="eastAsia" w:ascii="宋体" w:hAnsi="宋体"/>
          <w:color w:val="000000" w:themeColor="text1"/>
          <w:sz w:val="24"/>
          <w:szCs w:val="24"/>
          <w:highlight w:val="none"/>
          <w14:textFill>
            <w14:solidFill>
              <w14:schemeClr w14:val="tx1"/>
            </w14:solidFill>
          </w14:textFill>
        </w:rPr>
      </w:pPr>
      <w:bookmarkStart w:id="72" w:name="_Toc23565"/>
      <w:bookmarkStart w:id="73" w:name="_Toc7832"/>
      <w:bookmarkStart w:id="74" w:name="_Toc12237"/>
      <w:bookmarkStart w:id="75" w:name="_Toc502154396"/>
      <w:r>
        <w:rPr>
          <w:rFonts w:hint="eastAsia" w:ascii="宋体" w:hAnsi="宋体"/>
          <w:color w:val="000000" w:themeColor="text1"/>
          <w:sz w:val="24"/>
          <w:szCs w:val="24"/>
          <w:highlight w:val="none"/>
          <w14:textFill>
            <w14:solidFill>
              <w14:schemeClr w14:val="tx1"/>
            </w14:solidFill>
          </w14:textFill>
        </w:rPr>
        <w:t>1．总则</w:t>
      </w:r>
      <w:bookmarkEnd w:id="72"/>
      <w:bookmarkEnd w:id="73"/>
      <w:bookmarkEnd w:id="74"/>
    </w:p>
    <w:p w14:paraId="5051D885">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76" w:name="_Toc303756365"/>
      <w:bookmarkStart w:id="77" w:name="_Toc498327006"/>
      <w:bookmarkStart w:id="78" w:name="_Toc26749"/>
      <w:bookmarkStart w:id="79" w:name="_Toc499128551"/>
      <w:bookmarkStart w:id="80" w:name="_Toc301187578"/>
      <w:bookmarkStart w:id="81" w:name="_Toc359934560"/>
      <w:r>
        <w:rPr>
          <w:rFonts w:hint="eastAsia" w:ascii="宋体" w:hAnsi="宋体"/>
          <w:b/>
          <w:bCs/>
          <w:color w:val="000000" w:themeColor="text1"/>
          <w:szCs w:val="21"/>
          <w:highlight w:val="none"/>
          <w14:textFill>
            <w14:solidFill>
              <w14:schemeClr w14:val="tx1"/>
            </w14:solidFill>
          </w14:textFill>
        </w:rPr>
        <w:t>1.1适用范围</w:t>
      </w:r>
      <w:bookmarkEnd w:id="76"/>
      <w:bookmarkEnd w:id="77"/>
      <w:bookmarkEnd w:id="78"/>
      <w:bookmarkEnd w:id="79"/>
      <w:bookmarkEnd w:id="80"/>
      <w:bookmarkEnd w:id="81"/>
    </w:p>
    <w:p w14:paraId="3D24C78F">
      <w:pPr>
        <w:spacing w:line="360" w:lineRule="auto"/>
        <w:ind w:firstLine="420" w:firstLineChars="200"/>
        <w:rPr>
          <w:rFonts w:hint="eastAsia" w:ascii="宋体" w:hAnsi="宋体" w:cs="宋体"/>
          <w:color w:val="000000" w:themeColor="text1"/>
          <w:highlight w:val="none"/>
          <w14:textFill>
            <w14:solidFill>
              <w14:schemeClr w14:val="tx1"/>
            </w14:solidFill>
          </w14:textFill>
        </w:rPr>
      </w:pPr>
      <w:bookmarkStart w:id="82" w:name="_Toc301187579"/>
      <w:r>
        <w:rPr>
          <w:rFonts w:hint="eastAsia" w:ascii="宋体" w:hAnsi="宋体"/>
          <w:color w:val="000000" w:themeColor="text1"/>
          <w:szCs w:val="21"/>
          <w:highlight w:val="none"/>
          <w14:textFill>
            <w14:solidFill>
              <w14:schemeClr w14:val="tx1"/>
            </w14:solidFill>
          </w14:textFill>
        </w:rPr>
        <w:t>本</w:t>
      </w:r>
      <w:r>
        <w:rPr>
          <w:rFonts w:hint="eastAsia" w:ascii="宋体" w:hAnsi="宋体" w:cs="宋体"/>
          <w:color w:val="000000" w:themeColor="text1"/>
          <w:highlight w:val="none"/>
          <w14:textFill>
            <w14:solidFill>
              <w14:schemeClr w14:val="tx1"/>
            </w14:solidFill>
          </w14:textFill>
        </w:rPr>
        <w:t>竞争性</w:t>
      </w:r>
      <w:r>
        <w:rPr>
          <w:rFonts w:hint="eastAsia" w:ascii="宋体" w:hAnsi="宋体"/>
          <w:color w:val="000000" w:themeColor="text1"/>
          <w:szCs w:val="21"/>
          <w:highlight w:val="none"/>
          <w14:textFill>
            <w14:solidFill>
              <w14:schemeClr w14:val="tx1"/>
            </w14:solidFill>
          </w14:textFill>
        </w:rPr>
        <w:t>磋商文件适用于本竞争性磋商文件所叙述项目的公开采购。</w:t>
      </w:r>
      <w:bookmarkEnd w:id="82"/>
      <w:r>
        <w:rPr>
          <w:rFonts w:hint="eastAsia" w:ascii="宋体" w:hAnsi="宋体" w:cs="宋体"/>
          <w:color w:val="000000" w:themeColor="text1"/>
          <w:highlight w:val="none"/>
          <w14:textFill>
            <w14:solidFill>
              <w14:schemeClr w14:val="tx1"/>
            </w14:solidFill>
          </w14:textFill>
        </w:rPr>
        <w:t>供应商一旦参与本次采购活动，即视为接受了本竞争性磋商文件的所有内容；如有任何异议，均应在磋商时间前以书面形式提出。</w:t>
      </w:r>
    </w:p>
    <w:p w14:paraId="5270F774">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83" w:name="_Toc499128552"/>
      <w:bookmarkStart w:id="84" w:name="_Toc303756366"/>
      <w:bookmarkStart w:id="85" w:name="_Toc359934561"/>
      <w:bookmarkStart w:id="86" w:name="_Toc32303"/>
      <w:bookmarkStart w:id="87" w:name="_Toc498327007"/>
      <w:bookmarkStart w:id="88" w:name="_Toc301187580"/>
      <w:r>
        <w:rPr>
          <w:rFonts w:hint="eastAsia" w:ascii="宋体" w:hAnsi="宋体"/>
          <w:b/>
          <w:bCs/>
          <w:color w:val="000000" w:themeColor="text1"/>
          <w:szCs w:val="21"/>
          <w:highlight w:val="none"/>
          <w14:textFill>
            <w14:solidFill>
              <w14:schemeClr w14:val="tx1"/>
            </w14:solidFill>
          </w14:textFill>
        </w:rPr>
        <w:t>1.2定义</w:t>
      </w:r>
      <w:bookmarkEnd w:id="83"/>
      <w:bookmarkEnd w:id="84"/>
      <w:bookmarkEnd w:id="85"/>
      <w:bookmarkEnd w:id="86"/>
      <w:bookmarkEnd w:id="87"/>
      <w:bookmarkEnd w:id="88"/>
    </w:p>
    <w:p w14:paraId="16B2E37F">
      <w:pPr>
        <w:spacing w:line="360" w:lineRule="auto"/>
        <w:ind w:firstLine="420" w:firstLineChars="200"/>
        <w:rPr>
          <w:rFonts w:hint="eastAsia" w:ascii="宋体" w:hAnsi="宋体" w:cs="宋体"/>
          <w:color w:val="000000" w:themeColor="text1"/>
          <w:highlight w:val="none"/>
          <w14:textFill>
            <w14:solidFill>
              <w14:schemeClr w14:val="tx1"/>
            </w14:solidFill>
          </w14:textFill>
        </w:rPr>
      </w:pPr>
      <w:bookmarkStart w:id="89" w:name="_Toc301187581"/>
      <w:r>
        <w:rPr>
          <w:rFonts w:hint="eastAsia" w:ascii="宋体" w:hAnsi="宋体" w:cs="宋体"/>
          <w:color w:val="000000" w:themeColor="text1"/>
          <w:highlight w:val="none"/>
          <w14:textFill>
            <w14:solidFill>
              <w14:schemeClr w14:val="tx1"/>
            </w14:solidFill>
          </w14:textFill>
        </w:rPr>
        <w:t>1.2.1采购人：</w:t>
      </w:r>
      <w:r>
        <w:rPr>
          <w:rFonts w:hint="eastAsia" w:ascii="宋体" w:hAnsi="宋体" w:cs="宋体"/>
          <w:color w:val="000000" w:themeColor="text1"/>
          <w:szCs w:val="21"/>
          <w:highlight w:val="none"/>
          <w14:textFill>
            <w14:solidFill>
              <w14:schemeClr w14:val="tx1"/>
            </w14:solidFill>
          </w14:textFill>
        </w:rPr>
        <w:t>见供应商须知前附表</w:t>
      </w:r>
      <w:r>
        <w:rPr>
          <w:rFonts w:hint="eastAsia" w:ascii="宋体" w:hAnsi="宋体"/>
          <w:bCs/>
          <w:color w:val="000000" w:themeColor="text1"/>
          <w:szCs w:val="21"/>
          <w:highlight w:val="none"/>
          <w14:textFill>
            <w14:solidFill>
              <w14:schemeClr w14:val="tx1"/>
            </w14:solidFill>
          </w14:textFill>
        </w:rPr>
        <w:t>（一）</w:t>
      </w:r>
      <w:r>
        <w:rPr>
          <w:rFonts w:hint="eastAsia" w:ascii="宋体" w:hAnsi="宋体" w:cs="宋体"/>
          <w:color w:val="000000" w:themeColor="text1"/>
          <w:szCs w:val="21"/>
          <w:highlight w:val="none"/>
          <w14:textFill>
            <w14:solidFill>
              <w14:schemeClr w14:val="tx1"/>
            </w14:solidFill>
          </w14:textFill>
        </w:rPr>
        <w:t>。</w:t>
      </w:r>
      <w:bookmarkEnd w:id="89"/>
    </w:p>
    <w:p w14:paraId="7D26E9D5">
      <w:pPr>
        <w:spacing w:line="360" w:lineRule="auto"/>
        <w:ind w:firstLine="420" w:firstLineChars="200"/>
        <w:rPr>
          <w:rFonts w:hint="eastAsia" w:ascii="宋体" w:hAnsi="宋体" w:cs="宋体"/>
          <w:color w:val="000000" w:themeColor="text1"/>
          <w:highlight w:val="none"/>
          <w14:textFill>
            <w14:solidFill>
              <w14:schemeClr w14:val="tx1"/>
            </w14:solidFill>
          </w14:textFill>
        </w:rPr>
      </w:pPr>
      <w:bookmarkStart w:id="90" w:name="_Toc301187582"/>
      <w:r>
        <w:rPr>
          <w:rFonts w:hint="eastAsia" w:ascii="宋体" w:hAnsi="宋体" w:cs="宋体"/>
          <w:color w:val="000000" w:themeColor="text1"/>
          <w:highlight w:val="none"/>
          <w14:textFill>
            <w14:solidFill>
              <w14:schemeClr w14:val="tx1"/>
            </w14:solidFill>
          </w14:textFill>
        </w:rPr>
        <w:t>1.2.2采购代理机构：</w:t>
      </w:r>
      <w:bookmarkEnd w:id="90"/>
      <w:r>
        <w:rPr>
          <w:rFonts w:hint="eastAsia" w:ascii="宋体" w:hAnsi="宋体" w:cs="宋体"/>
          <w:color w:val="000000" w:themeColor="text1"/>
          <w:szCs w:val="21"/>
          <w:highlight w:val="none"/>
          <w14:textFill>
            <w14:solidFill>
              <w14:schemeClr w14:val="tx1"/>
            </w14:solidFill>
          </w14:textFill>
        </w:rPr>
        <w:t>见供应商须知前附表</w:t>
      </w:r>
      <w:r>
        <w:rPr>
          <w:rFonts w:hint="eastAsia" w:ascii="宋体" w:hAnsi="宋体"/>
          <w:bCs/>
          <w:color w:val="000000" w:themeColor="text1"/>
          <w:szCs w:val="21"/>
          <w:highlight w:val="none"/>
          <w14:textFill>
            <w14:solidFill>
              <w14:schemeClr w14:val="tx1"/>
            </w14:solidFill>
          </w14:textFill>
        </w:rPr>
        <w:t>（一）</w:t>
      </w:r>
      <w:r>
        <w:rPr>
          <w:rFonts w:hint="eastAsia" w:ascii="宋体" w:hAnsi="宋体" w:cs="宋体"/>
          <w:color w:val="000000" w:themeColor="text1"/>
          <w:szCs w:val="21"/>
          <w:highlight w:val="none"/>
          <w14:textFill>
            <w14:solidFill>
              <w14:schemeClr w14:val="tx1"/>
            </w14:solidFill>
          </w14:textFill>
        </w:rPr>
        <w:t>。</w:t>
      </w:r>
    </w:p>
    <w:p w14:paraId="133367AC">
      <w:pPr>
        <w:spacing w:line="360" w:lineRule="auto"/>
        <w:ind w:firstLine="420" w:firstLineChars="200"/>
        <w:rPr>
          <w:rFonts w:hint="eastAsia" w:ascii="宋体" w:hAnsi="宋体" w:cs="宋体"/>
          <w:color w:val="000000" w:themeColor="text1"/>
          <w:highlight w:val="none"/>
          <w14:textFill>
            <w14:solidFill>
              <w14:schemeClr w14:val="tx1"/>
            </w14:solidFill>
          </w14:textFill>
        </w:rPr>
      </w:pPr>
      <w:bookmarkStart w:id="91" w:name="_Toc301187583"/>
      <w:r>
        <w:rPr>
          <w:rFonts w:hint="eastAsia" w:ascii="宋体" w:hAnsi="宋体" w:cs="宋体"/>
          <w:color w:val="000000" w:themeColor="text1"/>
          <w:highlight w:val="none"/>
          <w14:textFill>
            <w14:solidFill>
              <w14:schemeClr w14:val="tx1"/>
            </w14:solidFill>
          </w14:textFill>
        </w:rPr>
        <w:t>1.2.3“供应商”系指按照竞争性磋商文件的规定参加磋商的自然人、法人或其他组织。</w:t>
      </w:r>
      <w:bookmarkEnd w:id="91"/>
    </w:p>
    <w:p w14:paraId="23C75BAC">
      <w:pPr>
        <w:spacing w:line="360" w:lineRule="auto"/>
        <w:ind w:firstLine="420" w:firstLineChars="200"/>
        <w:rPr>
          <w:rFonts w:hint="eastAsia" w:ascii="宋体" w:hAnsi="宋体" w:cs="宋体"/>
          <w:color w:val="000000" w:themeColor="text1"/>
          <w:highlight w:val="none"/>
          <w14:textFill>
            <w14:solidFill>
              <w14:schemeClr w14:val="tx1"/>
            </w14:solidFill>
          </w14:textFill>
        </w:rPr>
      </w:pPr>
      <w:bookmarkStart w:id="92" w:name="_Toc301187584"/>
      <w:r>
        <w:rPr>
          <w:rFonts w:hint="eastAsia" w:ascii="宋体" w:hAnsi="宋体" w:cs="宋体"/>
          <w:color w:val="000000" w:themeColor="text1"/>
          <w:highlight w:val="none"/>
          <w14:textFill>
            <w14:solidFill>
              <w14:schemeClr w14:val="tx1"/>
            </w14:solidFill>
          </w14:textFill>
        </w:rPr>
        <w:t>1.2.4“</w:t>
      </w:r>
      <w:r>
        <w:rPr>
          <w:rFonts w:hint="eastAsia" w:ascii="宋体" w:hAnsi="宋体" w:cs="宋体"/>
          <w:color w:val="000000" w:themeColor="text1"/>
          <w:szCs w:val="21"/>
          <w:highlight w:val="none"/>
          <w14:textFill>
            <w14:solidFill>
              <w14:schemeClr w14:val="tx1"/>
            </w14:solidFill>
          </w14:textFill>
        </w:rPr>
        <w:t>法定代表人（负责人）</w:t>
      </w:r>
      <w:r>
        <w:rPr>
          <w:rFonts w:hint="eastAsia" w:ascii="宋体" w:hAnsi="宋体" w:cs="宋体"/>
          <w:color w:val="000000" w:themeColor="text1"/>
          <w:highlight w:val="none"/>
          <w14:textFill>
            <w14:solidFill>
              <w14:schemeClr w14:val="tx1"/>
            </w14:solidFill>
          </w14:textFill>
        </w:rPr>
        <w:t>”系指法人企业的法定代表人，或其他组织为法律、行政法规规定代表单位行使职权的主要负责人，或自然人本人。</w:t>
      </w:r>
    </w:p>
    <w:p w14:paraId="3453D282">
      <w:pPr>
        <w:spacing w:line="360"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1.2.5</w:t>
      </w:r>
      <w:bookmarkEnd w:id="92"/>
      <w:r>
        <w:rPr>
          <w:rFonts w:hint="eastAsia" w:ascii="宋体" w:hAnsi="宋体" w:cs="宋体"/>
          <w:color w:val="000000" w:themeColor="text1"/>
          <w:szCs w:val="21"/>
          <w:highlight w:val="none"/>
          <w14:textFill>
            <w14:solidFill>
              <w14:schemeClr w14:val="tx1"/>
            </w14:solidFill>
          </w14:textFill>
        </w:rPr>
        <w:t>“供应商代表”系指法定代表人</w:t>
      </w:r>
      <w:r>
        <w:rPr>
          <w:rFonts w:hint="eastAsia" w:ascii="宋体" w:hAnsi="宋体" w:cs="宋体"/>
          <w:bCs/>
          <w:color w:val="000000" w:themeColor="text1"/>
          <w:szCs w:val="21"/>
          <w:highlight w:val="none"/>
          <w14:textFill>
            <w14:solidFill>
              <w14:schemeClr w14:val="tx1"/>
            </w14:solidFill>
          </w14:textFill>
        </w:rPr>
        <w:t>（负责人）</w:t>
      </w:r>
      <w:r>
        <w:rPr>
          <w:rFonts w:hint="eastAsia" w:ascii="宋体" w:hAnsi="宋体" w:cs="宋体"/>
          <w:color w:val="000000" w:themeColor="text1"/>
          <w:szCs w:val="21"/>
          <w:highlight w:val="none"/>
          <w14:textFill>
            <w14:solidFill>
              <w14:schemeClr w14:val="tx1"/>
            </w14:solidFill>
          </w14:textFill>
        </w:rPr>
        <w:t>或其授权的委托代理人。</w:t>
      </w:r>
    </w:p>
    <w:p w14:paraId="3B53DB1E">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bookmarkStart w:id="93" w:name="_Toc301187585"/>
      <w:r>
        <w:rPr>
          <w:rFonts w:hint="eastAsia" w:ascii="宋体" w:hAnsi="宋体" w:cs="宋体"/>
          <w:color w:val="000000" w:themeColor="text1"/>
          <w:highlight w:val="none"/>
          <w14:textFill>
            <w14:solidFill>
              <w14:schemeClr w14:val="tx1"/>
            </w14:solidFill>
          </w14:textFill>
        </w:rPr>
        <w:t>1.2.</w:t>
      </w:r>
      <w:bookmarkEnd w:id="93"/>
      <w:r>
        <w:rPr>
          <w:rFonts w:hint="eastAsia" w:ascii="宋体" w:hAnsi="宋体" w:cs="宋体"/>
          <w:color w:val="000000" w:themeColor="text1"/>
          <w:highlight w:val="none"/>
          <w14:textFill>
            <w14:solidFill>
              <w14:schemeClr w14:val="tx1"/>
            </w14:solidFill>
          </w14:textFill>
        </w:rPr>
        <w:t>6</w:t>
      </w:r>
      <w:bookmarkStart w:id="94" w:name="_Toc301187587"/>
      <w:r>
        <w:rPr>
          <w:rFonts w:hint="eastAsia" w:ascii="宋体" w:hAnsi="宋体" w:cs="宋体"/>
          <w:color w:val="000000" w:themeColor="text1"/>
          <w:szCs w:val="21"/>
          <w:highlight w:val="none"/>
          <w14:textFill>
            <w14:solidFill>
              <w14:schemeClr w14:val="tx1"/>
            </w14:solidFill>
          </w14:textFill>
        </w:rPr>
        <w:t>“合同”系指采购人与成交人双方签署的规定双方权利与义务的协议，以及所有附件、附录、竞争性磋商文件和电子响应文件所提到的构成合同的所有文件。</w:t>
      </w:r>
    </w:p>
    <w:bookmarkEnd w:id="94"/>
    <w:p w14:paraId="3B798335">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bookmarkStart w:id="95" w:name="_Toc498327008"/>
      <w:bookmarkStart w:id="96" w:name="_Toc31483"/>
      <w:bookmarkStart w:id="97" w:name="_Toc499128553"/>
      <w:bookmarkStart w:id="98" w:name="_Toc359934562"/>
      <w:bookmarkStart w:id="99" w:name="_Toc301187591"/>
      <w:bookmarkStart w:id="100" w:name="_Toc303756367"/>
      <w:r>
        <w:rPr>
          <w:rFonts w:hint="eastAsia" w:ascii="宋体" w:hAnsi="宋体" w:cs="宋体"/>
          <w:color w:val="000000" w:themeColor="text1"/>
          <w:szCs w:val="21"/>
          <w:highlight w:val="none"/>
          <w14:textFill>
            <w14:solidFill>
              <w14:schemeClr w14:val="tx1"/>
            </w14:solidFill>
          </w14:textFill>
        </w:rPr>
        <w:t>1.2.7“产品”系指供应商按竞争性磋商文件规定，最终向采购人提供本项目采购的产品（包括：虚拟产品），以及产品相关的配套设施、工具、手册及其它有关技术资料和材料等。</w:t>
      </w:r>
    </w:p>
    <w:p w14:paraId="1CD9CB1C">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1.2.8“服务”系指供应商按竞争性磋商文件规定提供劳动形式满足采购人需求，包括劳动、运输、保管、包装、维修以及其他类似的附随义务。</w:t>
      </w:r>
    </w:p>
    <w:p w14:paraId="70EF1D27">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1.2.9“项目”系指供应商按竞争性磋商文件规定向采购人提供的服务和服务成果。</w:t>
      </w:r>
    </w:p>
    <w:p w14:paraId="647CE621">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1.2.10标有“</w:t>
      </w:r>
      <w:r>
        <w:rPr>
          <w:rFonts w:hint="eastAsia" w:ascii="宋体" w:hAnsi="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”符号均属于“实质性条款”，不允许负偏离。</w:t>
      </w:r>
    </w:p>
    <w:p w14:paraId="18A53700">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1.2.11标有“★”系指项目关键核心产品，作为判断同品牌产品的依据。</w:t>
      </w:r>
    </w:p>
    <w:p w14:paraId="12DD4D7B">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1.2.12“电子响应文件”系指供应商通过“政采云电子交易客户端”编制的数据电文形式的“电子加密响应文件”。</w:t>
      </w:r>
    </w:p>
    <w:p w14:paraId="45E05A20">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1.2.13“备份响应文件”系指与“电子响应文件”同时生成的数据电文形式的电子文件。</w:t>
      </w:r>
    </w:p>
    <w:bookmarkEnd w:id="95"/>
    <w:bookmarkEnd w:id="96"/>
    <w:bookmarkEnd w:id="97"/>
    <w:bookmarkEnd w:id="98"/>
    <w:bookmarkEnd w:id="99"/>
    <w:bookmarkEnd w:id="100"/>
    <w:p w14:paraId="1FD3BE46">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01" w:name="_Toc2627"/>
      <w:bookmarkStart w:id="102" w:name="_Toc301187592"/>
      <w:r>
        <w:rPr>
          <w:rFonts w:hint="eastAsia" w:ascii="宋体" w:hAnsi="宋体"/>
          <w:b/>
          <w:bCs/>
          <w:color w:val="000000" w:themeColor="text1"/>
          <w:szCs w:val="21"/>
          <w:highlight w:val="none"/>
          <w14:textFill>
            <w14:solidFill>
              <w14:schemeClr w14:val="tx1"/>
            </w14:solidFill>
          </w14:textFill>
        </w:rPr>
        <w:t>1.3合格的供应商</w:t>
      </w:r>
      <w:bookmarkEnd w:id="101"/>
    </w:p>
    <w:bookmarkEnd w:id="102"/>
    <w:p w14:paraId="7F919396">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1.3.1见供应商须知前附表</w:t>
      </w:r>
      <w:r>
        <w:rPr>
          <w:rFonts w:hint="eastAsia" w:ascii="宋体" w:hAnsi="宋体" w:cs="宋体"/>
          <w:bCs/>
          <w:color w:val="000000" w:themeColor="text1"/>
          <w:szCs w:val="21"/>
          <w:highlight w:val="none"/>
          <w14:textFill>
            <w14:solidFill>
              <w14:schemeClr w14:val="tx1"/>
            </w14:solidFill>
          </w14:textFill>
        </w:rPr>
        <w:t>（一）</w:t>
      </w:r>
      <w:r>
        <w:rPr>
          <w:rFonts w:hint="eastAsia" w:ascii="宋体" w:hAnsi="宋体" w:cs="宋体"/>
          <w:color w:val="000000" w:themeColor="text1"/>
          <w:szCs w:val="21"/>
          <w:highlight w:val="none"/>
          <w14:textFill>
            <w14:solidFill>
              <w14:schemeClr w14:val="tx1"/>
            </w14:solidFill>
          </w14:textFill>
        </w:rPr>
        <w:t>。</w:t>
      </w:r>
    </w:p>
    <w:p w14:paraId="7E3873C0">
      <w:pPr>
        <w:spacing w:line="360" w:lineRule="auto"/>
        <w:jc w:val="left"/>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1.4联合体磋商</w:t>
      </w:r>
    </w:p>
    <w:p w14:paraId="5EA7E616">
      <w:pPr>
        <w:spacing w:line="324"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1.4.1联合体磋商：见供应商须知前附表（一）。</w:t>
      </w:r>
    </w:p>
    <w:p w14:paraId="6B55B58A">
      <w:pPr>
        <w:spacing w:line="324"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1.4.2联合体各方均符合政府采购法第二十二条第一款规定。</w:t>
      </w:r>
    </w:p>
    <w:p w14:paraId="210D4397">
      <w:pPr>
        <w:spacing w:line="324"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1.4.3联合体中至少有一方符合本文件规定的特定资质要求。但联合体中有同类资质的</w:t>
      </w: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按照联合体分工承担相同工作的，应当按照资质等级较低的</w:t>
      </w: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确定资质等级。</w:t>
      </w:r>
    </w:p>
    <w:p w14:paraId="1948B6EF">
      <w:pPr>
        <w:spacing w:line="324"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1.4.4以联合体形式参加政府采购活动的，联合体各方不得再单独参加或者与其他</w:t>
      </w: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另外组成联合体参加同一合同项下的政府采购活动。</w:t>
      </w:r>
    </w:p>
    <w:p w14:paraId="5CCBA77E">
      <w:pPr>
        <w:spacing w:line="324" w:lineRule="auto"/>
        <w:ind w:firstLine="420" w:firstLineChars="200"/>
        <w:rPr>
          <w:rFonts w:hint="eastAsia"/>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1.4.5联合体参与的，必须提供《联合磋商协议书》。</w:t>
      </w:r>
    </w:p>
    <w:p w14:paraId="55F52E32">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03" w:name="_Toc6677"/>
      <w:bookmarkStart w:id="104" w:name="_Toc301187599"/>
      <w:bookmarkStart w:id="105" w:name="_Toc30468"/>
      <w:bookmarkStart w:id="106" w:name="_Toc359934566"/>
      <w:bookmarkStart w:id="107" w:name="_Toc303756371"/>
      <w:r>
        <w:rPr>
          <w:rFonts w:hint="eastAsia" w:ascii="宋体" w:hAnsi="宋体"/>
          <w:b/>
          <w:bCs/>
          <w:color w:val="000000" w:themeColor="text1"/>
          <w:szCs w:val="21"/>
          <w:highlight w:val="none"/>
          <w14:textFill>
            <w14:solidFill>
              <w14:schemeClr w14:val="tx1"/>
            </w14:solidFill>
          </w14:textFill>
        </w:rPr>
        <w:t>1.5响应文件的语言及计量</w:t>
      </w:r>
      <w:bookmarkEnd w:id="103"/>
    </w:p>
    <w:p w14:paraId="762A6F22">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1.5.1响应文件以及供应商、采购人与采购代理机构就有关磋商事宜的所有来往函电，应当以中文简体书写，除签名、盖章、专用名称等特殊情形外。</w:t>
      </w:r>
    </w:p>
    <w:p w14:paraId="493A044B">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1.5.2响应资料提供外文证书或者外国语视听资料的，应当附有中文译本，由翻译机构盖章或者翻译人员签名。</w:t>
      </w:r>
    </w:p>
    <w:p w14:paraId="0EC83B67">
      <w:pPr>
        <w:spacing w:line="324" w:lineRule="auto"/>
        <w:ind w:firstLine="420" w:firstLineChars="200"/>
        <w:rPr>
          <w:rFonts w:hint="eastAsia"/>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1.5.3计量单位，竞争性磋商文件已有明确规定的，使用竞争性磋商文件规定的计量单位；竞争性磋商文件没有规定的，应当采用中华人民共和国法定计量单位（货币单位：人民币）。</w:t>
      </w:r>
    </w:p>
    <w:p w14:paraId="5E879A97">
      <w:pPr>
        <w:spacing w:line="360" w:lineRule="auto"/>
        <w:jc w:val="left"/>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1.</w:t>
      </w:r>
      <w:bookmarkEnd w:id="104"/>
      <w:bookmarkEnd w:id="105"/>
      <w:bookmarkEnd w:id="106"/>
      <w:bookmarkEnd w:id="107"/>
      <w:r>
        <w:rPr>
          <w:rFonts w:hint="eastAsia" w:ascii="宋体" w:hAnsi="宋体"/>
          <w:b/>
          <w:bCs/>
          <w:color w:val="000000" w:themeColor="text1"/>
          <w:szCs w:val="21"/>
          <w:highlight w:val="none"/>
          <w14:textFill>
            <w14:solidFill>
              <w14:schemeClr w14:val="tx1"/>
            </w14:solidFill>
          </w14:textFill>
        </w:rPr>
        <w:t>6磋商费用</w:t>
      </w:r>
    </w:p>
    <w:p w14:paraId="375F6C57">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bookmarkStart w:id="108" w:name="_Toc301187600"/>
      <w:r>
        <w:rPr>
          <w:rFonts w:hint="eastAsia" w:ascii="宋体" w:hAnsi="宋体"/>
          <w:color w:val="000000" w:themeColor="text1"/>
          <w:szCs w:val="21"/>
          <w:highlight w:val="none"/>
          <w14:textFill>
            <w14:solidFill>
              <w14:schemeClr w14:val="tx1"/>
            </w14:solidFill>
          </w14:textFill>
        </w:rPr>
        <w:t>1.6.1</w:t>
      </w:r>
      <w:r>
        <w:rPr>
          <w:rFonts w:hint="eastAsia" w:ascii="宋体" w:hAnsi="宋体" w:cs="宋体"/>
          <w:color w:val="000000" w:themeColor="text1"/>
          <w:highlight w:val="none"/>
          <w14:textFill>
            <w14:solidFill>
              <w14:schemeClr w14:val="tx1"/>
            </w14:solidFill>
          </w14:textFill>
        </w:rPr>
        <w:t>不论</w:t>
      </w:r>
      <w:r>
        <w:rPr>
          <w:rFonts w:hint="eastAsia" w:ascii="宋体" w:hAnsi="宋体"/>
          <w:color w:val="000000" w:themeColor="text1"/>
          <w:szCs w:val="21"/>
          <w:highlight w:val="none"/>
          <w14:textFill>
            <w14:solidFill>
              <w14:schemeClr w14:val="tx1"/>
            </w14:solidFill>
          </w14:textFill>
        </w:rPr>
        <w:t>磋商的结果如何（包括取消采购任务等情况），供应商均应自行承担所有与磋商有关的全部费用。</w:t>
      </w:r>
      <w:bookmarkEnd w:id="108"/>
    </w:p>
    <w:p w14:paraId="6913948D">
      <w:pPr>
        <w:adjustRightInd w:val="0"/>
        <w:snapToGrid w:val="0"/>
        <w:spacing w:line="336" w:lineRule="auto"/>
        <w:ind w:firstLine="420" w:firstLineChars="200"/>
        <w:rPr>
          <w:rFonts w:hint="eastAsia" w:ascii="宋体" w:hAnsi="宋体" w:eastAsia="宋体" w:cs="宋体"/>
          <w:b/>
          <w:bCs/>
          <w:color w:val="000000" w:themeColor="text1"/>
          <w:sz w:val="21"/>
          <w:szCs w:val="21"/>
          <w:highlight w:val="none"/>
          <w14:textFill>
            <w14:solidFill>
              <w14:schemeClr w14:val="tx1"/>
            </w14:solidFill>
          </w14:textFill>
        </w:rPr>
      </w:pPr>
      <w:bookmarkStart w:id="109" w:name="_Toc9812"/>
      <w:bookmarkStart w:id="110" w:name="_Toc499128559"/>
      <w:bookmarkStart w:id="111" w:name="_Toc301187604"/>
      <w:bookmarkStart w:id="112" w:name="_Toc303756373"/>
      <w:bookmarkStart w:id="113" w:name="_Toc498327014"/>
      <w:bookmarkStart w:id="114" w:name="_Toc359934568"/>
      <w:bookmarkStart w:id="115" w:name="_Toc25161"/>
      <w:r>
        <w:rPr>
          <w:rFonts w:hint="eastAsia" w:ascii="宋体" w:hAnsi="宋体"/>
          <w:color w:val="000000" w:themeColor="text1"/>
          <w:szCs w:val="21"/>
          <w:highlight w:val="none"/>
          <w14:textFill>
            <w14:solidFill>
              <w14:schemeClr w14:val="tx1"/>
            </w14:solidFill>
          </w14:textFill>
        </w:rPr>
        <w:t>1.6.2</w:t>
      </w:r>
      <w:r>
        <w:rPr>
          <w:rFonts w:hint="eastAsia" w:ascii="宋体" w:hAnsi="宋体" w:eastAsia="宋体" w:cs="宋体"/>
          <w:color w:val="000000" w:themeColor="text1"/>
          <w:szCs w:val="21"/>
          <w:highlight w:val="none"/>
          <w14:textFill>
            <w14:solidFill>
              <w14:schemeClr w14:val="tx1"/>
            </w14:solidFill>
          </w14:textFill>
        </w:rPr>
        <w:t>采购咨询费：</w:t>
      </w:r>
      <w:r>
        <w:rPr>
          <w:rFonts w:hint="eastAsia" w:ascii="宋体" w:hAnsi="宋体" w:eastAsia="宋体" w:cs="宋体"/>
          <w:b/>
          <w:bCs/>
          <w:color w:val="000000" w:themeColor="text1"/>
          <w:sz w:val="21"/>
          <w:szCs w:val="21"/>
          <w:highlight w:val="none"/>
          <w14:textFill>
            <w14:solidFill>
              <w14:schemeClr w14:val="tx1"/>
            </w14:solidFill>
          </w14:textFill>
        </w:rPr>
        <w:t>成交供应商参照计价格[2002]1980号文件收费标准执行，按</w:t>
      </w:r>
      <w:r>
        <w:rPr>
          <w:rFonts w:hint="eastAsia" w:ascii="宋体" w:hAnsi="宋体" w:cs="宋体"/>
          <w:b/>
          <w:bCs/>
          <w:color w:val="000000" w:themeColor="text1"/>
          <w:sz w:val="21"/>
          <w:szCs w:val="21"/>
          <w:highlight w:val="none"/>
          <w:lang w:eastAsia="zh-CN"/>
          <w14:textFill>
            <w14:solidFill>
              <w14:schemeClr w14:val="tx1"/>
            </w14:solidFill>
          </w14:textFill>
        </w:rPr>
        <w:t>伍仟元整包干收取，</w:t>
      </w:r>
      <w:r>
        <w:rPr>
          <w:rFonts w:hint="eastAsia" w:ascii="宋体" w:hAnsi="宋体" w:eastAsia="宋体" w:cs="宋体"/>
          <w:b/>
          <w:bCs/>
          <w:color w:val="000000" w:themeColor="text1"/>
          <w:sz w:val="21"/>
          <w:szCs w:val="21"/>
          <w:highlight w:val="none"/>
          <w14:textFill>
            <w14:solidFill>
              <w14:schemeClr w14:val="tx1"/>
            </w14:solidFill>
          </w14:textFill>
        </w:rPr>
        <w:t>代理机构出具浙江增值税电子普通发票</w:t>
      </w:r>
      <w:r>
        <w:rPr>
          <w:rFonts w:hint="eastAsia" w:ascii="宋体" w:hAnsi="宋体" w:cs="宋体"/>
          <w:b/>
          <w:bCs/>
          <w:color w:val="000000" w:themeColor="text1"/>
          <w:sz w:val="21"/>
          <w:szCs w:val="21"/>
          <w:highlight w:val="none"/>
          <w:lang w:eastAsia="zh-CN"/>
          <w14:textFill>
            <w14:solidFill>
              <w14:schemeClr w14:val="tx1"/>
            </w14:solidFill>
          </w14:textFill>
        </w:rPr>
        <w:t>。</w:t>
      </w:r>
      <w:r>
        <w:rPr>
          <w:rFonts w:hint="eastAsia" w:ascii="宋体" w:hAnsi="宋体" w:eastAsia="宋体" w:cs="宋体"/>
          <w:b/>
          <w:bCs/>
          <w:color w:val="000000" w:themeColor="text1"/>
          <w:sz w:val="21"/>
          <w:szCs w:val="21"/>
          <w:highlight w:val="none"/>
          <w14:textFill>
            <w14:solidFill>
              <w14:schemeClr w14:val="tx1"/>
            </w14:solidFill>
          </w14:textFill>
        </w:rPr>
        <w:t>成交供应商在成交公告发布之日起且在领取成交通知书前以现金或转账形式支付给采购代理机构。</w:t>
      </w:r>
    </w:p>
    <w:tbl>
      <w:tblPr>
        <w:tblStyle w:val="43"/>
        <w:tblW w:w="84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9"/>
        <w:gridCol w:w="1230"/>
        <w:gridCol w:w="5363"/>
      </w:tblGrid>
      <w:tr w14:paraId="2D282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0" w:hRule="atLeast"/>
          <w:jc w:val="center"/>
        </w:trPr>
        <w:tc>
          <w:tcPr>
            <w:tcW w:w="1899" w:type="dxa"/>
            <w:noWrap w:val="0"/>
            <w:vAlign w:val="center"/>
          </w:tcPr>
          <w:p w14:paraId="13C48BCB">
            <w:pPr>
              <w:spacing w:line="324"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中标金额（万元）</w:t>
            </w:r>
          </w:p>
        </w:tc>
        <w:tc>
          <w:tcPr>
            <w:tcW w:w="1230" w:type="dxa"/>
            <w:noWrap w:val="0"/>
            <w:vAlign w:val="center"/>
          </w:tcPr>
          <w:p w14:paraId="5A0855AD">
            <w:pPr>
              <w:spacing w:line="324"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费率</w:t>
            </w:r>
          </w:p>
        </w:tc>
        <w:tc>
          <w:tcPr>
            <w:tcW w:w="5363" w:type="dxa"/>
            <w:noWrap w:val="0"/>
            <w:vAlign w:val="center"/>
          </w:tcPr>
          <w:p w14:paraId="156CC661">
            <w:pPr>
              <w:spacing w:line="324"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备   注</w:t>
            </w:r>
          </w:p>
        </w:tc>
      </w:tr>
      <w:tr w14:paraId="6C7FA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899" w:type="dxa"/>
            <w:noWrap w:val="0"/>
            <w:vAlign w:val="center"/>
          </w:tcPr>
          <w:p w14:paraId="7D242CEF">
            <w:pPr>
              <w:spacing w:before="100" w:beforeAutospacing="1" w:after="100" w:afterAutospacing="1" w:line="324" w:lineRule="auto"/>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0--</w:t>
            </w:r>
            <w:r>
              <w:rPr>
                <w:rFonts w:hint="eastAsia" w:ascii="宋体" w:hAnsi="宋体" w:eastAsia="宋体" w:cs="宋体"/>
                <w:color w:val="000000" w:themeColor="text1"/>
                <w:sz w:val="21"/>
                <w:szCs w:val="21"/>
                <w:highlight w:val="none"/>
                <w14:textFill>
                  <w14:solidFill>
                    <w14:schemeClr w14:val="tx1"/>
                  </w14:solidFill>
                </w14:textFill>
              </w:rPr>
              <w:t>100</w:t>
            </w:r>
          </w:p>
        </w:tc>
        <w:tc>
          <w:tcPr>
            <w:tcW w:w="1230" w:type="dxa"/>
            <w:noWrap w:val="0"/>
            <w:vAlign w:val="center"/>
          </w:tcPr>
          <w:p w14:paraId="420A5B93">
            <w:pPr>
              <w:spacing w:line="324" w:lineRule="auto"/>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1.50%</w:t>
            </w:r>
          </w:p>
        </w:tc>
        <w:tc>
          <w:tcPr>
            <w:tcW w:w="5363" w:type="dxa"/>
            <w:noWrap w:val="0"/>
            <w:vAlign w:val="center"/>
          </w:tcPr>
          <w:p w14:paraId="060942F1">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例如：某项目中标金额为100万元，计算采购咨询服务费如下：</w:t>
            </w:r>
          </w:p>
          <w:p w14:paraId="6E504C5B">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100万元×1.5％＝1.5万元</w:t>
            </w:r>
          </w:p>
          <w:p w14:paraId="5B99C39D">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经计算后低于5000元的按5000元计。</w:t>
            </w:r>
          </w:p>
        </w:tc>
      </w:tr>
    </w:tbl>
    <w:p w14:paraId="27C40FAD">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1.6.3</w:t>
      </w:r>
      <w:r>
        <w:rPr>
          <w:rFonts w:hint="eastAsia" w:ascii="宋体" w:hAnsi="宋体"/>
          <w:color w:val="000000" w:themeColor="text1"/>
          <w:szCs w:val="21"/>
          <w:highlight w:val="none"/>
          <w14:textFill>
            <w14:solidFill>
              <w14:schemeClr w14:val="tx1"/>
            </w14:solidFill>
          </w14:textFill>
        </w:rPr>
        <w:t>代理</w:t>
      </w:r>
      <w:r>
        <w:rPr>
          <w:rFonts w:hint="eastAsia" w:ascii="宋体" w:hAnsi="宋体" w:cs="宋体"/>
          <w:color w:val="000000" w:themeColor="text1"/>
          <w:highlight w:val="none"/>
          <w14:textFill>
            <w14:solidFill>
              <w14:schemeClr w14:val="tx1"/>
            </w14:solidFill>
          </w14:textFill>
        </w:rPr>
        <w:t>机构</w:t>
      </w:r>
      <w:r>
        <w:rPr>
          <w:rFonts w:hint="eastAsia" w:ascii="宋体" w:hAnsi="宋体" w:cs="宋体"/>
          <w:color w:val="000000" w:themeColor="text1"/>
          <w:highlight w:val="none"/>
          <w:lang w:eastAsia="zh-CN"/>
          <w14:textFill>
            <w14:solidFill>
              <w14:schemeClr w14:val="tx1"/>
            </w14:solidFill>
          </w14:textFill>
        </w:rPr>
        <w:t>账</w:t>
      </w:r>
      <w:r>
        <w:rPr>
          <w:rFonts w:hint="eastAsia" w:ascii="宋体" w:hAnsi="宋体" w:cs="宋体"/>
          <w:color w:val="000000" w:themeColor="text1"/>
          <w:highlight w:val="none"/>
          <w14:textFill>
            <w14:solidFill>
              <w14:schemeClr w14:val="tx1"/>
            </w14:solidFill>
          </w14:textFill>
        </w:rPr>
        <w:t>户信息：</w:t>
      </w:r>
    </w:p>
    <w:p w14:paraId="7D8C6316">
      <w:pPr>
        <w:keepNext w:val="0"/>
        <w:keepLines w:val="0"/>
        <w:pageBreakBefore w:val="0"/>
        <w:widowControl w:val="0"/>
        <w:kinsoku/>
        <w:wordWrap/>
        <w:overflowPunct/>
        <w:topLinePunct w:val="0"/>
        <w:autoSpaceDE/>
        <w:autoSpaceDN/>
        <w:bidi w:val="0"/>
        <w:adjustRightInd w:val="0"/>
        <w:snapToGrid w:val="0"/>
        <w:spacing w:line="336" w:lineRule="auto"/>
        <w:ind w:firstLine="632" w:firstLineChars="300"/>
        <w:textAlignment w:val="auto"/>
        <w:rPr>
          <w:rFonts w:hint="eastAsia" w:ascii="宋体" w:hAnsi="宋体" w:cs="宋体"/>
          <w:b/>
          <w:bCs/>
          <w:color w:val="000000"/>
          <w:szCs w:val="21"/>
          <w:highlight w:val="none"/>
          <w:u w:val="single"/>
        </w:rPr>
      </w:pPr>
      <w:r>
        <w:rPr>
          <w:rFonts w:hint="eastAsia" w:ascii="宋体" w:hAnsi="宋体" w:cs="宋体"/>
          <w:b/>
          <w:bCs/>
          <w:color w:val="000000"/>
          <w:szCs w:val="21"/>
          <w:highlight w:val="none"/>
          <w:u w:val="none"/>
          <w:lang w:bidi="ar"/>
        </w:rPr>
        <w:t>户名：</w:t>
      </w:r>
      <w:r>
        <w:rPr>
          <w:rFonts w:hint="eastAsia" w:ascii="宋体" w:hAnsi="宋体" w:cs="宋体"/>
          <w:b/>
          <w:bCs/>
          <w:color w:val="000000"/>
          <w:szCs w:val="21"/>
          <w:highlight w:val="none"/>
          <w:u w:val="single"/>
          <w:lang w:eastAsia="zh-CN" w:bidi="ar"/>
        </w:rPr>
        <w:t>浙江鼎峰工程咨询有限公司青田分公司</w:t>
      </w:r>
    </w:p>
    <w:p w14:paraId="3C2FCFE6">
      <w:pPr>
        <w:keepNext w:val="0"/>
        <w:keepLines w:val="0"/>
        <w:pageBreakBefore w:val="0"/>
        <w:widowControl w:val="0"/>
        <w:kinsoku/>
        <w:wordWrap/>
        <w:overflowPunct/>
        <w:topLinePunct w:val="0"/>
        <w:autoSpaceDE/>
        <w:autoSpaceDN/>
        <w:bidi w:val="0"/>
        <w:adjustRightInd w:val="0"/>
        <w:snapToGrid w:val="0"/>
        <w:spacing w:line="336" w:lineRule="auto"/>
        <w:ind w:firstLine="632" w:firstLineChars="300"/>
        <w:textAlignment w:val="auto"/>
        <w:rPr>
          <w:rFonts w:hint="eastAsia" w:ascii="宋体" w:hAnsi="宋体" w:eastAsia="宋体" w:cs="宋体"/>
          <w:b/>
          <w:bCs/>
          <w:color w:val="000000"/>
          <w:szCs w:val="21"/>
          <w:highlight w:val="none"/>
          <w:u w:val="single"/>
          <w:lang w:eastAsia="zh-CN" w:bidi="ar"/>
        </w:rPr>
      </w:pPr>
      <w:r>
        <w:rPr>
          <w:rFonts w:hint="eastAsia" w:ascii="宋体" w:hAnsi="宋体" w:eastAsia="宋体" w:cs="宋体"/>
          <w:b/>
          <w:bCs/>
          <w:color w:val="000000"/>
          <w:szCs w:val="21"/>
          <w:highlight w:val="none"/>
          <w:u w:val="none"/>
          <w:lang w:eastAsia="zh-CN" w:bidi="ar"/>
        </w:rPr>
        <w:t>账号：</w:t>
      </w:r>
      <w:r>
        <w:rPr>
          <w:rFonts w:hint="eastAsia" w:ascii="宋体" w:hAnsi="宋体" w:cs="宋体"/>
          <w:b/>
          <w:bCs/>
          <w:color w:val="000000"/>
          <w:szCs w:val="21"/>
          <w:highlight w:val="none"/>
          <w:u w:val="single"/>
          <w:lang w:eastAsia="zh-CN" w:bidi="ar"/>
        </w:rPr>
        <w:t>100582918710018128</w:t>
      </w:r>
    </w:p>
    <w:p w14:paraId="7383A2F3">
      <w:pPr>
        <w:keepNext w:val="0"/>
        <w:keepLines w:val="0"/>
        <w:pageBreakBefore w:val="0"/>
        <w:widowControl w:val="0"/>
        <w:kinsoku/>
        <w:wordWrap/>
        <w:overflowPunct/>
        <w:topLinePunct w:val="0"/>
        <w:autoSpaceDE/>
        <w:autoSpaceDN/>
        <w:bidi w:val="0"/>
        <w:adjustRightInd w:val="0"/>
        <w:snapToGrid w:val="0"/>
        <w:spacing w:line="336" w:lineRule="auto"/>
        <w:ind w:firstLine="632" w:firstLineChars="300"/>
        <w:textAlignment w:val="auto"/>
        <w:rPr>
          <w:rFonts w:hint="eastAsia" w:ascii="宋体" w:hAnsi="宋体" w:eastAsia="宋体" w:cs="宋体"/>
          <w:b/>
          <w:bCs/>
          <w:color w:val="000000"/>
          <w:szCs w:val="21"/>
          <w:highlight w:val="none"/>
          <w:u w:val="single"/>
          <w:lang w:eastAsia="zh-CN" w:bidi="ar"/>
        </w:rPr>
      </w:pPr>
      <w:r>
        <w:rPr>
          <w:rFonts w:hint="eastAsia" w:ascii="宋体" w:hAnsi="宋体" w:eastAsia="宋体" w:cs="宋体"/>
          <w:b/>
          <w:bCs/>
          <w:color w:val="000000"/>
          <w:szCs w:val="21"/>
          <w:highlight w:val="none"/>
          <w:u w:val="none"/>
          <w:lang w:eastAsia="zh-CN" w:bidi="ar"/>
        </w:rPr>
        <w:t>开户银行：</w:t>
      </w:r>
      <w:r>
        <w:rPr>
          <w:rFonts w:hint="eastAsia" w:ascii="宋体" w:hAnsi="宋体" w:cs="宋体"/>
          <w:b/>
          <w:bCs/>
          <w:color w:val="000000"/>
          <w:szCs w:val="21"/>
          <w:highlight w:val="none"/>
          <w:u w:val="single"/>
          <w:lang w:eastAsia="zh-CN" w:bidi="ar"/>
        </w:rPr>
        <w:t>中国邮政储蓄银行青田县支行</w:t>
      </w:r>
    </w:p>
    <w:p w14:paraId="70B06D44">
      <w:pPr>
        <w:keepNext w:val="0"/>
        <w:keepLines w:val="0"/>
        <w:pageBreakBefore w:val="0"/>
        <w:widowControl w:val="0"/>
        <w:kinsoku/>
        <w:wordWrap/>
        <w:overflowPunct/>
        <w:topLinePunct w:val="0"/>
        <w:autoSpaceDE/>
        <w:autoSpaceDN/>
        <w:bidi w:val="0"/>
        <w:adjustRightInd w:val="0"/>
        <w:snapToGrid w:val="0"/>
        <w:spacing w:line="336" w:lineRule="auto"/>
        <w:ind w:firstLine="632" w:firstLineChars="300"/>
        <w:textAlignment w:val="auto"/>
        <w:rPr>
          <w:rFonts w:hint="eastAsia" w:ascii="宋体" w:hAnsi="宋体" w:eastAsia="宋体" w:cs="宋体"/>
          <w:b/>
          <w:bCs/>
          <w:color w:val="000000"/>
          <w:szCs w:val="21"/>
          <w:highlight w:val="none"/>
          <w:u w:val="single"/>
          <w:lang w:eastAsia="zh-CN" w:bidi="ar"/>
        </w:rPr>
      </w:pPr>
      <w:r>
        <w:rPr>
          <w:rFonts w:hint="eastAsia" w:ascii="宋体" w:hAnsi="宋体" w:eastAsia="宋体" w:cs="宋体"/>
          <w:b/>
          <w:bCs/>
          <w:color w:val="000000"/>
          <w:szCs w:val="21"/>
          <w:highlight w:val="none"/>
          <w:u w:val="none"/>
          <w:lang w:eastAsia="zh-CN" w:bidi="ar"/>
        </w:rPr>
        <w:t>银行号：</w:t>
      </w:r>
      <w:r>
        <w:rPr>
          <w:rFonts w:hint="eastAsia" w:ascii="宋体" w:hAnsi="宋体" w:cs="宋体"/>
          <w:b/>
          <w:bCs/>
          <w:color w:val="000000"/>
          <w:szCs w:val="21"/>
          <w:highlight w:val="none"/>
          <w:u w:val="single"/>
          <w:lang w:eastAsia="zh-CN" w:bidi="ar"/>
        </w:rPr>
        <w:t>403343200028</w:t>
      </w:r>
    </w:p>
    <w:p w14:paraId="244DD44F">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1.6.4供应商未按以上规定办理缴费，视为其自动放弃成交资格，采购人有权重新组织采购。</w:t>
      </w:r>
    </w:p>
    <w:p w14:paraId="7AC9ABF0">
      <w:pPr>
        <w:spacing w:line="360" w:lineRule="auto"/>
        <w:jc w:val="left"/>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1.7现场踏勘</w:t>
      </w:r>
      <w:bookmarkEnd w:id="109"/>
    </w:p>
    <w:p w14:paraId="76A1757B">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1.7.1现场考察：见供应商须知前附表（一）。</w:t>
      </w:r>
    </w:p>
    <w:p w14:paraId="10CE7C3C">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1.7.2供应商踏勘现场发生的费用自理。</w:t>
      </w:r>
    </w:p>
    <w:p w14:paraId="754C023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1.7.3除采购人的原因外，供应商自行负责在踏勘现场中所发生的人员伤亡和财产损失。</w:t>
      </w:r>
    </w:p>
    <w:p w14:paraId="733673B2">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1.7.4采购人在现场踏勘中介绍的场地和相关的周边环境情况，供供应商在编制响应文件时参考，采购人不对供应商据此作出的判断和决策负责。</w:t>
      </w:r>
    </w:p>
    <w:p w14:paraId="6C23B0C5">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1.7.5供应商自身原因不参与现场踏勘的，不得就差别待</w:t>
      </w:r>
      <w:r>
        <w:rPr>
          <w:rFonts w:ascii="宋体" w:hAnsi="宋体"/>
          <w:color w:val="000000" w:themeColor="text1"/>
          <w:szCs w:val="21"/>
          <w:highlight w:val="none"/>
          <w14:textFill>
            <w14:solidFill>
              <w14:schemeClr w14:val="tx1"/>
            </w14:solidFill>
          </w14:textFill>
        </w:rPr>
        <w:t>遇或歧视待遇提出质疑</w:t>
      </w:r>
      <w:r>
        <w:rPr>
          <w:rFonts w:hint="eastAsia" w:ascii="宋体" w:hAnsi="宋体"/>
          <w:color w:val="000000" w:themeColor="text1"/>
          <w:szCs w:val="21"/>
          <w:highlight w:val="none"/>
          <w14:textFill>
            <w14:solidFill>
              <w14:schemeClr w14:val="tx1"/>
            </w14:solidFill>
          </w14:textFill>
        </w:rPr>
        <w:t>。</w:t>
      </w:r>
    </w:p>
    <w:bookmarkEnd w:id="110"/>
    <w:bookmarkEnd w:id="111"/>
    <w:bookmarkEnd w:id="112"/>
    <w:bookmarkEnd w:id="113"/>
    <w:bookmarkEnd w:id="114"/>
    <w:bookmarkEnd w:id="115"/>
    <w:p w14:paraId="3AA34F24">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16" w:name="_Toc530551830"/>
      <w:bookmarkStart w:id="117" w:name="_Toc6200"/>
      <w:bookmarkStart w:id="118" w:name="_Toc19756"/>
      <w:bookmarkStart w:id="119" w:name="_Toc531358985"/>
      <w:bookmarkStart w:id="120" w:name="_Toc303756374"/>
      <w:bookmarkStart w:id="121" w:name="_Toc498327015"/>
      <w:bookmarkStart w:id="122" w:name="_Toc301187608"/>
      <w:bookmarkStart w:id="123" w:name="_Toc5356"/>
      <w:bookmarkStart w:id="124" w:name="_Toc359934569"/>
      <w:bookmarkStart w:id="125" w:name="_Toc499128560"/>
      <w:r>
        <w:rPr>
          <w:rFonts w:hint="eastAsia" w:ascii="宋体" w:hAnsi="宋体"/>
          <w:b/>
          <w:bCs/>
          <w:color w:val="000000" w:themeColor="text1"/>
          <w:szCs w:val="21"/>
          <w:highlight w:val="none"/>
          <w14:textFill>
            <w14:solidFill>
              <w14:schemeClr w14:val="tx1"/>
            </w14:solidFill>
          </w14:textFill>
        </w:rPr>
        <w:t>1.8答疑会</w:t>
      </w:r>
      <w:bookmarkEnd w:id="116"/>
      <w:bookmarkEnd w:id="117"/>
      <w:bookmarkEnd w:id="118"/>
      <w:bookmarkEnd w:id="119"/>
    </w:p>
    <w:p w14:paraId="385EA927">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1.8.1答疑会：见供应商须知前附表（一）。</w:t>
      </w:r>
    </w:p>
    <w:p w14:paraId="086E4340">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1.8.2答疑会后（如有），采购人或采购代理机构按本章第2.2款规定对供应商所提问题进行澄清答复。</w:t>
      </w:r>
    </w:p>
    <w:p w14:paraId="14FFBCA8">
      <w:pPr>
        <w:spacing w:line="324" w:lineRule="auto"/>
        <w:ind w:firstLine="525" w:firstLineChars="2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1.8.3供应商自身原因不参与答疑会的，</w:t>
      </w:r>
      <w:r>
        <w:rPr>
          <w:rFonts w:ascii="宋体" w:hAnsi="宋体"/>
          <w:color w:val="000000" w:themeColor="text1"/>
          <w:szCs w:val="21"/>
          <w:highlight w:val="none"/>
          <w14:textFill>
            <w14:solidFill>
              <w14:schemeClr w14:val="tx1"/>
            </w14:solidFill>
          </w14:textFill>
        </w:rPr>
        <w:t>不得</w:t>
      </w:r>
      <w:r>
        <w:rPr>
          <w:rFonts w:hint="eastAsia" w:ascii="宋体" w:hAnsi="宋体"/>
          <w:color w:val="000000" w:themeColor="text1"/>
          <w:szCs w:val="21"/>
          <w:highlight w:val="none"/>
          <w14:textFill>
            <w14:solidFill>
              <w14:schemeClr w14:val="tx1"/>
            </w14:solidFill>
          </w14:textFill>
        </w:rPr>
        <w:t>就</w:t>
      </w:r>
      <w:r>
        <w:rPr>
          <w:rFonts w:ascii="宋体" w:hAnsi="宋体"/>
          <w:color w:val="000000" w:themeColor="text1"/>
          <w:szCs w:val="21"/>
          <w:highlight w:val="none"/>
          <w14:textFill>
            <w14:solidFill>
              <w14:schemeClr w14:val="tx1"/>
            </w14:solidFill>
          </w14:textFill>
        </w:rPr>
        <w:t>差别待遇或歧视待遇提出质疑。</w:t>
      </w:r>
    </w:p>
    <w:p w14:paraId="1638DADE">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26" w:name="_Toc25853"/>
      <w:r>
        <w:rPr>
          <w:rFonts w:hint="eastAsia" w:ascii="宋体" w:hAnsi="宋体"/>
          <w:b/>
          <w:bCs/>
          <w:color w:val="000000" w:themeColor="text1"/>
          <w:szCs w:val="21"/>
          <w:highlight w:val="none"/>
          <w14:textFill>
            <w14:solidFill>
              <w14:schemeClr w14:val="tx1"/>
            </w14:solidFill>
          </w14:textFill>
        </w:rPr>
        <w:t>1.9分包</w:t>
      </w:r>
      <w:bookmarkEnd w:id="126"/>
    </w:p>
    <w:p w14:paraId="037389AD">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1.9.1分包：见供应商须知前附表（一）。</w:t>
      </w:r>
    </w:p>
    <w:p w14:paraId="3887C498">
      <w:pPr>
        <w:spacing w:line="324" w:lineRule="auto"/>
        <w:ind w:firstLine="525" w:firstLineChars="25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1.9.2供应商根据竞争性磋商文件的规定和采购项目的实际情况，拟在成交后将成交项目的非主体、非关键性工作分包的，应当在响应文件中载明分包承担主体，分包承担主体应当具备相应资质条件且不得再次分包。</w:t>
      </w:r>
    </w:p>
    <w:p w14:paraId="6DED8619">
      <w:pPr>
        <w:spacing w:line="360" w:lineRule="auto"/>
        <w:jc w:val="left"/>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1.10保密</w:t>
      </w:r>
      <w:bookmarkEnd w:id="120"/>
      <w:bookmarkEnd w:id="121"/>
      <w:bookmarkEnd w:id="122"/>
      <w:bookmarkEnd w:id="123"/>
      <w:bookmarkEnd w:id="124"/>
      <w:bookmarkEnd w:id="125"/>
    </w:p>
    <w:p w14:paraId="6429B62E">
      <w:pPr>
        <w:spacing w:line="360" w:lineRule="auto"/>
        <w:ind w:firstLine="525" w:firstLineChars="250"/>
        <w:rPr>
          <w:rFonts w:hint="eastAsia" w:ascii="宋体" w:hAnsi="宋体"/>
          <w:color w:val="000000" w:themeColor="text1"/>
          <w:szCs w:val="21"/>
          <w:highlight w:val="none"/>
          <w14:textFill>
            <w14:solidFill>
              <w14:schemeClr w14:val="tx1"/>
            </w14:solidFill>
          </w14:textFill>
        </w:rPr>
      </w:pPr>
      <w:bookmarkStart w:id="127" w:name="_Toc301187609"/>
      <w:r>
        <w:rPr>
          <w:rFonts w:hint="eastAsia" w:ascii="宋体" w:hAnsi="宋体"/>
          <w:color w:val="000000" w:themeColor="text1"/>
          <w:szCs w:val="21"/>
          <w:highlight w:val="none"/>
          <w14:textFill>
            <w14:solidFill>
              <w14:schemeClr w14:val="tx1"/>
            </w14:solidFill>
          </w14:textFill>
        </w:rPr>
        <w:t>参与采购磋商活动的各方当事人应当对磋商评审情况以及在磋商评审过程中的获悉的国家秘密、商业密负有保密责任，违者应对由此造成的后果承担法律责任。</w:t>
      </w:r>
      <w:bookmarkEnd w:id="127"/>
    </w:p>
    <w:p w14:paraId="2962ED03">
      <w:pPr>
        <w:pageBreakBefore w:val="0"/>
        <w:widowControl w:val="0"/>
        <w:kinsoku/>
        <w:wordWrap/>
        <w:overflowPunct/>
        <w:topLinePunct w:val="0"/>
        <w:autoSpaceDE/>
        <w:autoSpaceDN/>
        <w:bidi w:val="0"/>
        <w:spacing w:line="317" w:lineRule="auto"/>
        <w:jc w:val="left"/>
        <w:textAlignment w:val="auto"/>
        <w:rPr>
          <w:rFonts w:hint="eastAsia" w:ascii="宋体" w:hAnsi="宋体" w:eastAsia="宋体" w:cs="宋体"/>
          <w:b/>
          <w:bCs/>
          <w:color w:val="000000" w:themeColor="text1"/>
          <w:sz w:val="21"/>
          <w:szCs w:val="21"/>
          <w:highlight w:val="none"/>
          <w:lang w:val="en-US" w:eastAsia="zh-CN"/>
          <w14:textFill>
            <w14:solidFill>
              <w14:schemeClr w14:val="tx1"/>
            </w14:solidFill>
          </w14:textFill>
        </w:rPr>
      </w:pPr>
      <w:bookmarkStart w:id="128" w:name="_Toc22953"/>
      <w:r>
        <w:rPr>
          <w:rFonts w:hint="eastAsia" w:ascii="宋体" w:hAnsi="宋体" w:eastAsia="宋体" w:cs="宋体"/>
          <w:b/>
          <w:bCs/>
          <w:color w:val="000000" w:themeColor="text1"/>
          <w:sz w:val="21"/>
          <w:szCs w:val="21"/>
          <w:highlight w:val="none"/>
          <w:lang w:val="en-US" w:eastAsia="zh-CN"/>
          <w14:textFill>
            <w14:solidFill>
              <w14:schemeClr w14:val="tx1"/>
            </w14:solidFill>
          </w14:textFill>
        </w:rPr>
        <w:t>1.11政府采购政策</w:t>
      </w:r>
    </w:p>
    <w:p w14:paraId="73059F79">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1节能环保产品认证：见供应商须知前附表（一）。有效的节能、环境标志产品认证系指国家确定的认证机构出具的、处于有效期之内的节能产品、环境标志产品认证证书，并且认证证书的认证标准必须符合国家规定。</w:t>
      </w:r>
    </w:p>
    <w:p w14:paraId="109B107F">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.2政府强制采购的节能产品品目：见供应商须知前附表（一）。各供应商拟投产品属于政府强制采购的，必须提供符合第1.12.1条规定的认证证书。</w:t>
      </w:r>
    </w:p>
    <w:p w14:paraId="6B026287">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.3 关于中小企业参与政府采购活动的规定</w:t>
      </w:r>
    </w:p>
    <w:p w14:paraId="2D761A52">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（1）本项目</w:t>
      </w:r>
      <w:r>
        <w:rPr>
          <w:rFonts w:hint="eastAsia" w:ascii="宋体" w:hAnsi="宋体" w:eastAsia="宋体" w:cs="宋体"/>
          <w:b/>
          <w:bCs/>
          <w:color w:val="000000" w:themeColor="text1"/>
          <w:sz w:val="21"/>
          <w:szCs w:val="21"/>
          <w:highlight w:val="none"/>
          <w:u w:val="single"/>
          <w14:textFill>
            <w14:solidFill>
              <w14:schemeClr w14:val="tx1"/>
            </w14:solidFill>
          </w14:textFill>
        </w:rPr>
        <w:t xml:space="preserve"> </w:t>
      </w:r>
      <w:r>
        <w:rPr>
          <w:rFonts w:hint="eastAsia" w:ascii="宋体" w:hAnsi="宋体" w:cs="宋体"/>
          <w:b/>
          <w:bCs/>
          <w:color w:val="000000" w:themeColor="text1"/>
          <w:sz w:val="21"/>
          <w:szCs w:val="21"/>
          <w:highlight w:val="none"/>
          <w:u w:val="single"/>
          <w:lang w:eastAsia="zh-CN"/>
          <w14:textFill>
            <w14:solidFill>
              <w14:schemeClr w14:val="tx1"/>
            </w14:solidFill>
          </w14:textFill>
        </w:rPr>
        <w:t>是</w:t>
      </w:r>
      <w:r>
        <w:rPr>
          <w:rFonts w:hint="eastAsia" w:ascii="宋体" w:hAnsi="宋体" w:eastAsia="宋体" w:cs="宋体"/>
          <w:b/>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专门面向中小企业采购。</w:t>
      </w:r>
    </w:p>
    <w:p w14:paraId="29DB3F65">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b/>
          <w:bCs/>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（2）本项目对应的中小企业划分标准所属行业：</w:t>
      </w:r>
      <w:r>
        <w:rPr>
          <w:rFonts w:hint="eastAsia" w:ascii="宋体" w:hAnsi="宋体" w:eastAsia="宋体" w:cs="宋体"/>
          <w:b/>
          <w:bCs/>
          <w:color w:val="000000" w:themeColor="text1"/>
          <w:sz w:val="21"/>
          <w:szCs w:val="21"/>
          <w:highlight w:val="none"/>
          <w:u w:val="single"/>
          <w14:textFill>
            <w14:solidFill>
              <w14:schemeClr w14:val="tx1"/>
            </w14:solidFill>
          </w14:textFill>
        </w:rPr>
        <w:t xml:space="preserve"> </w:t>
      </w:r>
      <w:r>
        <w:rPr>
          <w:rFonts w:hint="eastAsia" w:ascii="宋体" w:hAnsi="宋体"/>
          <w:b/>
          <w:bCs/>
          <w:color w:val="000000" w:themeColor="text1"/>
          <w:sz w:val="21"/>
          <w:szCs w:val="21"/>
          <w:highlight w:val="none"/>
          <w:u w:val="single"/>
          <w:lang w:val="en-US" w:eastAsia="zh-CN"/>
          <w14:textFill>
            <w14:solidFill>
              <w14:schemeClr w14:val="tx1"/>
            </w14:solidFill>
          </w14:textFill>
        </w:rPr>
        <w:t>其他未列明行业</w:t>
      </w:r>
      <w:r>
        <w:rPr>
          <w:rFonts w:hint="eastAsia" w:ascii="宋体" w:hAnsi="宋体" w:eastAsia="宋体" w:cs="宋体"/>
          <w:b/>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p>
    <w:p w14:paraId="32E24577">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（3）中小企业是指在中华人民共和国境内依法设立，依据国务院批准的中小企业划分标准确定的中型企业、小型企业和微型企业，但与大企业的负责人为同一人，或者与大企业存在直接控股、管理关系的除外。</w:t>
      </w:r>
    </w:p>
    <w:p w14:paraId="4E1FED55">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符合中小企业划分标准的个体工商户，在政府采购活动中视同中小企业。</w:t>
      </w:r>
    </w:p>
    <w:p w14:paraId="7543AE02">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（4）对于非专门面向中小企业的项目，对小型和微型企业产品的价格给予扣除，用扣除后的价格参与评审，价格扣除比例见供应商须知前附表（一）。</w:t>
      </w:r>
    </w:p>
    <w:p w14:paraId="4DCC8BC4">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.4在政府采购活动中，供应商提供的</w:t>
      </w:r>
      <w:r>
        <w:rPr>
          <w:rFonts w:hint="eastAsia" w:ascii="宋体" w:hAnsi="宋体" w:eastAsia="宋体" w:cs="宋体"/>
          <w:b/>
          <w:bCs/>
          <w:color w:val="000000" w:themeColor="text1"/>
          <w:sz w:val="21"/>
          <w:szCs w:val="21"/>
          <w:highlight w:val="none"/>
          <w14:textFill>
            <w14:solidFill>
              <w14:schemeClr w14:val="tx1"/>
            </w14:solidFill>
          </w14:textFill>
        </w:rPr>
        <w:sym w:font="Wingdings" w:char="00A8"/>
      </w:r>
      <w:r>
        <w:rPr>
          <w:rFonts w:hint="eastAsia" w:ascii="宋体" w:hAnsi="宋体" w:eastAsia="宋体" w:cs="宋体"/>
          <w:b/>
          <w:bCs/>
          <w:color w:val="000000" w:themeColor="text1"/>
          <w:sz w:val="21"/>
          <w:szCs w:val="21"/>
          <w:highlight w:val="none"/>
          <w14:textFill>
            <w14:solidFill>
              <w14:schemeClr w14:val="tx1"/>
            </w14:solidFill>
          </w14:textFill>
        </w:rPr>
        <w:t>货物</w:t>
      </w:r>
      <w:r>
        <w:rPr>
          <w:rFonts w:hint="eastAsia" w:ascii="宋体" w:hAnsi="宋体" w:eastAsia="宋体" w:cs="宋体"/>
          <w:b/>
          <w:bCs/>
          <w:color w:val="000000" w:themeColor="text1"/>
          <w:sz w:val="21"/>
          <w:szCs w:val="21"/>
          <w:highlight w:val="none"/>
          <w14:textFill>
            <w14:solidFill>
              <w14:schemeClr w14:val="tx1"/>
            </w14:solidFill>
          </w14:textFill>
        </w:rPr>
        <w:sym w:font="Wingdings" w:char="00A8"/>
      </w:r>
      <w:r>
        <w:rPr>
          <w:rFonts w:hint="eastAsia" w:ascii="宋体" w:hAnsi="宋体" w:eastAsia="宋体" w:cs="宋体"/>
          <w:b/>
          <w:bCs/>
          <w:color w:val="000000" w:themeColor="text1"/>
          <w:sz w:val="21"/>
          <w:szCs w:val="21"/>
          <w:highlight w:val="none"/>
          <w14:textFill>
            <w14:solidFill>
              <w14:schemeClr w14:val="tx1"/>
            </w14:solidFill>
          </w14:textFill>
        </w:rPr>
        <w:t>工程</w:t>
      </w:r>
      <w:r>
        <w:rPr>
          <w:rFonts w:hint="eastAsia" w:ascii="宋体" w:hAnsi="宋体" w:eastAsia="宋体" w:cs="宋体"/>
          <w:b/>
          <w:bCs/>
          <w:color w:val="000000" w:themeColor="text1"/>
          <w:sz w:val="21"/>
          <w:szCs w:val="21"/>
          <w:highlight w:val="none"/>
          <w14:textFill>
            <w14:solidFill>
              <w14:schemeClr w14:val="tx1"/>
            </w14:solidFill>
          </w14:textFill>
        </w:rPr>
        <w:sym w:font="Wingdings" w:char="00FE"/>
      </w:r>
      <w:r>
        <w:rPr>
          <w:rFonts w:hint="eastAsia" w:ascii="宋体" w:hAnsi="宋体" w:eastAsia="宋体" w:cs="宋体"/>
          <w:b/>
          <w:bCs/>
          <w:color w:val="000000" w:themeColor="text1"/>
          <w:sz w:val="21"/>
          <w:szCs w:val="21"/>
          <w:highlight w:val="none"/>
          <w14:textFill>
            <w14:solidFill>
              <w14:schemeClr w14:val="tx1"/>
            </w14:solidFill>
          </w14:textFill>
        </w:rPr>
        <w:t>服务</w:t>
      </w:r>
      <w:r>
        <w:rPr>
          <w:rFonts w:hint="eastAsia" w:ascii="宋体" w:hAnsi="宋体" w:eastAsia="宋体" w:cs="宋体"/>
          <w:color w:val="000000" w:themeColor="text1"/>
          <w:sz w:val="21"/>
          <w:szCs w:val="21"/>
          <w:highlight w:val="none"/>
          <w14:textFill>
            <w14:solidFill>
              <w14:schemeClr w14:val="tx1"/>
            </w14:solidFill>
          </w14:textFill>
        </w:rPr>
        <w:t>符合下列情形的，视为本办法规定的中小企业：</w:t>
      </w:r>
    </w:p>
    <w:p w14:paraId="2889E7EF">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sym w:font="Wingdings" w:char="00A8"/>
      </w:r>
      <w:r>
        <w:rPr>
          <w:rFonts w:hint="eastAsia" w:ascii="宋体" w:hAnsi="宋体" w:eastAsia="宋体" w:cs="宋体"/>
          <w:color w:val="000000" w:themeColor="text1"/>
          <w:sz w:val="21"/>
          <w:szCs w:val="21"/>
          <w:highlight w:val="none"/>
          <w14:textFill>
            <w14:solidFill>
              <w14:schemeClr w14:val="tx1"/>
            </w14:solidFill>
          </w14:textFill>
        </w:rPr>
        <w:t>在货物采购项目中，货物由中小企业制造，即货物由中小企业生产且使用该中小企业商号或者注册商标；</w:t>
      </w:r>
    </w:p>
    <w:p w14:paraId="3BA5417E">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sym w:font="Wingdings" w:char="00A8"/>
      </w:r>
      <w:r>
        <w:rPr>
          <w:rFonts w:hint="eastAsia" w:ascii="宋体" w:hAnsi="宋体" w:eastAsia="宋体" w:cs="宋体"/>
          <w:color w:val="000000" w:themeColor="text1"/>
          <w:sz w:val="21"/>
          <w:szCs w:val="21"/>
          <w:highlight w:val="none"/>
          <w14:textFill>
            <w14:solidFill>
              <w14:schemeClr w14:val="tx1"/>
            </w14:solidFill>
          </w14:textFill>
        </w:rPr>
        <w:t>在工程采购项目中，工程由中小企业承建，即工程施工单位为中小企业；</w:t>
      </w:r>
    </w:p>
    <w:p w14:paraId="2AF29D09">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sym w:font="Wingdings" w:char="00FE"/>
      </w:r>
      <w:r>
        <w:rPr>
          <w:rFonts w:hint="eastAsia" w:ascii="宋体" w:hAnsi="宋体" w:eastAsia="宋体" w:cs="宋体"/>
          <w:color w:val="000000" w:themeColor="text1"/>
          <w:sz w:val="21"/>
          <w:szCs w:val="21"/>
          <w:highlight w:val="none"/>
          <w14:textFill>
            <w14:solidFill>
              <w14:schemeClr w14:val="tx1"/>
            </w14:solidFill>
          </w14:textFill>
        </w:rPr>
        <w:t>在服务采购项目中，服务由中小企业承接，即提供服务的人员为中小企业依照《中华人民共和国劳动合同法》订立劳动合同的从业人员。</w:t>
      </w:r>
    </w:p>
    <w:p w14:paraId="44497551">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在货物采购项目中，供应商提供的货物既有中小企业制造货物，也有大型企业制造货物的，视为非中小企业。</w:t>
      </w:r>
    </w:p>
    <w:p w14:paraId="19C4484A">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068885AB">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（4）参加政府采购活动的中小企业应当提供《中小企业声明函》，否则视为非中小企业。</w:t>
      </w:r>
    </w:p>
    <w:p w14:paraId="72A7A856">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.5</w:t>
      </w:r>
      <w:r>
        <w:rPr>
          <w:rFonts w:hint="eastAsia" w:ascii="宋体" w:hAnsi="宋体" w:cs="宋体"/>
          <w:color w:val="000000" w:themeColor="text1"/>
          <w:sz w:val="21"/>
          <w:szCs w:val="21"/>
          <w:highlight w:val="none"/>
          <w:lang w:val="en-US" w:eastAsia="zh-CN"/>
          <w14:textFill>
            <w14:solidFill>
              <w14:schemeClr w14:val="tx1"/>
            </w14:solidFill>
          </w14:textFill>
        </w:rPr>
        <w:t>非面向中小企业采购时，</w:t>
      </w:r>
      <w:r>
        <w:rPr>
          <w:rFonts w:hint="eastAsia" w:ascii="宋体" w:hAnsi="宋体" w:eastAsia="宋体" w:cs="宋体"/>
          <w:color w:val="000000" w:themeColor="text1"/>
          <w:sz w:val="21"/>
          <w:szCs w:val="21"/>
          <w:highlight w:val="none"/>
          <w14:textFill>
            <w14:solidFill>
              <w14:schemeClr w14:val="tx1"/>
            </w14:solidFill>
          </w14:textFill>
        </w:rPr>
        <w:t>供应商符合《政府采购促进中小企业发展管理办法〉（财库〔2020〕46号），按《浙江省财政厅关于进一步加大政府采购支持中小企业力度助力扎实稳住经济的通知》（浙财采监〔2022〕8号）文件要求，在政府采购活动中按要求给予价格扣除。</w:t>
      </w:r>
    </w:p>
    <w:p w14:paraId="5C4AAEC1">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6供应商符合《财政部、司法部关于政府采购支持监狱企业发展有关问题的通知》（财库〔2014〕68号）文件要求，并提供省级以上监狱管理局、戒毒管理局（含新疆生产建设兵团）出具的属于监狱企业的证明文件，则视同小型、微型企业，享受第1.12.5条的扶持政策。</w:t>
      </w:r>
    </w:p>
    <w:p w14:paraId="28928122">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7供应商符合《三部门联合发布关于促进残疾人就业政府采购政策的通知》（财库〔2017〕141号）文件要求，并提供《残疾人福利性单位声明函》的，则视同小型、微型企业，享受第1.12.5条的扶持政策。残疾人福利性单位属于小型、微型企业的，不重复享受政策。</w:t>
      </w:r>
    </w:p>
    <w:p w14:paraId="73AEF135">
      <w:pPr>
        <w:pageBreakBefore w:val="0"/>
        <w:widowControl w:val="0"/>
        <w:kinsoku/>
        <w:wordWrap/>
        <w:overflowPunct/>
        <w:topLinePunct w:val="0"/>
        <w:autoSpaceDE/>
        <w:autoSpaceDN/>
        <w:bidi w:val="0"/>
        <w:spacing w:line="322"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.8采购进口产品：见供应商须知前附表（一）。采购需求中未注明进口产品或允许进口产品，不得提供进口产品。</w:t>
      </w:r>
    </w:p>
    <w:bookmarkEnd w:id="128"/>
    <w:p w14:paraId="7DBFB6FD">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29" w:name="_Toc530551834"/>
      <w:bookmarkStart w:id="130" w:name="_Toc531358989"/>
      <w:bookmarkStart w:id="131" w:name="_Toc14564"/>
      <w:bookmarkStart w:id="132" w:name="_Toc4552"/>
      <w:r>
        <w:rPr>
          <w:rFonts w:hint="eastAsia" w:ascii="宋体" w:hAnsi="宋体"/>
          <w:b/>
          <w:bCs/>
          <w:color w:val="000000" w:themeColor="text1"/>
          <w:szCs w:val="21"/>
          <w:highlight w:val="none"/>
          <w14:textFill>
            <w14:solidFill>
              <w14:schemeClr w14:val="tx1"/>
            </w14:solidFill>
          </w14:textFill>
        </w:rPr>
        <w:t>1.12相同品牌产品</w:t>
      </w:r>
      <w:bookmarkEnd w:id="129"/>
      <w:bookmarkEnd w:id="130"/>
      <w:bookmarkEnd w:id="131"/>
      <w:bookmarkEnd w:id="132"/>
    </w:p>
    <w:p w14:paraId="72C09504">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1.12.1采用最低评标价法的采购项目，提供相同品牌产品的不同供应商参加同一项目磋商的，以其中通过资格审查、符合性审查且报价最低的参加评标；报价相同的，则按照技术优的供应商参加评标；均相同时，随机抽取方式确定。</w:t>
      </w:r>
    </w:p>
    <w:p w14:paraId="59F566B0">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使用综合评分法的采购项目，提供相同品牌产品且通过资格审查、符合性审查的不同供应商参加同一项目磋商的，按一家供应商计算，评审后得分最高的同品牌供应商获得成交人推荐资格；得分相同时，取报价最低者；均相同时，随机抽取方式确定。其他同品牌供应商不作为成交候选人。</w:t>
      </w:r>
    </w:p>
    <w:p w14:paraId="30109FE3">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非单一产品采购项目中，采购需求中标注“★”的核心产品，多家供应商提供的核心产品品牌均相同的，按前两款规定处理。</w:t>
      </w:r>
    </w:p>
    <w:p w14:paraId="601FC190">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1.12.2核心产品：见供应商须知前附表（一）。</w:t>
      </w:r>
    </w:p>
    <w:p w14:paraId="4A4CFD12">
      <w:pPr>
        <w:spacing w:line="324" w:lineRule="auto"/>
        <w:ind w:firstLine="525" w:firstLineChars="25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1.12.3因相同品牌产品原因造成多家供应商按一家有效认定后，造成项目有效供应商不足三家的，项目应予以废标处理。</w:t>
      </w:r>
    </w:p>
    <w:p w14:paraId="16CD2D2E">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33" w:name="_Toc499128561"/>
      <w:bookmarkStart w:id="134" w:name="_Toc498327016"/>
      <w:bookmarkStart w:id="135" w:name="_Toc2711"/>
      <w:bookmarkStart w:id="136" w:name="_Toc15579"/>
      <w:bookmarkStart w:id="137" w:name="_Toc28663"/>
      <w:bookmarkStart w:id="138" w:name="_Toc498327017"/>
      <w:bookmarkStart w:id="139" w:name="_Toc499128562"/>
      <w:r>
        <w:rPr>
          <w:rFonts w:hint="eastAsia" w:ascii="宋体" w:hAnsi="宋体"/>
          <w:b/>
          <w:bCs/>
          <w:color w:val="000000" w:themeColor="text1"/>
          <w:szCs w:val="21"/>
          <w:highlight w:val="none"/>
          <w14:textFill>
            <w14:solidFill>
              <w14:schemeClr w14:val="tx1"/>
            </w14:solidFill>
          </w14:textFill>
        </w:rPr>
        <w:t>1.13信用信息记录查询</w:t>
      </w:r>
      <w:bookmarkEnd w:id="133"/>
      <w:bookmarkEnd w:id="134"/>
      <w:bookmarkEnd w:id="135"/>
      <w:bookmarkEnd w:id="136"/>
    </w:p>
    <w:p w14:paraId="221F236A">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1.13.1查询渠道：各供应商的信用信息记录应当从信用中国网站（</w:t>
      </w: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HYPERLINK "http://www.creditchina.gov.cn"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www.creditchi</w:t>
      </w:r>
      <w:bookmarkStart w:id="140" w:name="_Hlt492633520"/>
      <w:bookmarkStart w:id="141" w:name="_Hlt492633521"/>
      <w:r>
        <w:rPr>
          <w:rFonts w:hint="eastAsia" w:ascii="宋体" w:hAnsi="宋体"/>
          <w:color w:val="000000" w:themeColor="text1"/>
          <w:szCs w:val="21"/>
          <w:highlight w:val="none"/>
          <w14:textFill>
            <w14:solidFill>
              <w14:schemeClr w14:val="tx1"/>
            </w14:solidFill>
          </w14:textFill>
        </w:rPr>
        <w:t>n</w:t>
      </w:r>
      <w:bookmarkEnd w:id="140"/>
      <w:bookmarkEnd w:id="141"/>
      <w:r>
        <w:rPr>
          <w:rFonts w:hint="eastAsia" w:ascii="宋体" w:hAnsi="宋体"/>
          <w:color w:val="000000" w:themeColor="text1"/>
          <w:szCs w:val="21"/>
          <w:highlight w:val="none"/>
          <w14:textFill>
            <w14:solidFill>
              <w14:schemeClr w14:val="tx1"/>
            </w14:solidFill>
          </w14:textFill>
        </w:rPr>
        <w:t>a.gov.cn</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）、中国政府采购网站（www.ccgp</w:t>
      </w:r>
      <w:bookmarkStart w:id="142" w:name="_Hlt495587266"/>
      <w:r>
        <w:rPr>
          <w:rFonts w:hint="eastAsia" w:ascii="宋体" w:hAnsi="宋体"/>
          <w:color w:val="000000" w:themeColor="text1"/>
          <w:szCs w:val="21"/>
          <w:highlight w:val="none"/>
          <w14:textFill>
            <w14:solidFill>
              <w14:schemeClr w14:val="tx1"/>
            </w14:solidFill>
          </w14:textFill>
        </w:rPr>
        <w:t>.</w:t>
      </w:r>
      <w:bookmarkEnd w:id="142"/>
      <w:r>
        <w:rPr>
          <w:rFonts w:hint="eastAsia" w:ascii="宋体" w:hAnsi="宋体"/>
          <w:color w:val="000000" w:themeColor="text1"/>
          <w:szCs w:val="21"/>
          <w:highlight w:val="none"/>
          <w14:textFill>
            <w14:solidFill>
              <w14:schemeClr w14:val="tx1"/>
            </w14:solidFill>
          </w14:textFill>
        </w:rPr>
        <w:t>go</w:t>
      </w:r>
      <w:bookmarkStart w:id="143" w:name="_Hlt495587259"/>
      <w:bookmarkStart w:id="144" w:name="_Hlt495587258"/>
      <w:bookmarkStart w:id="145" w:name="_Hlt495587290"/>
      <w:r>
        <w:rPr>
          <w:rFonts w:hint="eastAsia" w:ascii="宋体" w:hAnsi="宋体"/>
          <w:color w:val="000000" w:themeColor="text1"/>
          <w:szCs w:val="21"/>
          <w:highlight w:val="none"/>
          <w14:textFill>
            <w14:solidFill>
              <w14:schemeClr w14:val="tx1"/>
            </w14:solidFill>
          </w14:textFill>
        </w:rPr>
        <w:t>v</w:t>
      </w:r>
      <w:bookmarkEnd w:id="143"/>
      <w:bookmarkEnd w:id="144"/>
      <w:bookmarkEnd w:id="145"/>
      <w:r>
        <w:rPr>
          <w:rFonts w:hint="eastAsia" w:ascii="宋体" w:hAnsi="宋体"/>
          <w:color w:val="000000" w:themeColor="text1"/>
          <w:szCs w:val="21"/>
          <w:highlight w:val="none"/>
          <w14:textFill>
            <w14:solidFill>
              <w14:schemeClr w14:val="tx1"/>
            </w14:solidFill>
          </w14:textFill>
        </w:rPr>
        <w:t>.cn）进行查询。</w:t>
      </w:r>
    </w:p>
    <w:p w14:paraId="66655863">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1.13.2信用信息记录查询截止时间：同资格审查结束时间，网站显示的信用信息记录将作为供应商资格审查的依据。</w:t>
      </w:r>
    </w:p>
    <w:p w14:paraId="07A20B0D">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1.13.3查询内容：列入失信被执行人、重大税收违法案件当事人名单、政府采购严重违法失信行为记录名单。</w:t>
      </w:r>
    </w:p>
    <w:p w14:paraId="45F8C144">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1.13.4信用信息留存方式：信用信息查询记录和证据以网页页面打印（或截图）等方式进行留存。</w:t>
      </w:r>
    </w:p>
    <w:p w14:paraId="6E039562">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1.13.5联合体成员存在不良信用信</w:t>
      </w:r>
      <w:r>
        <w:rPr>
          <w:rFonts w:ascii="宋体" w:hAnsi="宋体"/>
          <w:color w:val="000000" w:themeColor="text1"/>
          <w:szCs w:val="21"/>
          <w:highlight w:val="none"/>
          <w14:textFill>
            <w14:solidFill>
              <w14:schemeClr w14:val="tx1"/>
            </w14:solidFill>
          </w14:textFill>
        </w:rPr>
        <w:t>息记录的</w:t>
      </w:r>
      <w:r>
        <w:rPr>
          <w:rFonts w:hint="eastAsia" w:ascii="宋体" w:hAnsi="宋体"/>
          <w:color w:val="000000" w:themeColor="text1"/>
          <w:szCs w:val="21"/>
          <w:highlight w:val="none"/>
          <w14:textFill>
            <w14:solidFill>
              <w14:schemeClr w14:val="tx1"/>
            </w14:solidFill>
          </w14:textFill>
        </w:rPr>
        <w:t>，视同联合体存在不良信用记录。</w:t>
      </w:r>
    </w:p>
    <w:bookmarkEnd w:id="137"/>
    <w:bookmarkEnd w:id="138"/>
    <w:bookmarkEnd w:id="139"/>
    <w:p w14:paraId="6D4AAEB5">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46" w:name="_Toc29199"/>
      <w:bookmarkStart w:id="147" w:name="_Toc499128563"/>
      <w:bookmarkStart w:id="148" w:name="_Toc498327018"/>
      <w:bookmarkStart w:id="149" w:name="_Toc22170"/>
      <w:bookmarkStart w:id="150" w:name="_Toc301187610"/>
      <w:bookmarkStart w:id="151" w:name="_Toc303756375"/>
      <w:bookmarkStart w:id="152" w:name="_Toc359934570"/>
      <w:r>
        <w:rPr>
          <w:rFonts w:hint="eastAsia" w:ascii="宋体" w:hAnsi="宋体"/>
          <w:b/>
          <w:bCs/>
          <w:color w:val="000000" w:themeColor="text1"/>
          <w:szCs w:val="21"/>
          <w:highlight w:val="none"/>
          <w14:textFill>
            <w14:solidFill>
              <w14:schemeClr w14:val="tx1"/>
            </w14:solidFill>
          </w14:textFill>
        </w:rPr>
        <w:t>1.14质疑和投诉</w:t>
      </w:r>
      <w:bookmarkEnd w:id="146"/>
    </w:p>
    <w:p w14:paraId="672C34D4">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1.14.1供应商认为竞争性磋商文件、采购过程、成交结果使自己的权益受到损害的，可以在知道或者应知其权益受到损害之日起7个工作日内，以书面形式向采购人、采购代理机构提出质疑。</w:t>
      </w:r>
    </w:p>
    <w:p w14:paraId="0650D7AB">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1.14.2提出质疑的供应商应当是参与所质疑项目采购活动的供应商。</w:t>
      </w:r>
    </w:p>
    <w:p w14:paraId="4854DC14">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潜在供应商已依法获取其可质疑的磋商文件的，可以对该文件提出质疑。对磋商文件提出质疑的，应当在获取磋商文件或者磋商文件公告期限届满之日起7个工作日内提出。</w:t>
      </w:r>
    </w:p>
    <w:p w14:paraId="7D0E2174">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1.14.3同一采购程序环节的质疑，供应商须一次性提出，否则不予以答复。</w:t>
      </w:r>
    </w:p>
    <w:p w14:paraId="7D400166">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1.14.4质疑主要内容应符合《政府采购质疑和投诉办法》（财政部94号令）等相关规定，质疑内容涉及保密事项，质疑人应提供有效的信息来源或有效证据。</w:t>
      </w:r>
    </w:p>
    <w:p w14:paraId="6C3DB50E">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1.14.5质疑人可直接提交、传真或邮寄方式提交质疑函（一式三份以上）。以其他方式提出的质疑，采购人或采购代理机构可不予接受、答复。</w:t>
      </w:r>
    </w:p>
    <w:p w14:paraId="7BD36BDD">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 1 \* GB2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⑴</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邮寄方式送达质疑函的，以采购人或采购代理机构实际收到邮件之日作为收到质疑的日期。</w:t>
      </w:r>
    </w:p>
    <w:p w14:paraId="5C2A0AF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 2 \* GB2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⑵</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4276A7E5">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 3 \* GB2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⑶</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在质疑期限届满前，质疑函已经邮寄或传真成功的，质疑不视为过期。</w:t>
      </w:r>
    </w:p>
    <w:p w14:paraId="5B1E473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1.14.6质疑联系人：见供应商须知前附表（一）。</w:t>
      </w:r>
    </w:p>
    <w:p w14:paraId="060C2A9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1.14.7相关当事人提供外文证书或者外国语视听资料的，应当附有中文译本，由翻译机构盖章或者翻译人员签名。</w:t>
      </w:r>
    </w:p>
    <w:p w14:paraId="0CC3E917">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1.14.8采购人或采购代理机构在收到质疑人的书面质疑后7个工作日内作出答复，并以书面形式答复质疑人。</w:t>
      </w:r>
    </w:p>
    <w:p w14:paraId="4C05A10F">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1.14.9质疑人捏造事实、提供虚假材料进行质疑的，采购人或采购代理机构报告同级政府采购监督管理部门，由同级政府采购监督管理部门审查，情况属实的，应列入不良行为记录，并在指定的媒体上公告。</w:t>
      </w:r>
    </w:p>
    <w:p w14:paraId="027B7E5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1.14.10 质疑人对采购人或采购代理机构的答复不满意或者采购人、采购代理机构未在规定时间内答复的，可以在答复期满后15个工作日内向同级政府采购监督管理部门提起投诉。</w:t>
      </w:r>
    </w:p>
    <w:p w14:paraId="5A80E7B3">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1.14.11同级政府采购监督管理部门：见供应商须知前附表（一）。</w:t>
      </w:r>
    </w:p>
    <w:p w14:paraId="75B00B61">
      <w:pPr>
        <w:spacing w:line="324" w:lineRule="auto"/>
        <w:ind w:firstLine="525" w:firstLineChars="25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1.14.12质疑函、投诉书范本在浙江省政府采购网（</w:t>
      </w: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HYPERLINK "http://zfcg.czt.zj.gov.cn/"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http://zfcg.czt.zj.gov.cn/</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）-下载专区中下载。</w:t>
      </w:r>
    </w:p>
    <w:bookmarkEnd w:id="147"/>
    <w:bookmarkEnd w:id="148"/>
    <w:bookmarkEnd w:id="149"/>
    <w:bookmarkEnd w:id="150"/>
    <w:bookmarkEnd w:id="151"/>
    <w:bookmarkEnd w:id="152"/>
    <w:p w14:paraId="0847ED74">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53" w:name="_Toc499128564"/>
      <w:bookmarkStart w:id="154" w:name="_Toc301187611"/>
      <w:bookmarkStart w:id="155" w:name="_Toc498327019"/>
      <w:bookmarkStart w:id="156" w:name="_Toc24763"/>
      <w:bookmarkStart w:id="157" w:name="_Toc301187615"/>
      <w:bookmarkStart w:id="158" w:name="_Toc359934571"/>
      <w:bookmarkStart w:id="159" w:name="_Toc303756376"/>
      <w:r>
        <w:rPr>
          <w:rFonts w:hint="eastAsia" w:ascii="宋体" w:hAnsi="宋体"/>
          <w:b/>
          <w:bCs/>
          <w:color w:val="000000" w:themeColor="text1"/>
          <w:szCs w:val="21"/>
          <w:highlight w:val="none"/>
          <w14:textFill>
            <w14:solidFill>
              <w14:schemeClr w14:val="tx1"/>
            </w14:solidFill>
          </w14:textFill>
        </w:rPr>
        <w:t>1.15特别声明</w:t>
      </w:r>
    </w:p>
    <w:p w14:paraId="00504AA3">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1.15.1单位负责人为同一人或者存在直接控股、管理关系的不同供应商，不得参加同一合同项下的政府采购活动。</w:t>
      </w:r>
    </w:p>
    <w:p w14:paraId="4BC964B7">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1.15.2为采购项目提供整体设计、规范编制或者项目管理、监理、检测等服务的供应商，不得再参加该采购项目的其他采购活动。</w:t>
      </w:r>
    </w:p>
    <w:bookmarkEnd w:id="153"/>
    <w:bookmarkEnd w:id="154"/>
    <w:bookmarkEnd w:id="155"/>
    <w:bookmarkEnd w:id="156"/>
    <w:p w14:paraId="591D3500">
      <w:pPr>
        <w:pStyle w:val="6"/>
        <w:spacing w:line="360" w:lineRule="auto"/>
        <w:rPr>
          <w:rFonts w:hint="eastAsia" w:ascii="宋体" w:hAnsi="宋体"/>
          <w:color w:val="000000" w:themeColor="text1"/>
          <w:sz w:val="24"/>
          <w:szCs w:val="24"/>
          <w:highlight w:val="none"/>
          <w14:textFill>
            <w14:solidFill>
              <w14:schemeClr w14:val="tx1"/>
            </w14:solidFill>
          </w14:textFill>
        </w:rPr>
      </w:pPr>
      <w:bookmarkStart w:id="160" w:name="_Toc499128565"/>
      <w:bookmarkStart w:id="161" w:name="_Toc498327020"/>
      <w:bookmarkStart w:id="162" w:name="_Toc3685"/>
      <w:bookmarkStart w:id="163" w:name="_Toc8928"/>
      <w:bookmarkStart w:id="164" w:name="_Toc5424"/>
      <w:bookmarkStart w:id="165" w:name="_Toc22265"/>
      <w:r>
        <w:rPr>
          <w:rFonts w:hint="eastAsia" w:ascii="宋体" w:hAnsi="宋体"/>
          <w:color w:val="000000" w:themeColor="text1"/>
          <w:sz w:val="24"/>
          <w:szCs w:val="24"/>
          <w:highlight w:val="none"/>
          <w14:textFill>
            <w14:solidFill>
              <w14:schemeClr w14:val="tx1"/>
            </w14:solidFill>
          </w14:textFill>
        </w:rPr>
        <w:t>2．</w:t>
      </w:r>
      <w:bookmarkEnd w:id="157"/>
      <w:bookmarkEnd w:id="158"/>
      <w:bookmarkEnd w:id="159"/>
      <w:bookmarkEnd w:id="160"/>
      <w:bookmarkEnd w:id="161"/>
      <w:bookmarkEnd w:id="162"/>
      <w:r>
        <w:rPr>
          <w:rFonts w:hint="eastAsia" w:ascii="宋体" w:hAnsi="宋体"/>
          <w:color w:val="000000" w:themeColor="text1"/>
          <w:sz w:val="24"/>
          <w:szCs w:val="24"/>
          <w:highlight w:val="none"/>
          <w14:textFill>
            <w14:solidFill>
              <w14:schemeClr w14:val="tx1"/>
            </w14:solidFill>
          </w14:textFill>
        </w:rPr>
        <w:t>竞争性磋商文件</w:t>
      </w:r>
      <w:bookmarkEnd w:id="163"/>
      <w:bookmarkEnd w:id="164"/>
      <w:bookmarkEnd w:id="165"/>
    </w:p>
    <w:p w14:paraId="1CB8AA7B">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66" w:name="_Toc499128566"/>
      <w:bookmarkStart w:id="167" w:name="_Toc20146"/>
      <w:bookmarkStart w:id="168" w:name="_Toc359934572"/>
      <w:bookmarkStart w:id="169" w:name="_Toc301187616"/>
      <w:bookmarkStart w:id="170" w:name="_Toc498327021"/>
      <w:bookmarkStart w:id="171" w:name="_Toc303756377"/>
      <w:r>
        <w:rPr>
          <w:rFonts w:hint="eastAsia" w:ascii="宋体" w:hAnsi="宋体"/>
          <w:b/>
          <w:bCs/>
          <w:color w:val="000000" w:themeColor="text1"/>
          <w:szCs w:val="21"/>
          <w:highlight w:val="none"/>
          <w14:textFill>
            <w14:solidFill>
              <w14:schemeClr w14:val="tx1"/>
            </w14:solidFill>
          </w14:textFill>
        </w:rPr>
        <w:t>2.1竞争性磋商文件的构成</w:t>
      </w:r>
      <w:bookmarkEnd w:id="166"/>
      <w:bookmarkEnd w:id="167"/>
      <w:bookmarkEnd w:id="168"/>
      <w:bookmarkEnd w:id="169"/>
      <w:bookmarkEnd w:id="170"/>
      <w:bookmarkEnd w:id="171"/>
    </w:p>
    <w:p w14:paraId="5E990693">
      <w:pPr>
        <w:spacing w:line="360" w:lineRule="auto"/>
        <w:ind w:firstLine="420" w:firstLineChars="200"/>
        <w:rPr>
          <w:rFonts w:ascii="宋体" w:hAnsi="宋体"/>
          <w:color w:val="000000" w:themeColor="text1"/>
          <w:szCs w:val="21"/>
          <w:highlight w:val="none"/>
          <w14:textFill>
            <w14:solidFill>
              <w14:schemeClr w14:val="tx1"/>
            </w14:solidFill>
          </w14:textFill>
        </w:rPr>
      </w:pPr>
      <w:bookmarkStart w:id="172" w:name="_Toc301187618"/>
      <w:r>
        <w:rPr>
          <w:rFonts w:hint="eastAsia" w:ascii="宋体" w:hAnsi="宋体"/>
          <w:color w:val="000000" w:themeColor="text1"/>
          <w:szCs w:val="21"/>
          <w:highlight w:val="none"/>
          <w14:textFill>
            <w14:solidFill>
              <w14:schemeClr w14:val="tx1"/>
            </w14:solidFill>
          </w14:textFill>
        </w:rPr>
        <w:t>2.1.1本竞争性磋商文件的内容由以下部分组成：</w:t>
      </w:r>
    </w:p>
    <w:p w14:paraId="552BD03E">
      <w:pPr>
        <w:spacing w:line="360" w:lineRule="auto"/>
        <w:ind w:left="178" w:leftChars="85" w:firstLine="210" w:firstLineChars="1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bookmarkEnd w:id="172"/>
      <w:r>
        <w:rPr>
          <w:rFonts w:hint="eastAsia" w:ascii="宋体" w:hAnsi="宋体"/>
          <w:color w:val="000000" w:themeColor="text1"/>
          <w:szCs w:val="21"/>
          <w:highlight w:val="none"/>
          <w14:textFill>
            <w14:solidFill>
              <w14:schemeClr w14:val="tx1"/>
            </w14:solidFill>
          </w14:textFill>
        </w:rPr>
        <w:t>磋商公告；</w:t>
      </w:r>
    </w:p>
    <w:p w14:paraId="02324BC5">
      <w:pPr>
        <w:spacing w:line="360" w:lineRule="auto"/>
        <w:ind w:left="178" w:leftChars="85" w:firstLine="210" w:firstLineChars="100"/>
        <w:rPr>
          <w:rFonts w:ascii="宋体" w:hAnsi="宋体"/>
          <w:color w:val="000000" w:themeColor="text1"/>
          <w:szCs w:val="21"/>
          <w:highlight w:val="none"/>
          <w14:textFill>
            <w14:solidFill>
              <w14:schemeClr w14:val="tx1"/>
            </w14:solidFill>
          </w14:textFill>
        </w:rPr>
      </w:pPr>
      <w:bookmarkStart w:id="173" w:name="_Toc301187619"/>
      <w:r>
        <w:rPr>
          <w:rFonts w:hint="eastAsia" w:ascii="宋体" w:hAnsi="宋体"/>
          <w:color w:val="000000" w:themeColor="text1"/>
          <w:szCs w:val="21"/>
          <w:highlight w:val="none"/>
          <w14:textFill>
            <w14:solidFill>
              <w14:schemeClr w14:val="tx1"/>
            </w14:solidFill>
          </w14:textFill>
        </w:rPr>
        <w:t>（2）</w:t>
      </w:r>
      <w:bookmarkEnd w:id="173"/>
      <w:r>
        <w:rPr>
          <w:rFonts w:hint="eastAsia" w:ascii="宋体" w:hAnsi="宋体"/>
          <w:color w:val="000000" w:themeColor="text1"/>
          <w:szCs w:val="21"/>
          <w:highlight w:val="none"/>
          <w14:textFill>
            <w14:solidFill>
              <w14:schemeClr w14:val="tx1"/>
            </w14:solidFill>
          </w14:textFill>
        </w:rPr>
        <w:t>采购需求；</w:t>
      </w:r>
    </w:p>
    <w:p w14:paraId="3B197385">
      <w:pPr>
        <w:spacing w:line="360" w:lineRule="auto"/>
        <w:ind w:left="178" w:leftChars="85" w:firstLine="210" w:firstLineChars="100"/>
        <w:rPr>
          <w:rFonts w:ascii="宋体" w:hAnsi="宋体"/>
          <w:color w:val="000000" w:themeColor="text1"/>
          <w:szCs w:val="21"/>
          <w:highlight w:val="none"/>
          <w14:textFill>
            <w14:solidFill>
              <w14:schemeClr w14:val="tx1"/>
            </w14:solidFill>
          </w14:textFill>
        </w:rPr>
      </w:pPr>
      <w:bookmarkStart w:id="174" w:name="_Toc301187620"/>
      <w:r>
        <w:rPr>
          <w:rFonts w:hint="eastAsia" w:ascii="宋体" w:hAnsi="宋体"/>
          <w:color w:val="000000" w:themeColor="text1"/>
          <w:szCs w:val="21"/>
          <w:highlight w:val="none"/>
          <w14:textFill>
            <w14:solidFill>
              <w14:schemeClr w14:val="tx1"/>
            </w14:solidFill>
          </w14:textFill>
        </w:rPr>
        <w:t>（3）供应商</w:t>
      </w:r>
      <w:r>
        <w:rPr>
          <w:rFonts w:ascii="宋体" w:hAnsi="宋体"/>
          <w:color w:val="000000" w:themeColor="text1"/>
          <w:szCs w:val="21"/>
          <w:highlight w:val="none"/>
          <w14:textFill>
            <w14:solidFill>
              <w14:schemeClr w14:val="tx1"/>
            </w14:solidFill>
          </w14:textFill>
        </w:rPr>
        <w:t>须知</w:t>
      </w:r>
      <w:bookmarkEnd w:id="174"/>
      <w:r>
        <w:rPr>
          <w:rFonts w:hint="eastAsia" w:ascii="宋体" w:hAnsi="宋体"/>
          <w:color w:val="000000" w:themeColor="text1"/>
          <w:szCs w:val="21"/>
          <w:highlight w:val="none"/>
          <w14:textFill>
            <w14:solidFill>
              <w14:schemeClr w14:val="tx1"/>
            </w14:solidFill>
          </w14:textFill>
        </w:rPr>
        <w:t>；</w:t>
      </w:r>
    </w:p>
    <w:p w14:paraId="6BFD7C4D">
      <w:pPr>
        <w:spacing w:line="360" w:lineRule="auto"/>
        <w:ind w:left="178" w:leftChars="85" w:firstLine="210" w:firstLineChars="100"/>
        <w:rPr>
          <w:rFonts w:ascii="宋体" w:hAnsi="宋体"/>
          <w:color w:val="000000" w:themeColor="text1"/>
          <w:szCs w:val="21"/>
          <w:highlight w:val="none"/>
          <w14:textFill>
            <w14:solidFill>
              <w14:schemeClr w14:val="tx1"/>
            </w14:solidFill>
          </w14:textFill>
        </w:rPr>
      </w:pPr>
      <w:bookmarkStart w:id="175" w:name="_Toc301187622"/>
      <w:bookmarkStart w:id="176" w:name="_Toc301187621"/>
      <w:r>
        <w:rPr>
          <w:rFonts w:hint="eastAsia" w:ascii="宋体" w:hAnsi="宋体"/>
          <w:color w:val="000000" w:themeColor="text1"/>
          <w:szCs w:val="21"/>
          <w:highlight w:val="none"/>
          <w14:textFill>
            <w14:solidFill>
              <w14:schemeClr w14:val="tx1"/>
            </w14:solidFill>
          </w14:textFill>
        </w:rPr>
        <w:t>（4）</w:t>
      </w:r>
      <w:r>
        <w:rPr>
          <w:rFonts w:ascii="宋体" w:hAnsi="宋体"/>
          <w:color w:val="000000" w:themeColor="text1"/>
          <w:szCs w:val="21"/>
          <w:highlight w:val="none"/>
          <w14:textFill>
            <w14:solidFill>
              <w14:schemeClr w14:val="tx1"/>
            </w14:solidFill>
          </w14:textFill>
        </w:rPr>
        <w:t>合同主要条款</w:t>
      </w:r>
      <w:bookmarkEnd w:id="175"/>
      <w:r>
        <w:rPr>
          <w:rFonts w:hint="eastAsia" w:ascii="宋体" w:hAnsi="宋体"/>
          <w:color w:val="000000" w:themeColor="text1"/>
          <w:szCs w:val="21"/>
          <w:highlight w:val="none"/>
          <w14:textFill>
            <w14:solidFill>
              <w14:schemeClr w14:val="tx1"/>
            </w14:solidFill>
          </w14:textFill>
        </w:rPr>
        <w:t>；</w:t>
      </w:r>
    </w:p>
    <w:p w14:paraId="7FC97AAE">
      <w:pPr>
        <w:spacing w:line="360" w:lineRule="auto"/>
        <w:ind w:left="178" w:leftChars="85" w:firstLine="210" w:firstLineChars="1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w:t>
      </w:r>
      <w:bookmarkEnd w:id="176"/>
      <w:r>
        <w:rPr>
          <w:rFonts w:hint="eastAsia" w:ascii="宋体" w:hAnsi="宋体"/>
          <w:color w:val="000000" w:themeColor="text1"/>
          <w:szCs w:val="21"/>
          <w:highlight w:val="none"/>
          <w14:textFill>
            <w14:solidFill>
              <w14:schemeClr w14:val="tx1"/>
            </w14:solidFill>
          </w14:textFill>
        </w:rPr>
        <w:t>响应文件</w:t>
      </w:r>
      <w:r>
        <w:rPr>
          <w:rFonts w:ascii="宋体" w:hAnsi="宋体"/>
          <w:color w:val="000000" w:themeColor="text1"/>
          <w:szCs w:val="21"/>
          <w:highlight w:val="none"/>
          <w14:textFill>
            <w14:solidFill>
              <w14:schemeClr w14:val="tx1"/>
            </w14:solidFill>
          </w14:textFill>
        </w:rPr>
        <w:t>格式</w:t>
      </w:r>
      <w:r>
        <w:rPr>
          <w:rFonts w:hint="eastAsia" w:ascii="宋体" w:hAnsi="宋体"/>
          <w:color w:val="000000" w:themeColor="text1"/>
          <w:szCs w:val="21"/>
          <w:highlight w:val="none"/>
          <w14:textFill>
            <w14:solidFill>
              <w14:schemeClr w14:val="tx1"/>
            </w14:solidFill>
          </w14:textFill>
        </w:rPr>
        <w:t>；</w:t>
      </w:r>
    </w:p>
    <w:p w14:paraId="0F3BA9A1">
      <w:pPr>
        <w:spacing w:line="360" w:lineRule="auto"/>
        <w:ind w:left="178" w:leftChars="85" w:firstLine="210" w:firstLineChars="100"/>
        <w:rPr>
          <w:rFonts w:hint="eastAsia" w:ascii="宋体" w:hAnsi="宋体"/>
          <w:color w:val="000000" w:themeColor="text1"/>
          <w:szCs w:val="21"/>
          <w:highlight w:val="none"/>
          <w14:textFill>
            <w14:solidFill>
              <w14:schemeClr w14:val="tx1"/>
            </w14:solidFill>
          </w14:textFill>
        </w:rPr>
      </w:pPr>
      <w:bookmarkStart w:id="177" w:name="_Toc301187623"/>
      <w:r>
        <w:rPr>
          <w:rFonts w:hint="eastAsia" w:ascii="宋体" w:hAnsi="宋体"/>
          <w:color w:val="000000" w:themeColor="text1"/>
          <w:szCs w:val="21"/>
          <w:highlight w:val="none"/>
          <w14:textFill>
            <w14:solidFill>
              <w14:schemeClr w14:val="tx1"/>
            </w14:solidFill>
          </w14:textFill>
        </w:rPr>
        <w:t>（6）磋商评审</w:t>
      </w:r>
      <w:r>
        <w:rPr>
          <w:rFonts w:ascii="宋体" w:hAnsi="宋体"/>
          <w:color w:val="000000" w:themeColor="text1"/>
          <w:szCs w:val="21"/>
          <w:highlight w:val="none"/>
          <w14:textFill>
            <w14:solidFill>
              <w14:schemeClr w14:val="tx1"/>
            </w14:solidFill>
          </w14:textFill>
        </w:rPr>
        <w:t>办法及标准</w:t>
      </w:r>
      <w:bookmarkEnd w:id="177"/>
      <w:r>
        <w:rPr>
          <w:rFonts w:hint="eastAsia" w:ascii="宋体" w:hAnsi="宋体"/>
          <w:color w:val="000000" w:themeColor="text1"/>
          <w:szCs w:val="21"/>
          <w:highlight w:val="none"/>
          <w14:textFill>
            <w14:solidFill>
              <w14:schemeClr w14:val="tx1"/>
            </w14:solidFill>
          </w14:textFill>
        </w:rPr>
        <w:t>；</w:t>
      </w:r>
    </w:p>
    <w:p w14:paraId="0B34437D">
      <w:pPr>
        <w:spacing w:line="360" w:lineRule="auto"/>
        <w:ind w:left="178" w:leftChars="85" w:firstLine="210" w:firstLineChars="100"/>
        <w:rPr>
          <w:rFonts w:hint="eastAsia" w:ascii="宋体" w:hAnsi="宋体"/>
          <w:color w:val="000000" w:themeColor="text1"/>
          <w:szCs w:val="21"/>
          <w:highlight w:val="none"/>
          <w14:textFill>
            <w14:solidFill>
              <w14:schemeClr w14:val="tx1"/>
            </w14:solidFill>
          </w14:textFill>
        </w:rPr>
      </w:pPr>
      <w:bookmarkStart w:id="178" w:name="_Toc301187624"/>
      <w:r>
        <w:rPr>
          <w:rFonts w:hint="eastAsia" w:ascii="宋体" w:hAnsi="宋体"/>
          <w:color w:val="000000" w:themeColor="text1"/>
          <w:szCs w:val="21"/>
          <w:highlight w:val="none"/>
          <w14:textFill>
            <w14:solidFill>
              <w14:schemeClr w14:val="tx1"/>
            </w14:solidFill>
          </w14:textFill>
        </w:rPr>
        <w:t>（7）本项目竞争性磋商文件的</w:t>
      </w:r>
      <w:r>
        <w:rPr>
          <w:rFonts w:ascii="宋体" w:hAnsi="宋体"/>
          <w:color w:val="000000" w:themeColor="text1"/>
          <w:szCs w:val="21"/>
          <w:highlight w:val="none"/>
          <w14:textFill>
            <w14:solidFill>
              <w14:schemeClr w14:val="tx1"/>
            </w14:solidFill>
          </w14:textFill>
        </w:rPr>
        <w:t>澄清、答复、修改、补充的内容</w:t>
      </w:r>
      <w:bookmarkEnd w:id="178"/>
      <w:r>
        <w:rPr>
          <w:rFonts w:hint="eastAsia" w:ascii="宋体" w:hAnsi="宋体"/>
          <w:color w:val="000000" w:themeColor="text1"/>
          <w:szCs w:val="21"/>
          <w:highlight w:val="none"/>
          <w14:textFill>
            <w14:solidFill>
              <w14:schemeClr w14:val="tx1"/>
            </w14:solidFill>
          </w14:textFill>
        </w:rPr>
        <w:t>。</w:t>
      </w:r>
    </w:p>
    <w:p w14:paraId="2A5801E0">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179" w:name="_Toc359934573"/>
      <w:bookmarkStart w:id="180" w:name="_Toc301187625"/>
      <w:bookmarkStart w:id="181" w:name="_Toc303756378"/>
      <w:bookmarkStart w:id="182" w:name="_Toc498327022"/>
      <w:bookmarkStart w:id="183" w:name="_Toc499128567"/>
      <w:bookmarkStart w:id="184" w:name="_Toc27036"/>
      <w:r>
        <w:rPr>
          <w:rFonts w:hint="eastAsia" w:ascii="宋体" w:hAnsi="宋体"/>
          <w:b/>
          <w:bCs/>
          <w:color w:val="000000" w:themeColor="text1"/>
          <w:szCs w:val="21"/>
          <w:highlight w:val="none"/>
          <w14:textFill>
            <w14:solidFill>
              <w14:schemeClr w14:val="tx1"/>
            </w14:solidFill>
          </w14:textFill>
        </w:rPr>
        <w:t>2.2竞争性磋商文件的澄清</w:t>
      </w:r>
      <w:bookmarkEnd w:id="179"/>
      <w:bookmarkEnd w:id="180"/>
      <w:bookmarkEnd w:id="181"/>
      <w:r>
        <w:rPr>
          <w:rFonts w:hint="eastAsia" w:ascii="宋体" w:hAnsi="宋体"/>
          <w:b/>
          <w:bCs/>
          <w:color w:val="000000" w:themeColor="text1"/>
          <w:szCs w:val="21"/>
          <w:highlight w:val="none"/>
          <w14:textFill>
            <w14:solidFill>
              <w14:schemeClr w14:val="tx1"/>
            </w14:solidFill>
          </w14:textFill>
        </w:rPr>
        <w:t>、答疑、修改、补充</w:t>
      </w:r>
      <w:bookmarkEnd w:id="182"/>
      <w:bookmarkEnd w:id="183"/>
      <w:bookmarkEnd w:id="184"/>
    </w:p>
    <w:p w14:paraId="1507697B">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bookmarkStart w:id="185" w:name="_Toc301187626"/>
      <w:r>
        <w:rPr>
          <w:rFonts w:hint="eastAsia" w:ascii="宋体" w:hAnsi="宋体"/>
          <w:color w:val="000000" w:themeColor="text1"/>
          <w:szCs w:val="21"/>
          <w:highlight w:val="none"/>
          <w14:textFill>
            <w14:solidFill>
              <w14:schemeClr w14:val="tx1"/>
            </w14:solidFill>
          </w14:textFill>
        </w:rPr>
        <w:t>2.2.1竞争性磋商文件的澄清、答疑、修改、补充截止时间：见供应商须知前附表。供应商应仔细阅读和检查竞争性磋商文件的全部内容。如发现缺页或附件不全，应及时向采购人或采购代理机构提出，以便补齐。如有疑问，应当在竞争性磋商文件的澄清、答疑截止时间内以书面形式（包括信函、电报、传真等可以有形地表现所载内容的形式，下同）或电子文档形式，要求采购人或采购代理机构对竞争性磋商文件予以澄清、答疑、修改、补充。</w:t>
      </w:r>
      <w:bookmarkEnd w:id="185"/>
    </w:p>
    <w:p w14:paraId="428B5C50">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bookmarkStart w:id="186" w:name="_Toc301187627"/>
      <w:r>
        <w:rPr>
          <w:rFonts w:hint="eastAsia" w:ascii="宋体" w:hAnsi="宋体"/>
          <w:color w:val="000000" w:themeColor="text1"/>
          <w:szCs w:val="21"/>
          <w:highlight w:val="none"/>
          <w14:textFill>
            <w14:solidFill>
              <w14:schemeClr w14:val="tx1"/>
            </w14:solidFill>
          </w14:textFill>
        </w:rPr>
        <w:t>2.2.2</w:t>
      </w:r>
      <w:bookmarkEnd w:id="186"/>
      <w:r>
        <w:rPr>
          <w:rFonts w:hint="eastAsia" w:ascii="宋体" w:hAnsi="宋体"/>
          <w:color w:val="000000" w:themeColor="text1"/>
          <w:szCs w:val="21"/>
          <w:highlight w:val="none"/>
          <w14:textFill>
            <w14:solidFill>
              <w14:schemeClr w14:val="tx1"/>
            </w14:solidFill>
          </w14:textFill>
        </w:rPr>
        <w:t>竞争性磋商文件的澄清、答疑、修改、补充发布地点：见供应商须知前附表。澄清、答疑、修改、补充的内容可能影响响应文件编制的，</w:t>
      </w:r>
      <w:r>
        <w:rPr>
          <w:rFonts w:hint="eastAsia" w:ascii="宋体" w:hAnsi="宋体"/>
          <w:b/>
          <w:bCs/>
          <w:color w:val="000000" w:themeColor="text1"/>
          <w:szCs w:val="21"/>
          <w:highlight w:val="none"/>
          <w14:textFill>
            <w14:solidFill>
              <w14:schemeClr w14:val="tx1"/>
            </w14:solidFill>
          </w14:textFill>
        </w:rPr>
        <w:t>采购人或者采购代理应当响应文件递交截止时间3天前，以电子文档形式在竞争性磋商文件的澄清、答疑、修改、补充发布地点发布</w:t>
      </w:r>
      <w:r>
        <w:rPr>
          <w:rFonts w:hint="eastAsia" w:ascii="宋体" w:hAnsi="宋体"/>
          <w:color w:val="000000" w:themeColor="text1"/>
          <w:szCs w:val="21"/>
          <w:highlight w:val="none"/>
          <w14:textFill>
            <w14:solidFill>
              <w14:schemeClr w14:val="tx1"/>
            </w14:solidFill>
          </w14:textFill>
        </w:rPr>
        <w:t>，供各供应商查询，无论因任何原因造成供应商无法查询或浏览，采购人和采购代理机构均不予以负责。澄清、答疑、修改、补充发出的时间距响应文件递交截止时间不足3天，采购人或采购代理机构应当顺延提交响应文件的截止时间。</w:t>
      </w:r>
    </w:p>
    <w:p w14:paraId="04517D63">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2.2.3澄清、答疑、修改、补充的内容作为竞争性磋商文件的组成部分，对各供应商起同等约束作用。</w:t>
      </w:r>
    </w:p>
    <w:p w14:paraId="3608DE46">
      <w:pPr>
        <w:pStyle w:val="6"/>
        <w:keepNext w:val="0"/>
        <w:keepLines w:val="0"/>
        <w:spacing w:line="360" w:lineRule="auto"/>
        <w:rPr>
          <w:rFonts w:hint="eastAsia" w:ascii="宋体" w:hAnsi="宋体"/>
          <w:color w:val="000000" w:themeColor="text1"/>
          <w:sz w:val="24"/>
          <w:szCs w:val="24"/>
          <w:highlight w:val="none"/>
          <w14:textFill>
            <w14:solidFill>
              <w14:schemeClr w14:val="tx1"/>
            </w14:solidFill>
          </w14:textFill>
        </w:rPr>
      </w:pPr>
      <w:bookmarkStart w:id="187" w:name="_Toc498327023"/>
      <w:bookmarkStart w:id="188" w:name="_Toc499128568"/>
      <w:bookmarkStart w:id="189" w:name="_Toc11136"/>
      <w:bookmarkStart w:id="190" w:name="_Toc7772"/>
      <w:bookmarkStart w:id="191" w:name="_Toc1662"/>
      <w:bookmarkStart w:id="192" w:name="_Toc27597"/>
      <w:r>
        <w:rPr>
          <w:rFonts w:hint="eastAsia" w:ascii="宋体" w:hAnsi="宋体"/>
          <w:color w:val="000000" w:themeColor="text1"/>
          <w:sz w:val="24"/>
          <w:szCs w:val="24"/>
          <w:highlight w:val="none"/>
          <w14:textFill>
            <w14:solidFill>
              <w14:schemeClr w14:val="tx1"/>
            </w14:solidFill>
          </w14:textFill>
        </w:rPr>
        <w:t>3．响应文件的组成</w:t>
      </w:r>
      <w:bookmarkEnd w:id="187"/>
      <w:bookmarkEnd w:id="188"/>
      <w:bookmarkEnd w:id="189"/>
      <w:bookmarkEnd w:id="190"/>
      <w:bookmarkEnd w:id="191"/>
      <w:bookmarkEnd w:id="192"/>
    </w:p>
    <w:p w14:paraId="24B2B181">
      <w:pPr>
        <w:pStyle w:val="6"/>
        <w:spacing w:line="324" w:lineRule="auto"/>
        <w:rPr>
          <w:rFonts w:hint="eastAsia" w:ascii="宋体" w:hAnsi="宋体"/>
          <w:color w:val="000000" w:themeColor="text1"/>
          <w:szCs w:val="21"/>
          <w:highlight w:val="none"/>
          <w14:textFill>
            <w14:solidFill>
              <w14:schemeClr w14:val="tx1"/>
            </w14:solidFill>
          </w14:textFill>
        </w:rPr>
      </w:pPr>
      <w:bookmarkStart w:id="193" w:name="_Toc17434"/>
      <w:bookmarkStart w:id="194" w:name="_Toc11603"/>
      <w:bookmarkStart w:id="195" w:name="_Toc1074"/>
      <w:bookmarkStart w:id="196" w:name="_Toc9527"/>
      <w:r>
        <w:rPr>
          <w:rFonts w:hint="eastAsia" w:ascii="宋体" w:hAnsi="宋体"/>
          <w:color w:val="000000" w:themeColor="text1"/>
          <w:szCs w:val="21"/>
          <w:highlight w:val="none"/>
          <w14:textFill>
            <w14:solidFill>
              <w14:schemeClr w14:val="tx1"/>
            </w14:solidFill>
          </w14:textFill>
        </w:rPr>
        <w:t>3.1响应文件形式及效力</w:t>
      </w:r>
      <w:bookmarkEnd w:id="193"/>
      <w:bookmarkEnd w:id="194"/>
      <w:bookmarkEnd w:id="195"/>
      <w:bookmarkEnd w:id="196"/>
    </w:p>
    <w:p w14:paraId="1DEE20CD">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3.1.1响应文件形式：电子响应文件（包括“电子加密响应文件”和“备份响应文件”，“电子加密响应文件”和“备份响应文件”在响应文件编制完成后同时生成）。</w:t>
      </w:r>
    </w:p>
    <w:p w14:paraId="5E670AF1">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3.1.2响应文件的效力：“电子加密响应文件”和“备份响应文件”具有同等效力，数据电文内容应完全一致。</w:t>
      </w:r>
    </w:p>
    <w:p w14:paraId="239D68DF">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▲3.1.3电子加密响应文件按时解密成功的，备份响应文件自动失效；电子加密响应文件解密失败，按时启动有效的备份响应文件（供应商应当在提交响应文件截止时间前将备份响应文件发送至</w:t>
      </w:r>
      <w:r>
        <w:rPr>
          <w:rFonts w:hint="eastAsia" w:ascii="宋体" w:hAnsi="宋体"/>
          <w:color w:val="000000" w:themeColor="text1"/>
          <w:szCs w:val="21"/>
          <w:highlight w:val="none"/>
          <w:lang w:eastAsia="zh-CN"/>
          <w14:textFill>
            <w14:solidFill>
              <w14:schemeClr w14:val="tx1"/>
            </w14:solidFill>
          </w14:textFill>
        </w:rPr>
        <w:t>397942513</w:t>
      </w:r>
      <w:r>
        <w:rPr>
          <w:rFonts w:hint="eastAsia" w:ascii="宋体" w:hAnsi="宋体"/>
          <w:color w:val="000000" w:themeColor="text1"/>
          <w:szCs w:val="21"/>
          <w:highlight w:val="none"/>
          <w14:textFill>
            <w14:solidFill>
              <w14:schemeClr w14:val="tx1"/>
            </w14:solidFill>
          </w14:textFill>
        </w:rPr>
        <w:t>@qq.com），则以备份响应文件为准；电子加密响应文件解密失败，又未在磋商截止时间前提交备份响应文件，视同供应商放弃磋商。</w:t>
      </w:r>
    </w:p>
    <w:p w14:paraId="5BBC0198">
      <w:pPr>
        <w:pStyle w:val="6"/>
        <w:spacing w:line="324" w:lineRule="auto"/>
        <w:rPr>
          <w:rFonts w:hint="eastAsia" w:ascii="宋体" w:hAnsi="宋体"/>
          <w:color w:val="000000" w:themeColor="text1"/>
          <w:szCs w:val="21"/>
          <w:highlight w:val="none"/>
          <w14:textFill>
            <w14:solidFill>
              <w14:schemeClr w14:val="tx1"/>
            </w14:solidFill>
          </w14:textFill>
        </w:rPr>
      </w:pPr>
      <w:bookmarkStart w:id="197" w:name="_Toc25499"/>
      <w:bookmarkStart w:id="198" w:name="_Toc12828"/>
      <w:bookmarkStart w:id="199" w:name="_Toc31681"/>
      <w:bookmarkStart w:id="200" w:name="_Toc3194"/>
      <w:r>
        <w:rPr>
          <w:rFonts w:hint="eastAsia" w:ascii="宋体" w:hAnsi="宋体"/>
          <w:color w:val="000000" w:themeColor="text1"/>
          <w:szCs w:val="21"/>
          <w:highlight w:val="none"/>
          <w14:textFill>
            <w14:solidFill>
              <w14:schemeClr w14:val="tx1"/>
            </w14:solidFill>
          </w14:textFill>
        </w:rPr>
        <w:t>3.2响应文件内容的组成</w:t>
      </w:r>
      <w:bookmarkEnd w:id="197"/>
      <w:bookmarkEnd w:id="198"/>
      <w:bookmarkEnd w:id="199"/>
      <w:bookmarkEnd w:id="200"/>
    </w:p>
    <w:p w14:paraId="660ADB13">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响应文件由资格审查文件、资信商务及技术文件、报价文件三部分组成。</w:t>
      </w:r>
    </w:p>
    <w:p w14:paraId="5290657C">
      <w:pPr>
        <w:pStyle w:val="6"/>
        <w:spacing w:line="324" w:lineRule="auto"/>
        <w:rPr>
          <w:rFonts w:hint="eastAsia" w:ascii="宋体" w:hAnsi="宋体"/>
          <w:color w:val="000000" w:themeColor="text1"/>
          <w:szCs w:val="21"/>
          <w:highlight w:val="none"/>
          <w14:textFill>
            <w14:solidFill>
              <w14:schemeClr w14:val="tx1"/>
            </w14:solidFill>
          </w14:textFill>
        </w:rPr>
      </w:pPr>
      <w:bookmarkStart w:id="201" w:name="_Toc499128570"/>
      <w:bookmarkStart w:id="202" w:name="_Toc301187633"/>
      <w:bookmarkStart w:id="203" w:name="_Toc303756381"/>
      <w:bookmarkStart w:id="204" w:name="_Toc359934576"/>
      <w:bookmarkStart w:id="205" w:name="_Toc498327025"/>
      <w:bookmarkStart w:id="206" w:name="_Toc17305"/>
      <w:bookmarkStart w:id="207" w:name="_Toc1350"/>
      <w:bookmarkStart w:id="208" w:name="_Toc13602"/>
      <w:bookmarkStart w:id="209" w:name="_Toc28209"/>
      <w:bookmarkStart w:id="210" w:name="_Toc27293"/>
      <w:r>
        <w:rPr>
          <w:rFonts w:hint="eastAsia" w:ascii="宋体" w:hAnsi="宋体"/>
          <w:color w:val="000000" w:themeColor="text1"/>
          <w:szCs w:val="21"/>
          <w:highlight w:val="none"/>
          <w14:textFill>
            <w14:solidFill>
              <w14:schemeClr w14:val="tx1"/>
            </w14:solidFill>
          </w14:textFill>
        </w:rPr>
        <w:t>3.</w:t>
      </w:r>
      <w:bookmarkEnd w:id="201"/>
      <w:bookmarkEnd w:id="202"/>
      <w:bookmarkEnd w:id="203"/>
      <w:bookmarkEnd w:id="204"/>
      <w:bookmarkEnd w:id="205"/>
      <w:bookmarkEnd w:id="206"/>
      <w:r>
        <w:rPr>
          <w:rFonts w:hint="eastAsia" w:ascii="宋体" w:hAnsi="宋体"/>
          <w:color w:val="000000" w:themeColor="text1"/>
          <w:szCs w:val="21"/>
          <w:highlight w:val="none"/>
          <w14:textFill>
            <w14:solidFill>
              <w14:schemeClr w14:val="tx1"/>
            </w14:solidFill>
          </w14:textFill>
        </w:rPr>
        <w:t>3资格审查文件的组成</w:t>
      </w:r>
      <w:bookmarkEnd w:id="207"/>
      <w:bookmarkEnd w:id="208"/>
      <w:bookmarkEnd w:id="209"/>
      <w:bookmarkEnd w:id="210"/>
    </w:p>
    <w:p w14:paraId="499F6FD7">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211" w:name="_Toc301187634"/>
      <w:r>
        <w:rPr>
          <w:rFonts w:hint="eastAsia" w:ascii="宋体" w:hAnsi="宋体"/>
          <w:color w:val="000000" w:themeColor="text1"/>
          <w:szCs w:val="21"/>
          <w:highlight w:val="none"/>
          <w14:textFill>
            <w14:solidFill>
              <w14:schemeClr w14:val="tx1"/>
            </w14:solidFill>
          </w14:textFill>
        </w:rPr>
        <w:t>3.3.1资格审查文件的组成：见供应商须知前附表</w:t>
      </w:r>
      <w:bookmarkEnd w:id="211"/>
      <w:r>
        <w:rPr>
          <w:rFonts w:hint="eastAsia" w:ascii="宋体" w:hAnsi="宋体"/>
          <w:color w:val="000000" w:themeColor="text1"/>
          <w:szCs w:val="21"/>
          <w:highlight w:val="none"/>
          <w14:textFill>
            <w14:solidFill>
              <w14:schemeClr w14:val="tx1"/>
            </w14:solidFill>
          </w14:textFill>
        </w:rPr>
        <w:t>（一）。</w:t>
      </w:r>
    </w:p>
    <w:p w14:paraId="5C82E9B2">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3.3.2联合体磋商的各方供应商必须按照本条要求提供各自的资格审查证明文件。</w:t>
      </w:r>
    </w:p>
    <w:p w14:paraId="3EAF4E81">
      <w:pPr>
        <w:pStyle w:val="6"/>
        <w:spacing w:line="324" w:lineRule="auto"/>
        <w:rPr>
          <w:rFonts w:hint="eastAsia" w:ascii="宋体" w:hAnsi="宋体"/>
          <w:color w:val="000000" w:themeColor="text1"/>
          <w:szCs w:val="21"/>
          <w:highlight w:val="none"/>
          <w14:textFill>
            <w14:solidFill>
              <w14:schemeClr w14:val="tx1"/>
            </w14:solidFill>
          </w14:textFill>
        </w:rPr>
      </w:pPr>
      <w:bookmarkStart w:id="212" w:name="_Toc20573"/>
      <w:bookmarkStart w:id="213" w:name="_Toc12647"/>
      <w:bookmarkStart w:id="214" w:name="_Toc17476"/>
      <w:bookmarkStart w:id="215" w:name="_Toc26907"/>
      <w:r>
        <w:rPr>
          <w:rFonts w:hint="eastAsia" w:ascii="宋体" w:hAnsi="宋体"/>
          <w:color w:val="000000" w:themeColor="text1"/>
          <w:szCs w:val="21"/>
          <w:highlight w:val="none"/>
          <w14:textFill>
            <w14:solidFill>
              <w14:schemeClr w14:val="tx1"/>
            </w14:solidFill>
          </w14:textFill>
        </w:rPr>
        <w:t>3.4资信商务及技术文件的组成</w:t>
      </w:r>
      <w:bookmarkEnd w:id="212"/>
      <w:bookmarkEnd w:id="213"/>
      <w:bookmarkEnd w:id="214"/>
      <w:bookmarkEnd w:id="215"/>
    </w:p>
    <w:p w14:paraId="15C8D01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3.4.1资信商务及技术文件</w:t>
      </w:r>
      <w:r>
        <w:rPr>
          <w:rFonts w:ascii="宋体" w:hAnsi="宋体"/>
          <w:color w:val="000000" w:themeColor="text1"/>
          <w:szCs w:val="21"/>
          <w:highlight w:val="none"/>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组成</w:t>
      </w:r>
      <w:r>
        <w:rPr>
          <w:rFonts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见供应商须知前附表（一）。</w:t>
      </w:r>
    </w:p>
    <w:p w14:paraId="01313BA3">
      <w:pPr>
        <w:pStyle w:val="6"/>
        <w:spacing w:line="324" w:lineRule="auto"/>
        <w:rPr>
          <w:rFonts w:hint="eastAsia" w:ascii="宋体" w:hAnsi="宋体"/>
          <w:color w:val="000000" w:themeColor="text1"/>
          <w:szCs w:val="21"/>
          <w:highlight w:val="none"/>
          <w14:textFill>
            <w14:solidFill>
              <w14:schemeClr w14:val="tx1"/>
            </w14:solidFill>
          </w14:textFill>
        </w:rPr>
      </w:pPr>
      <w:bookmarkStart w:id="216" w:name="_Toc12152"/>
      <w:bookmarkStart w:id="217" w:name="_Toc15655"/>
      <w:bookmarkStart w:id="218" w:name="_Toc12346"/>
      <w:bookmarkStart w:id="219" w:name="_Toc25818"/>
      <w:r>
        <w:rPr>
          <w:rFonts w:hint="eastAsia" w:ascii="宋体" w:hAnsi="宋体"/>
          <w:color w:val="000000" w:themeColor="text1"/>
          <w:szCs w:val="21"/>
          <w:highlight w:val="none"/>
          <w14:textFill>
            <w14:solidFill>
              <w14:schemeClr w14:val="tx1"/>
            </w14:solidFill>
          </w14:textFill>
        </w:rPr>
        <w:t>3.5报价文件的组成</w:t>
      </w:r>
      <w:bookmarkEnd w:id="216"/>
      <w:bookmarkEnd w:id="217"/>
      <w:bookmarkEnd w:id="218"/>
      <w:bookmarkEnd w:id="219"/>
    </w:p>
    <w:p w14:paraId="5D369B28">
      <w:pPr>
        <w:spacing w:line="324" w:lineRule="auto"/>
        <w:ind w:firstLine="420" w:firstLineChars="200"/>
        <w:rPr>
          <w:rFonts w:hint="eastAsia"/>
          <w:color w:val="000000" w:themeColor="text1"/>
          <w:highlight w:val="none"/>
          <w14:textFill>
            <w14:solidFill>
              <w14:schemeClr w14:val="tx1"/>
            </w14:solidFill>
          </w14:textFill>
        </w:rPr>
      </w:pPr>
      <w:bookmarkStart w:id="220" w:name="_Toc301187638"/>
      <w:r>
        <w:rPr>
          <w:rFonts w:hint="eastAsia" w:ascii="宋体" w:hAnsi="宋体"/>
          <w:color w:val="000000" w:themeColor="text1"/>
          <w:szCs w:val="21"/>
          <w:highlight w:val="none"/>
          <w14:textFill>
            <w14:solidFill>
              <w14:schemeClr w14:val="tx1"/>
            </w14:solidFill>
          </w14:textFill>
        </w:rPr>
        <w:t>3.5.1报价文件的组成：见供应商须知前附表</w:t>
      </w:r>
      <w:bookmarkEnd w:id="220"/>
      <w:r>
        <w:rPr>
          <w:rFonts w:hint="eastAsia" w:ascii="宋体" w:hAnsi="宋体"/>
          <w:color w:val="000000" w:themeColor="text1"/>
          <w:szCs w:val="21"/>
          <w:highlight w:val="none"/>
          <w14:textFill>
            <w14:solidFill>
              <w14:schemeClr w14:val="tx1"/>
            </w14:solidFill>
          </w14:textFill>
        </w:rPr>
        <w:t>（一）。</w:t>
      </w:r>
    </w:p>
    <w:p w14:paraId="6A2FEFBF">
      <w:pPr>
        <w:pStyle w:val="6"/>
        <w:spacing w:line="360" w:lineRule="auto"/>
        <w:rPr>
          <w:rFonts w:hint="eastAsia" w:ascii="宋体" w:hAnsi="宋体"/>
          <w:color w:val="000000" w:themeColor="text1"/>
          <w:sz w:val="24"/>
          <w:szCs w:val="24"/>
          <w:highlight w:val="none"/>
          <w14:textFill>
            <w14:solidFill>
              <w14:schemeClr w14:val="tx1"/>
            </w14:solidFill>
          </w14:textFill>
        </w:rPr>
      </w:pPr>
      <w:bookmarkStart w:id="221" w:name="_Toc359934575"/>
      <w:bookmarkStart w:id="222" w:name="_Toc29372"/>
      <w:bookmarkStart w:id="223" w:name="_Toc27374"/>
      <w:bookmarkStart w:id="224" w:name="_Toc14736"/>
      <w:bookmarkStart w:id="225" w:name="_Toc301187631"/>
      <w:bookmarkStart w:id="226" w:name="_Toc499128576"/>
      <w:bookmarkStart w:id="227" w:name="_Toc303756380"/>
      <w:bookmarkStart w:id="228" w:name="_Toc498327031"/>
      <w:bookmarkStart w:id="229" w:name="_Toc1571"/>
      <w:r>
        <w:rPr>
          <w:rFonts w:hint="eastAsia" w:ascii="宋体" w:hAnsi="宋体"/>
          <w:color w:val="000000" w:themeColor="text1"/>
          <w:sz w:val="24"/>
          <w:szCs w:val="24"/>
          <w:highlight w:val="none"/>
          <w14:textFill>
            <w14:solidFill>
              <w14:schemeClr w14:val="tx1"/>
            </w14:solidFill>
          </w14:textFill>
        </w:rPr>
        <w:t>4．响应文件的编制</w:t>
      </w:r>
      <w:bookmarkEnd w:id="221"/>
      <w:bookmarkEnd w:id="222"/>
      <w:bookmarkEnd w:id="223"/>
      <w:bookmarkEnd w:id="224"/>
      <w:bookmarkEnd w:id="225"/>
      <w:bookmarkEnd w:id="226"/>
      <w:bookmarkEnd w:id="227"/>
      <w:bookmarkEnd w:id="228"/>
      <w:bookmarkEnd w:id="229"/>
    </w:p>
    <w:p w14:paraId="73BA152E">
      <w:pPr>
        <w:pStyle w:val="6"/>
        <w:spacing w:line="324" w:lineRule="auto"/>
        <w:rPr>
          <w:rFonts w:hint="eastAsia" w:ascii="宋体" w:hAnsi="宋体"/>
          <w:color w:val="000000" w:themeColor="text1"/>
          <w:szCs w:val="21"/>
          <w:highlight w:val="none"/>
          <w14:textFill>
            <w14:solidFill>
              <w14:schemeClr w14:val="tx1"/>
            </w14:solidFill>
          </w14:textFill>
        </w:rPr>
      </w:pPr>
      <w:bookmarkStart w:id="230" w:name="_Toc15089"/>
      <w:bookmarkStart w:id="231" w:name="_Toc2620"/>
      <w:bookmarkStart w:id="232" w:name="_Toc21625"/>
      <w:bookmarkStart w:id="233" w:name="_Toc498327032"/>
      <w:bookmarkStart w:id="234" w:name="_Toc499128577"/>
      <w:bookmarkStart w:id="235" w:name="_Toc13863"/>
      <w:r>
        <w:rPr>
          <w:rFonts w:hint="eastAsia" w:ascii="宋体" w:hAnsi="宋体"/>
          <w:color w:val="000000" w:themeColor="text1"/>
          <w:szCs w:val="21"/>
          <w:highlight w:val="none"/>
          <w14:textFill>
            <w14:solidFill>
              <w14:schemeClr w14:val="tx1"/>
            </w14:solidFill>
          </w14:textFill>
        </w:rPr>
        <w:t>4.1响应文件的编制要求</w:t>
      </w:r>
      <w:bookmarkEnd w:id="230"/>
      <w:bookmarkEnd w:id="231"/>
      <w:bookmarkEnd w:id="232"/>
      <w:bookmarkEnd w:id="233"/>
      <w:bookmarkEnd w:id="234"/>
      <w:bookmarkEnd w:id="235"/>
    </w:p>
    <w:p w14:paraId="55FA768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236" w:name="_Toc498327033"/>
      <w:bookmarkStart w:id="237" w:name="_Toc22256"/>
      <w:bookmarkStart w:id="238" w:name="_Toc499128578"/>
      <w:bookmarkStart w:id="239" w:name="_Toc359934580"/>
      <w:r>
        <w:rPr>
          <w:rFonts w:hint="eastAsia" w:ascii="宋体" w:hAnsi="宋体"/>
          <w:color w:val="000000" w:themeColor="text1"/>
          <w:szCs w:val="21"/>
          <w:highlight w:val="none"/>
          <w14:textFill>
            <w14:solidFill>
              <w14:schemeClr w14:val="tx1"/>
            </w14:solidFill>
          </w14:textFill>
        </w:rPr>
        <w:t>4.1.1本竞争性磋商文件中若有分标段，则按标段独立编制响应文件。</w:t>
      </w:r>
    </w:p>
    <w:p w14:paraId="2E590B5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4.1.2电子响应文件编制请按照政采云平台电子交易系统和本竞争性磋商文件要求编制并进行关联定位。未按要求进行相应关联定位的造成后果由供应商自行承担。</w:t>
      </w:r>
    </w:p>
    <w:p w14:paraId="398D76C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4.1.3供应商应按竞争性磋商文件的要求提供相关资料，并对竞争性磋商文件中提出的所有内容要求给予明确响应，应当保证响应文件的准确、真实、明确。响应文件响应内容对竞争性磋商文件要求如有偏离均应填写偏离表，如不填写，磋商小组有权视作响应文件不完全响应竞争性磋商文件要求）。</w:t>
      </w:r>
    </w:p>
    <w:p w14:paraId="3AAD949D">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4.1.4响应文件编制时应有正确的索引目录及连续页码标注。</w:t>
      </w:r>
    </w:p>
    <w:p w14:paraId="3FB51D9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4.1.5响应文件须清晰可辨，因模糊不清所引起的后果由供应商自行负责。</w:t>
      </w:r>
    </w:p>
    <w:bookmarkEnd w:id="236"/>
    <w:bookmarkEnd w:id="237"/>
    <w:bookmarkEnd w:id="238"/>
    <w:bookmarkEnd w:id="239"/>
    <w:p w14:paraId="401246D2">
      <w:pPr>
        <w:pStyle w:val="6"/>
        <w:spacing w:line="324" w:lineRule="auto"/>
        <w:rPr>
          <w:rFonts w:hint="eastAsia" w:ascii="宋体" w:hAnsi="宋体"/>
          <w:color w:val="000000" w:themeColor="text1"/>
          <w:szCs w:val="21"/>
          <w:highlight w:val="none"/>
          <w14:textFill>
            <w14:solidFill>
              <w14:schemeClr w14:val="tx1"/>
            </w14:solidFill>
          </w14:textFill>
        </w:rPr>
      </w:pPr>
      <w:bookmarkStart w:id="240" w:name="_Toc301187659"/>
      <w:bookmarkStart w:id="241" w:name="_Toc359934583"/>
      <w:bookmarkStart w:id="242" w:name="_Toc498327035"/>
      <w:bookmarkStart w:id="243" w:name="_Toc499128580"/>
      <w:bookmarkStart w:id="244" w:name="_Toc10860"/>
      <w:bookmarkStart w:id="245" w:name="_Toc303756386"/>
      <w:bookmarkStart w:id="246" w:name="_Toc6548"/>
      <w:bookmarkStart w:id="247" w:name="_Toc15911"/>
      <w:bookmarkStart w:id="248" w:name="_Toc13871"/>
      <w:r>
        <w:rPr>
          <w:rFonts w:hint="eastAsia" w:ascii="宋体" w:hAnsi="宋体"/>
          <w:color w:val="000000" w:themeColor="text1"/>
          <w:szCs w:val="21"/>
          <w:highlight w:val="none"/>
          <w14:textFill>
            <w14:solidFill>
              <w14:schemeClr w14:val="tx1"/>
            </w14:solidFill>
          </w14:textFill>
        </w:rPr>
        <w:t>4.</w:t>
      </w:r>
      <w:bookmarkEnd w:id="240"/>
      <w:bookmarkEnd w:id="241"/>
      <w:bookmarkEnd w:id="242"/>
      <w:bookmarkEnd w:id="243"/>
      <w:bookmarkEnd w:id="244"/>
      <w:bookmarkEnd w:id="245"/>
      <w:r>
        <w:rPr>
          <w:rFonts w:hint="eastAsia" w:ascii="宋体" w:hAnsi="宋体"/>
          <w:color w:val="000000" w:themeColor="text1"/>
          <w:szCs w:val="21"/>
          <w:highlight w:val="none"/>
          <w14:textFill>
            <w14:solidFill>
              <w14:schemeClr w14:val="tx1"/>
            </w14:solidFill>
          </w14:textFill>
        </w:rPr>
        <w:t>2磋商报价</w:t>
      </w:r>
      <w:bookmarkEnd w:id="246"/>
      <w:bookmarkEnd w:id="247"/>
      <w:bookmarkEnd w:id="248"/>
    </w:p>
    <w:p w14:paraId="5C4B100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249" w:name="_Toc301187660"/>
      <w:r>
        <w:rPr>
          <w:rFonts w:hint="eastAsia" w:ascii="宋体" w:hAnsi="宋体"/>
          <w:color w:val="000000" w:themeColor="text1"/>
          <w:szCs w:val="21"/>
          <w:highlight w:val="none"/>
          <w14:textFill>
            <w14:solidFill>
              <w14:schemeClr w14:val="tx1"/>
            </w14:solidFill>
          </w14:textFill>
        </w:rPr>
        <w:t>4.2.1磋商报价应当按照竞争性磋商文件中相关格式填写。</w:t>
      </w:r>
      <w:bookmarkEnd w:id="249"/>
    </w:p>
    <w:p w14:paraId="04DD86AC">
      <w:pPr>
        <w:spacing w:line="336" w:lineRule="auto"/>
        <w:ind w:firstLine="422" w:firstLineChars="200"/>
        <w:rPr>
          <w:rFonts w:hint="eastAsia" w:ascii="宋体" w:hAnsi="宋体"/>
          <w:b/>
          <w:bCs/>
          <w:color w:val="000000" w:themeColor="text1"/>
          <w:szCs w:val="21"/>
          <w:highlight w:val="none"/>
          <w14:textFill>
            <w14:solidFill>
              <w14:schemeClr w14:val="tx1"/>
            </w14:solidFill>
          </w14:textFill>
        </w:rPr>
      </w:pPr>
      <w:bookmarkStart w:id="250" w:name="_Toc301187661"/>
      <w:r>
        <w:rPr>
          <w:rFonts w:hint="eastAsia" w:ascii="宋体" w:hAnsi="宋体" w:eastAsia="宋体" w:cs="Times New Roman"/>
          <w:b/>
          <w:bCs/>
          <w:color w:val="000000" w:themeColor="text1"/>
          <w:szCs w:val="21"/>
          <w:highlight w:val="none"/>
          <w:lang w:val="zh-CN"/>
          <w14:textFill>
            <w14:solidFill>
              <w14:schemeClr w14:val="tx1"/>
            </w14:solidFill>
          </w14:textFill>
        </w:rPr>
        <w:t>▲4.</w:t>
      </w:r>
      <w:r>
        <w:rPr>
          <w:rFonts w:hint="eastAsia" w:ascii="宋体" w:hAnsi="宋体" w:eastAsia="宋体" w:cs="Times New Roman"/>
          <w:b/>
          <w:bCs/>
          <w:color w:val="000000" w:themeColor="text1"/>
          <w:szCs w:val="21"/>
          <w:highlight w:val="none"/>
          <w14:textFill>
            <w14:solidFill>
              <w14:schemeClr w14:val="tx1"/>
            </w14:solidFill>
          </w14:textFill>
        </w:rPr>
        <w:t>2</w:t>
      </w:r>
      <w:r>
        <w:rPr>
          <w:rFonts w:hint="eastAsia" w:ascii="宋体" w:hAnsi="宋体" w:eastAsia="宋体" w:cs="Times New Roman"/>
          <w:b/>
          <w:bCs/>
          <w:color w:val="000000" w:themeColor="text1"/>
          <w:szCs w:val="21"/>
          <w:highlight w:val="none"/>
          <w:lang w:val="zh-CN"/>
          <w14:textFill>
            <w14:solidFill>
              <w14:schemeClr w14:val="tx1"/>
            </w14:solidFill>
          </w14:textFill>
        </w:rPr>
        <w:t>.2</w:t>
      </w:r>
      <w:bookmarkEnd w:id="250"/>
      <w:bookmarkStart w:id="251" w:name="_Toc301187662"/>
      <w:r>
        <w:rPr>
          <w:rFonts w:hint="eastAsia" w:ascii="宋体" w:hAnsi="宋体" w:eastAsia="宋体" w:cs="宋体"/>
          <w:b/>
          <w:bCs/>
          <w:color w:val="000000" w:themeColor="text1"/>
          <w:szCs w:val="21"/>
          <w:highlight w:val="none"/>
          <w:lang w:val="zh-CN"/>
          <w14:textFill>
            <w14:solidFill>
              <w14:schemeClr w14:val="tx1"/>
            </w14:solidFill>
          </w14:textFill>
        </w:rPr>
        <w:t>磋商报价是履行合同的</w:t>
      </w:r>
      <w:r>
        <w:rPr>
          <w:rFonts w:hint="eastAsia" w:ascii="宋体" w:hAnsi="宋体" w:eastAsia="宋体" w:cs="宋体"/>
          <w:b/>
          <w:bCs/>
          <w:color w:val="000000" w:themeColor="text1"/>
          <w:szCs w:val="21"/>
          <w:highlight w:val="none"/>
          <w14:textFill>
            <w14:solidFill>
              <w14:schemeClr w14:val="tx1"/>
            </w14:solidFill>
          </w14:textFill>
        </w:rPr>
        <w:t>最终</w:t>
      </w:r>
      <w:r>
        <w:rPr>
          <w:rFonts w:hint="eastAsia" w:ascii="宋体" w:hAnsi="宋体" w:eastAsia="宋体" w:cs="宋体"/>
          <w:b/>
          <w:bCs/>
          <w:color w:val="000000" w:themeColor="text1"/>
          <w:szCs w:val="21"/>
          <w:highlight w:val="none"/>
          <w:lang w:val="zh-CN"/>
          <w14:textFill>
            <w14:solidFill>
              <w14:schemeClr w14:val="tx1"/>
            </w14:solidFill>
          </w14:textFill>
        </w:rPr>
        <w:t>价格，包括但不仅限于</w:t>
      </w:r>
      <w:r>
        <w:rPr>
          <w:rFonts w:hint="eastAsia" w:ascii="宋体" w:hAnsi="宋体" w:cs="宋体"/>
          <w:b/>
          <w:bCs/>
          <w:color w:val="000000" w:themeColor="text1"/>
          <w:szCs w:val="21"/>
          <w:highlight w:val="none"/>
          <w:lang w:val="zh-CN"/>
          <w14:textFill>
            <w14:solidFill>
              <w14:schemeClr w14:val="tx1"/>
            </w14:solidFill>
          </w14:textFill>
        </w:rPr>
        <w:t>人工、劳务、资料费、现场踏勘、调研费、测绘费、差旅费、成果印刷、数字化处理、数据入库、成果上报审批、成果质检、售后服务费、税金、管理费、利润、采购咨询费等一切为完成本项目所需的全部费用。供应商在编写响应文件时应充分考虑各种风险因素，凡供应商漏项、漏报均认为已包含在报价中，结算时总价不予以调整</w:t>
      </w:r>
      <w:r>
        <w:rPr>
          <w:rFonts w:hint="eastAsia" w:ascii="宋体" w:hAnsi="宋体" w:eastAsia="宋体" w:cs="宋体"/>
          <w:b/>
          <w:bCs/>
          <w:color w:val="000000" w:themeColor="text1"/>
          <w:szCs w:val="21"/>
          <w:highlight w:val="none"/>
          <w:lang w:val="zh-CN"/>
          <w14:textFill>
            <w14:solidFill>
              <w14:schemeClr w14:val="tx1"/>
            </w14:solidFill>
          </w14:textFill>
        </w:rPr>
        <w:t>。</w:t>
      </w:r>
    </w:p>
    <w:p w14:paraId="5A2B17C0">
      <w:pPr>
        <w:spacing w:line="360" w:lineRule="auto"/>
        <w:ind w:firstLine="422" w:firstLineChars="200"/>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▲4.2.3本项目采购预算金额</w:t>
      </w:r>
      <w:r>
        <w:rPr>
          <w:rFonts w:hint="eastAsia" w:ascii="宋体" w:hAnsi="宋体" w:cs="宋体"/>
          <w:b/>
          <w:bCs/>
          <w:color w:val="000000" w:themeColor="text1"/>
          <w:szCs w:val="21"/>
          <w:highlight w:val="none"/>
          <w:lang w:eastAsia="zh-CN"/>
          <w14:textFill>
            <w14:solidFill>
              <w14:schemeClr w14:val="tx1"/>
            </w14:solidFill>
          </w14:textFill>
        </w:rPr>
        <w:t>490035</w:t>
      </w:r>
      <w:r>
        <w:rPr>
          <w:rFonts w:hint="eastAsia" w:ascii="宋体" w:hAnsi="宋体" w:cs="宋体"/>
          <w:b/>
          <w:bCs/>
          <w:color w:val="000000" w:themeColor="text1"/>
          <w:szCs w:val="21"/>
          <w:highlight w:val="none"/>
          <w14:textFill>
            <w14:solidFill>
              <w14:schemeClr w14:val="tx1"/>
            </w14:solidFill>
          </w14:textFill>
        </w:rPr>
        <w:t>元，供应商报价不得超过</w:t>
      </w:r>
      <w:r>
        <w:rPr>
          <w:rFonts w:hint="eastAsia" w:ascii="宋体" w:hAnsi="宋体" w:cs="宋体"/>
          <w:b/>
          <w:bCs/>
          <w:color w:val="000000" w:themeColor="text1"/>
          <w:szCs w:val="21"/>
          <w:highlight w:val="none"/>
          <w:lang w:eastAsia="zh-CN"/>
          <w14:textFill>
            <w14:solidFill>
              <w14:schemeClr w14:val="tx1"/>
            </w14:solidFill>
          </w14:textFill>
        </w:rPr>
        <w:t>预算金额或最高限价</w:t>
      </w:r>
      <w:r>
        <w:rPr>
          <w:rFonts w:hint="eastAsia" w:ascii="宋体" w:hAnsi="宋体" w:cs="宋体"/>
          <w:b/>
          <w:bCs/>
          <w:color w:val="000000" w:themeColor="text1"/>
          <w:szCs w:val="21"/>
          <w:highlight w:val="none"/>
          <w14:textFill>
            <w14:solidFill>
              <w14:schemeClr w14:val="tx1"/>
            </w14:solidFill>
          </w14:textFill>
        </w:rPr>
        <w:t>，否则作无效磋商处理。</w:t>
      </w:r>
    </w:p>
    <w:p w14:paraId="53BAFDF5">
      <w:pPr>
        <w:spacing w:line="360" w:lineRule="auto"/>
        <w:ind w:firstLine="422"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4.2.4</w:t>
      </w:r>
      <w:r>
        <w:rPr>
          <w:rFonts w:hint="eastAsia" w:ascii="宋体" w:hAnsi="宋体" w:cs="宋体"/>
          <w:color w:val="000000" w:themeColor="text1"/>
          <w:szCs w:val="21"/>
          <w:highlight w:val="none"/>
          <w14:textFill>
            <w14:solidFill>
              <w14:schemeClr w14:val="tx1"/>
            </w14:solidFill>
          </w14:textFill>
        </w:rPr>
        <w:t>响应文件只允许有一个报价，有选择的或有条件的报价将不予接受。</w:t>
      </w:r>
      <w:bookmarkEnd w:id="251"/>
    </w:p>
    <w:p w14:paraId="79DEC5BA">
      <w:pPr>
        <w:pStyle w:val="6"/>
        <w:spacing w:line="324" w:lineRule="auto"/>
        <w:rPr>
          <w:rFonts w:hint="eastAsia" w:ascii="宋体" w:hAnsi="宋体"/>
          <w:color w:val="000000" w:themeColor="text1"/>
          <w:szCs w:val="21"/>
          <w:highlight w:val="none"/>
          <w14:textFill>
            <w14:solidFill>
              <w14:schemeClr w14:val="tx1"/>
            </w14:solidFill>
          </w14:textFill>
        </w:rPr>
      </w:pPr>
      <w:bookmarkStart w:id="252" w:name="_Toc29783"/>
      <w:bookmarkStart w:id="253" w:name="_Toc16794"/>
      <w:bookmarkStart w:id="254" w:name="_Toc22089"/>
      <w:bookmarkStart w:id="255" w:name="_Toc25296"/>
      <w:bookmarkStart w:id="256" w:name="_Toc301187668"/>
      <w:r>
        <w:rPr>
          <w:rFonts w:hint="eastAsia" w:ascii="宋体" w:hAnsi="宋体"/>
          <w:color w:val="000000" w:themeColor="text1"/>
          <w:szCs w:val="21"/>
          <w:highlight w:val="none"/>
          <w14:textFill>
            <w14:solidFill>
              <w14:schemeClr w14:val="tx1"/>
            </w14:solidFill>
          </w14:textFill>
        </w:rPr>
        <w:t>4.3磋商有效期</w:t>
      </w:r>
      <w:bookmarkEnd w:id="252"/>
      <w:bookmarkEnd w:id="253"/>
      <w:bookmarkEnd w:id="254"/>
      <w:bookmarkEnd w:id="255"/>
    </w:p>
    <w:p w14:paraId="7EF6F3C1">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257" w:name="_Toc301187640"/>
      <w:r>
        <w:rPr>
          <w:rFonts w:hint="eastAsia" w:ascii="宋体" w:hAnsi="宋体"/>
          <w:color w:val="000000" w:themeColor="text1"/>
          <w:szCs w:val="21"/>
          <w:highlight w:val="none"/>
          <w14:textFill>
            <w14:solidFill>
              <w14:schemeClr w14:val="tx1"/>
            </w14:solidFill>
          </w14:textFill>
        </w:rPr>
        <w:t>4.3.1磋商有效期：见供应商须知前附表（一）。磋商有效期从提交响应文件的截止之日起算。响应文件中承诺的磋商有效期应当不少于竞争性磋商文件中载明的磋商有效期。</w:t>
      </w:r>
      <w:bookmarkEnd w:id="257"/>
    </w:p>
    <w:p w14:paraId="4A4FE64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258" w:name="_Toc301187641"/>
      <w:r>
        <w:rPr>
          <w:rFonts w:hint="eastAsia" w:ascii="宋体" w:hAnsi="宋体"/>
          <w:color w:val="000000" w:themeColor="text1"/>
          <w:szCs w:val="21"/>
          <w:highlight w:val="none"/>
          <w14:textFill>
            <w14:solidFill>
              <w14:schemeClr w14:val="tx1"/>
            </w14:solidFill>
          </w14:textFill>
        </w:rPr>
        <w:t>4.3.2在特殊情况下，采购人可与供应商协商延长响应文件的有效期，这种要求和答复均以书面形式进行。</w:t>
      </w:r>
      <w:bookmarkEnd w:id="258"/>
    </w:p>
    <w:p w14:paraId="0C61D64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259" w:name="_Toc301187642"/>
      <w:r>
        <w:rPr>
          <w:rFonts w:hint="eastAsia" w:ascii="宋体" w:hAnsi="宋体"/>
          <w:color w:val="000000" w:themeColor="text1"/>
          <w:szCs w:val="21"/>
          <w:highlight w:val="none"/>
          <w14:textFill>
            <w14:solidFill>
              <w14:schemeClr w14:val="tx1"/>
            </w14:solidFill>
          </w14:textFill>
        </w:rPr>
        <w:t>4.3.3</w:t>
      </w:r>
      <w:bookmarkEnd w:id="259"/>
      <w:r>
        <w:rPr>
          <w:rFonts w:hint="eastAsia" w:ascii="宋体" w:hAnsi="宋体"/>
          <w:color w:val="000000" w:themeColor="text1"/>
          <w:szCs w:val="21"/>
          <w:highlight w:val="none"/>
          <w14:textFill>
            <w14:solidFill>
              <w14:schemeClr w14:val="tx1"/>
            </w14:solidFill>
          </w14:textFill>
        </w:rPr>
        <w:t>供应商可拒绝接受延期要求，同意延长有效期的供应商不能修改响应文件。</w:t>
      </w:r>
      <w:bookmarkEnd w:id="256"/>
      <w:bookmarkStart w:id="260" w:name="_Toc60"/>
      <w:bookmarkStart w:id="261" w:name="_Toc359934585"/>
      <w:bookmarkStart w:id="262" w:name="_Toc301187669"/>
      <w:bookmarkStart w:id="263" w:name="_Toc498327038"/>
      <w:bookmarkStart w:id="264" w:name="_Toc31581"/>
      <w:bookmarkStart w:id="265" w:name="_Toc499128583"/>
      <w:bookmarkStart w:id="266" w:name="_Toc303756388"/>
    </w:p>
    <w:p w14:paraId="616D64D1">
      <w:pPr>
        <w:pStyle w:val="6"/>
        <w:spacing w:line="324" w:lineRule="auto"/>
        <w:rPr>
          <w:rFonts w:hint="eastAsia" w:ascii="宋体" w:hAnsi="宋体"/>
          <w:color w:val="000000" w:themeColor="text1"/>
          <w:szCs w:val="21"/>
          <w:highlight w:val="none"/>
          <w14:textFill>
            <w14:solidFill>
              <w14:schemeClr w14:val="tx1"/>
            </w14:solidFill>
          </w14:textFill>
        </w:rPr>
      </w:pPr>
      <w:bookmarkStart w:id="267" w:name="_Toc22600"/>
      <w:bookmarkStart w:id="268" w:name="_Toc11756"/>
      <w:bookmarkStart w:id="269" w:name="_Toc32755"/>
      <w:r>
        <w:rPr>
          <w:rFonts w:hint="eastAsia" w:ascii="宋体" w:hAnsi="宋体"/>
          <w:color w:val="000000" w:themeColor="text1"/>
          <w:szCs w:val="21"/>
          <w:highlight w:val="none"/>
          <w14:textFill>
            <w14:solidFill>
              <w14:schemeClr w14:val="tx1"/>
            </w14:solidFill>
          </w14:textFill>
        </w:rPr>
        <w:t>4.4响应文件的格式</w:t>
      </w:r>
      <w:bookmarkEnd w:id="260"/>
      <w:bookmarkEnd w:id="267"/>
      <w:bookmarkEnd w:id="268"/>
      <w:bookmarkEnd w:id="269"/>
    </w:p>
    <w:p w14:paraId="6BF68E5C">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响应文件格式见照竞争性磋商文件“第五章响应文件格式”，响应文件应当按照竞争性磋商文件已提供的格式填写，无格式的可自行设计。</w:t>
      </w:r>
    </w:p>
    <w:p w14:paraId="7668A777">
      <w:pPr>
        <w:pStyle w:val="6"/>
        <w:spacing w:line="324" w:lineRule="auto"/>
        <w:rPr>
          <w:rFonts w:hint="eastAsia" w:ascii="宋体" w:hAnsi="宋体"/>
          <w:color w:val="000000" w:themeColor="text1"/>
          <w:szCs w:val="21"/>
          <w:highlight w:val="none"/>
          <w14:textFill>
            <w14:solidFill>
              <w14:schemeClr w14:val="tx1"/>
            </w14:solidFill>
          </w14:textFill>
        </w:rPr>
      </w:pPr>
      <w:bookmarkStart w:id="270" w:name="_Toc30525"/>
      <w:bookmarkStart w:id="271" w:name="_Toc27446"/>
      <w:bookmarkStart w:id="272" w:name="_Toc14434"/>
      <w:bookmarkStart w:id="273" w:name="_Toc998"/>
      <w:r>
        <w:rPr>
          <w:rFonts w:hint="eastAsia" w:ascii="宋体" w:hAnsi="宋体"/>
          <w:color w:val="000000" w:themeColor="text1"/>
          <w:szCs w:val="21"/>
          <w:highlight w:val="none"/>
          <w14:textFill>
            <w14:solidFill>
              <w14:schemeClr w14:val="tx1"/>
            </w14:solidFill>
          </w14:textFill>
        </w:rPr>
        <w:t>4.5响应文件的份数和签署</w:t>
      </w:r>
      <w:bookmarkEnd w:id="270"/>
      <w:bookmarkEnd w:id="271"/>
      <w:bookmarkEnd w:id="272"/>
      <w:bookmarkEnd w:id="273"/>
    </w:p>
    <w:p w14:paraId="244C6CB9">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4.5.1响应文件的份数：见供应商须知前附表</w:t>
      </w:r>
      <w:r>
        <w:rPr>
          <w:rFonts w:hint="eastAsia" w:ascii="宋体" w:hAnsi="宋体"/>
          <w:color w:val="000000" w:themeColor="text1"/>
          <w:szCs w:val="21"/>
          <w:highlight w:val="none"/>
          <w14:textFill>
            <w14:solidFill>
              <w14:schemeClr w14:val="tx1"/>
            </w14:solidFill>
          </w14:textFill>
        </w:rPr>
        <w:t>（一）</w:t>
      </w:r>
      <w:r>
        <w:rPr>
          <w:rFonts w:hint="eastAsia" w:ascii="宋体" w:hAnsi="宋体" w:cs="宋体"/>
          <w:color w:val="000000" w:themeColor="text1"/>
          <w:szCs w:val="21"/>
          <w:highlight w:val="none"/>
          <w14:textFill>
            <w14:solidFill>
              <w14:schemeClr w14:val="tx1"/>
            </w14:solidFill>
          </w14:textFill>
        </w:rPr>
        <w:t>。</w:t>
      </w:r>
    </w:p>
    <w:p w14:paraId="00FF4105">
      <w:pPr>
        <w:spacing w:line="324" w:lineRule="auto"/>
        <w:ind w:firstLine="420" w:firstLineChars="200"/>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4.5.2</w:t>
      </w:r>
      <w:r>
        <w:rPr>
          <w:rFonts w:hint="eastAsia" w:ascii="宋体" w:hAnsi="宋体" w:cs="宋体"/>
          <w:b/>
          <w:bCs/>
          <w:color w:val="000000" w:themeColor="text1"/>
          <w:szCs w:val="21"/>
          <w:highlight w:val="none"/>
          <w14:textFill>
            <w14:solidFill>
              <w14:schemeClr w14:val="tx1"/>
            </w14:solidFill>
          </w14:textFill>
        </w:rPr>
        <w:t>电子响应文件所有加盖公章处则采用CA签章。CA签章流程（</w:t>
      </w:r>
      <w:r>
        <w:rPr>
          <w:rFonts w:hint="eastAsia" w:ascii="宋体" w:hAnsi="宋体" w:cs="宋体"/>
          <w:b/>
          <w:bCs/>
          <w:color w:val="000000" w:themeColor="text1"/>
          <w:szCs w:val="21"/>
          <w:highlight w:val="none"/>
          <w:lang w:val="en-US" w:eastAsia="zh-CN"/>
          <w14:textFill>
            <w14:solidFill>
              <w14:schemeClr w14:val="tx1"/>
            </w14:solidFill>
          </w14:textFill>
        </w:rPr>
        <w:t>制作标书</w:t>
      </w:r>
      <w:r>
        <w:rPr>
          <w:rFonts w:hint="eastAsia" w:ascii="宋体" w:hAnsi="宋体" w:cs="宋体"/>
          <w:b/>
          <w:bCs/>
          <w:color w:val="000000" w:themeColor="text1"/>
          <w:szCs w:val="21"/>
          <w:highlight w:val="none"/>
          <w14:textFill>
            <w14:solidFill>
              <w14:schemeClr w14:val="tx1"/>
            </w14:solidFill>
          </w14:textFill>
        </w:rPr>
        <w:t>操作指南网址：</w:t>
      </w:r>
      <w:r>
        <w:rPr>
          <w:rFonts w:hint="eastAsia" w:ascii="宋体" w:hAnsi="宋体" w:cs="宋体"/>
          <w:b/>
          <w:bCs/>
          <w:color w:val="000000" w:themeColor="text1"/>
          <w:sz w:val="21"/>
          <w:szCs w:val="21"/>
          <w:highlight w:val="none"/>
          <w14:textFill>
            <w14:solidFill>
              <w14:schemeClr w14:val="tx1"/>
            </w14:solidFill>
          </w14:textFill>
        </w:rPr>
        <w:fldChar w:fldCharType="begin"/>
      </w:r>
      <w:r>
        <w:rPr>
          <w:rFonts w:hint="eastAsia" w:ascii="宋体" w:hAnsi="宋体" w:cs="宋体"/>
          <w:b/>
          <w:bCs/>
          <w:color w:val="000000" w:themeColor="text1"/>
          <w:sz w:val="21"/>
          <w:szCs w:val="21"/>
          <w:highlight w:val="none"/>
          <w14:textFill>
            <w14:solidFill>
              <w14:schemeClr w14:val="tx1"/>
            </w14:solidFill>
          </w14:textFill>
        </w:rPr>
        <w:instrText xml:space="preserve"> HYPERLINK "http://www.qingtian.gov.cn/cgtb/zxdt/202002/t20200228_4372050.html）。" </w:instrText>
      </w:r>
      <w:r>
        <w:rPr>
          <w:rFonts w:hint="eastAsia" w:ascii="宋体" w:hAnsi="宋体" w:cs="宋体"/>
          <w:b/>
          <w:bCs/>
          <w:color w:val="000000" w:themeColor="text1"/>
          <w:sz w:val="21"/>
          <w:szCs w:val="21"/>
          <w:highlight w:val="none"/>
          <w14:textFill>
            <w14:solidFill>
              <w14:schemeClr w14:val="tx1"/>
            </w14:solidFill>
          </w14:textFill>
        </w:rPr>
        <w:fldChar w:fldCharType="separate"/>
      </w:r>
      <w:r>
        <w:rPr>
          <w:rFonts w:hint="eastAsia" w:ascii="宋体" w:hAnsi="宋体" w:cs="宋体"/>
          <w:b/>
          <w:bCs/>
          <w:color w:val="000000" w:themeColor="text1"/>
          <w:sz w:val="21"/>
          <w:szCs w:val="21"/>
          <w:highlight w:val="none"/>
          <w14:textFill>
            <w14:solidFill>
              <w14:schemeClr w14:val="tx1"/>
            </w14:solidFill>
          </w14:textFill>
        </w:rPr>
        <w:t>https://helpcenter.zcygov.cn/document/#/document/detail?siteCode=beijing&amp;manualId=853&amp;topicId=4343）。</w:t>
      </w:r>
      <w:r>
        <w:rPr>
          <w:rFonts w:hint="eastAsia" w:ascii="宋体" w:hAnsi="宋体" w:cs="宋体"/>
          <w:b/>
          <w:bCs/>
          <w:color w:val="000000" w:themeColor="text1"/>
          <w:sz w:val="21"/>
          <w:szCs w:val="21"/>
          <w:highlight w:val="none"/>
          <w14:textFill>
            <w14:solidFill>
              <w14:schemeClr w14:val="tx1"/>
            </w14:solidFill>
          </w14:textFill>
        </w:rPr>
        <w:fldChar w:fldCharType="end"/>
      </w:r>
    </w:p>
    <w:p w14:paraId="2998994E">
      <w:pPr>
        <w:spacing w:line="324" w:lineRule="auto"/>
        <w:ind w:firstLine="420" w:firstLineChars="200"/>
        <w:rPr>
          <w:rFonts w:hint="eastAsia"/>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4.5.3</w:t>
      </w:r>
      <w:r>
        <w:rPr>
          <w:rFonts w:hint="eastAsia" w:ascii="宋体" w:hAnsi="宋体" w:cs="宋体"/>
          <w:b/>
          <w:bCs/>
          <w:color w:val="000000" w:themeColor="text1"/>
          <w:szCs w:val="21"/>
          <w:highlight w:val="none"/>
          <w14:textFill>
            <w14:solidFill>
              <w14:schemeClr w14:val="tx1"/>
            </w14:solidFill>
          </w14:textFill>
        </w:rPr>
        <w:t>供应商成交后领取成交通知书前向采购人提供全套纸质响应文件一正一副本</w:t>
      </w:r>
      <w:r>
        <w:rPr>
          <w:rFonts w:hint="eastAsia" w:ascii="宋体" w:hAnsi="宋体" w:cs="宋体"/>
          <w:color w:val="000000" w:themeColor="text1"/>
          <w:szCs w:val="21"/>
          <w:highlight w:val="none"/>
          <w14:textFill>
            <w14:solidFill>
              <w14:schemeClr w14:val="tx1"/>
            </w14:solidFill>
          </w14:textFill>
        </w:rPr>
        <w:t>。</w:t>
      </w:r>
    </w:p>
    <w:p w14:paraId="0D62F30C">
      <w:pPr>
        <w:pStyle w:val="6"/>
        <w:spacing w:line="360" w:lineRule="auto"/>
        <w:rPr>
          <w:rFonts w:hint="eastAsia" w:ascii="宋体" w:hAnsi="宋体"/>
          <w:color w:val="000000" w:themeColor="text1"/>
          <w:sz w:val="24"/>
          <w:szCs w:val="24"/>
          <w:highlight w:val="none"/>
          <w14:textFill>
            <w14:solidFill>
              <w14:schemeClr w14:val="tx1"/>
            </w14:solidFill>
          </w14:textFill>
        </w:rPr>
      </w:pPr>
      <w:bookmarkStart w:id="274" w:name="_Toc22014"/>
      <w:bookmarkStart w:id="275" w:name="_Toc24135"/>
      <w:bookmarkStart w:id="276" w:name="_Toc22696"/>
      <w:r>
        <w:rPr>
          <w:rFonts w:hint="eastAsia" w:ascii="宋体" w:hAnsi="宋体"/>
          <w:color w:val="000000" w:themeColor="text1"/>
          <w:sz w:val="24"/>
          <w:szCs w:val="24"/>
          <w:highlight w:val="none"/>
          <w14:textFill>
            <w14:solidFill>
              <w14:schemeClr w14:val="tx1"/>
            </w14:solidFill>
          </w14:textFill>
        </w:rPr>
        <w:t>5．响应文件的</w:t>
      </w:r>
      <w:bookmarkEnd w:id="261"/>
      <w:bookmarkEnd w:id="262"/>
      <w:bookmarkEnd w:id="263"/>
      <w:bookmarkEnd w:id="264"/>
      <w:bookmarkEnd w:id="265"/>
      <w:bookmarkEnd w:id="266"/>
      <w:r>
        <w:rPr>
          <w:rFonts w:hint="eastAsia" w:ascii="宋体" w:hAnsi="宋体"/>
          <w:color w:val="000000" w:themeColor="text1"/>
          <w:sz w:val="24"/>
          <w:szCs w:val="24"/>
          <w:highlight w:val="none"/>
          <w14:textFill>
            <w14:solidFill>
              <w14:schemeClr w14:val="tx1"/>
            </w14:solidFill>
          </w14:textFill>
        </w:rPr>
        <w:t>提交</w:t>
      </w:r>
      <w:bookmarkEnd w:id="274"/>
      <w:bookmarkEnd w:id="275"/>
      <w:bookmarkEnd w:id="276"/>
    </w:p>
    <w:p w14:paraId="304B90E9">
      <w:pPr>
        <w:pStyle w:val="6"/>
        <w:spacing w:line="324" w:lineRule="auto"/>
        <w:rPr>
          <w:rFonts w:hint="eastAsia" w:ascii="宋体" w:hAnsi="宋体"/>
          <w:color w:val="000000" w:themeColor="text1"/>
          <w:szCs w:val="21"/>
          <w:highlight w:val="none"/>
          <w14:textFill>
            <w14:solidFill>
              <w14:schemeClr w14:val="tx1"/>
            </w14:solidFill>
          </w14:textFill>
        </w:rPr>
      </w:pPr>
      <w:bookmarkStart w:id="277" w:name="_Toc498327039"/>
      <w:bookmarkStart w:id="278" w:name="_Toc499128584"/>
      <w:bookmarkStart w:id="279" w:name="_Toc359934586"/>
      <w:bookmarkStart w:id="280" w:name="_Toc17329"/>
      <w:bookmarkStart w:id="281" w:name="_Toc301187670"/>
      <w:bookmarkStart w:id="282" w:name="_Toc303756389"/>
      <w:bookmarkStart w:id="283" w:name="_Toc24157"/>
      <w:bookmarkStart w:id="284" w:name="_Toc12089"/>
      <w:bookmarkStart w:id="285" w:name="_Toc8327"/>
      <w:r>
        <w:rPr>
          <w:rFonts w:hint="eastAsia" w:ascii="宋体" w:hAnsi="宋体"/>
          <w:color w:val="000000" w:themeColor="text1"/>
          <w:szCs w:val="21"/>
          <w:highlight w:val="none"/>
          <w14:textFill>
            <w14:solidFill>
              <w14:schemeClr w14:val="tx1"/>
            </w14:solidFill>
          </w14:textFill>
        </w:rPr>
        <w:t>5.1响应文件</w:t>
      </w:r>
      <w:bookmarkEnd w:id="277"/>
      <w:bookmarkEnd w:id="278"/>
      <w:bookmarkEnd w:id="279"/>
      <w:bookmarkEnd w:id="280"/>
      <w:bookmarkEnd w:id="281"/>
      <w:bookmarkEnd w:id="282"/>
      <w:r>
        <w:rPr>
          <w:rFonts w:hint="eastAsia" w:ascii="宋体" w:hAnsi="宋体"/>
          <w:color w:val="000000" w:themeColor="text1"/>
          <w:szCs w:val="21"/>
          <w:highlight w:val="none"/>
          <w14:textFill>
            <w14:solidFill>
              <w14:schemeClr w14:val="tx1"/>
            </w14:solidFill>
          </w14:textFill>
        </w:rPr>
        <w:t>的导入及加密</w:t>
      </w:r>
      <w:bookmarkEnd w:id="283"/>
      <w:bookmarkEnd w:id="284"/>
      <w:bookmarkEnd w:id="285"/>
    </w:p>
    <w:p w14:paraId="62B19E93">
      <w:pPr>
        <w:spacing w:line="360" w:lineRule="auto"/>
        <w:ind w:firstLine="420" w:firstLineChars="200"/>
        <w:rPr>
          <w:rFonts w:hint="eastAsia" w:ascii="宋体" w:hAnsi="宋体"/>
          <w:b/>
          <w:bCs/>
          <w:color w:val="000000" w:themeColor="text1"/>
          <w:szCs w:val="21"/>
          <w:highlight w:val="none"/>
          <w14:textFill>
            <w14:solidFill>
              <w14:schemeClr w14:val="tx1"/>
            </w14:solidFill>
          </w14:textFill>
        </w:rPr>
      </w:pPr>
      <w:bookmarkStart w:id="286" w:name="_Toc301187673"/>
      <w:r>
        <w:rPr>
          <w:rFonts w:hint="eastAsia" w:ascii="宋体" w:hAnsi="宋体"/>
          <w:color w:val="000000" w:themeColor="text1"/>
          <w:szCs w:val="21"/>
          <w:highlight w:val="none"/>
          <w14:textFill>
            <w14:solidFill>
              <w14:schemeClr w14:val="tx1"/>
            </w14:solidFill>
          </w14:textFill>
        </w:rPr>
        <w:t>5.1.1</w:t>
      </w:r>
      <w:r>
        <w:rPr>
          <w:rFonts w:hint="eastAsia" w:ascii="宋体" w:hAnsi="宋体"/>
          <w:b/>
          <w:bCs/>
          <w:color w:val="000000" w:themeColor="text1"/>
          <w:szCs w:val="21"/>
          <w:highlight w:val="none"/>
          <w14:textFill>
            <w14:solidFill>
              <w14:schemeClr w14:val="tx1"/>
            </w14:solidFill>
          </w14:textFill>
        </w:rPr>
        <w:t>供应商应当按照资格审查文件、资信商务及技术文件、报价文件三部分分别导入相应位置，各文件之间不得导错位置。</w:t>
      </w:r>
    </w:p>
    <w:p w14:paraId="5CBB11EE">
      <w:pPr>
        <w:adjustRightInd w:val="0"/>
        <w:snapToGrid w:val="0"/>
        <w:spacing w:line="312" w:lineRule="auto"/>
        <w:ind w:firstLine="420" w:firstLineChars="20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5.1.2</w:t>
      </w:r>
      <w:r>
        <w:rPr>
          <w:rFonts w:hint="eastAsia" w:ascii="宋体" w:hAnsi="宋体"/>
          <w:b/>
          <w:bCs/>
          <w:color w:val="000000" w:themeColor="text1"/>
          <w:szCs w:val="21"/>
          <w:highlight w:val="none"/>
          <w14:textFill>
            <w14:solidFill>
              <w14:schemeClr w14:val="tx1"/>
            </w14:solidFill>
          </w14:textFill>
        </w:rPr>
        <w:t>响应文件应当生成电子加密响应文件</w:t>
      </w:r>
      <w:r>
        <w:rPr>
          <w:rFonts w:hint="eastAsia" w:ascii="宋体" w:hAnsi="宋体"/>
          <w:color w:val="000000" w:themeColor="text1"/>
          <w:szCs w:val="21"/>
          <w:highlight w:val="none"/>
          <w14:textFill>
            <w14:solidFill>
              <w14:schemeClr w14:val="tx1"/>
            </w14:solidFill>
          </w14:textFill>
        </w:rPr>
        <w:t>。</w:t>
      </w:r>
    </w:p>
    <w:bookmarkEnd w:id="286"/>
    <w:p w14:paraId="20910720">
      <w:pPr>
        <w:pStyle w:val="6"/>
        <w:spacing w:line="324" w:lineRule="auto"/>
        <w:rPr>
          <w:rFonts w:hint="eastAsia" w:ascii="宋体" w:hAnsi="宋体"/>
          <w:color w:val="000000" w:themeColor="text1"/>
          <w:szCs w:val="21"/>
          <w:highlight w:val="none"/>
          <w14:textFill>
            <w14:solidFill>
              <w14:schemeClr w14:val="tx1"/>
            </w14:solidFill>
          </w14:textFill>
        </w:rPr>
      </w:pPr>
      <w:bookmarkStart w:id="287" w:name="_Toc16939"/>
      <w:bookmarkStart w:id="288" w:name="_Toc32033"/>
      <w:bookmarkStart w:id="289" w:name="_Toc530551858"/>
      <w:bookmarkStart w:id="290" w:name="_Toc4314"/>
      <w:bookmarkStart w:id="291" w:name="_Toc22059"/>
      <w:bookmarkStart w:id="292" w:name="_Toc531359013"/>
      <w:bookmarkStart w:id="293" w:name="_Toc32429"/>
      <w:bookmarkStart w:id="294" w:name="_Toc498327040"/>
      <w:bookmarkStart w:id="295" w:name="_Toc301187682"/>
      <w:bookmarkStart w:id="296" w:name="_Toc499128585"/>
      <w:bookmarkStart w:id="297" w:name="_Toc303756390"/>
      <w:bookmarkStart w:id="298" w:name="_Toc359934587"/>
      <w:bookmarkStart w:id="299" w:name="_Toc23054"/>
      <w:r>
        <w:rPr>
          <w:rFonts w:hint="eastAsia" w:ascii="宋体" w:hAnsi="宋体"/>
          <w:color w:val="000000" w:themeColor="text1"/>
          <w:szCs w:val="21"/>
          <w:highlight w:val="none"/>
          <w14:textFill>
            <w14:solidFill>
              <w14:schemeClr w14:val="tx1"/>
            </w14:solidFill>
          </w14:textFill>
        </w:rPr>
        <w:t>5.2 响应文件的提交</w:t>
      </w:r>
      <w:bookmarkEnd w:id="287"/>
      <w:bookmarkEnd w:id="288"/>
      <w:bookmarkEnd w:id="289"/>
      <w:bookmarkEnd w:id="290"/>
      <w:bookmarkEnd w:id="291"/>
      <w:bookmarkEnd w:id="292"/>
      <w:bookmarkEnd w:id="293"/>
    </w:p>
    <w:p w14:paraId="469494C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5.2.1响应文件提交截止时间：见供应商须知前附表（一）。</w:t>
      </w:r>
    </w:p>
    <w:p w14:paraId="2CEABECB">
      <w:pPr>
        <w:spacing w:line="324" w:lineRule="auto"/>
        <w:ind w:firstLine="420" w:firstLineChars="20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5.2.2响应文件提交地点：见供应商须知前附表（一）。</w:t>
      </w:r>
    </w:p>
    <w:p w14:paraId="18C15284">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5.2.3</w:t>
      </w:r>
      <w:r>
        <w:rPr>
          <w:rFonts w:hint="eastAsia" w:ascii="宋体" w:hAnsi="宋体"/>
          <w:b/>
          <w:bCs/>
          <w:color w:val="000000" w:themeColor="text1"/>
          <w:szCs w:val="21"/>
          <w:highlight w:val="none"/>
          <w14:textFill>
            <w14:solidFill>
              <w14:schemeClr w14:val="tx1"/>
            </w14:solidFill>
          </w14:textFill>
        </w:rPr>
        <w:t>不予接收的响应文件情形</w:t>
      </w:r>
    </w:p>
    <w:p w14:paraId="33D92D24">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 1 \* GB2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⑴</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磋商截止时间前未完成传输的电子响应文件；</w:t>
      </w:r>
    </w:p>
    <w:p w14:paraId="24A8B33C">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 2 \* GB2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⑵</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未生成加密的电子响应文件；</w:t>
      </w:r>
    </w:p>
    <w:p w14:paraId="35CFCFF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⑶在规定时间内未解密的电子响应文件，或者解密不成功未提供备份响应文件的。</w:t>
      </w:r>
    </w:p>
    <w:p w14:paraId="5F68207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5.2.4供应商所提交的响应文件不予退还。</w:t>
      </w:r>
    </w:p>
    <w:bookmarkEnd w:id="294"/>
    <w:bookmarkEnd w:id="295"/>
    <w:bookmarkEnd w:id="296"/>
    <w:bookmarkEnd w:id="297"/>
    <w:bookmarkEnd w:id="298"/>
    <w:bookmarkEnd w:id="299"/>
    <w:p w14:paraId="3F20821D">
      <w:pPr>
        <w:pStyle w:val="6"/>
        <w:spacing w:line="324" w:lineRule="auto"/>
        <w:rPr>
          <w:rFonts w:hint="eastAsia" w:ascii="宋体" w:hAnsi="宋体"/>
          <w:color w:val="000000" w:themeColor="text1"/>
          <w:szCs w:val="21"/>
          <w:highlight w:val="none"/>
          <w14:textFill>
            <w14:solidFill>
              <w14:schemeClr w14:val="tx1"/>
            </w14:solidFill>
          </w14:textFill>
        </w:rPr>
      </w:pPr>
      <w:bookmarkStart w:id="300" w:name="_Toc7377"/>
      <w:bookmarkStart w:id="301" w:name="_Toc2310"/>
      <w:bookmarkStart w:id="302" w:name="_Toc21408"/>
      <w:bookmarkStart w:id="303" w:name="_Toc27233"/>
      <w:bookmarkStart w:id="304" w:name="_Toc499128586"/>
      <w:bookmarkStart w:id="305" w:name="_Toc303756391"/>
      <w:bookmarkStart w:id="306" w:name="_Toc21854"/>
      <w:bookmarkStart w:id="307" w:name="_Toc301187684"/>
      <w:bookmarkStart w:id="308" w:name="_Toc359934588"/>
      <w:bookmarkStart w:id="309" w:name="_Toc498327041"/>
      <w:r>
        <w:rPr>
          <w:rFonts w:hint="eastAsia" w:ascii="宋体" w:hAnsi="宋体"/>
          <w:color w:val="000000" w:themeColor="text1"/>
          <w:szCs w:val="21"/>
          <w:highlight w:val="none"/>
          <w14:textFill>
            <w14:solidFill>
              <w14:schemeClr w14:val="tx1"/>
            </w14:solidFill>
          </w14:textFill>
        </w:rPr>
        <w:t>5.3响应文件修改和撤回</w:t>
      </w:r>
      <w:bookmarkEnd w:id="300"/>
      <w:bookmarkEnd w:id="301"/>
      <w:bookmarkEnd w:id="302"/>
      <w:bookmarkEnd w:id="303"/>
    </w:p>
    <w:p w14:paraId="43D68292">
      <w:pPr>
        <w:spacing w:line="324" w:lineRule="auto"/>
        <w:ind w:firstLine="422" w:firstLineChars="200"/>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5.3.1供应商在磋商截止时间之前，可以对已提交的电子响应文件进行补充、修改或撤回。补充、修改后的电子响应文件应当重新生成加密的电子响应文件并重新上传提交。</w:t>
      </w:r>
    </w:p>
    <w:p w14:paraId="6699A628">
      <w:pPr>
        <w:spacing w:line="324" w:lineRule="auto"/>
        <w:ind w:firstLine="422" w:firstLineChars="200"/>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5.3.2补充、修改后重新提交的电子响应文件应按竞争性磋商文件的规定编制、导入、加密和提交。</w:t>
      </w:r>
    </w:p>
    <w:p w14:paraId="6EC12B49">
      <w:pPr>
        <w:spacing w:line="324" w:lineRule="auto"/>
        <w:ind w:firstLine="422" w:firstLineChars="200"/>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5.3.3磋商截止时间后，供应商不得修改、撤回已提交的电子响应文件。</w:t>
      </w:r>
    </w:p>
    <w:bookmarkEnd w:id="304"/>
    <w:bookmarkEnd w:id="305"/>
    <w:bookmarkEnd w:id="306"/>
    <w:bookmarkEnd w:id="307"/>
    <w:bookmarkEnd w:id="308"/>
    <w:bookmarkEnd w:id="309"/>
    <w:p w14:paraId="7B1F606F">
      <w:pPr>
        <w:pStyle w:val="6"/>
        <w:spacing w:line="324" w:lineRule="auto"/>
        <w:rPr>
          <w:rFonts w:hint="eastAsia" w:ascii="宋体" w:hAnsi="宋体"/>
          <w:color w:val="000000" w:themeColor="text1"/>
          <w:szCs w:val="21"/>
          <w:highlight w:val="none"/>
          <w14:textFill>
            <w14:solidFill>
              <w14:schemeClr w14:val="tx1"/>
            </w14:solidFill>
          </w14:textFill>
        </w:rPr>
      </w:pPr>
      <w:bookmarkStart w:id="310" w:name="_Toc531359015"/>
      <w:bookmarkStart w:id="311" w:name="_Toc67413773"/>
      <w:bookmarkStart w:id="312" w:name="_Toc14077291"/>
      <w:bookmarkStart w:id="313" w:name="_Toc18480"/>
      <w:bookmarkStart w:id="314" w:name="_Toc23115"/>
      <w:bookmarkStart w:id="315" w:name="_Toc24192"/>
      <w:bookmarkStart w:id="316" w:name="_Toc499128587"/>
      <w:bookmarkStart w:id="317" w:name="_Toc17127"/>
      <w:bookmarkStart w:id="318" w:name="_Toc498327042"/>
      <w:r>
        <w:rPr>
          <w:rFonts w:hint="eastAsia" w:ascii="宋体" w:hAnsi="宋体"/>
          <w:color w:val="000000" w:themeColor="text1"/>
          <w:szCs w:val="21"/>
          <w:highlight w:val="none"/>
          <w14:textFill>
            <w14:solidFill>
              <w14:schemeClr w14:val="tx1"/>
            </w14:solidFill>
          </w14:textFill>
        </w:rPr>
        <w:t>5.4</w:t>
      </w:r>
      <w:bookmarkEnd w:id="310"/>
      <w:bookmarkEnd w:id="311"/>
      <w:bookmarkEnd w:id="312"/>
      <w:r>
        <w:rPr>
          <w:rFonts w:hint="eastAsia" w:ascii="宋体" w:hAnsi="宋体"/>
          <w:color w:val="000000" w:themeColor="text1"/>
          <w:szCs w:val="21"/>
          <w:highlight w:val="none"/>
          <w14:textFill>
            <w14:solidFill>
              <w14:schemeClr w14:val="tx1"/>
            </w14:solidFill>
          </w14:textFill>
        </w:rPr>
        <w:t>备选响应方案</w:t>
      </w:r>
      <w:bookmarkEnd w:id="313"/>
      <w:bookmarkEnd w:id="314"/>
      <w:bookmarkEnd w:id="315"/>
    </w:p>
    <w:p w14:paraId="71FBC932">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5.4.1本项目不接受备选磋商方案。与“电子磋商响应文件”同时生成的“备份磋商响应文件”不是磋商备选（替代）磋商方案。</w:t>
      </w:r>
    </w:p>
    <w:p w14:paraId="2D26A022">
      <w:pPr>
        <w:pStyle w:val="6"/>
        <w:spacing w:line="324" w:lineRule="auto"/>
        <w:rPr>
          <w:rFonts w:hint="eastAsia" w:ascii="宋体" w:hAnsi="宋体"/>
          <w:color w:val="000000" w:themeColor="text1"/>
          <w:szCs w:val="21"/>
          <w:highlight w:val="none"/>
          <w14:textFill>
            <w14:solidFill>
              <w14:schemeClr w14:val="tx1"/>
            </w14:solidFill>
          </w14:textFill>
        </w:rPr>
      </w:pPr>
      <w:bookmarkStart w:id="319" w:name="_Toc6217"/>
      <w:bookmarkStart w:id="320" w:name="_Toc23877"/>
      <w:bookmarkStart w:id="321" w:name="_Toc16146"/>
      <w:bookmarkStart w:id="322" w:name="_Toc25907"/>
      <w:bookmarkStart w:id="323" w:name="_Toc16223"/>
      <w:r>
        <w:rPr>
          <w:rFonts w:hint="eastAsia" w:ascii="宋体" w:hAnsi="宋体"/>
          <w:color w:val="000000" w:themeColor="text1"/>
          <w:szCs w:val="21"/>
          <w:highlight w:val="none"/>
          <w14:textFill>
            <w14:solidFill>
              <w14:schemeClr w14:val="tx1"/>
            </w14:solidFill>
          </w14:textFill>
        </w:rPr>
        <w:t>5.5响应诚实信用</w:t>
      </w:r>
      <w:bookmarkEnd w:id="319"/>
      <w:bookmarkEnd w:id="320"/>
      <w:bookmarkEnd w:id="321"/>
      <w:bookmarkEnd w:id="322"/>
      <w:bookmarkEnd w:id="323"/>
    </w:p>
    <w:p w14:paraId="2C9BECC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324" w:name="_Toc301187651"/>
      <w:r>
        <w:rPr>
          <w:rFonts w:hint="eastAsia" w:ascii="宋体" w:hAnsi="宋体"/>
          <w:color w:val="000000" w:themeColor="text1"/>
          <w:szCs w:val="21"/>
          <w:highlight w:val="none"/>
          <w14:textFill>
            <w14:solidFill>
              <w14:schemeClr w14:val="tx1"/>
            </w14:solidFill>
          </w14:textFill>
        </w:rPr>
        <w:t>5.5.1供应商应当遵守诚实信用原则。</w:t>
      </w:r>
    </w:p>
    <w:p w14:paraId="78F3BD1C">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5.5.2供应商有下列情形之一的，将会报告财政部门并按照相关规定处理：</w:t>
      </w:r>
      <w:bookmarkEnd w:id="324"/>
    </w:p>
    <w:p w14:paraId="2876976B">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325" w:name="_Toc301187652"/>
      <w:r>
        <w:rPr>
          <w:rFonts w:hint="eastAsia" w:ascii="宋体" w:hAnsi="宋体"/>
          <w:color w:val="000000" w:themeColor="text1"/>
          <w:szCs w:val="21"/>
          <w:highlight w:val="none"/>
          <w14:textFill>
            <w14:solidFill>
              <w14:schemeClr w14:val="tx1"/>
            </w14:solidFill>
          </w14:textFill>
        </w:rPr>
        <w:t>（1）供应商在磋商有效期内撤销响应文件的；</w:t>
      </w:r>
      <w:bookmarkEnd w:id="325"/>
    </w:p>
    <w:p w14:paraId="5BB3795A">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326" w:name="_Toc301187653"/>
      <w:r>
        <w:rPr>
          <w:rFonts w:hint="eastAsia" w:ascii="宋体" w:hAnsi="宋体"/>
          <w:color w:val="000000" w:themeColor="text1"/>
          <w:szCs w:val="21"/>
          <w:highlight w:val="none"/>
          <w14:textFill>
            <w14:solidFill>
              <w14:schemeClr w14:val="tx1"/>
            </w14:solidFill>
          </w14:textFill>
        </w:rPr>
        <w:t>（2）未按规定提交履约保证金的；</w:t>
      </w:r>
      <w:bookmarkEnd w:id="326"/>
    </w:p>
    <w:p w14:paraId="353D9F6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327" w:name="_Toc301187654"/>
      <w:r>
        <w:rPr>
          <w:rFonts w:hint="eastAsia" w:ascii="宋体" w:hAnsi="宋体"/>
          <w:color w:val="000000" w:themeColor="text1"/>
          <w:szCs w:val="21"/>
          <w:highlight w:val="none"/>
          <w14:textFill>
            <w14:solidFill>
              <w14:schemeClr w14:val="tx1"/>
            </w14:solidFill>
          </w14:textFill>
        </w:rPr>
        <w:t>（3）供应商在采购活动过程中弄虚作假，提供虚假材料的；</w:t>
      </w:r>
      <w:bookmarkEnd w:id="327"/>
    </w:p>
    <w:p w14:paraId="3C8B999F">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328" w:name="_Toc301187655"/>
      <w:r>
        <w:rPr>
          <w:rFonts w:hint="eastAsia" w:ascii="宋体" w:hAnsi="宋体"/>
          <w:color w:val="000000" w:themeColor="text1"/>
          <w:szCs w:val="21"/>
          <w:highlight w:val="none"/>
          <w14:textFill>
            <w14:solidFill>
              <w14:schemeClr w14:val="tx1"/>
            </w14:solidFill>
          </w14:textFill>
        </w:rPr>
        <w:t>（4）成交人无正当理由不与采购人签订合同的；</w:t>
      </w:r>
      <w:bookmarkEnd w:id="328"/>
    </w:p>
    <w:p w14:paraId="315570D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（5）供应商有串通磋商行为的；</w:t>
      </w:r>
    </w:p>
    <w:p w14:paraId="4629CA0A">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（6）严重扰乱政府采购程序的；</w:t>
      </w:r>
    </w:p>
    <w:p w14:paraId="06A67A14">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329" w:name="_Toc301187658"/>
      <w:r>
        <w:rPr>
          <w:rFonts w:hint="eastAsia" w:ascii="宋体" w:hAnsi="宋体"/>
          <w:color w:val="000000" w:themeColor="text1"/>
          <w:szCs w:val="21"/>
          <w:highlight w:val="none"/>
          <w14:textFill>
            <w14:solidFill>
              <w14:schemeClr w14:val="tx1"/>
            </w14:solidFill>
          </w14:textFill>
        </w:rPr>
        <w:t>（7）违反其他法律法规规定的情形。</w:t>
      </w:r>
      <w:bookmarkEnd w:id="329"/>
    </w:p>
    <w:p w14:paraId="679AB601">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5.5.3因供应商有第5.5.2条情形之一造成采购人和采购代理机构损失的，采购人和采购代理机构有权追究供应商赔偿责任。</w:t>
      </w:r>
    </w:p>
    <w:bookmarkEnd w:id="316"/>
    <w:bookmarkEnd w:id="317"/>
    <w:bookmarkEnd w:id="318"/>
    <w:p w14:paraId="2D70A7FD">
      <w:pPr>
        <w:pStyle w:val="6"/>
        <w:spacing w:line="324" w:lineRule="auto"/>
        <w:rPr>
          <w:rFonts w:hint="eastAsia" w:ascii="宋体" w:hAnsi="宋体"/>
          <w:color w:val="000000" w:themeColor="text1"/>
          <w:sz w:val="24"/>
          <w:szCs w:val="24"/>
          <w:highlight w:val="none"/>
          <w14:textFill>
            <w14:solidFill>
              <w14:schemeClr w14:val="tx1"/>
            </w14:solidFill>
          </w14:textFill>
        </w:rPr>
      </w:pPr>
      <w:bookmarkStart w:id="330" w:name="_Toc499128588"/>
      <w:bookmarkStart w:id="331" w:name="_Toc359934589"/>
      <w:bookmarkStart w:id="332" w:name="_Toc301187688"/>
      <w:bookmarkStart w:id="333" w:name="_Toc498327043"/>
      <w:bookmarkStart w:id="334" w:name="_Toc19403"/>
      <w:bookmarkStart w:id="335" w:name="_Toc303756392"/>
      <w:bookmarkStart w:id="336" w:name="_Toc13610"/>
      <w:bookmarkStart w:id="337" w:name="_Toc7378"/>
      <w:bookmarkStart w:id="338" w:name="_Toc31807"/>
      <w:r>
        <w:rPr>
          <w:rFonts w:hint="eastAsia" w:ascii="宋体" w:hAnsi="宋体"/>
          <w:color w:val="000000" w:themeColor="text1"/>
          <w:sz w:val="24"/>
          <w:szCs w:val="24"/>
          <w:highlight w:val="none"/>
          <w14:textFill>
            <w14:solidFill>
              <w14:schemeClr w14:val="tx1"/>
            </w14:solidFill>
          </w14:textFill>
        </w:rPr>
        <w:t>6．</w:t>
      </w:r>
      <w:bookmarkEnd w:id="330"/>
      <w:bookmarkEnd w:id="331"/>
      <w:bookmarkEnd w:id="332"/>
      <w:bookmarkEnd w:id="333"/>
      <w:bookmarkEnd w:id="334"/>
      <w:bookmarkEnd w:id="335"/>
      <w:r>
        <w:rPr>
          <w:rFonts w:hint="eastAsia" w:ascii="宋体" w:hAnsi="宋体"/>
          <w:color w:val="000000" w:themeColor="text1"/>
          <w:sz w:val="24"/>
          <w:szCs w:val="24"/>
          <w:highlight w:val="none"/>
          <w14:textFill>
            <w14:solidFill>
              <w14:schemeClr w14:val="tx1"/>
            </w14:solidFill>
          </w14:textFill>
        </w:rPr>
        <w:t>磋商、评审及定标</w:t>
      </w:r>
      <w:bookmarkEnd w:id="336"/>
      <w:bookmarkEnd w:id="337"/>
      <w:bookmarkEnd w:id="338"/>
    </w:p>
    <w:p w14:paraId="6A66A0FF">
      <w:pPr>
        <w:pStyle w:val="6"/>
        <w:spacing w:line="324" w:lineRule="auto"/>
        <w:rPr>
          <w:rFonts w:hint="eastAsia" w:ascii="宋体" w:hAnsi="宋体"/>
          <w:color w:val="000000" w:themeColor="text1"/>
          <w:szCs w:val="21"/>
          <w:highlight w:val="none"/>
          <w14:textFill>
            <w14:solidFill>
              <w14:schemeClr w14:val="tx1"/>
            </w14:solidFill>
          </w14:textFill>
        </w:rPr>
      </w:pPr>
      <w:bookmarkStart w:id="339" w:name="_Toc6919"/>
      <w:bookmarkStart w:id="340" w:name="_Toc24438"/>
      <w:bookmarkStart w:id="341" w:name="_Toc30255"/>
      <w:bookmarkStart w:id="342" w:name="_Toc8603"/>
      <w:bookmarkStart w:id="343" w:name="_Toc14294"/>
      <w:r>
        <w:rPr>
          <w:rFonts w:hint="eastAsia" w:ascii="宋体" w:hAnsi="宋体"/>
          <w:color w:val="000000" w:themeColor="text1"/>
          <w:szCs w:val="21"/>
          <w:highlight w:val="none"/>
          <w14:textFill>
            <w14:solidFill>
              <w14:schemeClr w14:val="tx1"/>
            </w14:solidFill>
          </w14:textFill>
        </w:rPr>
        <w:t>6.1磋商</w:t>
      </w:r>
      <w:bookmarkEnd w:id="339"/>
      <w:bookmarkEnd w:id="340"/>
      <w:bookmarkEnd w:id="341"/>
      <w:bookmarkEnd w:id="342"/>
    </w:p>
    <w:p w14:paraId="0CD46BE6">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6.1.1磋商时间和地点</w:t>
      </w:r>
    </w:p>
    <w:p w14:paraId="7087EB41">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采购人在本章第5.2.1项规定的响应文件递交截止时间（磋商时间）和第5.2.2项规定的地点磋商。</w:t>
      </w:r>
    </w:p>
    <w:p w14:paraId="494F8C88">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6.1.2磋商准备</w:t>
      </w:r>
    </w:p>
    <w:p w14:paraId="30240770">
      <w:pPr>
        <w:spacing w:line="324" w:lineRule="auto"/>
        <w:ind w:firstLine="422" w:firstLineChars="200"/>
        <w:rPr>
          <w:rFonts w:ascii="宋体" w:hAnsi="宋体" w:cs="MingLiU"/>
          <w:color w:val="000000" w:themeColor="text1"/>
          <w:kern w:val="0"/>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本项目采用电子交易进行磋商、评审、询标，供应商均应准时在线参加，否则产生的风险由供应商自身承担（供应商务必不要离开电脑太久，并留意手机短信，建议供应商提前做好检查“政府采购云平台”内，关于“项目采购”的岗位权限是否勾选。如有问题，请致电400-881-7190）</w:t>
      </w:r>
      <w:r>
        <w:rPr>
          <w:rFonts w:hint="eastAsia" w:ascii="宋体" w:hAnsi="宋体" w:cs="MingLiU"/>
          <w:b/>
          <w:color w:val="000000" w:themeColor="text1"/>
          <w:kern w:val="0"/>
          <w:szCs w:val="21"/>
          <w:highlight w:val="none"/>
          <w14:textFill>
            <w14:solidFill>
              <w14:schemeClr w14:val="tx1"/>
            </w14:solidFill>
          </w14:textFill>
        </w:rPr>
        <w:t>。</w:t>
      </w:r>
    </w:p>
    <w:p w14:paraId="5348EADC">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7.1.3评审</w:t>
      </w:r>
      <w:r>
        <w:rPr>
          <w:rFonts w:ascii="宋体" w:hAnsi="宋体"/>
          <w:color w:val="000000" w:themeColor="text1"/>
          <w:szCs w:val="21"/>
          <w:highlight w:val="none"/>
          <w14:textFill>
            <w14:solidFill>
              <w14:schemeClr w14:val="tx1"/>
            </w14:solidFill>
          </w14:textFill>
        </w:rPr>
        <w:t>程序</w:t>
      </w:r>
    </w:p>
    <w:p w14:paraId="2950D5BB">
      <w:pPr>
        <w:spacing w:line="324" w:lineRule="auto"/>
        <w:ind w:firstLine="420" w:firstLineChars="200"/>
        <w:rPr>
          <w:rFonts w:hint="eastAsia"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（1）宣布磋商纪律；</w:t>
      </w:r>
    </w:p>
    <w:p w14:paraId="7F45E8F5">
      <w:pPr>
        <w:spacing w:line="324" w:lineRule="auto"/>
        <w:ind w:firstLine="420" w:firstLineChars="200"/>
        <w:rPr>
          <w:rFonts w:hint="eastAsia"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（2）公布在响应文件提交截止时间前提交响应文件的供应商名称；</w:t>
      </w:r>
    </w:p>
    <w:p w14:paraId="55E83FB9">
      <w:pPr>
        <w:spacing w:line="324" w:lineRule="auto"/>
        <w:ind w:firstLine="420" w:firstLineChars="200"/>
        <w:rPr>
          <w:rFonts w:hint="eastAsia"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（3）主持人宣布磋商会的人员姓名；</w:t>
      </w:r>
    </w:p>
    <w:p w14:paraId="5F42031F">
      <w:pPr>
        <w:spacing w:line="324" w:lineRule="auto"/>
        <w:ind w:firstLine="422" w:firstLineChars="200"/>
        <w:rPr>
          <w:rFonts w:hint="eastAsia"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（4）供应商进行在线解密（解密时间为30分钟），解密未成功的，采购代理机构启动有效的备份响应文件，供应商应当在解密时间内向采购代理机构通过电子邮箱（</w:t>
      </w:r>
      <w:r>
        <w:rPr>
          <w:rFonts w:hint="eastAsia" w:ascii="宋体" w:hAnsi="宋体"/>
          <w:b/>
          <w:color w:val="000000" w:themeColor="text1"/>
          <w:szCs w:val="21"/>
          <w:highlight w:val="none"/>
          <w:lang w:eastAsia="zh-CN"/>
          <w14:textFill>
            <w14:solidFill>
              <w14:schemeClr w14:val="tx1"/>
            </w14:solidFill>
          </w14:textFill>
        </w:rPr>
        <w:t>397942513</w:t>
      </w:r>
      <w:r>
        <w:rPr>
          <w:rFonts w:hint="eastAsia" w:ascii="宋体" w:hAnsi="宋体"/>
          <w:b/>
          <w:color w:val="000000" w:themeColor="text1"/>
          <w:szCs w:val="21"/>
          <w:highlight w:val="none"/>
          <w14:textFill>
            <w14:solidFill>
              <w14:schemeClr w14:val="tx1"/>
            </w14:solidFill>
          </w14:textFill>
        </w:rPr>
        <w:t>@qq.com）提供备份响应文件压缩解密密码（格式见附件1），否则视为放弃磋商；</w:t>
      </w:r>
    </w:p>
    <w:p w14:paraId="6F6E3FDE">
      <w:pPr>
        <w:spacing w:line="324" w:lineRule="auto"/>
        <w:ind w:firstLine="422" w:firstLineChars="200"/>
        <w:rPr>
          <w:rFonts w:hint="eastAsia" w:ascii="宋体" w:hAnsi="宋体"/>
          <w:bCs/>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（5）供应商根据解密后交易平台公布的供应商名单及信息，</w:t>
      </w:r>
      <w:r>
        <w:rPr>
          <w:rFonts w:hint="eastAsia" w:ascii="宋体" w:hAnsi="宋体"/>
          <w:b/>
          <w:bCs/>
          <w:color w:val="000000"/>
          <w:szCs w:val="21"/>
          <w:highlight w:val="none"/>
        </w:rPr>
        <w:t>在“开启标书信息”后的</w:t>
      </w:r>
      <w:r>
        <w:rPr>
          <w:rFonts w:hint="eastAsia" w:ascii="宋体" w:hAnsi="宋体"/>
          <w:b/>
          <w:bCs/>
          <w:color w:val="000000"/>
          <w:szCs w:val="21"/>
          <w:highlight w:val="none"/>
          <w:lang w:val="en-US" w:eastAsia="zh-CN"/>
        </w:rPr>
        <w:t>30</w:t>
      </w:r>
      <w:r>
        <w:rPr>
          <w:rFonts w:hint="eastAsia" w:ascii="宋体" w:hAnsi="宋体"/>
          <w:b/>
          <w:bCs/>
          <w:color w:val="000000"/>
          <w:szCs w:val="21"/>
          <w:highlight w:val="none"/>
        </w:rPr>
        <w:t>分钟内</w:t>
      </w:r>
      <w:r>
        <w:rPr>
          <w:rFonts w:hint="eastAsia" w:ascii="宋体" w:hAnsi="宋体"/>
          <w:b/>
          <w:bCs/>
          <w:color w:val="000000"/>
          <w:szCs w:val="21"/>
          <w:highlight w:val="none"/>
          <w:lang w:val="en-US" w:eastAsia="zh-CN"/>
        </w:rPr>
        <w:t>自行主动</w:t>
      </w:r>
      <w:r>
        <w:rPr>
          <w:rFonts w:hint="eastAsia" w:ascii="宋体" w:hAnsi="宋体"/>
          <w:b/>
          <w:bCs/>
          <w:color w:val="000000"/>
          <w:szCs w:val="21"/>
          <w:highlight w:val="none"/>
        </w:rPr>
        <w:t>通过电子邮箱（</w:t>
      </w:r>
      <w:r>
        <w:rPr>
          <w:rFonts w:hint="eastAsia" w:ascii="宋体" w:hAnsi="宋体"/>
          <w:b/>
          <w:bCs/>
          <w:color w:val="000000"/>
          <w:szCs w:val="21"/>
          <w:highlight w:val="none"/>
          <w:lang w:eastAsia="zh-CN"/>
        </w:rPr>
        <w:t>397942513@qq.com</w:t>
      </w:r>
      <w:r>
        <w:rPr>
          <w:rFonts w:hint="eastAsia" w:ascii="宋体" w:hAnsi="宋体"/>
          <w:b/>
          <w:bCs/>
          <w:color w:val="000000"/>
          <w:szCs w:val="21"/>
          <w:highlight w:val="none"/>
        </w:rPr>
        <w:t>）方式提交《政府采购活动现场确认声明书》（格式见附件2），</w:t>
      </w:r>
      <w:r>
        <w:rPr>
          <w:rFonts w:hint="eastAsia" w:ascii="宋体" w:hAnsi="宋体" w:eastAsia="宋体" w:cs="宋体"/>
          <w:b/>
          <w:color w:val="000000"/>
          <w:szCs w:val="21"/>
          <w:highlight w:val="none"/>
        </w:rPr>
        <w:t>未提交的视为</w:t>
      </w:r>
      <w:r>
        <w:rPr>
          <w:rFonts w:hint="eastAsia" w:ascii="宋体" w:hAnsi="宋体" w:eastAsia="宋体" w:cs="宋体"/>
          <w:b/>
          <w:color w:val="000000"/>
          <w:szCs w:val="21"/>
          <w:highlight w:val="none"/>
          <w:lang w:eastAsia="zh-CN"/>
        </w:rPr>
        <w:t>不存在上述关系，且</w:t>
      </w:r>
      <w:r>
        <w:rPr>
          <w:rFonts w:hint="eastAsia" w:ascii="宋体" w:hAnsi="宋体" w:eastAsia="宋体" w:cs="宋体"/>
          <w:b/>
          <w:color w:val="000000"/>
          <w:szCs w:val="21"/>
          <w:highlight w:val="none"/>
        </w:rPr>
        <w:t>放弃提出相关事项质疑的权利；</w:t>
      </w:r>
    </w:p>
    <w:p w14:paraId="63DBD110">
      <w:pPr>
        <w:spacing w:line="324" w:lineRule="auto"/>
        <w:ind w:firstLine="420" w:firstLineChars="200"/>
        <w:rPr>
          <w:rFonts w:hint="eastAsia"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（6）采购人</w:t>
      </w:r>
      <w:r>
        <w:rPr>
          <w:rFonts w:hint="eastAsia" w:ascii="宋体" w:hAnsi="宋体" w:cs="MingLiU"/>
          <w:color w:val="000000" w:themeColor="text1"/>
          <w:kern w:val="0"/>
          <w:szCs w:val="21"/>
          <w:highlight w:val="none"/>
          <w:lang w:bidi="ar"/>
          <w14:textFill>
            <w14:solidFill>
              <w14:schemeClr w14:val="tx1"/>
            </w14:solidFill>
          </w14:textFill>
        </w:rPr>
        <w:t>或代理机构</w:t>
      </w:r>
      <w:r>
        <w:rPr>
          <w:rFonts w:hint="eastAsia" w:ascii="宋体" w:hAnsi="宋体"/>
          <w:bCs/>
          <w:color w:val="000000" w:themeColor="text1"/>
          <w:szCs w:val="21"/>
          <w:highlight w:val="none"/>
          <w14:textFill>
            <w14:solidFill>
              <w14:schemeClr w14:val="tx1"/>
            </w14:solidFill>
          </w14:textFill>
        </w:rPr>
        <w:t>对供应商进行资格审查，主持人宣布通过资格审查的供应商名单；</w:t>
      </w:r>
    </w:p>
    <w:p w14:paraId="079F6DF5">
      <w:pPr>
        <w:spacing w:line="324" w:lineRule="auto"/>
        <w:ind w:firstLine="420" w:firstLineChars="200"/>
        <w:rPr>
          <w:rFonts w:hint="eastAsia"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（7）磋商小组对响应文件进行符合性审查；</w:t>
      </w:r>
    </w:p>
    <w:p w14:paraId="3A25C15C">
      <w:pPr>
        <w:spacing w:line="324" w:lineRule="auto"/>
        <w:ind w:firstLine="422" w:firstLineChars="200"/>
        <w:rPr>
          <w:rFonts w:hint="eastAsia" w:ascii="宋体" w:hAnsi="宋体" w:cs="MingLiU"/>
          <w:b/>
          <w:bCs/>
          <w:color w:val="000000" w:themeColor="text1"/>
          <w:kern w:val="0"/>
          <w:szCs w:val="21"/>
          <w:highlight w:val="none"/>
          <w:lang w:bidi="ar"/>
          <w14:textFill>
            <w14:solidFill>
              <w14:schemeClr w14:val="tx1"/>
            </w14:solidFill>
          </w14:textFill>
        </w:rPr>
      </w:pPr>
      <w:r>
        <w:rPr>
          <w:rFonts w:hint="eastAsia" w:ascii="宋体" w:hAnsi="宋体" w:cs="MingLiU"/>
          <w:b/>
          <w:bCs/>
          <w:color w:val="000000" w:themeColor="text1"/>
          <w:kern w:val="0"/>
          <w:szCs w:val="21"/>
          <w:highlight w:val="none"/>
          <w:lang w:bidi="ar"/>
          <w14:textFill>
            <w14:solidFill>
              <w14:schemeClr w14:val="tx1"/>
            </w14:solidFill>
          </w14:textFill>
        </w:rPr>
        <w:t>（8）在有效供应商之间进行磋商，供应商提交磋商时的承诺及补充内容；</w:t>
      </w:r>
    </w:p>
    <w:p w14:paraId="357B7883">
      <w:pPr>
        <w:spacing w:line="324" w:lineRule="auto"/>
        <w:ind w:firstLine="422" w:firstLineChars="200"/>
        <w:rPr>
          <w:rFonts w:hint="eastAsia" w:ascii="宋体" w:hAnsi="宋体" w:cs="MingLiU"/>
          <w:b/>
          <w:bCs/>
          <w:color w:val="000000" w:themeColor="text1"/>
          <w:kern w:val="0"/>
          <w:szCs w:val="21"/>
          <w:highlight w:val="none"/>
          <w:lang w:bidi="ar"/>
          <w14:textFill>
            <w14:solidFill>
              <w14:schemeClr w14:val="tx1"/>
            </w14:solidFill>
          </w14:textFill>
        </w:rPr>
      </w:pPr>
      <w:r>
        <w:rPr>
          <w:rFonts w:hint="eastAsia" w:ascii="宋体" w:hAnsi="宋体" w:cs="MingLiU"/>
          <w:b/>
          <w:bCs/>
          <w:color w:val="000000" w:themeColor="text1"/>
          <w:kern w:val="0"/>
          <w:szCs w:val="21"/>
          <w:highlight w:val="none"/>
          <w:lang w:bidi="ar"/>
          <w14:textFill>
            <w14:solidFill>
              <w14:schemeClr w14:val="tx1"/>
            </w14:solidFill>
          </w14:textFill>
        </w:rPr>
        <w:t>（9）磋商最多不超过三轮，采购代理机构根据磋商进展情况，开启在线报价，供应商应当在在线报价截止时间前进行报价，否则以上一轮有效报价为准（不包括最终报价未报价的情形和超过预算金额的报价）；</w:t>
      </w:r>
    </w:p>
    <w:p w14:paraId="27E91637">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（10）磋商小组对资信及商务标和技术标进行评审（包括打分）；</w:t>
      </w:r>
    </w:p>
    <w:p w14:paraId="47709432">
      <w:pPr>
        <w:spacing w:line="324" w:lineRule="auto"/>
        <w:ind w:firstLine="420" w:firstLineChars="200"/>
        <w:rPr>
          <w:rFonts w:hint="eastAsia" w:ascii="宋体" w:hAnsi="宋体" w:cs="MingLiU"/>
          <w:color w:val="000000" w:themeColor="text1"/>
          <w:kern w:val="0"/>
          <w:szCs w:val="21"/>
          <w:highlight w:val="none"/>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（11）</w:t>
      </w:r>
      <w:r>
        <w:rPr>
          <w:rFonts w:hint="eastAsia" w:ascii="宋体" w:hAnsi="宋体"/>
          <w:bCs/>
          <w:color w:val="000000" w:themeColor="text1"/>
          <w:szCs w:val="21"/>
          <w:highlight w:val="none"/>
          <w14:textFill>
            <w14:solidFill>
              <w14:schemeClr w14:val="tx1"/>
            </w14:solidFill>
          </w14:textFill>
        </w:rPr>
        <w:t>采购代理机构开启标书信息，在线公布</w:t>
      </w: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bCs/>
          <w:color w:val="000000" w:themeColor="text1"/>
          <w:szCs w:val="21"/>
          <w:highlight w:val="none"/>
          <w14:textFill>
            <w14:solidFill>
              <w14:schemeClr w14:val="tx1"/>
            </w14:solidFill>
          </w14:textFill>
        </w:rPr>
        <w:t>名称、磋商报价及相关内容，同时开启签字时段</w:t>
      </w:r>
      <w:r>
        <w:rPr>
          <w:rFonts w:hint="eastAsia" w:ascii="宋体" w:hAnsi="宋体"/>
          <w:b/>
          <w:color w:val="000000" w:themeColor="text1"/>
          <w:szCs w:val="21"/>
          <w:highlight w:val="none"/>
          <w14:textFill>
            <w14:solidFill>
              <w14:schemeClr w14:val="tx1"/>
            </w14:solidFill>
          </w14:textFill>
        </w:rPr>
        <w:t>（签字时段为开启签字后30分钟内）</w:t>
      </w:r>
      <w:r>
        <w:rPr>
          <w:rFonts w:hint="eastAsia" w:ascii="宋体" w:hAnsi="宋体"/>
          <w:bCs/>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bCs/>
          <w:color w:val="000000" w:themeColor="text1"/>
          <w:szCs w:val="21"/>
          <w:highlight w:val="none"/>
          <w14:textFill>
            <w14:solidFill>
              <w14:schemeClr w14:val="tx1"/>
            </w14:solidFill>
          </w14:textFill>
        </w:rPr>
        <w:t>应当及时确认无疑义后进行在线签字确认，否则自行承担风险。签字时段结束后，采购代理机构按照流程进入下步工作</w:t>
      </w:r>
      <w:r>
        <w:rPr>
          <w:rFonts w:hint="eastAsia" w:ascii="宋体" w:hAnsi="宋体" w:cs="MingLiU"/>
          <w:color w:val="000000" w:themeColor="text1"/>
          <w:kern w:val="0"/>
          <w:szCs w:val="21"/>
          <w:highlight w:val="none"/>
          <w:lang w:bidi="ar"/>
          <w14:textFill>
            <w14:solidFill>
              <w14:schemeClr w14:val="tx1"/>
            </w14:solidFill>
          </w14:textFill>
        </w:rPr>
        <w:t>；</w:t>
      </w:r>
    </w:p>
    <w:p w14:paraId="6E797F5C">
      <w:pPr>
        <w:spacing w:line="324" w:lineRule="auto"/>
        <w:ind w:firstLine="422" w:firstLineChars="200"/>
        <w:rPr>
          <w:rFonts w:hint="eastAsia" w:hAnsi="宋体"/>
          <w:b/>
          <w:bCs/>
          <w:color w:val="000000" w:themeColor="text1"/>
          <w:szCs w:val="21"/>
          <w:highlight w:val="none"/>
          <w14:textFill>
            <w14:solidFill>
              <w14:schemeClr w14:val="tx1"/>
            </w14:solidFill>
          </w14:textFill>
        </w:rPr>
      </w:pPr>
      <w:r>
        <w:rPr>
          <w:rFonts w:hint="eastAsia" w:ascii="宋体" w:hAnsi="宋体" w:cs="MingLiU"/>
          <w:b/>
          <w:bCs/>
          <w:color w:val="000000" w:themeColor="text1"/>
          <w:kern w:val="0"/>
          <w:szCs w:val="21"/>
          <w:highlight w:val="none"/>
          <w:lang w:bidi="ar"/>
          <w14:textFill>
            <w14:solidFill>
              <w14:schemeClr w14:val="tx1"/>
            </w14:solidFill>
          </w14:textFill>
        </w:rPr>
        <w:t>（12）最终报价，供应商应当在最终报价截止时间前进行报价，否则将视为自动退出磋商</w:t>
      </w:r>
      <w:r>
        <w:rPr>
          <w:rFonts w:hint="eastAsia" w:hAnsi="宋体"/>
          <w:b/>
          <w:bCs/>
          <w:color w:val="000000" w:themeColor="text1"/>
          <w:szCs w:val="21"/>
          <w:highlight w:val="none"/>
          <w14:textFill>
            <w14:solidFill>
              <w14:schemeClr w14:val="tx1"/>
            </w14:solidFill>
          </w14:textFill>
        </w:rPr>
        <w:t>；</w:t>
      </w:r>
    </w:p>
    <w:p w14:paraId="68D8CC26">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（13）磋商小组对各供应商的报价文件进行审核（包括打分）；</w:t>
      </w:r>
    </w:p>
    <w:p w14:paraId="3DD61B5C">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（14）主持人宣布报价标评审（得分）情况；</w:t>
      </w:r>
    </w:p>
    <w:p w14:paraId="2124E8C7">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（15）顺序排序：采用综合评分法的，则汇总各供应商得分并按得分由高到低顺序进行排序。采用最低磋商评审价法的，则按报价由低到高顺序进行排序；</w:t>
      </w:r>
    </w:p>
    <w:p w14:paraId="40BC9933">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（16）磋商小组起草磋商评审报告，并推荐成交候选人或确定成交供应商；</w:t>
      </w:r>
    </w:p>
    <w:p w14:paraId="1E1C57F9">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（17）主持人宣布有效供应商的评审结果以及推荐的成交候选人或确定成交供应商；</w:t>
      </w:r>
    </w:p>
    <w:p w14:paraId="67A59631">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（18）</w:t>
      </w:r>
      <w:r>
        <w:rPr>
          <w:rFonts w:hint="eastAsia" w:ascii="宋体" w:hAnsi="宋体"/>
          <w:b/>
          <w:color w:val="000000" w:themeColor="text1"/>
          <w:szCs w:val="21"/>
          <w:highlight w:val="none"/>
          <w14:textFill>
            <w14:solidFill>
              <w14:schemeClr w14:val="tx1"/>
            </w14:solidFill>
          </w14:textFill>
        </w:rPr>
        <w:t>供应商代表对磋商</w:t>
      </w:r>
      <w:r>
        <w:rPr>
          <w:rFonts w:ascii="宋体" w:hAnsi="宋体"/>
          <w:b/>
          <w:color w:val="000000" w:themeColor="text1"/>
          <w:szCs w:val="21"/>
          <w:highlight w:val="none"/>
          <w14:textFill>
            <w14:solidFill>
              <w14:schemeClr w14:val="tx1"/>
            </w14:solidFill>
          </w14:textFill>
        </w:rPr>
        <w:t>过程和</w:t>
      </w:r>
      <w:r>
        <w:rPr>
          <w:rFonts w:hint="eastAsia" w:ascii="宋体" w:hAnsi="宋体"/>
          <w:b/>
          <w:color w:val="000000" w:themeColor="text1"/>
          <w:szCs w:val="21"/>
          <w:highlight w:val="none"/>
          <w14:textFill>
            <w14:solidFill>
              <w14:schemeClr w14:val="tx1"/>
            </w14:solidFill>
          </w14:textFill>
        </w:rPr>
        <w:t>磋商</w:t>
      </w:r>
      <w:r>
        <w:rPr>
          <w:rFonts w:ascii="宋体" w:hAnsi="宋体"/>
          <w:b/>
          <w:color w:val="000000" w:themeColor="text1"/>
          <w:szCs w:val="21"/>
          <w:highlight w:val="none"/>
          <w14:textFill>
            <w14:solidFill>
              <w14:schemeClr w14:val="tx1"/>
            </w14:solidFill>
          </w14:textFill>
        </w:rPr>
        <w:t>记录</w:t>
      </w:r>
      <w:r>
        <w:rPr>
          <w:rFonts w:hint="eastAsia" w:ascii="宋体" w:hAnsi="宋体"/>
          <w:b/>
          <w:color w:val="000000" w:themeColor="text1"/>
          <w:szCs w:val="21"/>
          <w:highlight w:val="none"/>
          <w14:textFill>
            <w14:solidFill>
              <w14:schemeClr w14:val="tx1"/>
            </w14:solidFill>
          </w14:textFill>
        </w:rPr>
        <w:t>有</w:t>
      </w:r>
      <w:r>
        <w:rPr>
          <w:rFonts w:ascii="宋体" w:hAnsi="宋体"/>
          <w:b/>
          <w:color w:val="000000" w:themeColor="text1"/>
          <w:szCs w:val="21"/>
          <w:highlight w:val="none"/>
          <w14:textFill>
            <w14:solidFill>
              <w14:schemeClr w14:val="tx1"/>
            </w14:solidFill>
          </w14:textFill>
        </w:rPr>
        <w:t>疑义，</w:t>
      </w:r>
      <w:r>
        <w:rPr>
          <w:rFonts w:hint="eastAsia" w:ascii="宋体" w:hAnsi="宋体"/>
          <w:b/>
          <w:color w:val="000000" w:themeColor="text1"/>
          <w:szCs w:val="21"/>
          <w:highlight w:val="none"/>
          <w14:textFill>
            <w14:solidFill>
              <w14:schemeClr w14:val="tx1"/>
            </w14:solidFill>
          </w14:textFill>
        </w:rPr>
        <w:t>以及</w:t>
      </w:r>
      <w:r>
        <w:rPr>
          <w:rFonts w:ascii="宋体" w:hAnsi="宋体"/>
          <w:b/>
          <w:color w:val="000000" w:themeColor="text1"/>
          <w:szCs w:val="21"/>
          <w:highlight w:val="none"/>
          <w14:textFill>
            <w14:solidFill>
              <w14:schemeClr w14:val="tx1"/>
            </w14:solidFill>
          </w14:textFill>
        </w:rPr>
        <w:t>认为</w:t>
      </w:r>
      <w:r>
        <w:rPr>
          <w:rFonts w:hint="eastAsia" w:ascii="宋体" w:hAnsi="宋体"/>
          <w:b/>
          <w:color w:val="000000" w:themeColor="text1"/>
          <w:szCs w:val="21"/>
          <w:highlight w:val="none"/>
          <w14:textFill>
            <w14:solidFill>
              <w14:schemeClr w14:val="tx1"/>
            </w14:solidFill>
          </w14:textFill>
        </w:rPr>
        <w:t>采购人、</w:t>
      </w:r>
      <w:r>
        <w:rPr>
          <w:rFonts w:ascii="宋体" w:hAnsi="宋体"/>
          <w:b/>
          <w:color w:val="000000" w:themeColor="text1"/>
          <w:szCs w:val="21"/>
          <w:highlight w:val="none"/>
          <w14:textFill>
            <w14:solidFill>
              <w14:schemeClr w14:val="tx1"/>
            </w14:solidFill>
          </w14:textFill>
        </w:rPr>
        <w:t>采购代理机构相关工作人员</w:t>
      </w:r>
      <w:r>
        <w:rPr>
          <w:rFonts w:hint="eastAsia" w:ascii="宋体" w:hAnsi="宋体"/>
          <w:b/>
          <w:color w:val="000000" w:themeColor="text1"/>
          <w:szCs w:val="21"/>
          <w:highlight w:val="none"/>
          <w14:textFill>
            <w14:solidFill>
              <w14:schemeClr w14:val="tx1"/>
            </w14:solidFill>
          </w14:textFill>
        </w:rPr>
        <w:t>有</w:t>
      </w:r>
      <w:r>
        <w:rPr>
          <w:rFonts w:ascii="宋体" w:hAnsi="宋体"/>
          <w:b/>
          <w:color w:val="000000" w:themeColor="text1"/>
          <w:szCs w:val="21"/>
          <w:highlight w:val="none"/>
          <w14:textFill>
            <w14:solidFill>
              <w14:schemeClr w14:val="tx1"/>
            </w14:solidFill>
          </w14:textFill>
        </w:rPr>
        <w:t>需要回避的情形，</w:t>
      </w:r>
      <w:r>
        <w:rPr>
          <w:rFonts w:hint="eastAsia" w:ascii="宋体" w:hAnsi="宋体"/>
          <w:b/>
          <w:color w:val="000000" w:themeColor="text1"/>
          <w:szCs w:val="21"/>
          <w:highlight w:val="none"/>
          <w14:textFill>
            <w14:solidFill>
              <w14:schemeClr w14:val="tx1"/>
            </w14:solidFill>
          </w14:textFill>
        </w:rPr>
        <w:t>应通过电话、电子邮箱等形式向采购代理机构提出询问或回避申请</w:t>
      </w:r>
      <w:r>
        <w:rPr>
          <w:rFonts w:hint="eastAsia" w:ascii="宋体" w:hAnsi="宋体" w:cs="MingLiU"/>
          <w:color w:val="000000" w:themeColor="text1"/>
          <w:kern w:val="0"/>
          <w:szCs w:val="21"/>
          <w:highlight w:val="none"/>
          <w:lang w:bidi="ar"/>
          <w14:textFill>
            <w14:solidFill>
              <w14:schemeClr w14:val="tx1"/>
            </w14:solidFill>
          </w14:textFill>
        </w:rPr>
        <w:t>；</w:t>
      </w:r>
    </w:p>
    <w:p w14:paraId="477CD803">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（19）磋商结束。</w:t>
      </w:r>
    </w:p>
    <w:bookmarkEnd w:id="343"/>
    <w:p w14:paraId="58B7D48B">
      <w:pPr>
        <w:pStyle w:val="6"/>
        <w:spacing w:line="324" w:lineRule="auto"/>
        <w:rPr>
          <w:rFonts w:hint="eastAsia" w:ascii="宋体" w:hAnsi="宋体"/>
          <w:color w:val="000000" w:themeColor="text1"/>
          <w:szCs w:val="21"/>
          <w:highlight w:val="none"/>
          <w14:textFill>
            <w14:solidFill>
              <w14:schemeClr w14:val="tx1"/>
            </w14:solidFill>
          </w14:textFill>
        </w:rPr>
      </w:pPr>
      <w:bookmarkStart w:id="344" w:name="_Toc9440"/>
      <w:bookmarkStart w:id="345" w:name="_Toc3880"/>
      <w:bookmarkStart w:id="346" w:name="_Toc12466"/>
      <w:bookmarkStart w:id="347" w:name="_Toc28225"/>
      <w:bookmarkStart w:id="348" w:name="_Toc301187699"/>
      <w:bookmarkStart w:id="349" w:name="_Toc499128590"/>
      <w:bookmarkStart w:id="350" w:name="_Toc1544"/>
      <w:bookmarkStart w:id="351" w:name="_Toc498327045"/>
      <w:bookmarkStart w:id="352" w:name="_Toc20444"/>
      <w:r>
        <w:rPr>
          <w:rFonts w:hint="eastAsia" w:ascii="宋体" w:hAnsi="宋体"/>
          <w:color w:val="000000" w:themeColor="text1"/>
          <w:szCs w:val="21"/>
          <w:highlight w:val="none"/>
          <w14:textFill>
            <w14:solidFill>
              <w14:schemeClr w14:val="tx1"/>
            </w14:solidFill>
          </w14:textFill>
        </w:rPr>
        <w:t>6.2资格审查</w:t>
      </w:r>
      <w:bookmarkEnd w:id="344"/>
      <w:bookmarkEnd w:id="345"/>
      <w:bookmarkEnd w:id="346"/>
      <w:bookmarkEnd w:id="347"/>
    </w:p>
    <w:p w14:paraId="53E23580">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6.2.1资格审查的内容：采购人或代理机构按照第3.3.1条资格审查文件的组成内容进行审查。</w:t>
      </w:r>
    </w:p>
    <w:p w14:paraId="17FBCADE">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6.2.2资格审查小组按照第6.2.1条要求对供应商进行资格审查。</w:t>
      </w:r>
    </w:p>
    <w:p w14:paraId="337CC23E">
      <w:pPr>
        <w:spacing w:line="324" w:lineRule="auto"/>
        <w:ind w:firstLine="525" w:firstLineChars="2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6.2.3资格审查时，</w:t>
      </w:r>
      <w:r>
        <w:rPr>
          <w:rFonts w:hint="eastAsia" w:cs="宋体"/>
          <w:color w:val="000000" w:themeColor="text1"/>
          <w:spacing w:val="-4"/>
          <w:highlight w:val="none"/>
          <w:lang w:bidi="ar"/>
          <w14:textFill>
            <w14:solidFill>
              <w14:schemeClr w14:val="tx1"/>
            </w14:solidFill>
          </w14:textFill>
        </w:rPr>
        <w:t>供应商</w:t>
      </w:r>
      <w:r>
        <w:rPr>
          <w:rFonts w:hint="eastAsia" w:cs="宋体"/>
          <w:color w:val="000000" w:themeColor="text1"/>
          <w:highlight w:val="none"/>
          <w:lang w:bidi="ar"/>
          <w14:textFill>
            <w14:solidFill>
              <w14:schemeClr w14:val="tx1"/>
            </w14:solidFill>
          </w14:textFill>
        </w:rPr>
        <w:t>未按要求提供、提供不完整或未按要求签署盖章的，视为资格审查不通过。</w:t>
      </w:r>
    </w:p>
    <w:bookmarkEnd w:id="348"/>
    <w:bookmarkEnd w:id="349"/>
    <w:bookmarkEnd w:id="350"/>
    <w:bookmarkEnd w:id="351"/>
    <w:bookmarkEnd w:id="352"/>
    <w:p w14:paraId="43C9AF3F">
      <w:pPr>
        <w:pStyle w:val="6"/>
        <w:spacing w:line="324" w:lineRule="auto"/>
        <w:rPr>
          <w:rFonts w:hint="eastAsia" w:ascii="宋体" w:hAnsi="宋体"/>
          <w:color w:val="000000" w:themeColor="text1"/>
          <w:szCs w:val="21"/>
          <w:highlight w:val="none"/>
          <w14:textFill>
            <w14:solidFill>
              <w14:schemeClr w14:val="tx1"/>
            </w14:solidFill>
          </w14:textFill>
        </w:rPr>
      </w:pPr>
      <w:bookmarkStart w:id="353" w:name="_Toc22885"/>
      <w:bookmarkStart w:id="354" w:name="_Toc26307"/>
      <w:bookmarkStart w:id="355" w:name="_Toc31448"/>
      <w:bookmarkStart w:id="356" w:name="_Toc8206"/>
      <w:bookmarkStart w:id="357" w:name="_Toc301187705"/>
      <w:bookmarkStart w:id="358" w:name="_Toc30507"/>
      <w:bookmarkStart w:id="359" w:name="_Toc498327046"/>
      <w:bookmarkStart w:id="360" w:name="_Toc20635"/>
      <w:bookmarkStart w:id="361" w:name="_Toc499128591"/>
      <w:r>
        <w:rPr>
          <w:rFonts w:hint="eastAsia" w:ascii="宋体" w:hAnsi="宋体"/>
          <w:color w:val="000000" w:themeColor="text1"/>
          <w:szCs w:val="21"/>
          <w:highlight w:val="none"/>
          <w14:textFill>
            <w14:solidFill>
              <w14:schemeClr w14:val="tx1"/>
            </w14:solidFill>
          </w14:textFill>
        </w:rPr>
        <w:t>6.3磋商评审</w:t>
      </w:r>
      <w:bookmarkEnd w:id="353"/>
      <w:bookmarkEnd w:id="354"/>
      <w:bookmarkEnd w:id="355"/>
      <w:bookmarkEnd w:id="356"/>
    </w:p>
    <w:p w14:paraId="42C2A5F5">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6.3.1磋商小组组成：磋商小组由采购人代表和评审专家组成，成员人数应当为3人以上单数，其中评审专家不得少于成员总数的三分之二。</w:t>
      </w:r>
    </w:p>
    <w:p w14:paraId="07FFA2AD">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6.3.2磋商评审规定</w:t>
      </w:r>
    </w:p>
    <w:p w14:paraId="6569EC01">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（1）磋商小组审查资信及商务标和技术标响应文件的完整性、符合性，是否满足竞争性磋商文件的实质性条款。</w:t>
      </w:r>
    </w:p>
    <w:p w14:paraId="7CE91439">
      <w:pPr>
        <w:spacing w:line="324" w:lineRule="auto"/>
        <w:ind w:firstLine="420" w:firstLineChars="200"/>
        <w:rPr>
          <w:rFonts w:hint="eastAsia" w:ascii="宋体" w:hAnsi="宋体" w:cs="MingLiU"/>
          <w:color w:val="000000" w:themeColor="text1"/>
          <w:kern w:val="0"/>
          <w:szCs w:val="21"/>
          <w:highlight w:val="none"/>
          <w:lang w:bidi="ar"/>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（2）磋商小组审查技术标响应文件的实质性内容是否符合竞争性磋商文件的实质性要求。</w:t>
      </w:r>
    </w:p>
    <w:p w14:paraId="4430AAE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s="MingLiU"/>
          <w:color w:val="000000" w:themeColor="text1"/>
          <w:kern w:val="0"/>
          <w:szCs w:val="21"/>
          <w:highlight w:val="none"/>
          <w:lang w:bidi="ar"/>
          <w14:textFill>
            <w14:solidFill>
              <w14:schemeClr w14:val="tx1"/>
            </w14:solidFill>
          </w14:textFill>
        </w:rPr>
        <w:t>（3）磋商小组将根据供应商的技术标响应文件进行审查、核对，如有疑问，将对供应商进行询标，供应商要向磋商</w:t>
      </w:r>
      <w:r>
        <w:rPr>
          <w:rFonts w:hint="eastAsia" w:ascii="宋体" w:hAnsi="宋体"/>
          <w:color w:val="000000" w:themeColor="text1"/>
          <w:szCs w:val="21"/>
          <w:highlight w:val="none"/>
          <w14:textFill>
            <w14:solidFill>
              <w14:schemeClr w14:val="tx1"/>
            </w14:solidFill>
          </w14:textFill>
        </w:rPr>
        <w:t>小组澄清有关问题，</w:t>
      </w:r>
      <w:r>
        <w:rPr>
          <w:rFonts w:hint="eastAsia" w:ascii="宋体" w:hAnsi="宋体"/>
          <w:b/>
          <w:bCs/>
          <w:color w:val="000000" w:themeColor="text1"/>
          <w:szCs w:val="21"/>
          <w:highlight w:val="none"/>
          <w14:textFill>
            <w14:solidFill>
              <w14:schemeClr w14:val="tx1"/>
            </w14:solidFill>
          </w14:textFill>
        </w:rPr>
        <w:t>并最终以政采云平台交换数据电文进行答复</w:t>
      </w:r>
      <w:r>
        <w:rPr>
          <w:rFonts w:hint="eastAsia" w:ascii="宋体" w:hAnsi="宋体"/>
          <w:color w:val="000000" w:themeColor="text1"/>
          <w:szCs w:val="21"/>
          <w:highlight w:val="none"/>
          <w14:textFill>
            <w14:solidFill>
              <w14:schemeClr w14:val="tx1"/>
            </w14:solidFill>
          </w14:textFill>
        </w:rPr>
        <w:t>。</w:t>
      </w:r>
    </w:p>
    <w:p w14:paraId="62934255">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供应商全权代表未到场或者拒绝澄清或者澄清的内容改变了响应文件的实质性内容的，磋商小组有权对该响应文件作出不利于供应商的评判。</w:t>
      </w:r>
    </w:p>
    <w:p w14:paraId="0A55B524">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（4）采用综合评分法的，磋商小组按照磋商评审办法中的技术、资信及商务分的计算公式计算出各供应商的技术、资信及商务分，并指定专人进行计算复核。</w:t>
      </w:r>
    </w:p>
    <w:p w14:paraId="4DF203E2">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（5）磋商小组认为供应商的报价明显低于其他通过符合性审查供应商的报价，有可能影响产品质量或者不能诚信履约的，应</w:t>
      </w:r>
      <w:r>
        <w:rPr>
          <w:rFonts w:hint="eastAsia" w:ascii="宋体" w:hAnsi="宋体"/>
          <w:b/>
          <w:bCs/>
          <w:color w:val="000000" w:themeColor="text1"/>
          <w:szCs w:val="21"/>
          <w:highlight w:val="none"/>
          <w14:textFill>
            <w14:solidFill>
              <w14:schemeClr w14:val="tx1"/>
            </w14:solidFill>
          </w14:textFill>
        </w:rPr>
        <w:t>当要求其在磋商现场合理的时间内通过政采云平台交换数据电文提供说明</w:t>
      </w:r>
      <w:r>
        <w:rPr>
          <w:rFonts w:hint="eastAsia" w:ascii="宋体" w:hAnsi="宋体"/>
          <w:color w:val="000000" w:themeColor="text1"/>
          <w:szCs w:val="21"/>
          <w:highlight w:val="none"/>
          <w14:textFill>
            <w14:solidFill>
              <w14:schemeClr w14:val="tx1"/>
            </w14:solidFill>
          </w14:textFill>
        </w:rPr>
        <w:t>，必要时提交相关证明材料；供应商不能证明其报价合理性的，磋商小组应当将其作为无效标处理。</w:t>
      </w:r>
    </w:p>
    <w:p w14:paraId="31423597">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（6）磋商小组根据政府采购政策的规定</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如有</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，对供应商进行价格扣除，按照磋商评审办法中的价格扣除公式计算出供应商的调整后的磋商报价。</w:t>
      </w:r>
    </w:p>
    <w:p w14:paraId="1D14595F">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（7）采用综合评分法的，磋商小组按照磋商评审办法中的价格分计算公式计算出各供应商的价格分，并指定专人进行计算复核。</w:t>
      </w:r>
    </w:p>
    <w:p w14:paraId="3704299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（8）采用综合评分法的，磋商小组应当独立对每个供应商的响应文件进行评价，并汇总每个供应商的得分。</w:t>
      </w:r>
    </w:p>
    <w:p w14:paraId="27E1884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（9）磋商小组按磋商评审办法推荐成交候选人或确定成交供应商，同时起草磋商评审报告。</w:t>
      </w:r>
    </w:p>
    <w:p w14:paraId="6A3F64B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（10）磋商小组成员对需要共同认定的事项存在争议的，应当按照少数服从多数的原则作出结论，持不同意见的磋商小组成员应当在磋商评审报告上签署不同意见及理由，否则视为同意磋商评审报告。</w:t>
      </w:r>
    </w:p>
    <w:p w14:paraId="54C3DC5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（11）磋商小组协助采购代理机构处理现场供应商对磋商评审结果报告提出的疑问。</w:t>
      </w:r>
    </w:p>
    <w:p w14:paraId="5A799E0B">
      <w:pPr>
        <w:spacing w:line="324" w:lineRule="auto"/>
        <w:ind w:firstLine="525" w:firstLineChars="250"/>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6.3.3</w:t>
      </w:r>
      <w:r>
        <w:rPr>
          <w:rFonts w:hint="eastAsia" w:ascii="宋体" w:hAnsi="宋体"/>
          <w:color w:val="000000" w:themeColor="text1"/>
          <w:highlight w:val="none"/>
          <w14:textFill>
            <w14:solidFill>
              <w14:schemeClr w14:val="tx1"/>
            </w14:solidFill>
          </w14:textFill>
        </w:rPr>
        <w:t>磋商内容</w:t>
      </w:r>
    </w:p>
    <w:p w14:paraId="353E54E6">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（1）磋商小组可以根据磋商文件和磋商情况实质性变动采购需求中的技术、服务要求以及合同草案条款。</w:t>
      </w:r>
    </w:p>
    <w:p w14:paraId="6D08301C">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（2）磋商轮次最多不超过3轮，供应商在磋商过程中所作出的各种承诺都必须用书面形式，并由供应商代表签字。</w:t>
      </w:r>
    </w:p>
    <w:p w14:paraId="37DF033D">
      <w:pPr>
        <w:spacing w:line="324"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（3）本项目采用不公开方式评审，评审的依据为磋商文件、响应文件以及磋商期间供应商的书面承诺。</w:t>
      </w:r>
    </w:p>
    <w:bookmarkEnd w:id="357"/>
    <w:bookmarkEnd w:id="358"/>
    <w:bookmarkEnd w:id="359"/>
    <w:bookmarkEnd w:id="360"/>
    <w:bookmarkEnd w:id="361"/>
    <w:p w14:paraId="4D66305B">
      <w:pPr>
        <w:pStyle w:val="6"/>
        <w:spacing w:line="324" w:lineRule="auto"/>
        <w:rPr>
          <w:rFonts w:hint="eastAsia" w:ascii="宋体" w:hAnsi="宋体"/>
          <w:color w:val="000000" w:themeColor="text1"/>
          <w:szCs w:val="21"/>
          <w:highlight w:val="none"/>
          <w14:textFill>
            <w14:solidFill>
              <w14:schemeClr w14:val="tx1"/>
            </w14:solidFill>
          </w14:textFill>
        </w:rPr>
      </w:pPr>
      <w:bookmarkStart w:id="362" w:name="_Toc24273"/>
      <w:bookmarkStart w:id="363" w:name="_Toc26424"/>
      <w:bookmarkStart w:id="364" w:name="_Toc6182"/>
      <w:bookmarkStart w:id="365" w:name="_Toc6553"/>
      <w:bookmarkStart w:id="366" w:name="_Toc499128592"/>
      <w:bookmarkStart w:id="367" w:name="_Toc498327047"/>
      <w:bookmarkStart w:id="368" w:name="_Toc16665"/>
      <w:bookmarkStart w:id="369" w:name="_Toc6265"/>
      <w:r>
        <w:rPr>
          <w:rFonts w:hint="eastAsia" w:ascii="宋体" w:hAnsi="宋体"/>
          <w:color w:val="000000" w:themeColor="text1"/>
          <w:szCs w:val="21"/>
          <w:highlight w:val="none"/>
          <w14:textFill>
            <w14:solidFill>
              <w14:schemeClr w14:val="tx1"/>
            </w14:solidFill>
          </w14:textFill>
        </w:rPr>
        <w:t>6.4响应文件澄清、说明、补正</w:t>
      </w:r>
      <w:bookmarkEnd w:id="362"/>
      <w:bookmarkEnd w:id="363"/>
      <w:bookmarkEnd w:id="364"/>
      <w:bookmarkEnd w:id="365"/>
    </w:p>
    <w:p w14:paraId="614D0EBF">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6.4.1对于响应文件中含义不明确、同类问题表述不一致或者有明显文字和计算错误的内容，磋商小组应当以书面形式要求供应商作出必要的澄清、说明或者补正。</w:t>
      </w:r>
    </w:p>
    <w:p w14:paraId="5A04D1A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6.4.2供应商</w:t>
      </w:r>
      <w:r>
        <w:rPr>
          <w:rFonts w:hint="eastAsia" w:hAnsi="宋体"/>
          <w:color w:val="000000" w:themeColor="text1"/>
          <w:szCs w:val="21"/>
          <w:highlight w:val="none"/>
          <w14:textFill>
            <w14:solidFill>
              <w14:schemeClr w14:val="tx1"/>
            </w14:solidFill>
          </w14:textFill>
        </w:rPr>
        <w:t>的澄</w:t>
      </w:r>
      <w:r>
        <w:rPr>
          <w:rFonts w:hint="eastAsia" w:ascii="宋体" w:hAnsi="宋体"/>
          <w:color w:val="000000" w:themeColor="text1"/>
          <w:szCs w:val="21"/>
          <w:highlight w:val="none"/>
          <w14:textFill>
            <w14:solidFill>
              <w14:schemeClr w14:val="tx1"/>
            </w14:solidFill>
          </w14:textFill>
        </w:rPr>
        <w:t>清、说明或者补正均采用政采云平台交换数据电文，</w:t>
      </w:r>
      <w:r>
        <w:rPr>
          <w:rFonts w:hint="eastAsia" w:ascii="宋体" w:hAnsi="宋体"/>
          <w:b/>
          <w:bCs/>
          <w:color w:val="000000" w:themeColor="text1"/>
          <w:szCs w:val="21"/>
          <w:highlight w:val="none"/>
          <w14:textFill>
            <w14:solidFill>
              <w14:schemeClr w14:val="tx1"/>
            </w14:solidFill>
          </w14:textFill>
        </w:rPr>
        <w:t>供应商提交的澄清、说明或补正的时间为30分钟（供应商务必在线等待，及时在线澄清、说明或补正）</w:t>
      </w:r>
      <w:r>
        <w:rPr>
          <w:rFonts w:hint="eastAsia" w:ascii="宋体" w:hAnsi="宋体"/>
          <w:color w:val="000000" w:themeColor="text1"/>
          <w:szCs w:val="21"/>
          <w:highlight w:val="none"/>
          <w14:textFill>
            <w14:solidFill>
              <w14:schemeClr w14:val="tx1"/>
            </w14:solidFill>
          </w14:textFill>
        </w:rPr>
        <w:t>。供应商的澄清、说明或者补正不得超出竞争性磋商文件的范围或者改变响应文件的实质性内容。</w:t>
      </w:r>
    </w:p>
    <w:p w14:paraId="29D1232E">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6.4.3供应商的澄清、说明或补正将作为响应文件的一部分。</w:t>
      </w:r>
    </w:p>
    <w:p w14:paraId="1A50709E">
      <w:pPr>
        <w:spacing w:line="324" w:lineRule="auto"/>
        <w:ind w:firstLine="525" w:firstLineChars="25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6.4.4不接受供应商主动对响应文件的澄清、说明或者补正。</w:t>
      </w:r>
    </w:p>
    <w:bookmarkEnd w:id="366"/>
    <w:bookmarkEnd w:id="367"/>
    <w:bookmarkEnd w:id="368"/>
    <w:bookmarkEnd w:id="369"/>
    <w:p w14:paraId="5B5E998E">
      <w:pPr>
        <w:pStyle w:val="6"/>
        <w:spacing w:line="324" w:lineRule="auto"/>
        <w:rPr>
          <w:rFonts w:hint="eastAsia" w:ascii="宋体" w:hAnsi="宋体"/>
          <w:color w:val="000000" w:themeColor="text1"/>
          <w:szCs w:val="21"/>
          <w:highlight w:val="none"/>
          <w14:textFill>
            <w14:solidFill>
              <w14:schemeClr w14:val="tx1"/>
            </w14:solidFill>
          </w14:textFill>
        </w:rPr>
      </w:pPr>
      <w:bookmarkStart w:id="370" w:name="_Toc8502"/>
      <w:bookmarkStart w:id="371" w:name="_Toc13317"/>
      <w:bookmarkStart w:id="372" w:name="_Toc13678"/>
      <w:bookmarkStart w:id="373" w:name="_Toc15765"/>
      <w:bookmarkStart w:id="374" w:name="_Toc32119"/>
      <w:bookmarkStart w:id="375" w:name="_Toc301187711"/>
      <w:bookmarkStart w:id="376" w:name="_Toc303756393"/>
      <w:bookmarkStart w:id="377" w:name="_Toc499128594"/>
      <w:bookmarkStart w:id="378" w:name="_Toc498327049"/>
      <w:bookmarkStart w:id="379" w:name="_Toc359934590"/>
      <w:r>
        <w:rPr>
          <w:rFonts w:hint="eastAsia" w:ascii="宋体" w:hAnsi="宋体"/>
          <w:color w:val="000000" w:themeColor="text1"/>
          <w:szCs w:val="21"/>
          <w:highlight w:val="none"/>
          <w14:textFill>
            <w14:solidFill>
              <w14:schemeClr w14:val="tx1"/>
            </w14:solidFill>
          </w14:textFill>
        </w:rPr>
        <w:t>6.5报价错误修正</w:t>
      </w:r>
      <w:bookmarkEnd w:id="370"/>
      <w:bookmarkEnd w:id="371"/>
      <w:bookmarkEnd w:id="372"/>
      <w:bookmarkEnd w:id="373"/>
    </w:p>
    <w:p w14:paraId="16062151">
      <w:pPr>
        <w:spacing w:line="324" w:lineRule="auto"/>
        <w:ind w:firstLine="525" w:firstLineChars="2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响应文件</w:t>
      </w:r>
      <w:r>
        <w:rPr>
          <w:rFonts w:ascii="宋体" w:hAnsi="宋体"/>
          <w:color w:val="000000" w:themeColor="text1"/>
          <w:szCs w:val="21"/>
          <w:highlight w:val="none"/>
          <w14:textFill>
            <w14:solidFill>
              <w14:schemeClr w14:val="tx1"/>
            </w14:solidFill>
          </w14:textFill>
        </w:rPr>
        <w:t>如果出现计算或表达上的错误，修正错误的原则如下：</w:t>
      </w:r>
    </w:p>
    <w:p w14:paraId="67B47FB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（1）响应文件中磋商一览表内容与响应文件中相应内容不一致的，以磋商一览表为准；</w:t>
      </w:r>
    </w:p>
    <w:p w14:paraId="47A34122">
      <w:pPr>
        <w:spacing w:line="324" w:lineRule="auto"/>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w:t>
      </w:r>
      <w:r>
        <w:rPr>
          <w:rFonts w:ascii="宋体" w:hAnsi="宋体"/>
          <w:color w:val="000000" w:themeColor="text1"/>
          <w:szCs w:val="21"/>
          <w:highlight w:val="none"/>
          <w14:textFill>
            <w14:solidFill>
              <w14:schemeClr w14:val="tx1"/>
            </w14:solidFill>
          </w14:textFill>
        </w:rPr>
        <w:t>大写金额和小写金额不一致的，以大写金额为准；</w:t>
      </w:r>
    </w:p>
    <w:p w14:paraId="36FD386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（3）单价金额小数点或者百分比有明显错位的，以磋商一览表的总价为准，并修改单价</w:t>
      </w:r>
      <w:r>
        <w:rPr>
          <w:rFonts w:ascii="宋体" w:hAnsi="宋体"/>
          <w:color w:val="000000" w:themeColor="text1"/>
          <w:szCs w:val="21"/>
          <w:highlight w:val="none"/>
          <w14:textFill>
            <w14:solidFill>
              <w14:schemeClr w14:val="tx1"/>
            </w14:solidFill>
          </w14:textFill>
        </w:rPr>
        <w:t>；</w:t>
      </w:r>
    </w:p>
    <w:p w14:paraId="2ADBE9F3">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（4）总价金额与按单价汇总金额不一致的，以单价金额计算结果为准；</w:t>
      </w:r>
    </w:p>
    <w:p w14:paraId="1485F95F">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（5）同时出现两种以上不一致的，按上述顺序修正；</w:t>
      </w:r>
    </w:p>
    <w:p w14:paraId="7077107C">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w:t>
      </w:r>
      <w:r>
        <w:rPr>
          <w:rFonts w:ascii="宋体" w:hAnsi="宋体"/>
          <w:color w:val="000000" w:themeColor="text1"/>
          <w:szCs w:val="21"/>
          <w:highlight w:val="none"/>
          <w14:textFill>
            <w14:solidFill>
              <w14:schemeClr w14:val="tx1"/>
            </w14:solidFill>
          </w14:textFill>
        </w:rPr>
        <w:t>对不同文字文本</w:t>
      </w:r>
      <w:r>
        <w:rPr>
          <w:rFonts w:hint="eastAsia" w:ascii="宋体" w:hAnsi="宋体"/>
          <w:color w:val="000000" w:themeColor="text1"/>
          <w:szCs w:val="21"/>
          <w:highlight w:val="none"/>
          <w14:textFill>
            <w14:solidFill>
              <w14:schemeClr w14:val="tx1"/>
            </w14:solidFill>
          </w14:textFill>
        </w:rPr>
        <w:t>响应文件</w:t>
      </w:r>
      <w:r>
        <w:rPr>
          <w:rFonts w:ascii="宋体" w:hAnsi="宋体"/>
          <w:color w:val="000000" w:themeColor="text1"/>
          <w:szCs w:val="21"/>
          <w:highlight w:val="none"/>
          <w14:textFill>
            <w14:solidFill>
              <w14:schemeClr w14:val="tx1"/>
            </w14:solidFill>
          </w14:textFill>
        </w:rPr>
        <w:t>的解释发生异议的，以中文文本为准</w:t>
      </w:r>
      <w:r>
        <w:rPr>
          <w:rFonts w:hint="eastAsia" w:ascii="宋体" w:hAnsi="宋体"/>
          <w:color w:val="000000" w:themeColor="text1"/>
          <w:szCs w:val="21"/>
          <w:highlight w:val="none"/>
          <w14:textFill>
            <w14:solidFill>
              <w14:schemeClr w14:val="tx1"/>
            </w14:solidFill>
          </w14:textFill>
        </w:rPr>
        <w:t>。</w:t>
      </w:r>
    </w:p>
    <w:p w14:paraId="7C08EB8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（7）修正错误的报价，经供应商的法定代表人（负责人）或委托代理人同意签字确认后产生约束力。调整后的报价对供应商具有约束作用。若供应商不接受修正后的报价，其磋商无效。</w:t>
      </w:r>
    </w:p>
    <w:p w14:paraId="19ED6877">
      <w:pPr>
        <w:pStyle w:val="6"/>
        <w:spacing w:line="324" w:lineRule="auto"/>
        <w:rPr>
          <w:rFonts w:hint="eastAsia" w:ascii="宋体" w:hAnsi="宋体"/>
          <w:color w:val="000000" w:themeColor="text1"/>
          <w:szCs w:val="21"/>
          <w:highlight w:val="none"/>
          <w14:textFill>
            <w14:solidFill>
              <w14:schemeClr w14:val="tx1"/>
            </w14:solidFill>
          </w14:textFill>
        </w:rPr>
      </w:pPr>
      <w:bookmarkStart w:id="380" w:name="_Toc16766"/>
      <w:bookmarkStart w:id="381" w:name="_Toc10102"/>
      <w:bookmarkStart w:id="382" w:name="_Toc1200"/>
      <w:bookmarkStart w:id="383" w:name="_Toc9416"/>
      <w:r>
        <w:rPr>
          <w:rFonts w:hint="eastAsia" w:ascii="宋体" w:hAnsi="宋体"/>
          <w:color w:val="000000" w:themeColor="text1"/>
          <w:szCs w:val="21"/>
          <w:highlight w:val="none"/>
          <w14:textFill>
            <w14:solidFill>
              <w14:schemeClr w14:val="tx1"/>
            </w14:solidFill>
          </w14:textFill>
        </w:rPr>
        <w:t>6.6磋商评审纪律</w:t>
      </w:r>
      <w:bookmarkEnd w:id="380"/>
      <w:bookmarkEnd w:id="381"/>
      <w:bookmarkEnd w:id="382"/>
      <w:bookmarkEnd w:id="383"/>
    </w:p>
    <w:p w14:paraId="017D6E9E">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（1）磋商小组</w:t>
      </w:r>
      <w:r>
        <w:rPr>
          <w:rFonts w:ascii="宋体" w:hAnsi="宋体"/>
          <w:color w:val="000000" w:themeColor="text1"/>
          <w:szCs w:val="21"/>
          <w:highlight w:val="none"/>
          <w14:textFill>
            <w14:solidFill>
              <w14:schemeClr w14:val="tx1"/>
            </w14:solidFill>
          </w14:textFill>
        </w:rPr>
        <w:t>必须公平、公正、客观，不带任何倾向性和启发性；</w:t>
      </w:r>
    </w:p>
    <w:p w14:paraId="14547F53">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（2）磋商小组及有关工作人员</w:t>
      </w:r>
      <w:r>
        <w:rPr>
          <w:rFonts w:ascii="宋体" w:hAnsi="宋体"/>
          <w:color w:val="000000" w:themeColor="text1"/>
          <w:szCs w:val="21"/>
          <w:highlight w:val="none"/>
          <w14:textFill>
            <w14:solidFill>
              <w14:schemeClr w14:val="tx1"/>
            </w14:solidFill>
          </w14:textFill>
        </w:rPr>
        <w:t>不得向外界透露任何与</w:t>
      </w:r>
      <w:r>
        <w:rPr>
          <w:rFonts w:hint="eastAsia" w:ascii="宋体" w:hAnsi="宋体"/>
          <w:color w:val="000000" w:themeColor="text1"/>
          <w:szCs w:val="21"/>
          <w:highlight w:val="none"/>
          <w14:textFill>
            <w14:solidFill>
              <w14:schemeClr w14:val="tx1"/>
            </w14:solidFill>
          </w14:textFill>
        </w:rPr>
        <w:t>磋商评审</w:t>
      </w:r>
      <w:r>
        <w:rPr>
          <w:rFonts w:ascii="宋体" w:hAnsi="宋体"/>
          <w:color w:val="000000" w:themeColor="text1"/>
          <w:szCs w:val="21"/>
          <w:highlight w:val="none"/>
          <w14:textFill>
            <w14:solidFill>
              <w14:schemeClr w14:val="tx1"/>
            </w14:solidFill>
          </w14:textFill>
        </w:rPr>
        <w:t>有关的内容；</w:t>
      </w:r>
    </w:p>
    <w:p w14:paraId="71069282">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ascii="宋体" w:hAnsi="宋体"/>
          <w:color w:val="000000" w:themeColor="text1"/>
          <w:szCs w:val="21"/>
          <w:highlight w:val="none"/>
          <w14:textFill>
            <w14:solidFill>
              <w14:schemeClr w14:val="tx1"/>
            </w14:solidFill>
          </w14:textFill>
        </w:rPr>
        <w:t>任何单位和个人不得干扰、影响</w:t>
      </w:r>
      <w:r>
        <w:rPr>
          <w:rFonts w:hint="eastAsia" w:ascii="宋体" w:hAnsi="宋体"/>
          <w:color w:val="000000" w:themeColor="text1"/>
          <w:szCs w:val="21"/>
          <w:highlight w:val="none"/>
          <w14:textFill>
            <w14:solidFill>
              <w14:schemeClr w14:val="tx1"/>
            </w14:solidFill>
          </w14:textFill>
        </w:rPr>
        <w:t>磋商评审</w:t>
      </w:r>
      <w:r>
        <w:rPr>
          <w:rFonts w:ascii="宋体" w:hAnsi="宋体"/>
          <w:color w:val="000000" w:themeColor="text1"/>
          <w:szCs w:val="21"/>
          <w:highlight w:val="none"/>
          <w14:textFill>
            <w14:solidFill>
              <w14:schemeClr w14:val="tx1"/>
            </w14:solidFill>
          </w14:textFill>
        </w:rPr>
        <w:t>的正常进行；</w:t>
      </w:r>
    </w:p>
    <w:p w14:paraId="18880ADB">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（4）磋商小组</w:t>
      </w:r>
      <w:r>
        <w:rPr>
          <w:rFonts w:ascii="宋体" w:hAnsi="宋体"/>
          <w:color w:val="000000" w:themeColor="text1"/>
          <w:szCs w:val="21"/>
          <w:highlight w:val="none"/>
          <w14:textFill>
            <w14:solidFill>
              <w14:schemeClr w14:val="tx1"/>
            </w14:solidFill>
          </w14:textFill>
        </w:rPr>
        <w:t>及有关工作人员不得私下与</w:t>
      </w:r>
      <w:r>
        <w:rPr>
          <w:rFonts w:hint="eastAsia" w:ascii="宋体" w:hAnsi="宋体"/>
          <w:color w:val="000000" w:themeColor="text1"/>
          <w:szCs w:val="21"/>
          <w:highlight w:val="none"/>
          <w14:textFill>
            <w14:solidFill>
              <w14:schemeClr w14:val="tx1"/>
            </w14:solidFill>
          </w14:textFill>
        </w:rPr>
        <w:t>供应商</w:t>
      </w:r>
      <w:r>
        <w:rPr>
          <w:rFonts w:ascii="宋体" w:hAnsi="宋体"/>
          <w:color w:val="000000" w:themeColor="text1"/>
          <w:szCs w:val="21"/>
          <w:highlight w:val="none"/>
          <w14:textFill>
            <w14:solidFill>
              <w14:schemeClr w14:val="tx1"/>
            </w14:solidFill>
          </w14:textFill>
        </w:rPr>
        <w:t>接触</w:t>
      </w:r>
      <w:r>
        <w:rPr>
          <w:rFonts w:hint="eastAsia" w:ascii="宋体" w:hAnsi="宋体"/>
          <w:color w:val="000000" w:themeColor="text1"/>
          <w:szCs w:val="21"/>
          <w:highlight w:val="none"/>
          <w14:textFill>
            <w14:solidFill>
              <w14:schemeClr w14:val="tx1"/>
            </w14:solidFill>
          </w14:textFill>
        </w:rPr>
        <w:t>；</w:t>
      </w:r>
    </w:p>
    <w:p w14:paraId="19679896">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（5）在磋商评审过程中撤离职守，影响磋商评审程序正常进行的；</w:t>
      </w:r>
    </w:p>
    <w:p w14:paraId="68EABAFF">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（6）记录、复制或者带走任何磋商评审资料；</w:t>
      </w:r>
    </w:p>
    <w:p w14:paraId="50D95FA9">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（7）其他不遵守磋商评审纪律的行为。</w:t>
      </w:r>
    </w:p>
    <w:p w14:paraId="006FDCBC">
      <w:pPr>
        <w:pStyle w:val="6"/>
        <w:spacing w:line="324" w:lineRule="auto"/>
        <w:rPr>
          <w:rFonts w:hint="eastAsia" w:ascii="宋体" w:hAnsi="宋体"/>
          <w:color w:val="000000" w:themeColor="text1"/>
          <w:szCs w:val="21"/>
          <w:highlight w:val="none"/>
          <w14:textFill>
            <w14:solidFill>
              <w14:schemeClr w14:val="tx1"/>
            </w14:solidFill>
          </w14:textFill>
        </w:rPr>
      </w:pPr>
      <w:bookmarkStart w:id="384" w:name="_Toc31081"/>
      <w:bookmarkStart w:id="385" w:name="_Toc19852"/>
      <w:bookmarkStart w:id="386" w:name="_Toc4419"/>
      <w:bookmarkStart w:id="387" w:name="_Toc6786"/>
      <w:r>
        <w:rPr>
          <w:rFonts w:hint="eastAsia" w:ascii="宋体" w:hAnsi="宋体"/>
          <w:color w:val="000000" w:themeColor="text1"/>
          <w:szCs w:val="21"/>
          <w:highlight w:val="none"/>
          <w14:textFill>
            <w14:solidFill>
              <w14:schemeClr w14:val="tx1"/>
            </w14:solidFill>
          </w14:textFill>
        </w:rPr>
        <w:t>6.7磋商评审办法</w:t>
      </w:r>
      <w:bookmarkEnd w:id="384"/>
      <w:bookmarkEnd w:id="385"/>
      <w:bookmarkEnd w:id="386"/>
    </w:p>
    <w:bookmarkEnd w:id="387"/>
    <w:p w14:paraId="3CEE21CD">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bookmarkStart w:id="388" w:name="_Toc22007"/>
      <w:r>
        <w:rPr>
          <w:rFonts w:hint="eastAsia" w:ascii="宋体" w:hAnsi="宋体"/>
          <w:color w:val="000000" w:themeColor="text1"/>
          <w:szCs w:val="21"/>
          <w:highlight w:val="none"/>
          <w14:textFill>
            <w14:solidFill>
              <w14:schemeClr w14:val="tx1"/>
            </w14:solidFill>
          </w14:textFill>
        </w:rPr>
        <w:t>具体磋商评审内容及评分标准等详见《第六章：磋商评审办法及评分标准》。</w:t>
      </w:r>
    </w:p>
    <w:p w14:paraId="1BBF92BD">
      <w:pPr>
        <w:pStyle w:val="6"/>
        <w:spacing w:line="324" w:lineRule="auto"/>
        <w:rPr>
          <w:rFonts w:hint="eastAsia" w:ascii="宋体" w:hAnsi="宋体"/>
          <w:color w:val="000000" w:themeColor="text1"/>
          <w:szCs w:val="21"/>
          <w:highlight w:val="none"/>
          <w14:textFill>
            <w14:solidFill>
              <w14:schemeClr w14:val="tx1"/>
            </w14:solidFill>
          </w14:textFill>
        </w:rPr>
      </w:pPr>
      <w:bookmarkStart w:id="389" w:name="_Toc15575"/>
      <w:bookmarkStart w:id="390" w:name="_Toc2884"/>
      <w:bookmarkStart w:id="391" w:name="_Toc8895"/>
      <w:r>
        <w:rPr>
          <w:rFonts w:hint="eastAsia" w:ascii="宋体" w:hAnsi="宋体"/>
          <w:color w:val="000000" w:themeColor="text1"/>
          <w:szCs w:val="21"/>
          <w:highlight w:val="none"/>
          <w14:textFill>
            <w14:solidFill>
              <w14:schemeClr w14:val="tx1"/>
            </w14:solidFill>
          </w14:textFill>
        </w:rPr>
        <w:t>6.8磋商评审过程的监控</w:t>
      </w:r>
      <w:bookmarkEnd w:id="388"/>
      <w:bookmarkEnd w:id="389"/>
      <w:bookmarkEnd w:id="390"/>
      <w:bookmarkEnd w:id="391"/>
    </w:p>
    <w:p w14:paraId="691AB7F0">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本项目磋商评审过程实行全程录音、录像监控，供应商在磋商评审过程中所有进行的试图影响磋商评审结果的不公正活动，可能导致其磋商被拒绝。</w:t>
      </w:r>
    </w:p>
    <w:p w14:paraId="08E4ECDC">
      <w:pPr>
        <w:pStyle w:val="6"/>
        <w:spacing w:line="324" w:lineRule="auto"/>
        <w:rPr>
          <w:rFonts w:hint="eastAsia" w:ascii="宋体" w:hAnsi="宋体"/>
          <w:color w:val="000000" w:themeColor="text1"/>
          <w:szCs w:val="21"/>
          <w:highlight w:val="none"/>
          <w14:textFill>
            <w14:solidFill>
              <w14:schemeClr w14:val="tx1"/>
            </w14:solidFill>
          </w14:textFill>
        </w:rPr>
      </w:pPr>
      <w:bookmarkStart w:id="392" w:name="_Toc19565"/>
      <w:bookmarkStart w:id="393" w:name="_Toc5287"/>
      <w:bookmarkStart w:id="394" w:name="_Toc13277"/>
      <w:bookmarkStart w:id="395" w:name="_Toc29205"/>
      <w:r>
        <w:rPr>
          <w:rFonts w:hint="eastAsia" w:ascii="宋体" w:hAnsi="宋体"/>
          <w:color w:val="000000" w:themeColor="text1"/>
          <w:szCs w:val="21"/>
          <w:highlight w:val="none"/>
          <w14:textFill>
            <w14:solidFill>
              <w14:schemeClr w14:val="tx1"/>
            </w14:solidFill>
          </w14:textFill>
        </w:rPr>
        <w:t>6.9定标</w:t>
      </w:r>
      <w:bookmarkEnd w:id="392"/>
      <w:bookmarkEnd w:id="393"/>
      <w:bookmarkEnd w:id="394"/>
      <w:bookmarkEnd w:id="395"/>
    </w:p>
    <w:p w14:paraId="105F80F1">
      <w:pPr>
        <w:spacing w:line="324" w:lineRule="auto"/>
        <w:ind w:firstLine="525" w:firstLineChars="25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6.9.1本项目由磋商小组推荐成交候选人或经采购人授权直接确定成交供应商。</w:t>
      </w:r>
    </w:p>
    <w:p w14:paraId="61400B7E">
      <w:pPr>
        <w:spacing w:line="324" w:lineRule="auto"/>
        <w:ind w:firstLine="525" w:firstLineChars="250"/>
        <w:rPr>
          <w:rFonts w:hint="eastAsia" w:ascii="宋体" w:hAnsi="宋体" w:cs="宋体"/>
          <w:color w:val="000000" w:themeColor="text1"/>
          <w:szCs w:val="21"/>
          <w:highlight w:val="none"/>
          <w:lang w:bidi="ar"/>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6.9.2定标排序：见第六章 «磋商评审办法及评分标准»。</w:t>
      </w:r>
    </w:p>
    <w:p w14:paraId="772D9872">
      <w:pPr>
        <w:spacing w:line="324" w:lineRule="auto"/>
        <w:ind w:firstLine="525" w:firstLineChars="250"/>
        <w:rPr>
          <w:rFonts w:hint="eastAsia"/>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6.9.3合格的供应商不足三家时，采购人根据《中华人民共和国政府采购法》、《政府采购竞争性磋商采购方式管理暂行办法》、《关于政府采购竞争性磋商采购方式管理暂行办法有关问题的补充通知》 (财库〔2015〕124号)以及浙江省相关规定执行。</w:t>
      </w:r>
    </w:p>
    <w:p w14:paraId="7903C604">
      <w:pPr>
        <w:pStyle w:val="6"/>
        <w:spacing w:line="324" w:lineRule="auto"/>
        <w:rPr>
          <w:rFonts w:hint="eastAsia" w:ascii="宋体" w:hAnsi="宋体"/>
          <w:color w:val="000000" w:themeColor="text1"/>
          <w:sz w:val="24"/>
          <w:szCs w:val="24"/>
          <w:highlight w:val="none"/>
          <w14:textFill>
            <w14:solidFill>
              <w14:schemeClr w14:val="tx1"/>
            </w14:solidFill>
          </w14:textFill>
        </w:rPr>
      </w:pPr>
      <w:bookmarkStart w:id="396" w:name="_Toc20105"/>
      <w:bookmarkStart w:id="397" w:name="_Toc32187"/>
      <w:bookmarkStart w:id="398" w:name="_Toc26464"/>
      <w:r>
        <w:rPr>
          <w:rFonts w:hint="eastAsia" w:ascii="宋体" w:hAnsi="宋体"/>
          <w:color w:val="000000" w:themeColor="text1"/>
          <w:sz w:val="24"/>
          <w:szCs w:val="24"/>
          <w:highlight w:val="none"/>
          <w14:textFill>
            <w14:solidFill>
              <w14:schemeClr w14:val="tx1"/>
            </w14:solidFill>
          </w14:textFill>
        </w:rPr>
        <w:t>7．</w:t>
      </w:r>
      <w:bookmarkEnd w:id="374"/>
      <w:bookmarkEnd w:id="375"/>
      <w:bookmarkEnd w:id="376"/>
      <w:bookmarkEnd w:id="377"/>
      <w:bookmarkEnd w:id="378"/>
      <w:bookmarkEnd w:id="379"/>
      <w:bookmarkStart w:id="399" w:name="_Toc30412"/>
      <w:r>
        <w:rPr>
          <w:rFonts w:hint="eastAsia" w:ascii="宋体" w:hAnsi="宋体"/>
          <w:color w:val="000000" w:themeColor="text1"/>
          <w:sz w:val="24"/>
          <w:szCs w:val="24"/>
          <w:highlight w:val="none"/>
          <w14:textFill>
            <w14:solidFill>
              <w14:schemeClr w14:val="tx1"/>
            </w14:solidFill>
          </w14:textFill>
        </w:rPr>
        <w:t>磋商无效情形</w:t>
      </w:r>
      <w:bookmarkEnd w:id="396"/>
      <w:bookmarkEnd w:id="397"/>
      <w:bookmarkEnd w:id="398"/>
      <w:bookmarkEnd w:id="399"/>
    </w:p>
    <w:p w14:paraId="2468D4E8">
      <w:pPr>
        <w:pStyle w:val="6"/>
        <w:spacing w:line="324" w:lineRule="auto"/>
        <w:rPr>
          <w:rFonts w:hint="eastAsia" w:ascii="宋体" w:hAnsi="宋体"/>
          <w:color w:val="000000" w:themeColor="text1"/>
          <w:szCs w:val="21"/>
          <w:highlight w:val="none"/>
          <w14:textFill>
            <w14:solidFill>
              <w14:schemeClr w14:val="tx1"/>
            </w14:solidFill>
          </w14:textFill>
        </w:rPr>
      </w:pPr>
      <w:bookmarkStart w:id="400" w:name="_Toc4852"/>
      <w:bookmarkStart w:id="401" w:name="_Toc16527"/>
      <w:bookmarkStart w:id="402" w:name="_Toc1453"/>
      <w:bookmarkStart w:id="403" w:name="_Toc12234"/>
      <w:bookmarkStart w:id="404" w:name="_Toc20873"/>
      <w:bookmarkStart w:id="405" w:name="_Toc301187735"/>
      <w:bookmarkStart w:id="406" w:name="_Toc303756398"/>
      <w:bookmarkStart w:id="407" w:name="_Toc301187747"/>
      <w:r>
        <w:rPr>
          <w:rFonts w:hint="eastAsia" w:ascii="宋体" w:hAnsi="宋体"/>
          <w:color w:val="000000" w:themeColor="text1"/>
          <w:szCs w:val="21"/>
          <w:highlight w:val="none"/>
          <w14:textFill>
            <w14:solidFill>
              <w14:schemeClr w14:val="tx1"/>
            </w14:solidFill>
          </w14:textFill>
        </w:rPr>
        <w:t>7.1在磋商时，如发现有以下情形之一的，其磋商无效</w:t>
      </w:r>
      <w:bookmarkEnd w:id="400"/>
      <w:bookmarkEnd w:id="401"/>
      <w:bookmarkEnd w:id="402"/>
      <w:bookmarkEnd w:id="403"/>
      <w:bookmarkEnd w:id="404"/>
    </w:p>
    <w:p w14:paraId="09FF593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（1）未按要求提交电子加密响应文件的；</w:t>
      </w:r>
    </w:p>
    <w:p w14:paraId="489693BB">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（2）提交电子加密响应文件未解密或无法解密，且未提交备份响应文件的（包括提交备份响应文件未按规定时间内提供解密密码或密码错误的）。</w:t>
      </w:r>
    </w:p>
    <w:bookmarkEnd w:id="405"/>
    <w:p w14:paraId="58FC5240">
      <w:pPr>
        <w:pStyle w:val="6"/>
        <w:spacing w:line="324" w:lineRule="auto"/>
        <w:rPr>
          <w:rFonts w:hint="eastAsia" w:ascii="宋体" w:hAnsi="宋体"/>
          <w:color w:val="000000" w:themeColor="text1"/>
          <w:szCs w:val="21"/>
          <w:highlight w:val="none"/>
          <w14:textFill>
            <w14:solidFill>
              <w14:schemeClr w14:val="tx1"/>
            </w14:solidFill>
          </w14:textFill>
        </w:rPr>
      </w:pPr>
      <w:bookmarkStart w:id="408" w:name="_Toc20235"/>
      <w:bookmarkStart w:id="409" w:name="_Toc15638"/>
      <w:bookmarkStart w:id="410" w:name="_Toc30820"/>
      <w:bookmarkStart w:id="411" w:name="_Toc6429"/>
      <w:bookmarkStart w:id="412" w:name="_Toc301187746"/>
      <w:r>
        <w:rPr>
          <w:rFonts w:hint="eastAsia" w:ascii="宋体" w:hAnsi="宋体"/>
          <w:color w:val="000000" w:themeColor="text1"/>
          <w:szCs w:val="21"/>
          <w:highlight w:val="none"/>
          <w14:textFill>
            <w14:solidFill>
              <w14:schemeClr w14:val="tx1"/>
            </w14:solidFill>
          </w14:textFill>
        </w:rPr>
        <w:t>7.2在符合性审查时，如发现下列情形之一的，其磋商无效</w:t>
      </w:r>
      <w:bookmarkEnd w:id="408"/>
      <w:bookmarkEnd w:id="409"/>
      <w:bookmarkEnd w:id="410"/>
      <w:bookmarkEnd w:id="411"/>
    </w:p>
    <w:bookmarkEnd w:id="412"/>
    <w:p w14:paraId="32293CD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13" w:name="_Toc6411"/>
      <w:bookmarkStart w:id="414" w:name="_Toc359934595"/>
      <w:bookmarkStart w:id="415" w:name="_Toc499128600"/>
      <w:bookmarkStart w:id="416" w:name="_Toc6173"/>
      <w:bookmarkStart w:id="417" w:name="_Toc498327055"/>
      <w:r>
        <w:rPr>
          <w:rFonts w:hint="eastAsia" w:ascii="宋体" w:hAnsi="宋体"/>
          <w:color w:val="000000" w:themeColor="text1"/>
          <w:szCs w:val="21"/>
          <w:highlight w:val="none"/>
          <w14:textFill>
            <w14:solidFill>
              <w14:schemeClr w14:val="tx1"/>
            </w14:solidFill>
          </w14:textFill>
        </w:rPr>
        <w:t>（1）未按竞争性磋商文件规定进行盖章、签字的；</w:t>
      </w:r>
    </w:p>
    <w:p w14:paraId="1BEE038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（2）未实质响应竞争性磋商文件中带“▲”或注明“应当”、“不得”、“必须”条款要求的响应文件；</w:t>
      </w:r>
    </w:p>
    <w:p w14:paraId="463C310D">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（3）实质性响应内容前后矛盾、不一致的；</w:t>
      </w:r>
    </w:p>
    <w:p w14:paraId="0EFF49C5">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（4）存在一个或一个以上备选（替代）响应方案的；</w:t>
      </w:r>
    </w:p>
    <w:p w14:paraId="45FF186D">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（5）供应商提交两份或两份以上内容不同的响应文件，未声明哪一份有效的；</w:t>
      </w:r>
    </w:p>
    <w:p w14:paraId="22A8B507">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（6）法律、法规及竞争性磋商文件规定的其他无效情形。</w:t>
      </w:r>
    </w:p>
    <w:p w14:paraId="0DBFE8E0">
      <w:pPr>
        <w:pStyle w:val="6"/>
        <w:spacing w:line="324" w:lineRule="auto"/>
        <w:rPr>
          <w:rFonts w:hint="eastAsia" w:ascii="宋体" w:hAnsi="宋体"/>
          <w:color w:val="000000" w:themeColor="text1"/>
          <w:szCs w:val="21"/>
          <w:highlight w:val="none"/>
          <w14:textFill>
            <w14:solidFill>
              <w14:schemeClr w14:val="tx1"/>
            </w14:solidFill>
          </w14:textFill>
        </w:rPr>
      </w:pPr>
      <w:bookmarkStart w:id="418" w:name="_Toc7885"/>
      <w:bookmarkStart w:id="419" w:name="_Toc19741"/>
      <w:bookmarkStart w:id="420" w:name="_Toc17318"/>
      <w:r>
        <w:rPr>
          <w:rFonts w:hint="eastAsia" w:ascii="宋体" w:hAnsi="宋体"/>
          <w:color w:val="000000" w:themeColor="text1"/>
          <w:szCs w:val="21"/>
          <w:highlight w:val="none"/>
          <w14:textFill>
            <w14:solidFill>
              <w14:schemeClr w14:val="tx1"/>
            </w14:solidFill>
          </w14:textFill>
        </w:rPr>
        <w:t>7.3在商务技术评审时，如发现下列情形之一的，其磋商无效</w:t>
      </w:r>
      <w:bookmarkEnd w:id="413"/>
      <w:bookmarkEnd w:id="418"/>
      <w:bookmarkEnd w:id="419"/>
      <w:bookmarkEnd w:id="420"/>
    </w:p>
    <w:p w14:paraId="1041A65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21" w:name="_Toc301187700"/>
      <w:r>
        <w:rPr>
          <w:rFonts w:hint="eastAsia" w:ascii="宋体" w:hAnsi="宋体"/>
          <w:color w:val="000000" w:themeColor="text1"/>
          <w:szCs w:val="21"/>
          <w:highlight w:val="none"/>
          <w14:textFill>
            <w14:solidFill>
              <w14:schemeClr w14:val="tx1"/>
            </w14:solidFill>
          </w14:textFill>
        </w:rPr>
        <w:t>（1）</w:t>
      </w:r>
      <w:bookmarkEnd w:id="421"/>
      <w:r>
        <w:rPr>
          <w:rFonts w:hint="eastAsia" w:ascii="宋体" w:hAnsi="宋体"/>
          <w:color w:val="000000" w:themeColor="text1"/>
          <w:szCs w:val="21"/>
          <w:highlight w:val="none"/>
          <w14:textFill>
            <w14:solidFill>
              <w14:schemeClr w14:val="tx1"/>
            </w14:solidFill>
          </w14:textFill>
        </w:rPr>
        <w:t>响应文件含有采购人不能接受的附加条款的；</w:t>
      </w:r>
    </w:p>
    <w:p w14:paraId="7527434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（2）响应文件中提供赠品、回扣或者与采购无关的其他商品、服务的；</w:t>
      </w:r>
    </w:p>
    <w:p w14:paraId="0513A6B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（3）磋商小组评定有非实质性条款负偏离超过竞争性磋商文件规定项数的，项数要求见供应商须知前附表；</w:t>
      </w:r>
    </w:p>
    <w:p w14:paraId="3E2101E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供应商已明知采购期间或之后企业将发生兼并改制，或提供的产品将停产、淘汰，或必须有偿使用专供的备品备件和试剂耗材的，及其他应当告知采购人可能影响采购项目实施或损害采购人利益的信息，不在响应文件中予以特别说明的；</w:t>
      </w:r>
    </w:p>
    <w:p w14:paraId="6EFF9A3F">
      <w:pPr>
        <w:spacing w:line="324" w:lineRule="auto"/>
        <w:ind w:firstLine="422" w:firstLineChars="200"/>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（5）采购产品为政府强制采购的节能产品，供应商未提供节能产品认证证书</w:t>
      </w:r>
      <w:r>
        <w:rPr>
          <w:rFonts w:hint="eastAsia" w:ascii="宋体" w:hAnsi="宋体"/>
          <w:b/>
          <w:bCs/>
          <w:color w:val="000000" w:themeColor="text1"/>
          <w:szCs w:val="21"/>
          <w:highlight w:val="none"/>
          <w:lang w:eastAsia="zh-CN"/>
          <w14:textFill>
            <w14:solidFill>
              <w14:schemeClr w14:val="tx1"/>
            </w14:solidFill>
          </w14:textFill>
        </w:rPr>
        <w:t>或</w:t>
      </w:r>
      <w:r>
        <w:rPr>
          <w:rFonts w:hint="eastAsia" w:ascii="宋体" w:hAnsi="宋体"/>
          <w:b/>
          <w:bCs/>
          <w:color w:val="000000" w:themeColor="text1"/>
          <w:szCs w:val="21"/>
          <w:highlight w:val="none"/>
          <w14:textFill>
            <w14:solidFill>
              <w14:schemeClr w14:val="tx1"/>
            </w14:solidFill>
          </w14:textFill>
        </w:rPr>
        <w:t>节能产品认证</w:t>
      </w:r>
      <w:r>
        <w:rPr>
          <w:rFonts w:hint="eastAsia" w:ascii="宋体" w:hAnsi="宋体"/>
          <w:b/>
          <w:bCs/>
          <w:color w:val="000000" w:themeColor="text1"/>
          <w:szCs w:val="21"/>
          <w:highlight w:val="none"/>
          <w:lang w:eastAsia="zh-CN"/>
          <w14:textFill>
            <w14:solidFill>
              <w14:schemeClr w14:val="tx1"/>
            </w14:solidFill>
          </w14:textFill>
        </w:rPr>
        <w:t>截图</w:t>
      </w:r>
      <w:r>
        <w:rPr>
          <w:rFonts w:hint="eastAsia" w:ascii="宋体" w:hAnsi="宋体"/>
          <w:b/>
          <w:bCs/>
          <w:color w:val="000000" w:themeColor="text1"/>
          <w:szCs w:val="21"/>
          <w:highlight w:val="none"/>
          <w14:textFill>
            <w14:solidFill>
              <w14:schemeClr w14:val="tx1"/>
            </w14:solidFill>
          </w14:textFill>
        </w:rPr>
        <w:t>；</w:t>
      </w:r>
    </w:p>
    <w:p w14:paraId="16B6EF92">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（6）响应文件内容不全或内容字迹模糊辨认不清的而导致评标无法正常进行（经磋商小组认定并允许其当场更正的笔误除外的）；</w:t>
      </w:r>
    </w:p>
    <w:p w14:paraId="53251A7E">
      <w:pPr>
        <w:spacing w:line="360" w:lineRule="auto"/>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（7）违反国家及政府部门相关法律、法规、文件规定或经磋商小组认定的其他属于重大偏离的。</w:t>
      </w:r>
      <w:bookmarkEnd w:id="406"/>
      <w:bookmarkEnd w:id="407"/>
      <w:bookmarkEnd w:id="414"/>
      <w:bookmarkEnd w:id="415"/>
      <w:bookmarkEnd w:id="416"/>
      <w:bookmarkEnd w:id="417"/>
    </w:p>
    <w:p w14:paraId="411A26B3">
      <w:pPr>
        <w:pStyle w:val="6"/>
        <w:spacing w:line="324" w:lineRule="auto"/>
        <w:rPr>
          <w:rFonts w:hint="eastAsia" w:ascii="宋体" w:hAnsi="宋体"/>
          <w:color w:val="000000" w:themeColor="text1"/>
          <w:szCs w:val="21"/>
          <w:highlight w:val="none"/>
          <w14:textFill>
            <w14:solidFill>
              <w14:schemeClr w14:val="tx1"/>
            </w14:solidFill>
          </w14:textFill>
        </w:rPr>
      </w:pPr>
      <w:bookmarkStart w:id="422" w:name="_Toc2085"/>
      <w:bookmarkStart w:id="423" w:name="_Toc18050"/>
      <w:bookmarkStart w:id="424" w:name="_Toc2823"/>
      <w:bookmarkStart w:id="425" w:name="_Toc17899"/>
      <w:bookmarkStart w:id="426" w:name="_Toc301187755"/>
      <w:r>
        <w:rPr>
          <w:rFonts w:hint="eastAsia" w:ascii="宋体" w:hAnsi="宋体"/>
          <w:color w:val="000000" w:themeColor="text1"/>
          <w:szCs w:val="21"/>
          <w:highlight w:val="none"/>
          <w14:textFill>
            <w14:solidFill>
              <w14:schemeClr w14:val="tx1"/>
            </w14:solidFill>
          </w14:textFill>
        </w:rPr>
        <w:t>7.4在报价评审时，如发现下列情形之一的，其磋商无效</w:t>
      </w:r>
      <w:bookmarkEnd w:id="422"/>
      <w:bookmarkEnd w:id="423"/>
      <w:bookmarkEnd w:id="424"/>
      <w:bookmarkEnd w:id="425"/>
    </w:p>
    <w:p w14:paraId="4BD26592">
      <w:pPr>
        <w:numPr>
          <w:ilvl w:val="0"/>
          <w:numId w:val="3"/>
        </w:numPr>
        <w:spacing w:line="324" w:lineRule="auto"/>
        <w:ind w:firstLine="422" w:firstLineChars="200"/>
        <w:rPr>
          <w:rFonts w:hint="eastAsia" w:ascii="宋体" w:hAnsi="宋体"/>
          <w:b/>
          <w:bCs/>
          <w:color w:val="000000" w:themeColor="text1"/>
          <w:szCs w:val="21"/>
          <w:highlight w:val="none"/>
          <w14:textFill>
            <w14:solidFill>
              <w14:schemeClr w14:val="tx1"/>
            </w14:solidFill>
          </w14:textFill>
        </w:rPr>
      </w:pPr>
      <w:bookmarkStart w:id="427" w:name="_Toc301187707"/>
      <w:bookmarkStart w:id="428" w:name="_Toc301187708"/>
      <w:r>
        <w:rPr>
          <w:rFonts w:hint="eastAsia" w:ascii="宋体" w:hAnsi="宋体"/>
          <w:b/>
          <w:bCs/>
          <w:color w:val="000000" w:themeColor="text1"/>
          <w:szCs w:val="21"/>
          <w:highlight w:val="none"/>
          <w14:textFill>
            <w14:solidFill>
              <w14:schemeClr w14:val="tx1"/>
            </w14:solidFill>
          </w14:textFill>
        </w:rPr>
        <w:t>报价（含磋商过程中的再次报价）超过竞争性磋商文件中规定的预算金额或最高限价；</w:t>
      </w:r>
      <w:bookmarkEnd w:id="427"/>
    </w:p>
    <w:bookmarkEnd w:id="428"/>
    <w:p w14:paraId="5A13088D">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29" w:name="_Toc18007"/>
      <w:r>
        <w:rPr>
          <w:rFonts w:hint="eastAsia" w:ascii="宋体" w:hAnsi="宋体"/>
          <w:color w:val="000000" w:themeColor="text1"/>
          <w:szCs w:val="21"/>
          <w:highlight w:val="none"/>
          <w14:textFill>
            <w14:solidFill>
              <w14:schemeClr w14:val="tx1"/>
            </w14:solidFill>
          </w14:textFill>
        </w:rPr>
        <w:t>（2）磋商报价具有选择性，或者出现重大偏离的；</w:t>
      </w:r>
    </w:p>
    <w:p w14:paraId="2EE517CD">
      <w:pPr>
        <w:spacing w:line="324" w:lineRule="auto"/>
        <w:ind w:firstLine="420" w:firstLineChars="200"/>
        <w:rPr>
          <w:rFonts w:hint="eastAsia" w:ascii="宋体" w:hAnsi="宋体"/>
          <w:b/>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b/>
          <w:bCs/>
          <w:color w:val="000000" w:themeColor="text1"/>
          <w:szCs w:val="21"/>
          <w:highlight w:val="none"/>
          <w14:textFill>
            <w14:solidFill>
              <w14:schemeClr w14:val="tx1"/>
            </w14:solidFill>
          </w14:textFill>
        </w:rPr>
        <w:t>报价明显低于其他通过符合性审查供应商的报价，有可能影响产品质量或者不能诚信履约的，未在磋商现场合理的时间</w:t>
      </w:r>
      <w:r>
        <w:rPr>
          <w:rFonts w:ascii="宋体" w:hAnsi="宋体"/>
          <w:b/>
          <w:color w:val="000000" w:themeColor="text1"/>
          <w:szCs w:val="21"/>
          <w:highlight w:val="none"/>
          <w14:textFill>
            <w14:solidFill>
              <w14:schemeClr w14:val="tx1"/>
            </w14:solidFill>
          </w14:textFill>
        </w:rPr>
        <w:t>内</w:t>
      </w:r>
      <w:r>
        <w:rPr>
          <w:rFonts w:hint="eastAsia" w:ascii="宋体" w:hAnsi="宋体"/>
          <w:b/>
          <w:color w:val="000000" w:themeColor="text1"/>
          <w:szCs w:val="21"/>
          <w:highlight w:val="none"/>
          <w14:textFill>
            <w14:solidFill>
              <w14:schemeClr w14:val="tx1"/>
            </w14:solidFill>
          </w14:textFill>
        </w:rPr>
        <w:t>通过政采云平台交换数据电文</w:t>
      </w:r>
      <w:r>
        <w:rPr>
          <w:rFonts w:hint="eastAsia" w:ascii="宋体" w:hAnsi="宋体"/>
          <w:b/>
          <w:bCs/>
          <w:color w:val="000000" w:themeColor="text1"/>
          <w:szCs w:val="21"/>
          <w:highlight w:val="none"/>
          <w14:textFill>
            <w14:solidFill>
              <w14:schemeClr w14:val="tx1"/>
            </w14:solidFill>
          </w14:textFill>
        </w:rPr>
        <w:t>提供说明及证明材料来证明其报价合理性的；</w:t>
      </w:r>
    </w:p>
    <w:p w14:paraId="189C96F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（4）报价有涂改，涂改处未加盖单位公章或由法定代表人（负责人）或委托代理人签字或盖章的；</w:t>
      </w:r>
    </w:p>
    <w:p w14:paraId="71891EAA">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（5）拒不接受报价错误修正或报价错误修正后未签字确认的。</w:t>
      </w:r>
    </w:p>
    <w:p w14:paraId="1790B024">
      <w:pPr>
        <w:pStyle w:val="6"/>
        <w:spacing w:line="324" w:lineRule="auto"/>
        <w:rPr>
          <w:rFonts w:hint="eastAsia" w:ascii="宋体" w:hAnsi="宋体"/>
          <w:color w:val="000000" w:themeColor="text1"/>
          <w:szCs w:val="21"/>
          <w:highlight w:val="none"/>
          <w14:textFill>
            <w14:solidFill>
              <w14:schemeClr w14:val="tx1"/>
            </w14:solidFill>
          </w14:textFill>
        </w:rPr>
      </w:pPr>
      <w:bookmarkStart w:id="430" w:name="_Toc19160"/>
      <w:bookmarkStart w:id="431" w:name="_Toc31425"/>
      <w:bookmarkStart w:id="432" w:name="_Toc26734"/>
      <w:r>
        <w:rPr>
          <w:rFonts w:hint="eastAsia" w:ascii="宋体" w:hAnsi="宋体"/>
          <w:color w:val="000000" w:themeColor="text1"/>
          <w:szCs w:val="21"/>
          <w:highlight w:val="none"/>
          <w14:textFill>
            <w14:solidFill>
              <w14:schemeClr w14:val="tx1"/>
            </w14:solidFill>
          </w14:textFill>
        </w:rPr>
        <w:t>7.5有下列情形之一的，其磋商无效</w:t>
      </w:r>
      <w:bookmarkEnd w:id="429"/>
      <w:bookmarkEnd w:id="430"/>
      <w:bookmarkEnd w:id="431"/>
      <w:bookmarkEnd w:id="432"/>
    </w:p>
    <w:p w14:paraId="7E1C404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7.5.1</w:t>
      </w:r>
      <w:r>
        <w:rPr>
          <w:rFonts w:hint="eastAsia" w:ascii="宋体" w:hAnsi="宋体"/>
          <w:color w:val="000000" w:themeColor="text1"/>
          <w:szCs w:val="21"/>
          <w:highlight w:val="none"/>
          <w14:textFill>
            <w14:solidFill>
              <w14:schemeClr w14:val="tx1"/>
            </w14:solidFill>
          </w14:textFill>
        </w:rPr>
        <w:t>供应商直接或者间接从采购人或者采购代理机构处获得其他供应商的相关情况并修改其响应文件；</w:t>
      </w:r>
    </w:p>
    <w:p w14:paraId="7F4FF9B4">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7.5.2</w:t>
      </w:r>
      <w:r>
        <w:rPr>
          <w:rFonts w:hint="eastAsia" w:ascii="宋体" w:hAnsi="宋体"/>
          <w:color w:val="000000" w:themeColor="text1"/>
          <w:szCs w:val="21"/>
          <w:highlight w:val="none"/>
          <w14:textFill>
            <w14:solidFill>
              <w14:schemeClr w14:val="tx1"/>
            </w14:solidFill>
          </w14:textFill>
        </w:rPr>
        <w:t>供应商按照采购人或者采购代理机构的授意撤换、修改响应文件；</w:t>
      </w:r>
    </w:p>
    <w:p w14:paraId="601E5452">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7.5.3</w:t>
      </w:r>
      <w:r>
        <w:rPr>
          <w:rFonts w:hint="eastAsia" w:ascii="宋体" w:hAnsi="宋体"/>
          <w:color w:val="000000" w:themeColor="text1"/>
          <w:szCs w:val="21"/>
          <w:highlight w:val="none"/>
          <w14:textFill>
            <w14:solidFill>
              <w14:schemeClr w14:val="tx1"/>
            </w14:solidFill>
          </w14:textFill>
        </w:rPr>
        <w:t>供应商之间协商响应文件的实质性内容；</w:t>
      </w:r>
    </w:p>
    <w:p w14:paraId="4B92BEDC">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7.5.4</w:t>
      </w:r>
      <w:r>
        <w:rPr>
          <w:rFonts w:hint="eastAsia" w:ascii="宋体" w:hAnsi="宋体"/>
          <w:color w:val="000000" w:themeColor="text1"/>
          <w:szCs w:val="21"/>
          <w:highlight w:val="none"/>
          <w14:textFill>
            <w14:solidFill>
              <w14:schemeClr w14:val="tx1"/>
            </w14:solidFill>
          </w14:textFill>
        </w:rPr>
        <w:t>属于同一集团、协会、商会等组织成员的供应商按照该组织要求协同参加政府采购活动；</w:t>
      </w:r>
    </w:p>
    <w:p w14:paraId="1F27F9A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7.5.5</w:t>
      </w:r>
      <w:r>
        <w:rPr>
          <w:rFonts w:hint="eastAsia" w:ascii="宋体" w:hAnsi="宋体"/>
          <w:color w:val="000000" w:themeColor="text1"/>
          <w:szCs w:val="21"/>
          <w:highlight w:val="none"/>
          <w14:textFill>
            <w14:solidFill>
              <w14:schemeClr w14:val="tx1"/>
            </w14:solidFill>
          </w14:textFill>
        </w:rPr>
        <w:t>供应商之间事先约定由某一特定供应商中标（或成交）；</w:t>
      </w:r>
    </w:p>
    <w:p w14:paraId="0CE54E6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7.5.6</w:t>
      </w:r>
      <w:r>
        <w:rPr>
          <w:rFonts w:hint="eastAsia" w:ascii="宋体" w:hAnsi="宋体"/>
          <w:color w:val="000000" w:themeColor="text1"/>
          <w:szCs w:val="21"/>
          <w:highlight w:val="none"/>
          <w14:textFill>
            <w14:solidFill>
              <w14:schemeClr w14:val="tx1"/>
            </w14:solidFill>
          </w14:textFill>
        </w:rPr>
        <w:t>供应商之间商定部分供应商放弃参加政府采购活动或者放弃成交；</w:t>
      </w:r>
    </w:p>
    <w:p w14:paraId="0B243103">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7.5.7</w:t>
      </w:r>
      <w:r>
        <w:rPr>
          <w:rFonts w:hint="eastAsia" w:ascii="宋体" w:hAnsi="宋体"/>
          <w:color w:val="000000" w:themeColor="text1"/>
          <w:szCs w:val="21"/>
          <w:highlight w:val="none"/>
          <w14:textFill>
            <w14:solidFill>
              <w14:schemeClr w14:val="tx1"/>
            </w14:solidFill>
          </w14:textFill>
        </w:rPr>
        <w:t>供应商与采购人或者采购代理机构之间、供应商相互之间，为谋求特定供应商成交或者排斥其他供应商的其他串通行为；</w:t>
      </w:r>
    </w:p>
    <w:p w14:paraId="4BCA0C41">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7.5.8</w:t>
      </w:r>
      <w:r>
        <w:rPr>
          <w:rFonts w:hint="eastAsia" w:ascii="宋体" w:hAnsi="宋体"/>
          <w:color w:val="000000" w:themeColor="text1"/>
          <w:szCs w:val="21"/>
          <w:highlight w:val="none"/>
          <w14:textFill>
            <w14:solidFill>
              <w14:schemeClr w14:val="tx1"/>
            </w14:solidFill>
          </w14:textFill>
        </w:rPr>
        <w:t>不同供应商的响应文件由同一单位或者个人编制；</w:t>
      </w:r>
    </w:p>
    <w:p w14:paraId="51AB7798">
      <w:pPr>
        <w:spacing w:line="317" w:lineRule="auto"/>
        <w:ind w:firstLine="422" w:firstLineChars="200"/>
        <w:rPr>
          <w:rFonts w:hint="eastAsia" w:ascii="宋体" w:hAnsi="宋体" w:eastAsia="宋体" w:cs="宋体"/>
          <w:b/>
          <w:bCs/>
          <w:color w:val="000000"/>
          <w:szCs w:val="21"/>
          <w:highlight w:val="none"/>
          <w:lang w:val="en-US" w:eastAsia="zh-CN"/>
        </w:rPr>
      </w:pPr>
      <w:r>
        <w:rPr>
          <w:rFonts w:hint="eastAsia" w:ascii="宋体" w:hAnsi="宋体"/>
          <w:b/>
          <w:bCs/>
          <w:color w:val="000000" w:themeColor="text1"/>
          <w:szCs w:val="21"/>
          <w:highlight w:val="none"/>
          <w:lang w:val="en-US" w:eastAsia="zh-CN"/>
          <w14:textFill>
            <w14:solidFill>
              <w14:schemeClr w14:val="tx1"/>
            </w14:solidFill>
          </w14:textFill>
        </w:rPr>
        <w:t>7.5.</w:t>
      </w:r>
      <w:r>
        <w:rPr>
          <w:rFonts w:hint="eastAsia" w:ascii="宋体" w:hAnsi="宋体" w:eastAsia="宋体" w:cs="宋体"/>
          <w:b/>
          <w:bCs/>
          <w:color w:val="000000"/>
          <w:szCs w:val="21"/>
          <w:highlight w:val="none"/>
          <w:lang w:val="en-US" w:eastAsia="zh-CN"/>
        </w:rPr>
        <w:t>9不同供应商IP地址相同，供应商未作合理说明，或理由不充分的；</w:t>
      </w:r>
    </w:p>
    <w:p w14:paraId="6743EF44">
      <w:pPr>
        <w:spacing w:line="317" w:lineRule="auto"/>
        <w:ind w:firstLine="422" w:firstLineChars="200"/>
        <w:rPr>
          <w:rFonts w:hint="eastAsia"/>
          <w:b/>
          <w:bCs/>
          <w:color w:val="000000"/>
          <w:highlight w:val="none"/>
        </w:rPr>
      </w:pPr>
      <w:r>
        <w:rPr>
          <w:rFonts w:hint="eastAsia" w:ascii="宋体" w:hAnsi="宋体"/>
          <w:b/>
          <w:bCs/>
          <w:color w:val="000000" w:themeColor="text1"/>
          <w:szCs w:val="21"/>
          <w:highlight w:val="none"/>
          <w:lang w:val="en-US" w:eastAsia="zh-CN"/>
          <w14:textFill>
            <w14:solidFill>
              <w14:schemeClr w14:val="tx1"/>
            </w14:solidFill>
          </w14:textFill>
        </w:rPr>
        <w:t>7.5.</w:t>
      </w:r>
      <w:r>
        <w:rPr>
          <w:rFonts w:hint="eastAsia" w:ascii="宋体" w:hAnsi="宋体" w:eastAsia="宋体" w:cs="宋体"/>
          <w:b/>
          <w:bCs/>
          <w:color w:val="000000"/>
          <w:szCs w:val="21"/>
          <w:highlight w:val="none"/>
          <w:lang w:val="en-US" w:eastAsia="zh-CN"/>
        </w:rPr>
        <w:t>10不同供应商MAC、设备硬件信息相同的(经核实存在串围标情形的，由财政部门按规定处理)；</w:t>
      </w:r>
    </w:p>
    <w:p w14:paraId="64ADF9E5">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p>
    <w:p w14:paraId="741F903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7.5.11</w:t>
      </w:r>
      <w:r>
        <w:rPr>
          <w:rFonts w:hint="eastAsia" w:ascii="宋体" w:hAnsi="宋体"/>
          <w:color w:val="000000" w:themeColor="text1"/>
          <w:szCs w:val="21"/>
          <w:highlight w:val="none"/>
          <w14:textFill>
            <w14:solidFill>
              <w14:schemeClr w14:val="tx1"/>
            </w14:solidFill>
          </w14:textFill>
        </w:rPr>
        <w:t>不同供应商委托同一单位或者个人办理采购磋商事宜；</w:t>
      </w:r>
    </w:p>
    <w:p w14:paraId="5E03BC54">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7.5.12</w:t>
      </w:r>
      <w:r>
        <w:rPr>
          <w:rFonts w:hint="eastAsia" w:ascii="宋体" w:hAnsi="宋体"/>
          <w:color w:val="000000" w:themeColor="text1"/>
          <w:szCs w:val="21"/>
          <w:highlight w:val="none"/>
          <w14:textFill>
            <w14:solidFill>
              <w14:schemeClr w14:val="tx1"/>
            </w14:solidFill>
          </w14:textFill>
        </w:rPr>
        <w:t>不同供应商的响应文件载明的项目管理成员或者联系人员为同一人；</w:t>
      </w:r>
    </w:p>
    <w:p w14:paraId="1C19C611">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7.5.13</w:t>
      </w:r>
      <w:r>
        <w:rPr>
          <w:rFonts w:hint="eastAsia" w:ascii="宋体" w:hAnsi="宋体"/>
          <w:color w:val="000000" w:themeColor="text1"/>
          <w:szCs w:val="21"/>
          <w:highlight w:val="none"/>
          <w14:textFill>
            <w14:solidFill>
              <w14:schemeClr w14:val="tx1"/>
            </w14:solidFill>
          </w14:textFill>
        </w:rPr>
        <w:t>不同供应商的响应文件异常一致或者报价呈规律性差异；</w:t>
      </w:r>
    </w:p>
    <w:p w14:paraId="0EE40A3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7.5.14</w:t>
      </w:r>
      <w:r>
        <w:rPr>
          <w:rFonts w:hint="eastAsia" w:ascii="宋体" w:hAnsi="宋体"/>
          <w:color w:val="000000" w:themeColor="text1"/>
          <w:szCs w:val="21"/>
          <w:highlight w:val="none"/>
          <w14:textFill>
            <w14:solidFill>
              <w14:schemeClr w14:val="tx1"/>
            </w14:solidFill>
          </w14:textFill>
        </w:rPr>
        <w:t>不同供应商的响应文件相互混装；</w:t>
      </w:r>
    </w:p>
    <w:p w14:paraId="658479AC">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7.5.15</w:t>
      </w:r>
      <w:r>
        <w:rPr>
          <w:rFonts w:hint="eastAsia" w:ascii="宋体" w:hAnsi="宋体"/>
          <w:color w:val="000000" w:themeColor="text1"/>
          <w:szCs w:val="21"/>
          <w:highlight w:val="none"/>
          <w14:textFill>
            <w14:solidFill>
              <w14:schemeClr w14:val="tx1"/>
            </w14:solidFill>
          </w14:textFill>
        </w:rPr>
        <w:t>提供虚假材料谋取成交的。</w:t>
      </w:r>
    </w:p>
    <w:bookmarkEnd w:id="426"/>
    <w:p w14:paraId="7C0845DA">
      <w:pPr>
        <w:pStyle w:val="6"/>
        <w:spacing w:line="324" w:lineRule="auto"/>
        <w:rPr>
          <w:rFonts w:hint="eastAsia" w:ascii="宋体" w:hAnsi="宋体"/>
          <w:color w:val="000000" w:themeColor="text1"/>
          <w:szCs w:val="21"/>
          <w:highlight w:val="none"/>
          <w14:textFill>
            <w14:solidFill>
              <w14:schemeClr w14:val="tx1"/>
            </w14:solidFill>
          </w14:textFill>
        </w:rPr>
      </w:pPr>
      <w:bookmarkStart w:id="433" w:name="_Toc30948"/>
      <w:bookmarkStart w:id="434" w:name="_Toc26143"/>
      <w:bookmarkStart w:id="435" w:name="_Toc14364"/>
      <w:bookmarkStart w:id="436" w:name="_Toc303756400"/>
      <w:bookmarkStart w:id="437" w:name="_Toc301187772"/>
      <w:bookmarkStart w:id="438" w:name="_Toc8446"/>
      <w:bookmarkStart w:id="439" w:name="_Toc498327059"/>
      <w:bookmarkStart w:id="440" w:name="_Toc359934597"/>
      <w:bookmarkStart w:id="441" w:name="_Toc499128604"/>
      <w:r>
        <w:rPr>
          <w:rFonts w:hint="eastAsia" w:ascii="宋体" w:hAnsi="宋体"/>
          <w:color w:val="000000" w:themeColor="text1"/>
          <w:szCs w:val="21"/>
          <w:highlight w:val="none"/>
          <w14:textFill>
            <w14:solidFill>
              <w14:schemeClr w14:val="tx1"/>
            </w14:solidFill>
          </w14:textFill>
        </w:rPr>
        <w:t>7.6突发情况处理</w:t>
      </w:r>
      <w:bookmarkEnd w:id="433"/>
      <w:bookmarkEnd w:id="434"/>
      <w:bookmarkEnd w:id="435"/>
    </w:p>
    <w:p w14:paraId="11A20DA4">
      <w:pPr>
        <w:spacing w:line="324" w:lineRule="auto"/>
        <w:ind w:firstLine="422" w:firstLineChars="200"/>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7.6.1采购过程中出现以下情形，导致政采云平台无法正常运行，或者无法保证电子交易的公平、公正和安全时，采购代理机构将中止电子交易活动：</w:t>
      </w:r>
    </w:p>
    <w:p w14:paraId="2BA525C5">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⑴电子交易平台发生故障而无法登录访问的； </w:t>
      </w:r>
    </w:p>
    <w:p w14:paraId="2D87831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⑵电子交易平台应用或数据库出现错误，不能进行正常操作的；</w:t>
      </w:r>
    </w:p>
    <w:p w14:paraId="4ABA1130">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⑶电子交易平台发现严重安全漏洞，有潜在泄密危险的；</w:t>
      </w:r>
    </w:p>
    <w:p w14:paraId="40C278AF">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⑷病毒发作导致不能进行正常操作的； </w:t>
      </w:r>
    </w:p>
    <w:p w14:paraId="6644621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⑸其他无法保证电子交易的公平、公正和安全的情况。</w:t>
      </w:r>
    </w:p>
    <w:p w14:paraId="3E9E8D0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出现前款规定情形，不影响采购公平、公正性的，采购代理机构可以待上述情形消除后继续组织电子交易活动；影响或可能影响采购公平、公正性的，应当重新组织采购。</w:t>
      </w:r>
    </w:p>
    <w:p w14:paraId="411924F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7.6.2采购代理机构或评审小组因不可抗力（不可抗力包括但不限于自然灾害、断电、传播疫病等）原因造成电子交易活动无法正常运行的，将采取以下措施：</w:t>
      </w:r>
    </w:p>
    <w:p w14:paraId="1C4C5A71">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⑴短时间内能消除不可抗力因素的，采购代理机构或评审小组在消除不可抗力因素后继续组织电子交易活动。</w:t>
      </w:r>
    </w:p>
    <w:p w14:paraId="6154BC7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⑵长时间内无法消除不可抗力因素的，采购代理机构或评审小组将中止电子交易活动。</w:t>
      </w:r>
    </w:p>
    <w:p w14:paraId="2C7A6551">
      <w:pPr>
        <w:spacing w:line="324" w:lineRule="auto"/>
        <w:ind w:firstLine="42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7.6.3中止电子交易活动的，采购人应当重新组织政府采购活动。</w:t>
      </w:r>
    </w:p>
    <w:p w14:paraId="1504CD14">
      <w:pPr>
        <w:pStyle w:val="6"/>
        <w:spacing w:line="324" w:lineRule="auto"/>
        <w:rPr>
          <w:rFonts w:hint="eastAsia" w:ascii="宋体" w:hAnsi="宋体"/>
          <w:color w:val="000000" w:themeColor="text1"/>
          <w:sz w:val="24"/>
          <w:szCs w:val="24"/>
          <w:highlight w:val="none"/>
          <w14:textFill>
            <w14:solidFill>
              <w14:schemeClr w14:val="tx1"/>
            </w14:solidFill>
          </w14:textFill>
        </w:rPr>
      </w:pPr>
      <w:bookmarkStart w:id="442" w:name="_Toc11561"/>
      <w:bookmarkStart w:id="443" w:name="_Toc22456"/>
      <w:bookmarkStart w:id="444" w:name="_Toc18912"/>
      <w:r>
        <w:rPr>
          <w:rFonts w:hint="eastAsia" w:ascii="宋体" w:hAnsi="宋体"/>
          <w:color w:val="000000" w:themeColor="text1"/>
          <w:sz w:val="24"/>
          <w:szCs w:val="24"/>
          <w:highlight w:val="none"/>
          <w14:textFill>
            <w14:solidFill>
              <w14:schemeClr w14:val="tx1"/>
            </w14:solidFill>
          </w14:textFill>
        </w:rPr>
        <w:t>8．成交和合同</w:t>
      </w:r>
      <w:bookmarkEnd w:id="436"/>
      <w:bookmarkEnd w:id="437"/>
      <w:bookmarkEnd w:id="438"/>
      <w:bookmarkEnd w:id="439"/>
      <w:bookmarkEnd w:id="440"/>
      <w:bookmarkEnd w:id="441"/>
      <w:bookmarkEnd w:id="442"/>
      <w:bookmarkEnd w:id="443"/>
      <w:bookmarkEnd w:id="444"/>
    </w:p>
    <w:p w14:paraId="6AFA9751">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445" w:name="_Toc498327060"/>
      <w:bookmarkStart w:id="446" w:name="_Toc13697"/>
      <w:bookmarkStart w:id="447" w:name="_Toc359934599"/>
      <w:bookmarkStart w:id="448" w:name="_Toc499128605"/>
      <w:bookmarkStart w:id="449" w:name="_Toc301187776"/>
      <w:bookmarkStart w:id="450" w:name="_Toc303756402"/>
      <w:r>
        <w:rPr>
          <w:rFonts w:hint="eastAsia" w:ascii="宋体" w:hAnsi="宋体"/>
          <w:b/>
          <w:bCs/>
          <w:color w:val="000000" w:themeColor="text1"/>
          <w:szCs w:val="21"/>
          <w:highlight w:val="none"/>
          <w14:textFill>
            <w14:solidFill>
              <w14:schemeClr w14:val="tx1"/>
            </w14:solidFill>
          </w14:textFill>
        </w:rPr>
        <w:t>8.1</w:t>
      </w:r>
      <w:bookmarkEnd w:id="445"/>
      <w:bookmarkEnd w:id="446"/>
      <w:bookmarkEnd w:id="447"/>
      <w:bookmarkEnd w:id="448"/>
      <w:bookmarkEnd w:id="449"/>
      <w:bookmarkEnd w:id="450"/>
      <w:r>
        <w:rPr>
          <w:rFonts w:hint="eastAsia" w:ascii="宋体" w:hAnsi="宋体"/>
          <w:b/>
          <w:bCs/>
          <w:color w:val="000000" w:themeColor="text1"/>
          <w:szCs w:val="21"/>
          <w:highlight w:val="none"/>
          <w14:textFill>
            <w14:solidFill>
              <w14:schemeClr w14:val="tx1"/>
            </w14:solidFill>
          </w14:textFill>
        </w:rPr>
        <w:t>成交</w:t>
      </w:r>
    </w:p>
    <w:p w14:paraId="4264BA71">
      <w:pPr>
        <w:spacing w:line="317" w:lineRule="auto"/>
        <w:ind w:firstLine="420" w:firstLineChars="200"/>
        <w:rPr>
          <w:rFonts w:hint="eastAsia" w:ascii="宋体" w:hAnsi="宋体" w:eastAsia="宋体" w:cs="Times New Roman"/>
          <w:color w:val="000000"/>
          <w:szCs w:val="21"/>
          <w:highlight w:val="none"/>
        </w:rPr>
      </w:pPr>
      <w:bookmarkStart w:id="451" w:name="_Toc301187777"/>
      <w:bookmarkStart w:id="452" w:name="_Toc301187781"/>
      <w:bookmarkStart w:id="453" w:name="_Toc303756403"/>
      <w:bookmarkStart w:id="454" w:name="_Toc301187783"/>
      <w:bookmarkStart w:id="455" w:name="_Toc498327061"/>
      <w:bookmarkStart w:id="456" w:name="_Toc359934600"/>
      <w:bookmarkStart w:id="457" w:name="_Toc24741"/>
      <w:bookmarkStart w:id="458" w:name="_Toc499128606"/>
      <w:r>
        <w:rPr>
          <w:rFonts w:hint="eastAsia" w:ascii="宋体" w:hAnsi="宋体" w:eastAsia="宋体" w:cs="Times New Roman"/>
          <w:color w:val="000000"/>
          <w:szCs w:val="21"/>
          <w:highlight w:val="none"/>
        </w:rPr>
        <w:t>8.1.1采购代理机构在磋商评审结束后2个工作日内将磋商评审报告提交采购人确认。</w:t>
      </w:r>
    </w:p>
    <w:p w14:paraId="1DA88F0D">
      <w:pPr>
        <w:spacing w:line="317" w:lineRule="auto"/>
        <w:ind w:firstLine="420" w:firstLineChars="200"/>
        <w:rPr>
          <w:rFonts w:hint="eastAsia" w:ascii="宋体" w:hAnsi="宋体" w:eastAsia="宋体" w:cs="Times New Roman"/>
          <w:color w:val="000000"/>
          <w:szCs w:val="21"/>
          <w:highlight w:val="none"/>
        </w:rPr>
      </w:pPr>
      <w:r>
        <w:rPr>
          <w:rFonts w:hint="eastAsia" w:ascii="宋体" w:hAnsi="宋体" w:eastAsia="宋体" w:cs="Times New Roman"/>
          <w:color w:val="000000"/>
          <w:szCs w:val="21"/>
          <w:highlight w:val="none"/>
        </w:rPr>
        <w:t>8.1.2</w:t>
      </w:r>
      <w:r>
        <w:rPr>
          <w:rFonts w:hint="eastAsia" w:ascii="宋体" w:hAnsi="宋体" w:eastAsia="宋体" w:cs="Times New Roman"/>
          <w:color w:val="000000"/>
          <w:szCs w:val="21"/>
          <w:highlight w:val="none"/>
          <w:lang w:val="en-US" w:eastAsia="zh-CN"/>
        </w:rPr>
        <w:t>采购人应当在收到评审报告后5个工作日内，从评审报告提出的成交候选供应商中，按照排序由高到低的原则确定成交供应商，也可以书面授权磋商小组直接确定成交供应商。</w:t>
      </w:r>
      <w:r>
        <w:rPr>
          <w:rFonts w:hint="eastAsia" w:ascii="宋体" w:hAnsi="宋体" w:eastAsia="宋体" w:cs="宋体"/>
          <w:color w:val="000000"/>
          <w:kern w:val="0"/>
          <w:szCs w:val="21"/>
          <w:highlight w:val="none"/>
        </w:rPr>
        <w:t>成交候选人资格按综合总得分由高到低顺序排列，得分相同的，按最后一轮的磋商报价由低到高顺序排列；综合得分相同且磋商报价相同的，采购人抽签选取成交候选人</w:t>
      </w:r>
      <w:r>
        <w:rPr>
          <w:rFonts w:hint="eastAsia" w:ascii="宋体" w:hAnsi="宋体" w:eastAsia="宋体" w:cs="宋体"/>
          <w:color w:val="000000"/>
          <w:kern w:val="0"/>
          <w:szCs w:val="21"/>
          <w:highlight w:val="none"/>
          <w:lang w:val="en-US" w:eastAsia="zh-CN"/>
        </w:rPr>
        <w:t>排名</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rPr>
        <w:t>排名第一的供应商为成交候选人</w:t>
      </w:r>
      <w:r>
        <w:rPr>
          <w:rFonts w:hint="eastAsia" w:ascii="宋体" w:hAnsi="宋体" w:eastAsia="宋体" w:cs="宋体"/>
          <w:color w:val="000000"/>
          <w:kern w:val="0"/>
          <w:szCs w:val="21"/>
          <w:highlight w:val="none"/>
          <w:lang w:eastAsia="zh-CN"/>
        </w:rPr>
        <w:t>。</w:t>
      </w:r>
      <w:r>
        <w:rPr>
          <w:rFonts w:hint="eastAsia" w:ascii="宋体" w:hAnsi="宋体" w:eastAsia="宋体" w:cs="Times New Roman"/>
          <w:color w:val="000000"/>
          <w:szCs w:val="21"/>
          <w:highlight w:val="none"/>
          <w:lang w:val="en-US" w:eastAsia="zh-CN"/>
        </w:rPr>
        <w:t>采购人逾期未确定成交供应商且不提出异议的，视为确定评审报告提出的排序第一的供应商为成交供应商。</w:t>
      </w:r>
    </w:p>
    <w:bookmarkEnd w:id="451"/>
    <w:p w14:paraId="7681F6C2">
      <w:pPr>
        <w:spacing w:line="317" w:lineRule="auto"/>
        <w:ind w:firstLine="420" w:firstLineChars="200"/>
        <w:rPr>
          <w:rFonts w:hint="eastAsia" w:ascii="宋体" w:hAnsi="宋体" w:eastAsia="宋体" w:cs="宋体"/>
          <w:color w:val="000000"/>
          <w:szCs w:val="21"/>
          <w:highlight w:val="none"/>
        </w:rPr>
      </w:pPr>
      <w:r>
        <w:rPr>
          <w:rFonts w:hint="eastAsia" w:ascii="宋体" w:hAnsi="宋体" w:eastAsia="宋体" w:cs="Times New Roman"/>
          <w:color w:val="000000"/>
          <w:szCs w:val="21"/>
          <w:highlight w:val="none"/>
        </w:rPr>
        <w:t>8.1.3采购人在收到磋商评审报告5个工作日内未按磋商评审报告推荐的成交候选人名单确定成</w:t>
      </w:r>
      <w:r>
        <w:rPr>
          <w:rFonts w:hint="eastAsia" w:ascii="宋体" w:hAnsi="宋体" w:eastAsia="宋体" w:cs="宋体"/>
          <w:color w:val="000000"/>
          <w:szCs w:val="21"/>
          <w:highlight w:val="none"/>
        </w:rPr>
        <w:t>交供应商，又不能说明合法理由的，视同按磋商评审报告推荐的顺序确定排名第一的成交候选人为成交供应商。</w:t>
      </w:r>
    </w:p>
    <w:p w14:paraId="40AA29FD">
      <w:pPr>
        <w:keepNext w:val="0"/>
        <w:keepLines w:val="0"/>
        <w:pageBreakBefore w:val="0"/>
        <w:widowControl w:val="0"/>
        <w:kinsoku/>
        <w:wordWrap/>
        <w:overflowPunct/>
        <w:topLinePunct w:val="0"/>
        <w:autoSpaceDE/>
        <w:autoSpaceDN/>
        <w:bidi w:val="0"/>
        <w:adjustRightInd/>
        <w:snapToGrid/>
        <w:spacing w:line="324" w:lineRule="auto"/>
        <w:ind w:firstLine="420" w:firstLineChars="200"/>
        <w:textAlignment w:val="auto"/>
        <w:rPr>
          <w:rFonts w:hint="eastAsia"/>
          <w:color w:val="000000"/>
          <w:highlight w:val="none"/>
        </w:rPr>
      </w:pPr>
      <w:r>
        <w:rPr>
          <w:rFonts w:hint="eastAsia" w:ascii="宋体" w:hAnsi="宋体" w:eastAsia="宋体" w:cs="Times New Roman"/>
          <w:color w:val="000000"/>
          <w:szCs w:val="21"/>
          <w:highlight w:val="none"/>
          <w:lang w:val="en-US" w:eastAsia="zh-CN"/>
        </w:rPr>
        <w:t>8.1.4被确定为成交供应商的，在“开启标书信息”后的30分钟内未提供《政府采购活动现场确认声明书》的，领取成交通知书前须向代理机构补交《政府采购活动现场确认声明书》。</w:t>
      </w:r>
    </w:p>
    <w:p w14:paraId="7E36C1DB">
      <w:pPr>
        <w:keepNext w:val="0"/>
        <w:keepLines w:val="0"/>
        <w:pageBreakBefore w:val="0"/>
        <w:widowControl w:val="0"/>
        <w:kinsoku/>
        <w:wordWrap/>
        <w:overflowPunct/>
        <w:topLinePunct w:val="0"/>
        <w:autoSpaceDE/>
        <w:autoSpaceDN/>
        <w:bidi w:val="0"/>
        <w:adjustRightInd/>
        <w:snapToGrid/>
        <w:spacing w:line="324" w:lineRule="auto"/>
        <w:ind w:firstLine="420" w:firstLineChars="200"/>
        <w:textAlignment w:val="auto"/>
        <w:rPr>
          <w:rFonts w:hint="eastAsia" w:ascii="宋体" w:hAnsi="宋体"/>
          <w:color w:val="000000"/>
          <w:szCs w:val="21"/>
          <w:highlight w:val="none"/>
        </w:rPr>
      </w:pPr>
      <w:bookmarkStart w:id="459" w:name="_Toc301187778"/>
      <w:r>
        <w:rPr>
          <w:rFonts w:hint="eastAsia" w:ascii="宋体" w:hAnsi="宋体"/>
          <w:color w:val="000000"/>
          <w:szCs w:val="21"/>
          <w:highlight w:val="none"/>
        </w:rPr>
        <w:t>8.1.</w:t>
      </w:r>
      <w:r>
        <w:rPr>
          <w:rFonts w:hint="eastAsia" w:ascii="宋体" w:hAnsi="宋体"/>
          <w:color w:val="000000"/>
          <w:szCs w:val="21"/>
          <w:highlight w:val="none"/>
          <w:lang w:val="en-US" w:eastAsia="zh-CN"/>
        </w:rPr>
        <w:t>5</w:t>
      </w:r>
      <w:r>
        <w:rPr>
          <w:rFonts w:hint="eastAsia" w:ascii="宋体" w:hAnsi="宋体"/>
          <w:color w:val="000000"/>
          <w:szCs w:val="21"/>
          <w:highlight w:val="none"/>
        </w:rPr>
        <w:t>采购人原则上应当按照排名顺序确定排名第一的成交候选人为成交供应商，排名第一的成交候选人出现下列情形之一的，</w:t>
      </w:r>
      <w:bookmarkEnd w:id="459"/>
      <w:r>
        <w:rPr>
          <w:rFonts w:hint="eastAsia" w:ascii="宋体" w:hAnsi="宋体"/>
          <w:color w:val="000000"/>
          <w:szCs w:val="21"/>
          <w:highlight w:val="none"/>
        </w:rPr>
        <w:t>采购人可</w:t>
      </w:r>
      <w:r>
        <w:rPr>
          <w:rFonts w:hint="eastAsia" w:ascii="宋体" w:hAnsi="宋体"/>
          <w:color w:val="000000"/>
          <w:szCs w:val="21"/>
          <w:highlight w:val="none"/>
          <w:lang w:val="en-US" w:eastAsia="zh-CN"/>
        </w:rPr>
        <w:t>在合格的成交候选人中按</w:t>
      </w:r>
      <w:r>
        <w:rPr>
          <w:rFonts w:hint="eastAsia" w:ascii="宋体" w:hAnsi="宋体" w:eastAsia="宋体" w:cs="Times New Roman"/>
          <w:color w:val="000000"/>
          <w:szCs w:val="21"/>
          <w:highlight w:val="none"/>
          <w:lang w:val="en-US" w:eastAsia="zh-CN"/>
        </w:rPr>
        <w:t>照排序由高到低的原则确定成交供应商或有权重新组织采购</w:t>
      </w:r>
      <w:r>
        <w:rPr>
          <w:rFonts w:hint="eastAsia" w:ascii="宋体" w:hAnsi="宋体"/>
          <w:color w:val="000000"/>
          <w:szCs w:val="21"/>
          <w:highlight w:val="none"/>
        </w:rPr>
        <w:t>：</w:t>
      </w:r>
    </w:p>
    <w:p w14:paraId="48E4FF67">
      <w:pPr>
        <w:keepNext w:val="0"/>
        <w:keepLines w:val="0"/>
        <w:pageBreakBefore w:val="0"/>
        <w:widowControl w:val="0"/>
        <w:kinsoku/>
        <w:wordWrap/>
        <w:overflowPunct/>
        <w:topLinePunct w:val="0"/>
        <w:autoSpaceDE/>
        <w:autoSpaceDN/>
        <w:bidi w:val="0"/>
        <w:adjustRightInd/>
        <w:snapToGrid/>
        <w:spacing w:line="324" w:lineRule="auto"/>
        <w:ind w:firstLine="420" w:firstLineChars="200"/>
        <w:textAlignment w:val="auto"/>
        <w:rPr>
          <w:rFonts w:hint="eastAsia" w:ascii="宋体" w:hAnsi="宋体"/>
          <w:color w:val="000000"/>
          <w:szCs w:val="21"/>
          <w:highlight w:val="none"/>
        </w:rPr>
      </w:pPr>
      <w:r>
        <w:rPr>
          <w:rFonts w:hint="eastAsia" w:ascii="宋体" w:hAnsi="宋体"/>
          <w:color w:val="000000"/>
          <w:szCs w:val="21"/>
          <w:highlight w:val="none"/>
        </w:rPr>
        <w:t>（1）成交候选人自身原因放弃中标或因不可抗力不能履行合同的；</w:t>
      </w:r>
    </w:p>
    <w:p w14:paraId="77D9476F">
      <w:pPr>
        <w:spacing w:line="317" w:lineRule="auto"/>
        <w:ind w:firstLine="420" w:firstLineChars="200"/>
        <w:rPr>
          <w:rFonts w:hint="eastAsia" w:ascii="宋体" w:hAnsi="宋体" w:eastAsia="宋体" w:cs="宋体"/>
          <w:color w:val="000000"/>
          <w:szCs w:val="21"/>
          <w:highlight w:val="none"/>
        </w:rPr>
      </w:pPr>
      <w:r>
        <w:rPr>
          <w:rFonts w:hint="eastAsia" w:ascii="宋体" w:hAnsi="宋体"/>
          <w:color w:val="000000"/>
          <w:szCs w:val="21"/>
          <w:highlight w:val="none"/>
        </w:rPr>
        <w:t>（2）经质疑，采购人审查确认因成交候选人在本次采购活动中存在违法违规行为或其他原因使</w:t>
      </w:r>
      <w:r>
        <w:rPr>
          <w:rFonts w:hint="eastAsia" w:ascii="宋体" w:hAnsi="宋体" w:eastAsia="宋体" w:cs="宋体"/>
          <w:color w:val="000000"/>
          <w:szCs w:val="21"/>
          <w:highlight w:val="none"/>
        </w:rPr>
        <w:t>质疑成立的。</w:t>
      </w:r>
      <w:bookmarkEnd w:id="452"/>
    </w:p>
    <w:p w14:paraId="4219E97C">
      <w:pPr>
        <w:spacing w:line="360" w:lineRule="auto"/>
        <w:jc w:val="left"/>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8.2追加采购</w:t>
      </w:r>
      <w:bookmarkEnd w:id="453"/>
      <w:bookmarkEnd w:id="454"/>
      <w:bookmarkEnd w:id="455"/>
      <w:bookmarkEnd w:id="456"/>
      <w:r>
        <w:rPr>
          <w:rFonts w:hint="eastAsia" w:ascii="宋体" w:hAnsi="宋体"/>
          <w:b/>
          <w:bCs/>
          <w:color w:val="000000" w:themeColor="text1"/>
          <w:szCs w:val="21"/>
          <w:highlight w:val="none"/>
          <w14:textFill>
            <w14:solidFill>
              <w14:schemeClr w14:val="tx1"/>
            </w14:solidFill>
          </w14:textFill>
        </w:rPr>
        <w:t>合同标的</w:t>
      </w:r>
      <w:bookmarkEnd w:id="457"/>
      <w:bookmarkEnd w:id="458"/>
    </w:p>
    <w:p w14:paraId="22E6D94F">
      <w:pPr>
        <w:spacing w:line="360" w:lineRule="auto"/>
        <w:ind w:firstLine="420" w:firstLineChars="200"/>
        <w:rPr>
          <w:rFonts w:hint="eastAsia" w:ascii="宋体" w:hAnsi="宋体"/>
          <w:color w:val="000000" w:themeColor="text1"/>
          <w:szCs w:val="21"/>
          <w:highlight w:val="none"/>
          <w14:textFill>
            <w14:solidFill>
              <w14:schemeClr w14:val="tx1"/>
            </w14:solidFill>
          </w14:textFill>
        </w:rPr>
      </w:pPr>
      <w:bookmarkStart w:id="460" w:name="_Toc301187784"/>
      <w:r>
        <w:rPr>
          <w:rFonts w:hint="eastAsia" w:ascii="宋体" w:hAnsi="宋体"/>
          <w:color w:val="000000" w:themeColor="text1"/>
          <w:szCs w:val="21"/>
          <w:highlight w:val="none"/>
          <w14:textFill>
            <w14:solidFill>
              <w14:schemeClr w14:val="tx1"/>
            </w14:solidFill>
          </w14:textFill>
        </w:rPr>
        <w:t>政府采购合同履行中，采购人需追加与合同标的相同的货物、工程或服务的，在不改变合同其他条款的前提下，可以与供应商签订补充合同，但所有补充合同的采购金额不得超过原合同采购金额的百分之十。</w:t>
      </w:r>
      <w:bookmarkEnd w:id="460"/>
    </w:p>
    <w:p w14:paraId="42EC1E43">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461" w:name="_Toc8479"/>
      <w:bookmarkStart w:id="462" w:name="_Toc303756404"/>
      <w:bookmarkStart w:id="463" w:name="_Toc498327062"/>
      <w:bookmarkStart w:id="464" w:name="_Toc301187785"/>
      <w:bookmarkStart w:id="465" w:name="_Toc359934601"/>
      <w:bookmarkStart w:id="466" w:name="_Toc499128607"/>
      <w:r>
        <w:rPr>
          <w:rFonts w:hint="eastAsia" w:ascii="宋体" w:hAnsi="宋体"/>
          <w:b/>
          <w:bCs/>
          <w:color w:val="000000" w:themeColor="text1"/>
          <w:szCs w:val="21"/>
          <w:highlight w:val="none"/>
          <w14:textFill>
            <w14:solidFill>
              <w14:schemeClr w14:val="tx1"/>
            </w14:solidFill>
          </w14:textFill>
        </w:rPr>
        <w:t>8.3</w:t>
      </w:r>
      <w:bookmarkEnd w:id="461"/>
      <w:bookmarkEnd w:id="462"/>
      <w:bookmarkEnd w:id="463"/>
      <w:bookmarkEnd w:id="464"/>
      <w:bookmarkEnd w:id="465"/>
      <w:bookmarkEnd w:id="466"/>
      <w:r>
        <w:rPr>
          <w:rFonts w:hint="eastAsia" w:ascii="宋体" w:hAnsi="宋体"/>
          <w:b/>
          <w:bCs/>
          <w:color w:val="000000" w:themeColor="text1"/>
          <w:szCs w:val="21"/>
          <w:highlight w:val="none"/>
          <w14:textFill>
            <w14:solidFill>
              <w14:schemeClr w14:val="tx1"/>
            </w14:solidFill>
          </w14:textFill>
        </w:rPr>
        <w:t xml:space="preserve">成交公告和成交通知书 </w:t>
      </w:r>
    </w:p>
    <w:p w14:paraId="4DDAD185">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67" w:name="_Toc301187790"/>
      <w:bookmarkStart w:id="468" w:name="_Toc303756405"/>
      <w:bookmarkStart w:id="469" w:name="_Toc301187791"/>
      <w:bookmarkStart w:id="470" w:name="_Toc498327063"/>
      <w:bookmarkStart w:id="471" w:name="_Toc26161"/>
      <w:bookmarkStart w:id="472" w:name="_Toc359934602"/>
      <w:bookmarkStart w:id="473" w:name="_Toc499128608"/>
      <w:r>
        <w:rPr>
          <w:rFonts w:hint="eastAsia" w:ascii="宋体" w:hAnsi="宋体"/>
          <w:color w:val="000000" w:themeColor="text1"/>
          <w:szCs w:val="21"/>
          <w:highlight w:val="none"/>
          <w14:textFill>
            <w14:solidFill>
              <w14:schemeClr w14:val="tx1"/>
            </w14:solidFill>
          </w14:textFill>
        </w:rPr>
        <w:t>8.3.1</w:t>
      </w:r>
      <w:bookmarkEnd w:id="467"/>
      <w:r>
        <w:rPr>
          <w:rFonts w:hint="eastAsia" w:ascii="宋体" w:hAnsi="宋体"/>
          <w:color w:val="000000" w:themeColor="text1"/>
          <w:szCs w:val="21"/>
          <w:highlight w:val="none"/>
          <w14:textFill>
            <w14:solidFill>
              <w14:schemeClr w14:val="tx1"/>
            </w14:solidFill>
          </w14:textFill>
        </w:rPr>
        <w:t>采购代理机构应当自成交人确定之日起2个工作日内，在供应商须知前附表（一）规定的网址发布成交结果。</w:t>
      </w:r>
    </w:p>
    <w:p w14:paraId="10F31D8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8.3.2成交结果公告内容包括采购人和采购代理机构的名称、地址、联系方式，项目名称和项目编号，成交人名称、地址和成交金额，主要成交标的的名称、规格型号、数量、单价、服务要求，成交公告期限以及评审专家名单，但不包括国家秘密或商业秘密。若成交人为小、微型企业的，则附《中小企业声明函》。</w:t>
      </w:r>
    </w:p>
    <w:p w14:paraId="49A2CC0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8.3.3成交公告期限为1个工作日。</w:t>
      </w:r>
    </w:p>
    <w:p w14:paraId="37A1335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8.3.4采购代理机构将线下向成交人发出成交通知书。</w:t>
      </w:r>
    </w:p>
    <w:p w14:paraId="5329779E">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8.3.5成交通知书发出后，采购人不得改变成交结果，成交人无正当理由不得放弃成交。否则将作为不良行为记录上报财政部门，由财政部门按相关法律法规给予处理。</w:t>
      </w:r>
    </w:p>
    <w:p w14:paraId="6F51D770">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474" w:name="_Toc4149"/>
      <w:r>
        <w:rPr>
          <w:rFonts w:hint="eastAsia" w:ascii="宋体" w:hAnsi="宋体"/>
          <w:b/>
          <w:bCs/>
          <w:color w:val="000000" w:themeColor="text1"/>
          <w:szCs w:val="21"/>
          <w:highlight w:val="none"/>
          <w14:textFill>
            <w14:solidFill>
              <w14:schemeClr w14:val="tx1"/>
            </w14:solidFill>
          </w14:textFill>
        </w:rPr>
        <w:t>8.4履约保证金</w:t>
      </w:r>
      <w:bookmarkEnd w:id="474"/>
    </w:p>
    <w:p w14:paraId="4DD800F8">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8.4.1履约保证金：见供应商须知前附表（一）。</w:t>
      </w:r>
    </w:p>
    <w:p w14:paraId="2B56C356">
      <w:pPr>
        <w:spacing w:line="336" w:lineRule="auto"/>
        <w:ind w:firstLine="420" w:firstLineChars="200"/>
        <w:rPr>
          <w:rFonts w:hint="eastAsia" w:ascii="宋体" w:hAnsi="宋体"/>
          <w:color w:val="000000"/>
          <w:szCs w:val="21"/>
          <w:highlight w:val="none"/>
        </w:rPr>
      </w:pPr>
      <w:r>
        <w:rPr>
          <w:rFonts w:hint="eastAsia" w:ascii="宋体" w:hAnsi="宋体"/>
          <w:color w:val="000000"/>
          <w:szCs w:val="21"/>
          <w:highlight w:val="none"/>
        </w:rPr>
        <w:t>8.4.2如果成交供应商</w:t>
      </w:r>
      <w:r>
        <w:rPr>
          <w:rFonts w:hint="eastAsia" w:ascii="宋体" w:hAnsi="宋体"/>
          <w:color w:val="000000"/>
          <w:szCs w:val="21"/>
          <w:highlight w:val="none"/>
          <w:lang w:val="en-US" w:eastAsia="zh-CN"/>
        </w:rPr>
        <w:t>未</w:t>
      </w:r>
      <w:r>
        <w:rPr>
          <w:rFonts w:hint="eastAsia" w:ascii="宋体" w:hAnsi="宋体"/>
          <w:color w:val="000000"/>
          <w:szCs w:val="21"/>
          <w:highlight w:val="none"/>
        </w:rPr>
        <w:t>能按第8.4.1条规定执行，采购人将有权取消其成交资格，并有权重新组织磋商。</w:t>
      </w:r>
    </w:p>
    <w:p w14:paraId="15E4783C">
      <w:pPr>
        <w:spacing w:line="336" w:lineRule="auto"/>
        <w:ind w:firstLine="420" w:firstLineChars="200"/>
        <w:rPr>
          <w:rFonts w:hint="eastAsia" w:ascii="宋体" w:hAnsi="宋体"/>
          <w:color w:val="000000"/>
          <w:szCs w:val="21"/>
          <w:highlight w:val="none"/>
        </w:rPr>
      </w:pPr>
      <w:r>
        <w:rPr>
          <w:rFonts w:hint="eastAsia" w:ascii="宋体" w:hAnsi="宋体"/>
          <w:color w:val="000000"/>
          <w:szCs w:val="21"/>
          <w:highlight w:val="none"/>
        </w:rPr>
        <w:t>8.4.3在履约期间，成交供应商不履行竞争性磋商文件和响应文件规定及相关承诺的，采购人有权不予返还履约保证金</w:t>
      </w:r>
      <w:r>
        <w:rPr>
          <w:rFonts w:hint="eastAsia" w:ascii="宋体" w:hAnsi="宋体"/>
          <w:color w:val="000000"/>
          <w:szCs w:val="21"/>
          <w:highlight w:val="none"/>
          <w:lang w:eastAsia="zh-CN"/>
        </w:rPr>
        <w:t>（</w:t>
      </w:r>
      <w:r>
        <w:rPr>
          <w:rFonts w:hint="eastAsia" w:ascii="宋体" w:hAnsi="宋体"/>
          <w:color w:val="000000"/>
          <w:szCs w:val="21"/>
          <w:highlight w:val="none"/>
          <w:lang w:val="en-US" w:eastAsia="zh-CN"/>
        </w:rPr>
        <w:t>如有</w:t>
      </w:r>
      <w:r>
        <w:rPr>
          <w:rFonts w:hint="eastAsia" w:ascii="宋体" w:hAnsi="宋体"/>
          <w:color w:val="000000"/>
          <w:szCs w:val="21"/>
          <w:highlight w:val="none"/>
          <w:lang w:eastAsia="zh-CN"/>
        </w:rPr>
        <w:t>）</w:t>
      </w:r>
      <w:r>
        <w:rPr>
          <w:rFonts w:hint="eastAsia" w:ascii="宋体" w:hAnsi="宋体"/>
          <w:color w:val="000000"/>
          <w:szCs w:val="21"/>
          <w:highlight w:val="none"/>
        </w:rPr>
        <w:t>。</w:t>
      </w:r>
    </w:p>
    <w:p w14:paraId="7E58AD1A">
      <w:pPr>
        <w:spacing w:line="360" w:lineRule="auto"/>
        <w:jc w:val="left"/>
        <w:rPr>
          <w:rFonts w:hint="eastAsia"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8.5合同</w:t>
      </w:r>
      <w:bookmarkEnd w:id="468"/>
      <w:bookmarkEnd w:id="469"/>
      <w:r>
        <w:rPr>
          <w:rFonts w:hint="eastAsia" w:ascii="宋体" w:hAnsi="宋体"/>
          <w:b/>
          <w:bCs/>
          <w:color w:val="000000" w:themeColor="text1"/>
          <w:szCs w:val="21"/>
          <w:highlight w:val="none"/>
          <w14:textFill>
            <w14:solidFill>
              <w14:schemeClr w14:val="tx1"/>
            </w14:solidFill>
          </w14:textFill>
        </w:rPr>
        <w:t>签订</w:t>
      </w:r>
      <w:bookmarkEnd w:id="470"/>
      <w:bookmarkEnd w:id="471"/>
      <w:bookmarkEnd w:id="472"/>
      <w:bookmarkEnd w:id="473"/>
    </w:p>
    <w:p w14:paraId="6E382F89">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75" w:name="_Toc301187792"/>
      <w:bookmarkStart w:id="476" w:name="_Toc359934603"/>
      <w:bookmarkStart w:id="477" w:name="_Toc15813254"/>
      <w:bookmarkStart w:id="478" w:name="_Toc498327064"/>
      <w:bookmarkStart w:id="479" w:name="_Toc301187794"/>
      <w:bookmarkStart w:id="480" w:name="_Toc44759274"/>
      <w:bookmarkStart w:id="481" w:name="_Toc15805937"/>
      <w:bookmarkStart w:id="482" w:name="_Toc24299"/>
      <w:bookmarkStart w:id="483" w:name="_Toc499128609"/>
      <w:bookmarkStart w:id="484" w:name="_Toc303756406"/>
      <w:bookmarkStart w:id="485" w:name="_Toc44759086"/>
      <w:r>
        <w:rPr>
          <w:rFonts w:hint="eastAsia" w:ascii="宋体" w:hAnsi="宋体"/>
          <w:color w:val="000000" w:themeColor="text1"/>
          <w:szCs w:val="21"/>
          <w:highlight w:val="none"/>
          <w14:textFill>
            <w14:solidFill>
              <w14:schemeClr w14:val="tx1"/>
            </w14:solidFill>
          </w14:textFill>
        </w:rPr>
        <w:t>8.5.1</w:t>
      </w:r>
      <w:bookmarkEnd w:id="475"/>
      <w:r>
        <w:rPr>
          <w:rFonts w:hint="eastAsia" w:ascii="宋体" w:hAnsi="宋体"/>
          <w:color w:val="000000" w:themeColor="text1"/>
          <w:szCs w:val="21"/>
          <w:highlight w:val="none"/>
          <w14:textFill>
            <w14:solidFill>
              <w14:schemeClr w14:val="tx1"/>
            </w14:solidFill>
          </w14:textFill>
        </w:rPr>
        <w:t>采购人应当自成交通知书发出之日起</w:t>
      </w:r>
      <w:r>
        <w:rPr>
          <w:rFonts w:hint="eastAsia" w:ascii="宋体" w:hAnsi="宋体"/>
          <w:color w:val="000000" w:themeColor="text1"/>
          <w:szCs w:val="21"/>
          <w:highlight w:val="none"/>
          <w:lang w:val="en-US"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0日内，按照竞争性磋商文件和响应文件的规定，与成交人签订政府采购合同。所签订的采购合同不得对竞争性磋商文件确定的事项和响应文件作出实质性修改。</w:t>
      </w:r>
    </w:p>
    <w:p w14:paraId="67DD1E87">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86" w:name="_Toc301187793"/>
      <w:r>
        <w:rPr>
          <w:rFonts w:hint="eastAsia" w:ascii="宋体" w:hAnsi="宋体"/>
          <w:color w:val="000000" w:themeColor="text1"/>
          <w:szCs w:val="21"/>
          <w:highlight w:val="none"/>
          <w14:textFill>
            <w14:solidFill>
              <w14:schemeClr w14:val="tx1"/>
            </w14:solidFill>
          </w14:textFill>
        </w:rPr>
        <w:t>8.5.2</w:t>
      </w:r>
      <w:bookmarkEnd w:id="486"/>
      <w:r>
        <w:rPr>
          <w:rFonts w:hint="eastAsia" w:ascii="宋体" w:hAnsi="宋体"/>
          <w:color w:val="000000" w:themeColor="text1"/>
          <w:szCs w:val="21"/>
          <w:highlight w:val="none"/>
          <w14:textFill>
            <w14:solidFill>
              <w14:schemeClr w14:val="tx1"/>
            </w14:solidFill>
          </w14:textFill>
        </w:rPr>
        <w:t>询问或者质疑事项可能影响中标（或成交）结果的，采购人应当暂停签订合同，已经签订合同的，应当中止履行合同。</w:t>
      </w:r>
    </w:p>
    <w:p w14:paraId="4DEB4D46">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8.5.3采购人应当自政府采购合同签订之日起2个工作日内，将政府采购合同在浙江省政府采购网（</w:t>
      </w:r>
      <w:r>
        <w:rPr>
          <w:rFonts w:hint="eastAsia" w:ascii="宋体" w:hAnsi="宋体"/>
          <w:color w:val="000000" w:themeColor="text1"/>
          <w:szCs w:val="21"/>
          <w:highlight w:val="none"/>
          <w14:textFill>
            <w14:solidFill>
              <w14:schemeClr w14:val="tx1"/>
            </w14:solidFill>
          </w14:textFill>
        </w:rPr>
        <w:fldChar w:fldCharType="begin"/>
      </w:r>
      <w:r>
        <w:rPr>
          <w:rFonts w:hint="eastAsia" w:ascii="宋体" w:hAnsi="宋体"/>
          <w:color w:val="000000" w:themeColor="text1"/>
          <w:szCs w:val="21"/>
          <w:highlight w:val="none"/>
          <w14:textFill>
            <w14:solidFill>
              <w14:schemeClr w14:val="tx1"/>
            </w14:solidFill>
          </w14:textFill>
        </w:rPr>
        <w:instrText xml:space="preserve"> HYPERLINK "http://zfcg.czt.zj.gov.cn/" </w:instrText>
      </w:r>
      <w:r>
        <w:rPr>
          <w:rFonts w:hint="eastAsia" w:ascii="宋体" w:hAnsi="宋体"/>
          <w:color w:val="000000" w:themeColor="text1"/>
          <w:szCs w:val="21"/>
          <w:highlight w:val="none"/>
          <w14:textFill>
            <w14:solidFill>
              <w14:schemeClr w14:val="tx1"/>
            </w14:solidFill>
          </w14:textFill>
        </w:rPr>
        <w:fldChar w:fldCharType="separate"/>
      </w:r>
      <w:r>
        <w:rPr>
          <w:rFonts w:hint="eastAsia" w:ascii="宋体" w:hAnsi="宋体"/>
          <w:color w:val="000000" w:themeColor="text1"/>
          <w:szCs w:val="21"/>
          <w:highlight w:val="none"/>
          <w14:textFill>
            <w14:solidFill>
              <w14:schemeClr w14:val="tx1"/>
            </w14:solidFill>
          </w14:textFill>
        </w:rPr>
        <w:t>http://zfcg.czt.zj.gov.cn/</w:t>
      </w:r>
      <w:r>
        <w:rPr>
          <w:rFonts w:hint="eastAsia" w:ascii="宋体" w:hAnsi="宋体"/>
          <w:color w:val="000000" w:themeColor="text1"/>
          <w:szCs w:val="21"/>
          <w:highlight w:val="none"/>
          <w14:textFill>
            <w14:solidFill>
              <w14:schemeClr w14:val="tx1"/>
            </w14:solidFill>
          </w14:textFill>
        </w:rPr>
        <w:fldChar w:fldCharType="end"/>
      </w:r>
      <w:r>
        <w:rPr>
          <w:rFonts w:hint="eastAsia" w:ascii="宋体" w:hAnsi="宋体"/>
          <w:color w:val="000000" w:themeColor="text1"/>
          <w:szCs w:val="21"/>
          <w:highlight w:val="none"/>
          <w14:textFill>
            <w14:solidFill>
              <w14:schemeClr w14:val="tx1"/>
            </w14:solidFill>
          </w14:textFill>
        </w:rPr>
        <w:t>）上公告，但政府采购合同中涉及国家秘密、商业秘密的内容除外。</w:t>
      </w:r>
    </w:p>
    <w:bookmarkEnd w:id="476"/>
    <w:bookmarkEnd w:id="477"/>
    <w:bookmarkEnd w:id="478"/>
    <w:bookmarkEnd w:id="479"/>
    <w:bookmarkEnd w:id="480"/>
    <w:bookmarkEnd w:id="481"/>
    <w:bookmarkEnd w:id="482"/>
    <w:bookmarkEnd w:id="483"/>
    <w:bookmarkEnd w:id="484"/>
    <w:bookmarkEnd w:id="485"/>
    <w:p w14:paraId="698E46C2">
      <w:pPr>
        <w:spacing w:line="360" w:lineRule="auto"/>
        <w:jc w:val="left"/>
        <w:rPr>
          <w:rFonts w:hint="eastAsia" w:ascii="宋体" w:hAnsi="宋体"/>
          <w:b/>
          <w:bCs/>
          <w:color w:val="000000" w:themeColor="text1"/>
          <w:szCs w:val="21"/>
          <w:highlight w:val="none"/>
          <w14:textFill>
            <w14:solidFill>
              <w14:schemeClr w14:val="tx1"/>
            </w14:solidFill>
          </w14:textFill>
        </w:rPr>
      </w:pPr>
      <w:bookmarkStart w:id="487" w:name="_Toc303756407"/>
      <w:bookmarkStart w:id="488" w:name="_Toc283042122"/>
      <w:bookmarkStart w:id="489" w:name="_Toc2946"/>
      <w:bookmarkStart w:id="490" w:name="_Toc208886771"/>
      <w:bookmarkStart w:id="491" w:name="_Toc359934604"/>
      <w:bookmarkStart w:id="492" w:name="_Toc499128613"/>
      <w:bookmarkStart w:id="493" w:name="_Toc498327068"/>
      <w:bookmarkStart w:id="494" w:name="_Toc301187800"/>
      <w:bookmarkStart w:id="495" w:name="_Toc15568"/>
      <w:r>
        <w:rPr>
          <w:rFonts w:hint="eastAsia" w:ascii="宋体" w:hAnsi="宋体"/>
          <w:b/>
          <w:bCs/>
          <w:color w:val="000000" w:themeColor="text1"/>
          <w:szCs w:val="21"/>
          <w:highlight w:val="none"/>
          <w14:textFill>
            <w14:solidFill>
              <w14:schemeClr w14:val="tx1"/>
            </w14:solidFill>
          </w14:textFill>
        </w:rPr>
        <w:t>9．其他事项</w:t>
      </w:r>
      <w:bookmarkEnd w:id="487"/>
      <w:bookmarkEnd w:id="488"/>
      <w:bookmarkEnd w:id="489"/>
      <w:bookmarkEnd w:id="490"/>
      <w:bookmarkEnd w:id="491"/>
      <w:bookmarkEnd w:id="492"/>
      <w:bookmarkEnd w:id="493"/>
      <w:bookmarkEnd w:id="494"/>
      <w:bookmarkEnd w:id="495"/>
    </w:p>
    <w:p w14:paraId="2159F50C">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96" w:name="_Toc301187801"/>
      <w:r>
        <w:rPr>
          <w:rFonts w:hint="eastAsia" w:ascii="宋体" w:hAnsi="宋体"/>
          <w:color w:val="000000" w:themeColor="text1"/>
          <w:szCs w:val="21"/>
          <w:highlight w:val="none"/>
          <w14:textFill>
            <w14:solidFill>
              <w14:schemeClr w14:val="tx1"/>
            </w14:solidFill>
          </w14:textFill>
        </w:rPr>
        <w:t>9.1本竞争性磋商文件所称的“以上”、“以下”、“以内”、“届满”，包括本数；所称的“不满”、“超过”、“以外”，不包括本数。采购文件内另行标明的除外。</w:t>
      </w:r>
    </w:p>
    <w:bookmarkEnd w:id="496"/>
    <w:p w14:paraId="21BC324B">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9.2竞争性磋商文件编制依据和解释权。</w:t>
      </w:r>
    </w:p>
    <w:p w14:paraId="359C1367">
      <w:pPr>
        <w:spacing w:line="324" w:lineRule="auto"/>
        <w:ind w:firstLine="420" w:firstLineChars="200"/>
        <w:rPr>
          <w:rFonts w:hint="eastAsia" w:ascii="宋体" w:hAnsi="宋体"/>
          <w:color w:val="000000" w:themeColor="text1"/>
          <w:szCs w:val="21"/>
          <w:highlight w:val="none"/>
          <w14:textFill>
            <w14:solidFill>
              <w14:schemeClr w14:val="tx1"/>
            </w14:solidFill>
          </w14:textFill>
        </w:rPr>
      </w:pPr>
      <w:bookmarkStart w:id="497" w:name="_Toc301187802"/>
      <w:r>
        <w:rPr>
          <w:rFonts w:hint="eastAsia" w:ascii="宋体" w:hAnsi="宋体"/>
          <w:color w:val="000000" w:themeColor="text1"/>
          <w:szCs w:val="21"/>
          <w:highlight w:val="none"/>
          <w14:textFill>
            <w14:solidFill>
              <w14:schemeClr w14:val="tx1"/>
            </w14:solidFill>
          </w14:textFill>
        </w:rPr>
        <w:t>本竞争性磋商文件是根据国家、省、地方现行有关规定和参照国际惯例编制，凡属竞争性磋商文件未规定内容将根据国家、省、地方现行有关规定执行。本竞争性磋商文件解释权属采购人和采购代理机构。</w:t>
      </w:r>
      <w:bookmarkEnd w:id="497"/>
    </w:p>
    <w:p w14:paraId="4A059AB9">
      <w:pPr>
        <w:spacing w:line="324" w:lineRule="auto"/>
        <w:ind w:firstLine="420" w:firstLineChars="200"/>
        <w:rPr>
          <w:rStyle w:val="114"/>
          <w:rFonts w:hint="eastAsia"/>
          <w:b/>
          <w:bCs/>
          <w:color w:val="000000" w:themeColor="text1"/>
          <w:szCs w:val="22"/>
          <w:highlight w:val="none"/>
          <w14:textFill>
            <w14:solidFill>
              <w14:schemeClr w14:val="tx1"/>
            </w14:solidFill>
          </w14:textFill>
        </w:rPr>
      </w:pPr>
      <w:bookmarkStart w:id="498" w:name="_Toc301187803"/>
      <w:r>
        <w:rPr>
          <w:rFonts w:hint="eastAsia" w:ascii="宋体" w:hAnsi="宋体"/>
          <w:color w:val="000000" w:themeColor="text1"/>
          <w:szCs w:val="21"/>
          <w:highlight w:val="none"/>
          <w14:textFill>
            <w14:solidFill>
              <w14:schemeClr w14:val="tx1"/>
            </w14:solidFill>
          </w14:textFill>
        </w:rPr>
        <w:t>9.3采购代理机构对定标结果不负责解释。</w:t>
      </w:r>
      <w:bookmarkEnd w:id="498"/>
    </w:p>
    <w:p w14:paraId="297397F1">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5FED6E00">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15FC1294">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33F105A6">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6316F9E7">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1BCEA193">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721B3EF8">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0C34054B">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4554BA1D">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4D435327">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06EAD767">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7AAFAF9B">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0B899813">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492F9251">
      <w:pPr>
        <w:pStyle w:val="5"/>
        <w:keepNext w:val="0"/>
        <w:keepLines w:val="0"/>
        <w:snapToGrid w:val="0"/>
        <w:spacing w:line="348" w:lineRule="auto"/>
        <w:rPr>
          <w:rStyle w:val="114"/>
          <w:rFonts w:hint="eastAsia"/>
          <w:b/>
          <w:bCs/>
          <w:color w:val="000000" w:themeColor="text1"/>
          <w:szCs w:val="22"/>
          <w:highlight w:val="none"/>
          <w14:textFill>
            <w14:solidFill>
              <w14:schemeClr w14:val="tx1"/>
            </w14:solidFill>
          </w14:textFill>
        </w:rPr>
      </w:pPr>
    </w:p>
    <w:p w14:paraId="6E2CE3E5">
      <w:pPr>
        <w:pStyle w:val="5"/>
        <w:keepNext w:val="0"/>
        <w:keepLines w:val="0"/>
        <w:snapToGrid w:val="0"/>
        <w:spacing w:line="348" w:lineRule="auto"/>
        <w:rPr>
          <w:rStyle w:val="114"/>
          <w:b/>
          <w:bCs/>
          <w:color w:val="000000" w:themeColor="text1"/>
          <w:szCs w:val="22"/>
          <w:highlight w:val="none"/>
          <w14:textFill>
            <w14:solidFill>
              <w14:schemeClr w14:val="tx1"/>
            </w14:solidFill>
          </w14:textFill>
        </w:rPr>
      </w:pPr>
      <w:bookmarkStart w:id="499" w:name="_Toc24288"/>
      <w:r>
        <w:rPr>
          <w:rStyle w:val="114"/>
          <w:rFonts w:hint="eastAsia"/>
          <w:b/>
          <w:bCs/>
          <w:color w:val="000000" w:themeColor="text1"/>
          <w:szCs w:val="22"/>
          <w:highlight w:val="none"/>
          <w14:textFill>
            <w14:solidFill>
              <w14:schemeClr w14:val="tx1"/>
            </w14:solidFill>
          </w14:textFill>
        </w:rPr>
        <w:t>第四章 合同主要条款</w:t>
      </w:r>
      <w:bookmarkEnd w:id="75"/>
      <w:bookmarkEnd w:id="499"/>
    </w:p>
    <w:p w14:paraId="19034DEF">
      <w:pPr>
        <w:jc w:val="center"/>
        <w:rPr>
          <w:rFonts w:hint="eastAsia" w:ascii="宋体" w:hAnsi="宋体" w:eastAsia="宋体" w:cs="宋体"/>
          <w:b/>
          <w:color w:val="000000"/>
          <w:sz w:val="32"/>
          <w:szCs w:val="32"/>
          <w:highlight w:val="none"/>
        </w:rPr>
      </w:pPr>
      <w:bookmarkStart w:id="500" w:name="_Toc303756412"/>
      <w:bookmarkStart w:id="501" w:name="_Toc24965"/>
    </w:p>
    <w:p w14:paraId="5D4BF17F">
      <w:pPr>
        <w:jc w:val="center"/>
        <w:rPr>
          <w:rFonts w:hint="eastAsia" w:ascii="宋体" w:hAnsi="宋体" w:eastAsia="宋体" w:cs="宋体"/>
          <w:b/>
          <w:color w:val="000000"/>
          <w:sz w:val="21"/>
          <w:szCs w:val="21"/>
          <w:highlight w:val="none"/>
        </w:rPr>
      </w:pPr>
    </w:p>
    <w:p w14:paraId="11F2ABD6">
      <w:pPr>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政府采购合同参考范本</w:t>
      </w:r>
    </w:p>
    <w:p w14:paraId="237B642A">
      <w:pPr>
        <w:pStyle w:val="216"/>
        <w:jc w:val="center"/>
        <w:rPr>
          <w:rFonts w:hint="eastAsia" w:ascii="宋体" w:hAnsi="宋体" w:eastAsia="宋体" w:cs="宋体"/>
          <w:color w:val="000000"/>
          <w:sz w:val="21"/>
          <w:szCs w:val="21"/>
          <w:highlight w:val="none"/>
        </w:rPr>
      </w:pPr>
      <w:bookmarkStart w:id="502" w:name="_Toc21781"/>
      <w:bookmarkStart w:id="503" w:name="_Toc27512"/>
      <w:bookmarkStart w:id="504" w:name="_Toc23558"/>
      <w:bookmarkStart w:id="505" w:name="_Toc31929"/>
      <w:bookmarkStart w:id="506" w:name="_Toc18072597"/>
      <w:bookmarkStart w:id="507" w:name="_Toc7589"/>
      <w:bookmarkStart w:id="508" w:name="_Toc6885"/>
      <w:r>
        <w:rPr>
          <w:rFonts w:hint="eastAsia" w:ascii="宋体" w:hAnsi="宋体" w:eastAsia="宋体" w:cs="宋体"/>
          <w:color w:val="000000"/>
          <w:sz w:val="21"/>
          <w:szCs w:val="21"/>
          <w:highlight w:val="none"/>
        </w:rPr>
        <w:t>（服务类）</w:t>
      </w:r>
      <w:bookmarkEnd w:id="502"/>
      <w:bookmarkEnd w:id="503"/>
      <w:bookmarkEnd w:id="504"/>
      <w:bookmarkEnd w:id="505"/>
      <w:bookmarkEnd w:id="506"/>
      <w:bookmarkEnd w:id="507"/>
      <w:bookmarkEnd w:id="508"/>
    </w:p>
    <w:p w14:paraId="2B7AEF60">
      <w:pPr>
        <w:pStyle w:val="53"/>
        <w:spacing w:line="360" w:lineRule="auto"/>
        <w:ind w:firstLine="0"/>
        <w:rPr>
          <w:rFonts w:hint="eastAsia" w:ascii="宋体" w:hAnsi="宋体" w:eastAsia="宋体" w:cs="宋体"/>
          <w:b/>
          <w:sz w:val="21"/>
          <w:szCs w:val="21"/>
          <w:highlight w:val="none"/>
        </w:rPr>
      </w:pPr>
    </w:p>
    <w:p w14:paraId="48D56CFD">
      <w:pPr>
        <w:pStyle w:val="53"/>
        <w:spacing w:line="360" w:lineRule="auto"/>
        <w:ind w:firstLine="0"/>
        <w:rPr>
          <w:rFonts w:hint="eastAsia" w:ascii="宋体" w:hAnsi="宋体" w:eastAsia="宋体" w:cs="宋体"/>
          <w:b/>
          <w:sz w:val="21"/>
          <w:szCs w:val="21"/>
          <w:highlight w:val="none"/>
        </w:rPr>
      </w:pPr>
    </w:p>
    <w:p w14:paraId="10309BBE">
      <w:pPr>
        <w:pStyle w:val="53"/>
        <w:spacing w:line="360" w:lineRule="auto"/>
        <w:ind w:firstLine="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第一部分 合同书</w:t>
      </w:r>
    </w:p>
    <w:p w14:paraId="7FF98D99">
      <w:pPr>
        <w:pStyle w:val="53"/>
        <w:spacing w:line="360" w:lineRule="auto"/>
        <w:ind w:firstLine="0"/>
        <w:rPr>
          <w:rFonts w:hint="eastAsia" w:ascii="宋体" w:hAnsi="宋体" w:eastAsia="宋体" w:cs="宋体"/>
          <w:sz w:val="21"/>
          <w:szCs w:val="21"/>
          <w:highlight w:val="none"/>
        </w:rPr>
      </w:pPr>
    </w:p>
    <w:p w14:paraId="34B84855">
      <w:pPr>
        <w:spacing w:line="360" w:lineRule="auto"/>
        <w:ind w:left="960"/>
        <w:rPr>
          <w:rFonts w:hint="eastAsia" w:ascii="宋体" w:hAnsi="宋体" w:eastAsia="宋体" w:cs="宋体"/>
          <w:sz w:val="21"/>
          <w:szCs w:val="21"/>
          <w:highlight w:val="none"/>
        </w:rPr>
      </w:pPr>
      <w:r>
        <w:rPr>
          <w:rFonts w:hint="eastAsia" w:ascii="宋体" w:hAnsi="宋体" w:eastAsia="宋体" w:cs="宋体"/>
          <w:sz w:val="21"/>
          <w:szCs w:val="21"/>
          <w:highlight w:val="none"/>
        </w:rPr>
        <w:t>项目编号：</w:t>
      </w:r>
      <w:r>
        <w:rPr>
          <w:rFonts w:hint="eastAsia" w:ascii="宋体" w:hAnsi="宋体" w:eastAsia="宋体" w:cs="宋体"/>
          <w:sz w:val="21"/>
          <w:szCs w:val="21"/>
          <w:highlight w:val="none"/>
          <w:u w:val="single"/>
        </w:rPr>
        <w:t xml:space="preserve">                                   </w:t>
      </w:r>
    </w:p>
    <w:p w14:paraId="25DA047E">
      <w:pPr>
        <w:spacing w:line="360" w:lineRule="auto"/>
        <w:rPr>
          <w:rFonts w:hint="eastAsia" w:ascii="宋体" w:hAnsi="宋体" w:eastAsia="宋体" w:cs="宋体"/>
          <w:sz w:val="21"/>
          <w:szCs w:val="21"/>
          <w:highlight w:val="none"/>
        </w:rPr>
      </w:pPr>
    </w:p>
    <w:p w14:paraId="0DE917CF">
      <w:pPr>
        <w:spacing w:line="360" w:lineRule="auto"/>
        <w:ind w:left="96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项目名称：</w:t>
      </w:r>
      <w:r>
        <w:rPr>
          <w:rFonts w:hint="eastAsia" w:ascii="宋体" w:hAnsi="宋体" w:eastAsia="宋体" w:cs="宋体"/>
          <w:sz w:val="21"/>
          <w:szCs w:val="21"/>
          <w:highlight w:val="none"/>
          <w:u w:val="single"/>
        </w:rPr>
        <w:t xml:space="preserve">                                   </w:t>
      </w:r>
    </w:p>
    <w:p w14:paraId="7621ECD3">
      <w:pPr>
        <w:pStyle w:val="217"/>
        <w:rPr>
          <w:rFonts w:hint="eastAsia" w:ascii="宋体" w:hAnsi="宋体" w:eastAsia="宋体" w:cs="宋体"/>
          <w:sz w:val="21"/>
          <w:szCs w:val="21"/>
          <w:highlight w:val="none"/>
        </w:rPr>
      </w:pPr>
    </w:p>
    <w:p w14:paraId="2CA10185">
      <w:pPr>
        <w:spacing w:line="360" w:lineRule="auto"/>
        <w:ind w:left="96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甲方：</w:t>
      </w:r>
      <w:r>
        <w:rPr>
          <w:rFonts w:hint="eastAsia" w:ascii="宋体" w:hAnsi="宋体" w:eastAsia="宋体" w:cs="宋体"/>
          <w:sz w:val="21"/>
          <w:szCs w:val="21"/>
          <w:highlight w:val="none"/>
          <w:u w:val="single"/>
        </w:rPr>
        <w:t xml:space="preserve">                                       </w:t>
      </w:r>
    </w:p>
    <w:p w14:paraId="0C067554">
      <w:pPr>
        <w:spacing w:line="360" w:lineRule="auto"/>
        <w:rPr>
          <w:rFonts w:hint="eastAsia" w:ascii="宋体" w:hAnsi="宋体" w:eastAsia="宋体" w:cs="宋体"/>
          <w:sz w:val="21"/>
          <w:szCs w:val="21"/>
          <w:highlight w:val="none"/>
        </w:rPr>
      </w:pPr>
    </w:p>
    <w:p w14:paraId="58437C79">
      <w:pPr>
        <w:spacing w:line="360" w:lineRule="auto"/>
        <w:ind w:left="96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乙方：</w:t>
      </w:r>
      <w:r>
        <w:rPr>
          <w:rFonts w:hint="eastAsia" w:ascii="宋体" w:hAnsi="宋体" w:eastAsia="宋体" w:cs="宋体"/>
          <w:sz w:val="21"/>
          <w:szCs w:val="21"/>
          <w:highlight w:val="none"/>
          <w:u w:val="single"/>
        </w:rPr>
        <w:t xml:space="preserve">                                       </w:t>
      </w:r>
    </w:p>
    <w:p w14:paraId="45867ABD">
      <w:pPr>
        <w:spacing w:line="360" w:lineRule="auto"/>
        <w:rPr>
          <w:rFonts w:hint="eastAsia" w:ascii="宋体" w:hAnsi="宋体" w:eastAsia="宋体" w:cs="宋体"/>
          <w:sz w:val="21"/>
          <w:szCs w:val="21"/>
          <w:highlight w:val="none"/>
        </w:rPr>
      </w:pPr>
    </w:p>
    <w:p w14:paraId="2806CFE3">
      <w:pPr>
        <w:spacing w:line="360" w:lineRule="auto"/>
        <w:ind w:firstLine="840" w:firstLineChars="40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签订地：</w:t>
      </w:r>
      <w:r>
        <w:rPr>
          <w:rFonts w:hint="eastAsia" w:ascii="宋体" w:hAnsi="宋体" w:eastAsia="宋体" w:cs="宋体"/>
          <w:sz w:val="21"/>
          <w:szCs w:val="21"/>
          <w:highlight w:val="none"/>
          <w:u w:val="single"/>
        </w:rPr>
        <w:t xml:space="preserve">                                     </w:t>
      </w:r>
    </w:p>
    <w:p w14:paraId="2A9E5C2E">
      <w:pPr>
        <w:spacing w:line="360" w:lineRule="auto"/>
        <w:rPr>
          <w:rFonts w:hint="eastAsia" w:ascii="宋体" w:hAnsi="宋体" w:eastAsia="宋体" w:cs="宋体"/>
          <w:sz w:val="21"/>
          <w:szCs w:val="21"/>
          <w:highlight w:val="none"/>
        </w:rPr>
      </w:pPr>
    </w:p>
    <w:p w14:paraId="523D5D49">
      <w:pPr>
        <w:spacing w:line="360" w:lineRule="auto"/>
        <w:ind w:firstLine="840" w:firstLineChars="400"/>
        <w:rPr>
          <w:rFonts w:hint="eastAsia" w:ascii="宋体" w:hAnsi="宋体" w:eastAsia="宋体" w:cs="宋体"/>
          <w:sz w:val="21"/>
          <w:szCs w:val="21"/>
          <w:highlight w:val="none"/>
        </w:rPr>
      </w:pPr>
      <w:r>
        <w:rPr>
          <w:rFonts w:hint="eastAsia" w:ascii="宋体" w:hAnsi="宋体" w:eastAsia="宋体" w:cs="宋体"/>
          <w:sz w:val="21"/>
          <w:szCs w:val="21"/>
          <w:highlight w:val="none"/>
        </w:rPr>
        <w:t>签订日期：</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年</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月</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w:t>
      </w:r>
    </w:p>
    <w:p w14:paraId="79324DAE">
      <w:pPr>
        <w:rPr>
          <w:rFonts w:hint="eastAsia" w:ascii="宋体" w:hAnsi="宋体" w:eastAsia="宋体" w:cs="宋体"/>
          <w:sz w:val="21"/>
          <w:szCs w:val="21"/>
          <w:highlight w:val="none"/>
        </w:rPr>
      </w:pPr>
    </w:p>
    <w:p w14:paraId="1DB3E6F6">
      <w:pPr>
        <w:rPr>
          <w:rFonts w:hint="eastAsia" w:ascii="宋体" w:hAnsi="宋体" w:eastAsia="宋体" w:cs="宋体"/>
          <w:sz w:val="21"/>
          <w:szCs w:val="21"/>
          <w:highlight w:val="none"/>
        </w:rPr>
      </w:pPr>
    </w:p>
    <w:p w14:paraId="7DE2A33D">
      <w:pPr>
        <w:rPr>
          <w:rFonts w:hint="eastAsia" w:ascii="宋体" w:hAnsi="宋体" w:eastAsia="宋体" w:cs="宋体"/>
          <w:sz w:val="21"/>
          <w:szCs w:val="21"/>
          <w:highlight w:val="none"/>
        </w:rPr>
      </w:pPr>
    </w:p>
    <w:p w14:paraId="51F08B99">
      <w:pPr>
        <w:rPr>
          <w:rFonts w:hint="eastAsia" w:ascii="宋体" w:hAnsi="宋体" w:eastAsia="宋体" w:cs="宋体"/>
          <w:sz w:val="21"/>
          <w:szCs w:val="21"/>
          <w:highlight w:val="none"/>
        </w:rPr>
      </w:pPr>
    </w:p>
    <w:p w14:paraId="3B015B7B">
      <w:pPr>
        <w:rPr>
          <w:rFonts w:hint="eastAsia" w:ascii="宋体" w:hAnsi="宋体" w:eastAsia="宋体" w:cs="宋体"/>
          <w:sz w:val="21"/>
          <w:szCs w:val="21"/>
          <w:highlight w:val="none"/>
        </w:rPr>
      </w:pPr>
    </w:p>
    <w:p w14:paraId="48249EF1">
      <w:pPr>
        <w:rPr>
          <w:rFonts w:hint="eastAsia" w:ascii="宋体" w:hAnsi="宋体" w:eastAsia="宋体" w:cs="宋体"/>
          <w:sz w:val="21"/>
          <w:szCs w:val="21"/>
          <w:highlight w:val="none"/>
        </w:rPr>
      </w:pPr>
    </w:p>
    <w:p w14:paraId="7FA0E446">
      <w:pPr>
        <w:rPr>
          <w:rFonts w:hint="eastAsia" w:ascii="宋体" w:hAnsi="宋体" w:eastAsia="宋体" w:cs="宋体"/>
          <w:sz w:val="21"/>
          <w:szCs w:val="21"/>
          <w:highlight w:val="none"/>
        </w:rPr>
      </w:pPr>
    </w:p>
    <w:p w14:paraId="202A19E9">
      <w:pPr>
        <w:rPr>
          <w:rFonts w:hint="eastAsia" w:ascii="宋体" w:hAnsi="宋体" w:eastAsia="宋体" w:cs="宋体"/>
          <w:sz w:val="21"/>
          <w:szCs w:val="21"/>
          <w:highlight w:val="none"/>
        </w:rPr>
      </w:pPr>
    </w:p>
    <w:p w14:paraId="2CAFD9AA">
      <w:pPr>
        <w:rPr>
          <w:rFonts w:hint="eastAsia" w:ascii="宋体" w:hAnsi="宋体" w:eastAsia="宋体" w:cs="宋体"/>
          <w:sz w:val="21"/>
          <w:szCs w:val="21"/>
          <w:highlight w:val="none"/>
        </w:rPr>
      </w:pPr>
    </w:p>
    <w:p w14:paraId="05C3F207">
      <w:pPr>
        <w:rPr>
          <w:rFonts w:hint="eastAsia" w:ascii="宋体" w:hAnsi="宋体" w:eastAsia="宋体" w:cs="宋体"/>
          <w:sz w:val="21"/>
          <w:szCs w:val="21"/>
          <w:highlight w:val="none"/>
        </w:rPr>
      </w:pPr>
    </w:p>
    <w:p w14:paraId="26DF4DFD">
      <w:pPr>
        <w:rPr>
          <w:rFonts w:hint="eastAsia" w:ascii="宋体" w:hAnsi="宋体" w:eastAsia="宋体" w:cs="宋体"/>
          <w:sz w:val="21"/>
          <w:szCs w:val="21"/>
          <w:highlight w:val="none"/>
        </w:rPr>
      </w:pPr>
    </w:p>
    <w:p w14:paraId="0ADE0FBB">
      <w:pPr>
        <w:rPr>
          <w:rFonts w:hint="eastAsia" w:ascii="宋体" w:hAnsi="宋体" w:eastAsia="宋体" w:cs="宋体"/>
          <w:sz w:val="21"/>
          <w:szCs w:val="21"/>
          <w:highlight w:val="none"/>
        </w:rPr>
      </w:pPr>
    </w:p>
    <w:p w14:paraId="5142862E">
      <w:pPr>
        <w:rPr>
          <w:rFonts w:hint="eastAsia" w:ascii="宋体" w:hAnsi="宋体" w:eastAsia="宋体" w:cs="宋体"/>
          <w:sz w:val="21"/>
          <w:szCs w:val="21"/>
          <w:highlight w:val="none"/>
        </w:rPr>
      </w:pPr>
    </w:p>
    <w:p w14:paraId="72186211">
      <w:pPr>
        <w:rPr>
          <w:rFonts w:hint="eastAsia" w:ascii="宋体" w:hAnsi="宋体" w:eastAsia="宋体" w:cs="宋体"/>
          <w:sz w:val="21"/>
          <w:szCs w:val="21"/>
          <w:highlight w:val="none"/>
        </w:rPr>
      </w:pPr>
    </w:p>
    <w:p w14:paraId="1F4DA0AD">
      <w:pPr>
        <w:rPr>
          <w:rFonts w:hint="eastAsia" w:ascii="宋体" w:hAnsi="宋体" w:eastAsia="宋体" w:cs="宋体"/>
          <w:sz w:val="21"/>
          <w:szCs w:val="21"/>
          <w:highlight w:val="none"/>
        </w:rPr>
      </w:pPr>
    </w:p>
    <w:p w14:paraId="4362BDF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u w:val="single"/>
          <w:lang w:val="zh-CN"/>
        </w:rPr>
        <w:br w:type="page"/>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lang w:val="zh-CN"/>
        </w:rPr>
        <w:t>年</w:t>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lang w:val="zh-CN"/>
        </w:rPr>
        <w:t>月</w:t>
      </w:r>
      <w:r>
        <w:rPr>
          <w:rFonts w:hint="eastAsia" w:ascii="宋体" w:hAnsi="宋体" w:eastAsia="宋体" w:cs="宋体"/>
          <w:sz w:val="21"/>
          <w:szCs w:val="21"/>
          <w:highlight w:val="none"/>
          <w:u w:val="single"/>
          <w:lang w:val="zh-CN"/>
        </w:rPr>
        <w:t xml:space="preserve">    </w:t>
      </w:r>
      <w:r>
        <w:rPr>
          <w:rFonts w:hint="eastAsia" w:ascii="宋体" w:hAnsi="宋体" w:eastAsia="宋体" w:cs="宋体"/>
          <w:sz w:val="21"/>
          <w:szCs w:val="21"/>
          <w:highlight w:val="none"/>
          <w:lang w:val="zh-CN"/>
        </w:rPr>
        <w:t>日</w:t>
      </w:r>
      <w:r>
        <w:rPr>
          <w:rFonts w:hint="eastAsia" w:ascii="宋体" w:hAnsi="宋体" w:eastAsia="宋体" w:cs="宋体"/>
          <w:sz w:val="21"/>
          <w:szCs w:val="21"/>
          <w:highlight w:val="none"/>
        </w:rPr>
        <w:t>，</w:t>
      </w:r>
      <w:r>
        <w:rPr>
          <w:rFonts w:hint="eastAsia" w:ascii="宋体" w:hAnsi="宋体" w:eastAsia="宋体" w:cs="宋体"/>
          <w:sz w:val="21"/>
          <w:szCs w:val="21"/>
          <w:highlight w:val="none"/>
          <w:u w:val="single"/>
        </w:rPr>
        <w:t xml:space="preserve">   （采购人名称）   </w:t>
      </w:r>
      <w:r>
        <w:rPr>
          <w:rFonts w:hint="eastAsia" w:ascii="宋体" w:hAnsi="宋体" w:eastAsia="宋体" w:cs="宋体"/>
          <w:sz w:val="21"/>
          <w:szCs w:val="21"/>
          <w:highlight w:val="none"/>
        </w:rPr>
        <w:t>以</w:t>
      </w:r>
      <w:r>
        <w:rPr>
          <w:rFonts w:hint="eastAsia" w:ascii="宋体" w:hAnsi="宋体" w:eastAsia="宋体" w:cs="宋体"/>
          <w:sz w:val="21"/>
          <w:szCs w:val="21"/>
          <w:highlight w:val="none"/>
          <w:u w:val="single"/>
        </w:rPr>
        <w:t xml:space="preserve">   （政府采购方式）  </w:t>
      </w:r>
      <w:r>
        <w:rPr>
          <w:rFonts w:hint="eastAsia" w:ascii="宋体" w:hAnsi="宋体" w:eastAsia="宋体" w:cs="宋体"/>
          <w:sz w:val="21"/>
          <w:szCs w:val="21"/>
          <w:highlight w:val="none"/>
        </w:rPr>
        <w:t>对</w:t>
      </w:r>
      <w:r>
        <w:rPr>
          <w:rFonts w:hint="eastAsia" w:ascii="宋体" w:hAnsi="宋体" w:eastAsia="宋体" w:cs="宋体"/>
          <w:sz w:val="21"/>
          <w:szCs w:val="21"/>
          <w:highlight w:val="none"/>
          <w:u w:val="single"/>
        </w:rPr>
        <w:t xml:space="preserve">   （同前页项目名称）   </w:t>
      </w:r>
      <w:r>
        <w:rPr>
          <w:rFonts w:hint="eastAsia" w:ascii="宋体" w:hAnsi="宋体" w:eastAsia="宋体" w:cs="宋体"/>
          <w:sz w:val="21"/>
          <w:szCs w:val="21"/>
          <w:highlight w:val="none"/>
        </w:rPr>
        <w:t>项目进行了采购。经评定，</w:t>
      </w:r>
      <w:r>
        <w:rPr>
          <w:rFonts w:hint="eastAsia" w:ascii="宋体" w:hAnsi="宋体" w:eastAsia="宋体" w:cs="宋体"/>
          <w:sz w:val="21"/>
          <w:szCs w:val="21"/>
          <w:highlight w:val="none"/>
          <w:u w:val="single"/>
        </w:rPr>
        <w:t xml:space="preserve">   （成交人名称） </w:t>
      </w:r>
      <w:r>
        <w:rPr>
          <w:rFonts w:hint="eastAsia" w:ascii="宋体" w:hAnsi="宋体" w:eastAsia="宋体" w:cs="宋体"/>
          <w:sz w:val="21"/>
          <w:szCs w:val="21"/>
          <w:highlight w:val="none"/>
        </w:rPr>
        <w:t>为该项目成交人。现于成交通知书发出之日起三十日内，按照采购文件确定的事项签订本合同。</w:t>
      </w:r>
    </w:p>
    <w:p w14:paraId="17064DC1">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sz w:val="21"/>
          <w:szCs w:val="21"/>
          <w:highlight w:val="none"/>
          <w:u w:val="single"/>
        </w:rPr>
        <w:t xml:space="preserve">   （采购人名称）   </w:t>
      </w:r>
      <w:r>
        <w:rPr>
          <w:rFonts w:hint="eastAsia" w:ascii="宋体" w:hAnsi="宋体" w:eastAsia="宋体" w:cs="宋体"/>
          <w:sz w:val="21"/>
          <w:szCs w:val="21"/>
          <w:highlight w:val="none"/>
          <w:lang w:val="zh-CN"/>
        </w:rPr>
        <w:t>（以下简称：甲方）和</w:t>
      </w:r>
      <w:r>
        <w:rPr>
          <w:rFonts w:hint="eastAsia" w:ascii="宋体" w:hAnsi="宋体" w:eastAsia="宋体" w:cs="宋体"/>
          <w:sz w:val="21"/>
          <w:szCs w:val="21"/>
          <w:highlight w:val="none"/>
          <w:u w:val="single"/>
        </w:rPr>
        <w:t xml:space="preserve">   （成交人名称）   </w:t>
      </w:r>
      <w:r>
        <w:rPr>
          <w:rFonts w:hint="eastAsia" w:ascii="宋体" w:hAnsi="宋体" w:eastAsia="宋体" w:cs="宋体"/>
          <w:sz w:val="21"/>
          <w:szCs w:val="21"/>
          <w:highlight w:val="none"/>
          <w:lang w:val="zh-CN"/>
        </w:rPr>
        <w:t>（以下简称：乙方）协商一致，约定以下合同</w:t>
      </w:r>
      <w:r>
        <w:rPr>
          <w:rFonts w:hint="eastAsia" w:ascii="宋体" w:hAnsi="宋体" w:eastAsia="宋体" w:cs="宋体"/>
          <w:sz w:val="21"/>
          <w:szCs w:val="21"/>
          <w:highlight w:val="none"/>
        </w:rPr>
        <w:t>条款，以兹共同遵守、全面履行。</w:t>
      </w:r>
    </w:p>
    <w:p w14:paraId="2B4A9E86">
      <w:pPr>
        <w:spacing w:line="360" w:lineRule="auto"/>
        <w:ind w:firstLine="422" w:firstLineChars="200"/>
        <w:rPr>
          <w:rFonts w:hint="eastAsia" w:ascii="宋体" w:hAnsi="宋体" w:eastAsia="宋体" w:cs="宋体"/>
          <w:b/>
          <w:sz w:val="21"/>
          <w:szCs w:val="21"/>
          <w:highlight w:val="none"/>
        </w:rPr>
      </w:pPr>
      <w:bookmarkStart w:id="509" w:name="_Toc19273"/>
      <w:bookmarkStart w:id="510" w:name="_Toc22967"/>
      <w:bookmarkStart w:id="511" w:name="_Toc28855"/>
      <w:bookmarkStart w:id="512" w:name="_Toc15367"/>
      <w:r>
        <w:rPr>
          <w:rFonts w:hint="eastAsia" w:ascii="宋体" w:hAnsi="宋体" w:eastAsia="宋体" w:cs="宋体"/>
          <w:b/>
          <w:sz w:val="21"/>
          <w:szCs w:val="21"/>
          <w:highlight w:val="none"/>
        </w:rPr>
        <w:t>1.1 合同组成部分</w:t>
      </w:r>
      <w:bookmarkEnd w:id="509"/>
      <w:bookmarkEnd w:id="510"/>
      <w:bookmarkEnd w:id="511"/>
      <w:bookmarkEnd w:id="512"/>
    </w:p>
    <w:p w14:paraId="6AA61202">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56BB174">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1.1.1 本合同及其补充合同、变更协议；</w:t>
      </w:r>
    </w:p>
    <w:p w14:paraId="42B7E5CE">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1.1.2 成交通知书；</w:t>
      </w:r>
    </w:p>
    <w:p w14:paraId="7A710D6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1.1.3 响应文件（含澄清或者说明文件）；</w:t>
      </w:r>
    </w:p>
    <w:p w14:paraId="625E26E5">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1.1.4 采购文件（含澄清或者修改文件）；</w:t>
      </w:r>
    </w:p>
    <w:p w14:paraId="65D7564D">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1.1.5 其他相关采购文件。</w:t>
      </w:r>
    </w:p>
    <w:p w14:paraId="2ECA449D">
      <w:pPr>
        <w:spacing w:line="360" w:lineRule="auto"/>
        <w:ind w:firstLine="422" w:firstLineChars="200"/>
        <w:rPr>
          <w:rFonts w:hint="eastAsia" w:ascii="宋体" w:hAnsi="宋体" w:eastAsia="宋体" w:cs="宋体"/>
          <w:b/>
          <w:sz w:val="21"/>
          <w:szCs w:val="21"/>
          <w:highlight w:val="none"/>
        </w:rPr>
      </w:pPr>
      <w:bookmarkStart w:id="513" w:name="_Toc18585"/>
      <w:bookmarkStart w:id="514" w:name="_Toc6311"/>
      <w:bookmarkStart w:id="515" w:name="_Toc6773"/>
      <w:bookmarkStart w:id="516" w:name="_Toc22185"/>
      <w:bookmarkStart w:id="517" w:name="_Toc2918"/>
      <w:r>
        <w:rPr>
          <w:rFonts w:hint="eastAsia" w:ascii="宋体" w:hAnsi="宋体" w:eastAsia="宋体" w:cs="宋体"/>
          <w:b/>
          <w:sz w:val="21"/>
          <w:szCs w:val="21"/>
          <w:highlight w:val="none"/>
        </w:rPr>
        <w:t>1.2 标的</w:t>
      </w:r>
      <w:bookmarkEnd w:id="513"/>
      <w:bookmarkEnd w:id="514"/>
      <w:bookmarkEnd w:id="515"/>
      <w:bookmarkEnd w:id="516"/>
      <w:bookmarkEnd w:id="517"/>
    </w:p>
    <w:p w14:paraId="79117E14">
      <w:pPr>
        <w:spacing w:line="360" w:lineRule="auto"/>
        <w:ind w:firstLine="420" w:firstLineChars="20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1.2.1 标的名称：</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54E72D70">
      <w:pPr>
        <w:spacing w:line="360" w:lineRule="auto"/>
        <w:ind w:firstLine="420" w:firstLineChars="20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1.2.2 标的数量：</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574C7A9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1.2.3 标的质量：</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10CE4714">
      <w:pPr>
        <w:spacing w:line="360" w:lineRule="auto"/>
        <w:ind w:firstLine="422" w:firstLineChars="200"/>
        <w:rPr>
          <w:rFonts w:hint="eastAsia" w:ascii="宋体" w:hAnsi="宋体" w:eastAsia="宋体" w:cs="宋体"/>
          <w:b/>
          <w:sz w:val="21"/>
          <w:szCs w:val="21"/>
          <w:highlight w:val="none"/>
        </w:rPr>
      </w:pPr>
      <w:bookmarkStart w:id="518" w:name="_Toc4929"/>
      <w:bookmarkStart w:id="519" w:name="_Toc1386"/>
      <w:bookmarkStart w:id="520" w:name="_Toc21124"/>
      <w:bookmarkStart w:id="521" w:name="_Toc13918"/>
      <w:bookmarkStart w:id="522" w:name="_Toc5635"/>
      <w:r>
        <w:rPr>
          <w:rFonts w:hint="eastAsia" w:ascii="宋体" w:hAnsi="宋体" w:eastAsia="宋体" w:cs="宋体"/>
          <w:b/>
          <w:sz w:val="21"/>
          <w:szCs w:val="21"/>
          <w:highlight w:val="none"/>
        </w:rPr>
        <w:t>1.3 价款</w:t>
      </w:r>
      <w:bookmarkEnd w:id="518"/>
      <w:bookmarkEnd w:id="519"/>
      <w:bookmarkEnd w:id="520"/>
      <w:bookmarkEnd w:id="521"/>
      <w:bookmarkEnd w:id="522"/>
    </w:p>
    <w:p w14:paraId="598AF00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本合同总价为：￥</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元（大写：</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元人民币）。</w:t>
      </w:r>
    </w:p>
    <w:p w14:paraId="3AB47810">
      <w:pPr>
        <w:spacing w:line="360" w:lineRule="auto"/>
        <w:ind w:firstLine="420" w:firstLineChars="20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分项价格：</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14:paraId="4C438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0FA4D7A1">
            <w:pPr>
              <w:pStyle w:val="124"/>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序号</w:t>
            </w:r>
          </w:p>
        </w:tc>
        <w:tc>
          <w:tcPr>
            <w:tcW w:w="4678" w:type="dxa"/>
            <w:noWrap w:val="0"/>
            <w:vAlign w:val="center"/>
          </w:tcPr>
          <w:p w14:paraId="090187EF">
            <w:pPr>
              <w:pStyle w:val="124"/>
              <w:ind w:firstLine="20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分项名称</w:t>
            </w:r>
          </w:p>
        </w:tc>
        <w:tc>
          <w:tcPr>
            <w:tcW w:w="3478" w:type="dxa"/>
            <w:noWrap w:val="0"/>
            <w:vAlign w:val="center"/>
          </w:tcPr>
          <w:p w14:paraId="26E29676">
            <w:pPr>
              <w:pStyle w:val="124"/>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分项价格</w:t>
            </w:r>
          </w:p>
        </w:tc>
      </w:tr>
      <w:tr w14:paraId="2742A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72FDAE95">
            <w:pPr>
              <w:pStyle w:val="124"/>
              <w:ind w:firstLine="200"/>
              <w:jc w:val="center"/>
              <w:rPr>
                <w:rFonts w:hint="eastAsia" w:ascii="宋体" w:hAnsi="宋体" w:eastAsia="宋体" w:cs="宋体"/>
                <w:color w:val="000000"/>
                <w:sz w:val="21"/>
                <w:szCs w:val="21"/>
                <w:highlight w:val="none"/>
              </w:rPr>
            </w:pPr>
          </w:p>
        </w:tc>
        <w:tc>
          <w:tcPr>
            <w:tcW w:w="4678" w:type="dxa"/>
            <w:noWrap w:val="0"/>
            <w:vAlign w:val="center"/>
          </w:tcPr>
          <w:p w14:paraId="664C59C2">
            <w:pPr>
              <w:pStyle w:val="124"/>
              <w:ind w:firstLine="200"/>
              <w:jc w:val="center"/>
              <w:rPr>
                <w:rFonts w:hint="eastAsia" w:ascii="宋体" w:hAnsi="宋体" w:eastAsia="宋体" w:cs="宋体"/>
                <w:color w:val="000000"/>
                <w:sz w:val="21"/>
                <w:szCs w:val="21"/>
                <w:highlight w:val="none"/>
              </w:rPr>
            </w:pPr>
          </w:p>
        </w:tc>
        <w:tc>
          <w:tcPr>
            <w:tcW w:w="3478" w:type="dxa"/>
            <w:noWrap w:val="0"/>
            <w:vAlign w:val="center"/>
          </w:tcPr>
          <w:p w14:paraId="2A709CF8">
            <w:pPr>
              <w:pStyle w:val="124"/>
              <w:ind w:firstLine="200"/>
              <w:jc w:val="center"/>
              <w:rPr>
                <w:rFonts w:hint="eastAsia" w:ascii="宋体" w:hAnsi="宋体" w:eastAsia="宋体" w:cs="宋体"/>
                <w:color w:val="000000"/>
                <w:sz w:val="21"/>
                <w:szCs w:val="21"/>
                <w:highlight w:val="none"/>
              </w:rPr>
            </w:pPr>
          </w:p>
        </w:tc>
      </w:tr>
      <w:tr w14:paraId="6097B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32E652C5">
            <w:pPr>
              <w:pStyle w:val="124"/>
              <w:ind w:firstLine="200"/>
              <w:jc w:val="center"/>
              <w:rPr>
                <w:rFonts w:hint="eastAsia" w:ascii="宋体" w:hAnsi="宋体" w:eastAsia="宋体" w:cs="宋体"/>
                <w:color w:val="000000"/>
                <w:sz w:val="21"/>
                <w:szCs w:val="21"/>
                <w:highlight w:val="none"/>
              </w:rPr>
            </w:pPr>
          </w:p>
        </w:tc>
        <w:tc>
          <w:tcPr>
            <w:tcW w:w="4678" w:type="dxa"/>
            <w:noWrap w:val="0"/>
            <w:vAlign w:val="center"/>
          </w:tcPr>
          <w:p w14:paraId="1962A40E">
            <w:pPr>
              <w:pStyle w:val="124"/>
              <w:ind w:firstLine="200"/>
              <w:jc w:val="center"/>
              <w:rPr>
                <w:rFonts w:hint="eastAsia" w:ascii="宋体" w:hAnsi="宋体" w:eastAsia="宋体" w:cs="宋体"/>
                <w:color w:val="000000"/>
                <w:sz w:val="21"/>
                <w:szCs w:val="21"/>
                <w:highlight w:val="none"/>
              </w:rPr>
            </w:pPr>
          </w:p>
        </w:tc>
        <w:tc>
          <w:tcPr>
            <w:tcW w:w="3478" w:type="dxa"/>
            <w:noWrap w:val="0"/>
            <w:vAlign w:val="center"/>
          </w:tcPr>
          <w:p w14:paraId="415BFEB3">
            <w:pPr>
              <w:pStyle w:val="124"/>
              <w:ind w:firstLine="200"/>
              <w:jc w:val="center"/>
              <w:rPr>
                <w:rFonts w:hint="eastAsia" w:ascii="宋体" w:hAnsi="宋体" w:eastAsia="宋体" w:cs="宋体"/>
                <w:color w:val="000000"/>
                <w:sz w:val="21"/>
                <w:szCs w:val="21"/>
                <w:highlight w:val="none"/>
              </w:rPr>
            </w:pPr>
          </w:p>
        </w:tc>
      </w:tr>
      <w:tr w14:paraId="041AF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1DDCA3F5">
            <w:pPr>
              <w:pStyle w:val="124"/>
              <w:ind w:firstLine="200"/>
              <w:jc w:val="center"/>
              <w:rPr>
                <w:rFonts w:hint="eastAsia" w:ascii="宋体" w:hAnsi="宋体" w:eastAsia="宋体" w:cs="宋体"/>
                <w:color w:val="000000"/>
                <w:sz w:val="21"/>
                <w:szCs w:val="21"/>
                <w:highlight w:val="none"/>
              </w:rPr>
            </w:pPr>
          </w:p>
        </w:tc>
        <w:tc>
          <w:tcPr>
            <w:tcW w:w="4678" w:type="dxa"/>
            <w:noWrap w:val="0"/>
            <w:vAlign w:val="center"/>
          </w:tcPr>
          <w:p w14:paraId="2257F649">
            <w:pPr>
              <w:pStyle w:val="124"/>
              <w:ind w:firstLine="200"/>
              <w:jc w:val="center"/>
              <w:rPr>
                <w:rFonts w:hint="eastAsia" w:ascii="宋体" w:hAnsi="宋体" w:eastAsia="宋体" w:cs="宋体"/>
                <w:color w:val="000000"/>
                <w:sz w:val="21"/>
                <w:szCs w:val="21"/>
                <w:highlight w:val="none"/>
              </w:rPr>
            </w:pPr>
          </w:p>
        </w:tc>
        <w:tc>
          <w:tcPr>
            <w:tcW w:w="3478" w:type="dxa"/>
            <w:noWrap w:val="0"/>
            <w:vAlign w:val="center"/>
          </w:tcPr>
          <w:p w14:paraId="002F9CF6">
            <w:pPr>
              <w:pStyle w:val="124"/>
              <w:ind w:firstLine="200"/>
              <w:jc w:val="center"/>
              <w:rPr>
                <w:rFonts w:hint="eastAsia" w:ascii="宋体" w:hAnsi="宋体" w:eastAsia="宋体" w:cs="宋体"/>
                <w:color w:val="000000"/>
                <w:sz w:val="21"/>
                <w:szCs w:val="21"/>
                <w:highlight w:val="none"/>
              </w:rPr>
            </w:pPr>
          </w:p>
        </w:tc>
      </w:tr>
      <w:tr w14:paraId="4F3DD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73289119">
            <w:pPr>
              <w:pStyle w:val="124"/>
              <w:ind w:firstLine="200"/>
              <w:jc w:val="center"/>
              <w:rPr>
                <w:rFonts w:hint="eastAsia" w:ascii="宋体" w:hAnsi="宋体" w:eastAsia="宋体" w:cs="宋体"/>
                <w:color w:val="000000"/>
                <w:sz w:val="21"/>
                <w:szCs w:val="21"/>
                <w:highlight w:val="none"/>
              </w:rPr>
            </w:pPr>
          </w:p>
        </w:tc>
        <w:tc>
          <w:tcPr>
            <w:tcW w:w="4678" w:type="dxa"/>
            <w:noWrap w:val="0"/>
            <w:vAlign w:val="center"/>
          </w:tcPr>
          <w:p w14:paraId="1FD4D2FA">
            <w:pPr>
              <w:pStyle w:val="124"/>
              <w:ind w:firstLine="200"/>
              <w:jc w:val="center"/>
              <w:rPr>
                <w:rFonts w:hint="eastAsia" w:ascii="宋体" w:hAnsi="宋体" w:eastAsia="宋体" w:cs="宋体"/>
                <w:color w:val="000000"/>
                <w:sz w:val="21"/>
                <w:szCs w:val="21"/>
                <w:highlight w:val="none"/>
              </w:rPr>
            </w:pPr>
          </w:p>
        </w:tc>
        <w:tc>
          <w:tcPr>
            <w:tcW w:w="3478" w:type="dxa"/>
            <w:noWrap w:val="0"/>
            <w:vAlign w:val="center"/>
          </w:tcPr>
          <w:p w14:paraId="5688D7A5">
            <w:pPr>
              <w:pStyle w:val="124"/>
              <w:ind w:firstLine="200"/>
              <w:jc w:val="center"/>
              <w:rPr>
                <w:rFonts w:hint="eastAsia" w:ascii="宋体" w:hAnsi="宋体" w:eastAsia="宋体" w:cs="宋体"/>
                <w:color w:val="000000"/>
                <w:sz w:val="21"/>
                <w:szCs w:val="21"/>
                <w:highlight w:val="none"/>
              </w:rPr>
            </w:pPr>
          </w:p>
        </w:tc>
      </w:tr>
      <w:tr w14:paraId="468E4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noWrap w:val="0"/>
            <w:vAlign w:val="center"/>
          </w:tcPr>
          <w:p w14:paraId="0B979935">
            <w:pPr>
              <w:pStyle w:val="124"/>
              <w:ind w:firstLine="20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总价</w:t>
            </w:r>
          </w:p>
        </w:tc>
        <w:tc>
          <w:tcPr>
            <w:tcW w:w="3478" w:type="dxa"/>
            <w:noWrap w:val="0"/>
            <w:vAlign w:val="center"/>
          </w:tcPr>
          <w:p w14:paraId="53C77F44">
            <w:pPr>
              <w:pStyle w:val="124"/>
              <w:ind w:firstLine="200"/>
              <w:jc w:val="center"/>
              <w:rPr>
                <w:rFonts w:hint="eastAsia" w:ascii="宋体" w:hAnsi="宋体" w:eastAsia="宋体" w:cs="宋体"/>
                <w:color w:val="000000"/>
                <w:sz w:val="21"/>
                <w:szCs w:val="21"/>
                <w:highlight w:val="none"/>
              </w:rPr>
            </w:pPr>
          </w:p>
        </w:tc>
      </w:tr>
    </w:tbl>
    <w:p w14:paraId="259BBBE3">
      <w:pPr>
        <w:spacing w:line="360" w:lineRule="auto"/>
        <w:ind w:firstLine="422" w:firstLineChars="200"/>
        <w:rPr>
          <w:rFonts w:hint="eastAsia" w:ascii="宋体" w:hAnsi="宋体" w:eastAsia="宋体" w:cs="宋体"/>
          <w:b/>
          <w:sz w:val="21"/>
          <w:szCs w:val="21"/>
          <w:highlight w:val="none"/>
        </w:rPr>
      </w:pPr>
      <w:bookmarkStart w:id="523" w:name="_Toc14993"/>
      <w:bookmarkStart w:id="524" w:name="_Toc30158"/>
      <w:bookmarkStart w:id="525" w:name="_Toc26916"/>
      <w:bookmarkStart w:id="526" w:name="_Toc3654"/>
      <w:bookmarkStart w:id="527" w:name="_Toc30506"/>
      <w:r>
        <w:rPr>
          <w:rFonts w:hint="eastAsia" w:ascii="宋体" w:hAnsi="宋体" w:eastAsia="宋体" w:cs="宋体"/>
          <w:b/>
          <w:sz w:val="21"/>
          <w:szCs w:val="21"/>
          <w:highlight w:val="none"/>
        </w:rPr>
        <w:t>1.4 付款方式和发票开具方式</w:t>
      </w:r>
      <w:bookmarkEnd w:id="523"/>
      <w:bookmarkEnd w:id="524"/>
      <w:bookmarkEnd w:id="525"/>
      <w:bookmarkEnd w:id="526"/>
      <w:bookmarkEnd w:id="527"/>
    </w:p>
    <w:p w14:paraId="1542F16C">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1.4.1付款方式：</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38BFD83A">
      <w:pPr>
        <w:spacing w:line="360" w:lineRule="auto"/>
        <w:ind w:firstLine="422" w:firstLineChars="200"/>
        <w:rPr>
          <w:rFonts w:hint="eastAsia" w:ascii="宋体" w:hAnsi="宋体" w:eastAsia="宋体" w:cs="宋体"/>
          <w:b/>
          <w:sz w:val="21"/>
          <w:szCs w:val="21"/>
          <w:highlight w:val="none"/>
        </w:rPr>
      </w:pPr>
      <w:bookmarkStart w:id="528" w:name="_Toc8772"/>
      <w:bookmarkStart w:id="529" w:name="_Toc31421"/>
      <w:bookmarkStart w:id="530" w:name="_Toc4760"/>
      <w:bookmarkStart w:id="531" w:name="_Toc11108"/>
      <w:bookmarkStart w:id="532" w:name="_Toc3625"/>
      <w:r>
        <w:rPr>
          <w:rFonts w:hint="eastAsia" w:ascii="宋体" w:hAnsi="宋体" w:eastAsia="宋体" w:cs="宋体"/>
          <w:b/>
          <w:sz w:val="21"/>
          <w:szCs w:val="21"/>
          <w:highlight w:val="none"/>
        </w:rPr>
        <w:t>1.5 履行期限、地点和方式</w:t>
      </w:r>
      <w:bookmarkEnd w:id="528"/>
      <w:bookmarkEnd w:id="529"/>
      <w:bookmarkEnd w:id="530"/>
      <w:bookmarkEnd w:id="531"/>
      <w:bookmarkEnd w:id="532"/>
    </w:p>
    <w:p w14:paraId="3ED05161">
      <w:pPr>
        <w:spacing w:line="360" w:lineRule="auto"/>
        <w:ind w:firstLine="420" w:firstLineChars="20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1.5.1 履行期限：</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189EA46F">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1.5.2 履行地点：</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1C0DF441">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1.5.3 履行方式：</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14:paraId="043254F6">
      <w:pPr>
        <w:spacing w:line="360" w:lineRule="auto"/>
        <w:ind w:firstLine="422" w:firstLineChars="200"/>
        <w:rPr>
          <w:rFonts w:hint="eastAsia" w:ascii="宋体" w:hAnsi="宋体" w:eastAsia="宋体" w:cs="宋体"/>
          <w:b/>
          <w:sz w:val="21"/>
          <w:szCs w:val="21"/>
          <w:highlight w:val="none"/>
        </w:rPr>
      </w:pPr>
      <w:bookmarkStart w:id="533" w:name="_Toc24662"/>
      <w:bookmarkStart w:id="534" w:name="_Toc3079"/>
      <w:bookmarkStart w:id="535" w:name="_Toc8586"/>
      <w:bookmarkStart w:id="536" w:name="_Toc2375"/>
      <w:bookmarkStart w:id="537" w:name="_Toc5698"/>
      <w:r>
        <w:rPr>
          <w:rFonts w:hint="eastAsia" w:ascii="宋体" w:hAnsi="宋体" w:eastAsia="宋体" w:cs="宋体"/>
          <w:b/>
          <w:sz w:val="21"/>
          <w:szCs w:val="21"/>
          <w:highlight w:val="none"/>
        </w:rPr>
        <w:t>1.6 违约责任</w:t>
      </w:r>
      <w:bookmarkEnd w:id="533"/>
      <w:bookmarkEnd w:id="534"/>
      <w:bookmarkEnd w:id="535"/>
      <w:bookmarkEnd w:id="536"/>
      <w:bookmarkEnd w:id="537"/>
    </w:p>
    <w:p w14:paraId="6E67C15B">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%计算，最高限额为本合同总价的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%；迟延履行的违约金计算数额达到前述最高限额之日起，甲方有权在要求乙方支付违约金的同时，书面通知乙方解除本合同；</w:t>
      </w:r>
    </w:p>
    <w:p w14:paraId="0878031C">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%计算，最高限额为本合同总价的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%；迟延付款的违约金计算数额达到前述最高限额之日起，乙方有权在要求甲方支付违约金的同时，书面通知甲方解除本合同；</w:t>
      </w:r>
    </w:p>
    <w:p w14:paraId="211FC8C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1B0BAC1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AD4D211">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F9EB6F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1.6.6 如果出现政府采购监督管理部门在处理投诉事项期间，书面通知甲方暂停采购活动的情形，或者询问或质疑事项可能影响成交结果的，导致甲方中止履行合同的情形，均不视为甲方违约。</w:t>
      </w:r>
    </w:p>
    <w:p w14:paraId="3A74D515">
      <w:pPr>
        <w:spacing w:line="360" w:lineRule="auto"/>
        <w:ind w:firstLine="422" w:firstLineChars="200"/>
        <w:rPr>
          <w:rFonts w:hint="eastAsia" w:ascii="宋体" w:hAnsi="宋体" w:eastAsia="宋体" w:cs="宋体"/>
          <w:b/>
          <w:sz w:val="21"/>
          <w:szCs w:val="21"/>
          <w:highlight w:val="none"/>
        </w:rPr>
      </w:pPr>
      <w:bookmarkStart w:id="538" w:name="_Toc18683"/>
      <w:bookmarkStart w:id="539" w:name="_Toc26807"/>
      <w:bookmarkStart w:id="540" w:name="_Toc9497"/>
      <w:bookmarkStart w:id="541" w:name="_Toc32454"/>
      <w:bookmarkStart w:id="542" w:name="_Toc30329"/>
      <w:r>
        <w:rPr>
          <w:rFonts w:hint="eastAsia" w:ascii="宋体" w:hAnsi="宋体" w:eastAsia="宋体" w:cs="宋体"/>
          <w:b/>
          <w:sz w:val="21"/>
          <w:szCs w:val="21"/>
          <w:highlight w:val="none"/>
        </w:rPr>
        <w:t>1.7 合同争议的解决</w:t>
      </w:r>
      <w:bookmarkEnd w:id="538"/>
      <w:bookmarkEnd w:id="539"/>
      <w:bookmarkEnd w:id="540"/>
      <w:bookmarkEnd w:id="541"/>
      <w:bookmarkEnd w:id="542"/>
    </w:p>
    <w:p w14:paraId="766EC6FC">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本合同履行过程中发生的任何争议，双方当事人均可通过和解或者调解解决；不愿和解、调解或者和解、调解不成的，可以选择下列第</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种方式解决：</w:t>
      </w:r>
    </w:p>
    <w:p w14:paraId="10E56919">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1.7.1 将争议提交</w:t>
      </w:r>
      <w:r>
        <w:rPr>
          <w:rFonts w:hint="eastAsia" w:ascii="宋体" w:hAnsi="宋体" w:eastAsia="宋体" w:cs="宋体"/>
          <w:sz w:val="21"/>
          <w:szCs w:val="21"/>
          <w:highlight w:val="none"/>
          <w:u w:val="single"/>
        </w:rPr>
        <w:t xml:space="preserve">  （采购人所在地）   </w:t>
      </w:r>
      <w:r>
        <w:rPr>
          <w:rFonts w:hint="eastAsia" w:ascii="宋体" w:hAnsi="宋体" w:eastAsia="宋体" w:cs="宋体"/>
          <w:sz w:val="21"/>
          <w:szCs w:val="21"/>
          <w:highlight w:val="none"/>
        </w:rPr>
        <w:t>仲裁委员会依申请仲裁时其现行有效的仲裁规则裁决；</w:t>
      </w:r>
    </w:p>
    <w:p w14:paraId="37952BF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1.7.2 向</w:t>
      </w:r>
      <w:r>
        <w:rPr>
          <w:rFonts w:hint="eastAsia" w:ascii="宋体" w:hAnsi="宋体" w:eastAsia="宋体" w:cs="宋体"/>
          <w:sz w:val="21"/>
          <w:szCs w:val="21"/>
          <w:highlight w:val="none"/>
          <w:u w:val="single"/>
        </w:rPr>
        <w:t xml:space="preserve">  （被告住所地、合同履行地、合同签订地、原告住所地、标的物所在地等与争议有实际联系的地点中选出的人民法院名称）    </w:t>
      </w:r>
      <w:r>
        <w:rPr>
          <w:rFonts w:hint="eastAsia" w:ascii="宋体" w:hAnsi="宋体" w:eastAsia="宋体" w:cs="宋体"/>
          <w:sz w:val="21"/>
          <w:szCs w:val="21"/>
          <w:highlight w:val="none"/>
        </w:rPr>
        <w:t>人民法院起诉。</w:t>
      </w:r>
    </w:p>
    <w:p w14:paraId="31F46980">
      <w:pPr>
        <w:spacing w:line="360" w:lineRule="auto"/>
        <w:ind w:firstLine="422" w:firstLineChars="200"/>
        <w:rPr>
          <w:rFonts w:hint="eastAsia" w:ascii="宋体" w:hAnsi="宋体" w:eastAsia="宋体" w:cs="宋体"/>
          <w:b/>
          <w:sz w:val="21"/>
          <w:szCs w:val="21"/>
          <w:highlight w:val="none"/>
        </w:rPr>
      </w:pPr>
      <w:bookmarkStart w:id="543" w:name="_Toc12273"/>
      <w:bookmarkStart w:id="544" w:name="_Toc23784"/>
      <w:bookmarkStart w:id="545" w:name="_Toc26227"/>
      <w:bookmarkStart w:id="546" w:name="_Toc16417"/>
      <w:bookmarkStart w:id="547" w:name="_Toc15827"/>
      <w:r>
        <w:rPr>
          <w:rFonts w:hint="eastAsia" w:ascii="宋体" w:hAnsi="宋体" w:eastAsia="宋体" w:cs="宋体"/>
          <w:b/>
          <w:sz w:val="21"/>
          <w:szCs w:val="21"/>
          <w:highlight w:val="none"/>
        </w:rPr>
        <w:t>1.8 合同生效</w:t>
      </w:r>
      <w:bookmarkEnd w:id="543"/>
      <w:bookmarkEnd w:id="544"/>
      <w:bookmarkEnd w:id="545"/>
      <w:bookmarkEnd w:id="546"/>
      <w:bookmarkEnd w:id="547"/>
    </w:p>
    <w:p w14:paraId="3350A258">
      <w:pPr>
        <w:spacing w:line="360" w:lineRule="auto"/>
        <w:ind w:firstLine="420" w:firstLineChars="200"/>
        <w:rPr>
          <w:rFonts w:hint="eastAsia" w:ascii="宋体" w:hAnsi="宋体" w:eastAsia="宋体" w:cs="宋体"/>
          <w:b/>
          <w:sz w:val="21"/>
          <w:szCs w:val="21"/>
          <w:highlight w:val="none"/>
        </w:rPr>
      </w:pPr>
      <w:r>
        <w:rPr>
          <w:rFonts w:hint="eastAsia" w:ascii="宋体" w:hAnsi="宋体" w:eastAsia="宋体" w:cs="宋体"/>
          <w:sz w:val="21"/>
          <w:szCs w:val="21"/>
          <w:highlight w:val="none"/>
        </w:rPr>
        <w:t>本合同自双方当事人盖章或者签字时生效。</w:t>
      </w:r>
    </w:p>
    <w:p w14:paraId="69545A64">
      <w:pPr>
        <w:autoSpaceDE w:val="0"/>
        <w:autoSpaceDN w:val="0"/>
        <w:adjustRightInd w:val="0"/>
        <w:spacing w:line="360" w:lineRule="auto"/>
        <w:rPr>
          <w:rFonts w:hint="eastAsia" w:ascii="宋体" w:hAnsi="宋体" w:eastAsia="宋体" w:cs="宋体"/>
          <w:sz w:val="21"/>
          <w:szCs w:val="21"/>
          <w:highlight w:val="none"/>
          <w:lang w:val="zh-CN"/>
        </w:rPr>
      </w:pPr>
    </w:p>
    <w:p w14:paraId="7EB543A8">
      <w:pPr>
        <w:autoSpaceDE w:val="0"/>
        <w:autoSpaceDN w:val="0"/>
        <w:adjustRightInd w:val="0"/>
        <w:spacing w:line="360" w:lineRule="auto"/>
        <w:rPr>
          <w:rFonts w:hint="eastAsia" w:ascii="宋体" w:hAnsi="宋体" w:eastAsia="宋体" w:cs="宋体"/>
          <w:b/>
          <w:sz w:val="21"/>
          <w:szCs w:val="21"/>
          <w:highlight w:val="none"/>
          <w:lang w:val="zh-CN"/>
        </w:rPr>
      </w:pPr>
    </w:p>
    <w:p w14:paraId="74232797">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b/>
          <w:sz w:val="21"/>
          <w:szCs w:val="21"/>
          <w:highlight w:val="none"/>
          <w:lang w:val="zh-CN"/>
        </w:rPr>
        <w:t>甲方</w:t>
      </w:r>
      <w:r>
        <w:rPr>
          <w:rFonts w:hint="eastAsia" w:ascii="宋体" w:hAnsi="宋体" w:eastAsia="宋体" w:cs="宋体"/>
          <w:sz w:val="21"/>
          <w:szCs w:val="21"/>
          <w:highlight w:val="none"/>
          <w:lang w:val="zh-CN"/>
        </w:rPr>
        <w:t xml:space="preserve">：                             </w:t>
      </w:r>
      <w:r>
        <w:rPr>
          <w:rFonts w:hint="eastAsia" w:ascii="宋体" w:hAnsi="宋体" w:eastAsia="宋体" w:cs="宋体"/>
          <w:b/>
          <w:sz w:val="21"/>
          <w:szCs w:val="21"/>
          <w:highlight w:val="none"/>
          <w:lang w:val="zh-CN"/>
        </w:rPr>
        <w:t xml:space="preserve">      乙方</w:t>
      </w:r>
      <w:r>
        <w:rPr>
          <w:rFonts w:hint="eastAsia" w:ascii="宋体" w:hAnsi="宋体" w:eastAsia="宋体" w:cs="宋体"/>
          <w:sz w:val="21"/>
          <w:szCs w:val="21"/>
          <w:highlight w:val="none"/>
          <w:lang w:val="zh-CN"/>
        </w:rPr>
        <w:t>：</w:t>
      </w:r>
    </w:p>
    <w:p w14:paraId="7CF04EA8">
      <w:pPr>
        <w:autoSpaceDE w:val="0"/>
        <w:autoSpaceDN w:val="0"/>
        <w:adjustRightInd w:val="0"/>
        <w:spacing w:line="360" w:lineRule="auto"/>
        <w:rPr>
          <w:rFonts w:hint="eastAsia" w:ascii="宋体" w:hAnsi="宋体" w:eastAsia="宋体" w:cs="宋体"/>
          <w:sz w:val="21"/>
          <w:szCs w:val="21"/>
          <w:highlight w:val="none"/>
          <w:lang w:val="zh-CN"/>
        </w:rPr>
      </w:pPr>
    </w:p>
    <w:p w14:paraId="4E20BB1D">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住所：                                   住所：</w:t>
      </w:r>
    </w:p>
    <w:p w14:paraId="4205AB79">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法定代表人或                             法定代表人或</w:t>
      </w:r>
    </w:p>
    <w:p w14:paraId="2CD7E496">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 xml:space="preserve">授权代表（签字）：                        授权代表（签字）: </w:t>
      </w:r>
    </w:p>
    <w:p w14:paraId="14458854">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 xml:space="preserve">联系人：                                 联系人：   </w:t>
      </w:r>
    </w:p>
    <w:p w14:paraId="744F542C">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邮政编码：                               邮政编码：</w:t>
      </w:r>
    </w:p>
    <w:p w14:paraId="257F1583">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 xml:space="preserve">电话:                                    电话: </w:t>
      </w:r>
    </w:p>
    <w:p w14:paraId="76098D04">
      <w:pPr>
        <w:autoSpaceDE w:val="0"/>
        <w:autoSpaceDN w:val="0"/>
        <w:adjustRightInd w:val="0"/>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传真:                                    传真:</w:t>
      </w:r>
    </w:p>
    <w:p w14:paraId="4ED5F3D9">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开户银行：                               开户银行： </w:t>
      </w:r>
    </w:p>
    <w:p w14:paraId="77CE9D50">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开户名称：                               开户名称： </w:t>
      </w:r>
    </w:p>
    <w:p w14:paraId="507C67AA">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开户账号：</w:t>
      </w:r>
      <w:r>
        <w:rPr>
          <w:rFonts w:hint="eastAsia" w:ascii="宋体" w:hAnsi="宋体" w:eastAsia="宋体" w:cs="宋体"/>
          <w:sz w:val="21"/>
          <w:szCs w:val="21"/>
          <w:highlight w:val="none"/>
          <w:lang w:val="zh-CN"/>
        </w:rPr>
        <w:t xml:space="preserve">                               </w:t>
      </w:r>
      <w:r>
        <w:rPr>
          <w:rFonts w:hint="eastAsia" w:ascii="宋体" w:hAnsi="宋体" w:eastAsia="宋体" w:cs="宋体"/>
          <w:sz w:val="21"/>
          <w:szCs w:val="21"/>
          <w:highlight w:val="none"/>
        </w:rPr>
        <w:t>开户账号：</w:t>
      </w:r>
    </w:p>
    <w:p w14:paraId="3E6FE78F">
      <w:pPr>
        <w:autoSpaceDE w:val="0"/>
        <w:autoSpaceDN w:val="0"/>
        <w:adjustRightInd w:val="0"/>
        <w:spacing w:line="360" w:lineRule="auto"/>
        <w:rPr>
          <w:rFonts w:hint="eastAsia" w:ascii="宋体" w:hAnsi="宋体" w:eastAsia="宋体" w:cs="宋体"/>
          <w:sz w:val="21"/>
          <w:szCs w:val="21"/>
          <w:highlight w:val="none"/>
        </w:rPr>
      </w:pPr>
    </w:p>
    <w:p w14:paraId="53607341">
      <w:pPr>
        <w:pStyle w:val="2"/>
        <w:rPr>
          <w:rFonts w:hint="eastAsia" w:ascii="宋体" w:hAnsi="宋体" w:eastAsia="宋体" w:cs="宋体"/>
          <w:sz w:val="21"/>
          <w:szCs w:val="21"/>
          <w:highlight w:val="none"/>
        </w:rPr>
      </w:pPr>
    </w:p>
    <w:p w14:paraId="5873FE3D">
      <w:pPr>
        <w:pStyle w:val="2"/>
        <w:rPr>
          <w:rFonts w:hint="eastAsia" w:ascii="宋体" w:hAnsi="宋体" w:eastAsia="宋体" w:cs="宋体"/>
          <w:sz w:val="21"/>
          <w:szCs w:val="21"/>
          <w:highlight w:val="none"/>
        </w:rPr>
      </w:pPr>
    </w:p>
    <w:p w14:paraId="0A163440">
      <w:pPr>
        <w:pStyle w:val="2"/>
        <w:rPr>
          <w:rFonts w:hint="eastAsia" w:ascii="宋体" w:hAnsi="宋体" w:eastAsia="宋体" w:cs="宋体"/>
          <w:sz w:val="21"/>
          <w:szCs w:val="21"/>
          <w:highlight w:val="none"/>
        </w:rPr>
      </w:pPr>
    </w:p>
    <w:p w14:paraId="05CF74F3">
      <w:pPr>
        <w:pStyle w:val="2"/>
        <w:rPr>
          <w:rFonts w:hint="eastAsia" w:ascii="宋体" w:hAnsi="宋体" w:eastAsia="宋体" w:cs="宋体"/>
          <w:sz w:val="21"/>
          <w:szCs w:val="21"/>
          <w:highlight w:val="none"/>
        </w:rPr>
      </w:pPr>
    </w:p>
    <w:p w14:paraId="5A3110D3">
      <w:pPr>
        <w:pStyle w:val="2"/>
        <w:rPr>
          <w:rFonts w:hint="eastAsia" w:ascii="宋体" w:hAnsi="宋体" w:eastAsia="宋体" w:cs="宋体"/>
          <w:sz w:val="21"/>
          <w:szCs w:val="21"/>
          <w:highlight w:val="none"/>
        </w:rPr>
      </w:pPr>
    </w:p>
    <w:p w14:paraId="6F2FD8D0">
      <w:pPr>
        <w:pStyle w:val="53"/>
        <w:spacing w:line="360" w:lineRule="auto"/>
        <w:ind w:firstLine="200"/>
        <w:jc w:val="center"/>
        <w:rPr>
          <w:rFonts w:hint="eastAsia" w:ascii="宋体" w:hAnsi="宋体" w:eastAsia="宋体" w:cs="宋体"/>
          <w:b/>
          <w:sz w:val="21"/>
          <w:szCs w:val="21"/>
          <w:highlight w:val="none"/>
        </w:rPr>
      </w:pPr>
      <w:bookmarkStart w:id="548" w:name="_Toc331685783"/>
      <w:r>
        <w:rPr>
          <w:rFonts w:hint="eastAsia" w:ascii="宋体" w:hAnsi="宋体" w:eastAsia="宋体" w:cs="宋体"/>
          <w:b/>
          <w:sz w:val="21"/>
          <w:szCs w:val="21"/>
          <w:highlight w:val="none"/>
        </w:rPr>
        <w:br w:type="page"/>
      </w:r>
      <w:r>
        <w:rPr>
          <w:rFonts w:hint="eastAsia" w:ascii="宋体" w:hAnsi="宋体" w:eastAsia="宋体" w:cs="宋体"/>
          <w:b/>
          <w:sz w:val="21"/>
          <w:szCs w:val="21"/>
          <w:highlight w:val="none"/>
        </w:rPr>
        <w:t>第二部分 合同一般条款</w:t>
      </w:r>
      <w:bookmarkEnd w:id="548"/>
    </w:p>
    <w:p w14:paraId="062CD3C0">
      <w:pPr>
        <w:spacing w:line="360" w:lineRule="auto"/>
        <w:ind w:firstLine="422" w:firstLineChars="200"/>
        <w:rPr>
          <w:rFonts w:hint="eastAsia" w:ascii="宋体" w:hAnsi="宋体" w:eastAsia="宋体" w:cs="宋体"/>
          <w:b/>
          <w:sz w:val="21"/>
          <w:szCs w:val="21"/>
          <w:highlight w:val="none"/>
        </w:rPr>
      </w:pPr>
      <w:bookmarkStart w:id="549" w:name="_Ref467379094"/>
      <w:bookmarkStart w:id="550" w:name="_Toc5228"/>
      <w:bookmarkStart w:id="551" w:name="_Toc259093669"/>
      <w:bookmarkStart w:id="552" w:name="_Ref467379195"/>
      <w:bookmarkStart w:id="553" w:name="_Ref467379205"/>
      <w:bookmarkStart w:id="554" w:name="_Toc25079"/>
      <w:bookmarkStart w:id="555" w:name="_Ref467379109"/>
      <w:bookmarkStart w:id="556" w:name="_Toc31297"/>
      <w:bookmarkStart w:id="557" w:name="_Ref467378404"/>
      <w:bookmarkStart w:id="558" w:name="_Toc487900349"/>
      <w:bookmarkStart w:id="559" w:name="_Ref467379225"/>
      <w:bookmarkStart w:id="560" w:name="_Ref467378463"/>
      <w:bookmarkStart w:id="561" w:name="_Toc279701240"/>
      <w:bookmarkStart w:id="562" w:name="_Toc14021"/>
      <w:bookmarkStart w:id="563" w:name="_Toc19680"/>
      <w:bookmarkStart w:id="564" w:name="_Ref467378499"/>
      <w:bookmarkStart w:id="565" w:name="_Ref467379101"/>
      <w:bookmarkStart w:id="566" w:name="_Ref467379214"/>
      <w:r>
        <w:rPr>
          <w:rFonts w:hint="eastAsia" w:ascii="宋体" w:hAnsi="宋体" w:eastAsia="宋体" w:cs="宋体"/>
          <w:b/>
          <w:sz w:val="21"/>
          <w:szCs w:val="21"/>
          <w:highlight w:val="none"/>
        </w:rPr>
        <w:t>2.1 定义</w:t>
      </w:r>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p>
    <w:p w14:paraId="464ECC76">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本合同中的下列词语应按以下内容进行解释：</w:t>
      </w:r>
    </w:p>
    <w:p w14:paraId="5C980266">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2.1.1 “合同”系指采购人和成交人签订的载明双方当事人所达成的协议，并包括所有的附件、附录和构成合同的其他文件。</w:t>
      </w:r>
    </w:p>
    <w:p w14:paraId="2C7FE24B">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2.1.2 “合同价”系指根据合同约定，成交人在完全履行合同义务后，采购人应支付给成交人的价格。</w:t>
      </w:r>
    </w:p>
    <w:p w14:paraId="3DD2563E">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2.1.3 “服务”系指成交人根据合同约定应向采购人履行的除货物和工程以外的其他政府采购对象，包括采购人自身需要的服务和向社会公众提供的公共服务。</w:t>
      </w:r>
    </w:p>
    <w:p w14:paraId="756ADF76">
      <w:pPr>
        <w:spacing w:line="360" w:lineRule="auto"/>
        <w:ind w:firstLine="420" w:firstLineChars="200"/>
        <w:rPr>
          <w:rFonts w:hint="eastAsia" w:ascii="宋体" w:hAnsi="宋体" w:eastAsia="宋体" w:cs="宋体"/>
          <w:sz w:val="21"/>
          <w:szCs w:val="21"/>
          <w:highlight w:val="none"/>
        </w:rPr>
      </w:pPr>
      <w:bookmarkStart w:id="567" w:name="_Ref467378840"/>
      <w:r>
        <w:rPr>
          <w:rFonts w:hint="eastAsia" w:ascii="宋体" w:hAnsi="宋体" w:eastAsia="宋体" w:cs="宋体"/>
          <w:sz w:val="21"/>
          <w:szCs w:val="21"/>
          <w:highlight w:val="none"/>
        </w:rPr>
        <w:t>2.1.4 “甲方”系指与成交人签署合同的采购人</w:t>
      </w:r>
      <w:bookmarkEnd w:id="567"/>
      <w:r>
        <w:rPr>
          <w:rFonts w:hint="eastAsia" w:ascii="宋体" w:hAnsi="宋体" w:eastAsia="宋体" w:cs="宋体"/>
          <w:sz w:val="21"/>
          <w:szCs w:val="21"/>
          <w:highlight w:val="none"/>
        </w:rPr>
        <w:t>；采购人委托采购代理机构代表其与乙方签订合同的，采购人的授权委托书作为合同附件。</w:t>
      </w:r>
    </w:p>
    <w:p w14:paraId="357A5C3B">
      <w:pPr>
        <w:spacing w:line="360" w:lineRule="auto"/>
        <w:ind w:firstLine="420" w:firstLineChars="200"/>
        <w:rPr>
          <w:rFonts w:hint="eastAsia" w:ascii="宋体" w:hAnsi="宋体" w:eastAsia="宋体" w:cs="宋体"/>
          <w:sz w:val="21"/>
          <w:szCs w:val="21"/>
          <w:highlight w:val="none"/>
        </w:rPr>
      </w:pPr>
      <w:bookmarkStart w:id="568" w:name="_Ref467379400"/>
      <w:r>
        <w:rPr>
          <w:rFonts w:hint="eastAsia" w:ascii="宋体" w:hAnsi="宋体" w:eastAsia="宋体" w:cs="宋体"/>
          <w:sz w:val="21"/>
          <w:szCs w:val="21"/>
          <w:highlight w:val="none"/>
        </w:rPr>
        <w:t>2.1.5 “乙方”系指根据合同约定提供服务的成交人</w:t>
      </w:r>
      <w:bookmarkEnd w:id="568"/>
      <w:r>
        <w:rPr>
          <w:rFonts w:hint="eastAsia" w:ascii="宋体" w:hAnsi="宋体" w:eastAsia="宋体" w:cs="宋体"/>
          <w:sz w:val="21"/>
          <w:szCs w:val="21"/>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732410A">
      <w:pPr>
        <w:spacing w:line="360" w:lineRule="auto"/>
        <w:ind w:firstLine="420" w:firstLineChars="200"/>
        <w:rPr>
          <w:rFonts w:hint="eastAsia" w:ascii="宋体" w:hAnsi="宋体" w:eastAsia="宋体" w:cs="宋体"/>
          <w:sz w:val="21"/>
          <w:szCs w:val="21"/>
          <w:highlight w:val="none"/>
        </w:rPr>
      </w:pPr>
      <w:bookmarkStart w:id="569" w:name="_Ref467379436"/>
      <w:r>
        <w:rPr>
          <w:rFonts w:hint="eastAsia" w:ascii="宋体" w:hAnsi="宋体" w:eastAsia="宋体" w:cs="宋体"/>
          <w:sz w:val="21"/>
          <w:szCs w:val="21"/>
          <w:highlight w:val="none"/>
        </w:rPr>
        <w:t>2.1.6 “现场”系指合同约定提供服务的地点。</w:t>
      </w:r>
      <w:bookmarkEnd w:id="569"/>
    </w:p>
    <w:p w14:paraId="6E744C05">
      <w:pPr>
        <w:spacing w:line="360" w:lineRule="auto"/>
        <w:ind w:firstLine="422" w:firstLineChars="200"/>
        <w:rPr>
          <w:rFonts w:hint="eastAsia" w:ascii="宋体" w:hAnsi="宋体" w:eastAsia="宋体" w:cs="宋体"/>
          <w:b/>
          <w:sz w:val="21"/>
          <w:szCs w:val="21"/>
          <w:highlight w:val="none"/>
        </w:rPr>
      </w:pPr>
      <w:bookmarkStart w:id="570" w:name="_Toc31402"/>
      <w:bookmarkStart w:id="571" w:name="_Toc487900350"/>
      <w:bookmarkStart w:id="572" w:name="_Toc259093670"/>
      <w:bookmarkStart w:id="573" w:name="_Toc279701241"/>
      <w:bookmarkStart w:id="574" w:name="_Toc16752"/>
      <w:bookmarkStart w:id="575" w:name="_Toc23289"/>
      <w:bookmarkStart w:id="576" w:name="_Toc19539"/>
      <w:r>
        <w:rPr>
          <w:rFonts w:hint="eastAsia" w:ascii="宋体" w:hAnsi="宋体" w:eastAsia="宋体" w:cs="宋体"/>
          <w:b/>
          <w:sz w:val="21"/>
          <w:szCs w:val="21"/>
          <w:highlight w:val="none"/>
        </w:rPr>
        <w:t>2.2 技术规范</w:t>
      </w:r>
      <w:bookmarkEnd w:id="570"/>
      <w:bookmarkEnd w:id="571"/>
      <w:bookmarkEnd w:id="572"/>
      <w:bookmarkEnd w:id="573"/>
      <w:bookmarkEnd w:id="574"/>
      <w:bookmarkEnd w:id="575"/>
      <w:bookmarkEnd w:id="576"/>
    </w:p>
    <w:p w14:paraId="455B53BD">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95E2914">
      <w:pPr>
        <w:spacing w:line="360" w:lineRule="auto"/>
        <w:ind w:firstLine="422" w:firstLineChars="200"/>
        <w:rPr>
          <w:rFonts w:hint="eastAsia" w:ascii="宋体" w:hAnsi="宋体" w:eastAsia="宋体" w:cs="宋体"/>
          <w:b/>
          <w:sz w:val="21"/>
          <w:szCs w:val="21"/>
          <w:highlight w:val="none"/>
        </w:rPr>
      </w:pPr>
      <w:bookmarkStart w:id="577" w:name="_Toc4133"/>
      <w:bookmarkStart w:id="578" w:name="_Toc9161"/>
      <w:bookmarkStart w:id="579" w:name="_Toc259093671"/>
      <w:bookmarkStart w:id="580" w:name="_Toc13673"/>
      <w:bookmarkStart w:id="581" w:name="_Toc27945"/>
      <w:bookmarkStart w:id="582" w:name="_Toc487900351"/>
      <w:bookmarkStart w:id="583" w:name="_Toc12412"/>
      <w:bookmarkStart w:id="584" w:name="_Toc279701242"/>
      <w:r>
        <w:rPr>
          <w:rFonts w:hint="eastAsia" w:ascii="宋体" w:hAnsi="宋体" w:eastAsia="宋体" w:cs="宋体"/>
          <w:b/>
          <w:sz w:val="21"/>
          <w:szCs w:val="21"/>
          <w:highlight w:val="none"/>
        </w:rPr>
        <w:t>2.3 知识产权</w:t>
      </w:r>
      <w:bookmarkEnd w:id="577"/>
      <w:bookmarkEnd w:id="578"/>
      <w:bookmarkEnd w:id="579"/>
      <w:bookmarkEnd w:id="580"/>
      <w:bookmarkEnd w:id="581"/>
      <w:bookmarkEnd w:id="582"/>
      <w:bookmarkEnd w:id="583"/>
      <w:bookmarkEnd w:id="584"/>
    </w:p>
    <w:p w14:paraId="7161E7FA">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E8D967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2.3.2 合同涉及技术成果的归属和收益的分成办法的，详见</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w:t>
      </w:r>
    </w:p>
    <w:p w14:paraId="505A9098">
      <w:pPr>
        <w:spacing w:line="360" w:lineRule="auto"/>
        <w:ind w:firstLine="422" w:firstLineChars="200"/>
        <w:rPr>
          <w:rFonts w:hint="eastAsia" w:ascii="宋体" w:hAnsi="宋体" w:eastAsia="宋体" w:cs="宋体"/>
          <w:b/>
          <w:sz w:val="21"/>
          <w:szCs w:val="21"/>
          <w:highlight w:val="none"/>
        </w:rPr>
      </w:pPr>
      <w:r>
        <w:rPr>
          <w:rFonts w:hint="eastAsia" w:ascii="宋体" w:hAnsi="宋体" w:eastAsia="宋体" w:cs="宋体"/>
          <w:b/>
          <w:sz w:val="21"/>
          <w:szCs w:val="21"/>
          <w:highlight w:val="none"/>
        </w:rPr>
        <w:t>2.4 履约检查和问题反馈</w:t>
      </w:r>
    </w:p>
    <w:p w14:paraId="03277092">
      <w:pPr>
        <w:spacing w:line="360" w:lineRule="auto"/>
        <w:ind w:firstLine="420" w:firstLineChars="200"/>
        <w:rPr>
          <w:rFonts w:hint="eastAsia" w:ascii="宋体" w:hAnsi="宋体" w:eastAsia="宋体" w:cs="宋体"/>
          <w:sz w:val="21"/>
          <w:szCs w:val="21"/>
          <w:highlight w:val="none"/>
        </w:rPr>
      </w:pPr>
      <w:bookmarkStart w:id="585" w:name="_Ref467379657"/>
      <w:r>
        <w:rPr>
          <w:rFonts w:hint="eastAsia" w:ascii="宋体" w:hAnsi="宋体" w:eastAsia="宋体" w:cs="宋体"/>
          <w:sz w:val="21"/>
          <w:szCs w:val="21"/>
          <w:highlight w:val="none"/>
        </w:rPr>
        <w:t>2.4.1</w:t>
      </w:r>
      <w:bookmarkEnd w:id="585"/>
      <w:bookmarkStart w:id="586" w:name="_Toc186431854"/>
      <w:bookmarkStart w:id="587" w:name="_Toc259093676"/>
      <w:bookmarkStart w:id="588" w:name="_Ref467379807"/>
      <w:bookmarkStart w:id="589" w:name="_Toc279701247"/>
      <w:bookmarkStart w:id="590" w:name="_Ref467379793"/>
      <w:bookmarkStart w:id="591" w:name="_Toc487900357"/>
      <w:r>
        <w:rPr>
          <w:rFonts w:hint="eastAsia" w:ascii="宋体" w:hAnsi="宋体" w:eastAsia="宋体" w:cs="宋体"/>
          <w:sz w:val="21"/>
          <w:szCs w:val="21"/>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53599FB5">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2.4.2 合同履行期间，甲方有权将履行过程中出现的问题反馈给乙方，双方当事人应以书面形式约定需要完善和改进的内容</w:t>
      </w:r>
      <w:bookmarkEnd w:id="586"/>
      <w:bookmarkStart w:id="592" w:name="_Toc186431855"/>
      <w:r>
        <w:rPr>
          <w:rFonts w:hint="eastAsia" w:ascii="宋体" w:hAnsi="宋体" w:eastAsia="宋体" w:cs="宋体"/>
          <w:sz w:val="21"/>
          <w:szCs w:val="21"/>
          <w:highlight w:val="none"/>
        </w:rPr>
        <w:t>。</w:t>
      </w:r>
    </w:p>
    <w:bookmarkEnd w:id="592"/>
    <w:p w14:paraId="0F1B310B">
      <w:pPr>
        <w:spacing w:line="360" w:lineRule="auto"/>
        <w:ind w:firstLine="422" w:firstLineChars="200"/>
        <w:rPr>
          <w:rFonts w:hint="eastAsia" w:ascii="宋体" w:hAnsi="宋体" w:eastAsia="宋体" w:cs="宋体"/>
          <w:b/>
          <w:sz w:val="21"/>
          <w:szCs w:val="21"/>
          <w:highlight w:val="none"/>
        </w:rPr>
      </w:pPr>
      <w:bookmarkStart w:id="593" w:name="_Toc15447"/>
      <w:bookmarkStart w:id="594" w:name="_Toc31233"/>
      <w:bookmarkStart w:id="595" w:name="_Toc22011"/>
      <w:bookmarkStart w:id="596" w:name="_Toc26555"/>
      <w:bookmarkStart w:id="597" w:name="_Toc32670"/>
      <w:r>
        <w:rPr>
          <w:rFonts w:hint="eastAsia" w:ascii="宋体" w:hAnsi="宋体" w:eastAsia="宋体" w:cs="宋体"/>
          <w:b/>
          <w:sz w:val="21"/>
          <w:szCs w:val="21"/>
          <w:highlight w:val="none"/>
        </w:rPr>
        <w:t>2.5 结算方式和付款条件</w:t>
      </w:r>
      <w:bookmarkEnd w:id="587"/>
      <w:bookmarkEnd w:id="588"/>
      <w:bookmarkEnd w:id="589"/>
      <w:bookmarkEnd w:id="590"/>
      <w:bookmarkEnd w:id="591"/>
      <w:bookmarkEnd w:id="593"/>
      <w:bookmarkEnd w:id="594"/>
      <w:bookmarkEnd w:id="595"/>
      <w:bookmarkEnd w:id="596"/>
      <w:bookmarkEnd w:id="597"/>
    </w:p>
    <w:p w14:paraId="7EB4C61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详见</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w:t>
      </w:r>
    </w:p>
    <w:p w14:paraId="0466D4F6">
      <w:pPr>
        <w:spacing w:line="360" w:lineRule="auto"/>
        <w:ind w:firstLine="422" w:firstLineChars="200"/>
        <w:rPr>
          <w:rFonts w:hint="eastAsia" w:ascii="宋体" w:hAnsi="宋体" w:eastAsia="宋体" w:cs="宋体"/>
          <w:b/>
          <w:sz w:val="21"/>
          <w:szCs w:val="21"/>
          <w:highlight w:val="none"/>
        </w:rPr>
      </w:pPr>
      <w:bookmarkStart w:id="598" w:name="_Toc259093677"/>
      <w:bookmarkStart w:id="599" w:name="_Ref467379923"/>
      <w:bookmarkStart w:id="600" w:name="_Toc487900358"/>
      <w:bookmarkStart w:id="601" w:name="_Ref467379852"/>
      <w:bookmarkStart w:id="602" w:name="_Toc279701248"/>
      <w:bookmarkStart w:id="603" w:name="_Ref467379863"/>
      <w:bookmarkStart w:id="604" w:name="_Toc18990"/>
      <w:bookmarkStart w:id="605" w:name="_Toc16163"/>
      <w:bookmarkStart w:id="606" w:name="_Toc13467"/>
      <w:bookmarkStart w:id="607" w:name="_Toc13154"/>
      <w:r>
        <w:rPr>
          <w:rFonts w:hint="eastAsia" w:ascii="宋体" w:hAnsi="宋体" w:eastAsia="宋体" w:cs="宋体"/>
          <w:b/>
          <w:sz w:val="21"/>
          <w:szCs w:val="21"/>
          <w:highlight w:val="none"/>
        </w:rPr>
        <w:t>2.6 技术资料</w:t>
      </w:r>
      <w:bookmarkEnd w:id="598"/>
      <w:bookmarkEnd w:id="599"/>
      <w:bookmarkEnd w:id="600"/>
      <w:bookmarkEnd w:id="601"/>
      <w:bookmarkEnd w:id="602"/>
      <w:bookmarkEnd w:id="603"/>
      <w:r>
        <w:rPr>
          <w:rFonts w:hint="eastAsia" w:ascii="宋体" w:hAnsi="宋体" w:eastAsia="宋体" w:cs="宋体"/>
          <w:b/>
          <w:sz w:val="21"/>
          <w:szCs w:val="21"/>
          <w:highlight w:val="none"/>
        </w:rPr>
        <w:t>和保密义务</w:t>
      </w:r>
      <w:bookmarkEnd w:id="604"/>
      <w:bookmarkEnd w:id="605"/>
      <w:bookmarkEnd w:id="606"/>
      <w:bookmarkEnd w:id="607"/>
    </w:p>
    <w:p w14:paraId="386FB64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2.6.1 乙方有权依据合同约定和项目需要，向甲方了解有关情况，调阅有关资料等，甲方应予积极配合；</w:t>
      </w:r>
    </w:p>
    <w:p w14:paraId="7768A8DA">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2.6.2 乙方有义务妥善保管和保护由甲方提供的前款信息和资料等；</w:t>
      </w:r>
    </w:p>
    <w:p w14:paraId="00F6B0D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0913CBB">
      <w:pPr>
        <w:spacing w:line="360" w:lineRule="auto"/>
        <w:ind w:firstLine="422" w:firstLineChars="200"/>
        <w:rPr>
          <w:rFonts w:hint="eastAsia" w:ascii="宋体" w:hAnsi="宋体" w:eastAsia="宋体" w:cs="宋体"/>
          <w:b/>
          <w:sz w:val="21"/>
          <w:szCs w:val="21"/>
          <w:highlight w:val="none"/>
        </w:rPr>
      </w:pPr>
      <w:bookmarkStart w:id="608" w:name="_Toc19069"/>
      <w:bookmarkStart w:id="609" w:name="_Toc259093681"/>
      <w:bookmarkStart w:id="610" w:name="_Toc279701252"/>
      <w:bookmarkStart w:id="611" w:name="_Toc487900362"/>
      <w:r>
        <w:rPr>
          <w:rFonts w:hint="eastAsia" w:ascii="宋体" w:hAnsi="宋体" w:eastAsia="宋体" w:cs="宋体"/>
          <w:b/>
          <w:sz w:val="21"/>
          <w:szCs w:val="21"/>
          <w:highlight w:val="none"/>
        </w:rPr>
        <w:t>2.7 质量保证</w:t>
      </w:r>
      <w:bookmarkEnd w:id="608"/>
    </w:p>
    <w:p w14:paraId="5CA6FB3B">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2.7.1 乙方应建立和完善履行合同的内部质量保证体系，并提供相关内部规章制度给甲方，以便甲方进行监督检查；</w:t>
      </w:r>
    </w:p>
    <w:p w14:paraId="4908330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2.7.2 乙方应保证履行合同的人员数量和素质、软件和硬件设备的配置、场地、环境和设施等满足全面履行合同的要求，并应接受甲方的监督检查。</w:t>
      </w:r>
    </w:p>
    <w:p w14:paraId="4813B6AA">
      <w:pPr>
        <w:spacing w:line="360" w:lineRule="auto"/>
        <w:ind w:firstLine="422" w:firstLineChars="200"/>
        <w:rPr>
          <w:rFonts w:hint="eastAsia" w:ascii="宋体" w:hAnsi="宋体" w:eastAsia="宋体" w:cs="宋体"/>
          <w:b/>
          <w:sz w:val="21"/>
          <w:szCs w:val="21"/>
          <w:highlight w:val="none"/>
        </w:rPr>
      </w:pPr>
      <w:bookmarkStart w:id="612" w:name="_Toc22267"/>
      <w:r>
        <w:rPr>
          <w:rFonts w:hint="eastAsia" w:ascii="宋体" w:hAnsi="宋体" w:eastAsia="宋体" w:cs="宋体"/>
          <w:b/>
          <w:sz w:val="21"/>
          <w:szCs w:val="21"/>
          <w:highlight w:val="none"/>
        </w:rPr>
        <w:t>2.8 延迟</w:t>
      </w:r>
      <w:bookmarkEnd w:id="609"/>
      <w:bookmarkEnd w:id="610"/>
      <w:bookmarkEnd w:id="611"/>
      <w:r>
        <w:rPr>
          <w:rFonts w:hint="eastAsia" w:ascii="宋体" w:hAnsi="宋体" w:eastAsia="宋体" w:cs="宋体"/>
          <w:b/>
          <w:sz w:val="21"/>
          <w:szCs w:val="21"/>
          <w:highlight w:val="none"/>
        </w:rPr>
        <w:t>履行</w:t>
      </w:r>
      <w:bookmarkEnd w:id="612"/>
    </w:p>
    <w:p w14:paraId="0681225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1994ED3">
      <w:pPr>
        <w:spacing w:line="360" w:lineRule="auto"/>
        <w:ind w:firstLine="422" w:firstLineChars="200"/>
        <w:rPr>
          <w:rFonts w:hint="eastAsia" w:ascii="宋体" w:hAnsi="宋体" w:eastAsia="宋体" w:cs="宋体"/>
          <w:b/>
          <w:sz w:val="21"/>
          <w:szCs w:val="21"/>
          <w:highlight w:val="none"/>
        </w:rPr>
      </w:pPr>
      <w:bookmarkStart w:id="613" w:name="_Toc10611"/>
      <w:bookmarkStart w:id="614" w:name="_Ref467378121"/>
      <w:bookmarkStart w:id="615" w:name="_Toc487900364"/>
      <w:bookmarkStart w:id="616" w:name="_Toc279701254"/>
      <w:bookmarkStart w:id="617" w:name="_Toc259093683"/>
      <w:r>
        <w:rPr>
          <w:rFonts w:hint="eastAsia" w:ascii="宋体" w:hAnsi="宋体" w:eastAsia="宋体" w:cs="宋体"/>
          <w:b/>
          <w:sz w:val="21"/>
          <w:szCs w:val="21"/>
          <w:highlight w:val="none"/>
        </w:rPr>
        <w:t>2.9 合同变更</w:t>
      </w:r>
      <w:bookmarkEnd w:id="613"/>
    </w:p>
    <w:p w14:paraId="35F2B5F6">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12DDB9C5">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2.9.2 合同继续履行将损害国家利益和社会公共利益的，双方当事人应当以书面形式变更合同。有过错的一方应当承担赔偿责任，双方当事人都有过错的，各自承担相应的责任。</w:t>
      </w:r>
      <w:bookmarkStart w:id="618" w:name="_Toc487900369"/>
      <w:bookmarkStart w:id="619" w:name="_Toc279701259"/>
      <w:bookmarkStart w:id="620" w:name="_Toc259093688"/>
    </w:p>
    <w:p w14:paraId="6EF2CCD0">
      <w:pPr>
        <w:spacing w:line="360" w:lineRule="auto"/>
        <w:ind w:firstLine="422" w:firstLineChars="200"/>
        <w:rPr>
          <w:rFonts w:hint="eastAsia" w:ascii="宋体" w:hAnsi="宋体" w:eastAsia="宋体" w:cs="宋体"/>
          <w:b/>
          <w:sz w:val="21"/>
          <w:szCs w:val="21"/>
          <w:highlight w:val="none"/>
        </w:rPr>
      </w:pPr>
      <w:bookmarkStart w:id="621" w:name="_Toc23368"/>
      <w:bookmarkStart w:id="622" w:name="_Toc21830"/>
      <w:bookmarkStart w:id="623" w:name="_Toc10663"/>
      <w:bookmarkStart w:id="624" w:name="_Toc26689"/>
      <w:bookmarkStart w:id="625" w:name="_Toc42"/>
      <w:r>
        <w:rPr>
          <w:rFonts w:hint="eastAsia" w:ascii="宋体" w:hAnsi="宋体" w:eastAsia="宋体" w:cs="宋体"/>
          <w:b/>
          <w:sz w:val="21"/>
          <w:szCs w:val="21"/>
          <w:highlight w:val="none"/>
        </w:rPr>
        <w:t>2.10 合同转让</w:t>
      </w:r>
      <w:bookmarkEnd w:id="618"/>
      <w:bookmarkEnd w:id="619"/>
      <w:bookmarkEnd w:id="620"/>
      <w:r>
        <w:rPr>
          <w:rFonts w:hint="eastAsia" w:ascii="宋体" w:hAnsi="宋体" w:eastAsia="宋体" w:cs="宋体"/>
          <w:b/>
          <w:sz w:val="21"/>
          <w:szCs w:val="21"/>
          <w:highlight w:val="none"/>
        </w:rPr>
        <w:t>和分包</w:t>
      </w:r>
      <w:bookmarkEnd w:id="621"/>
      <w:bookmarkEnd w:id="622"/>
      <w:bookmarkEnd w:id="623"/>
      <w:bookmarkEnd w:id="624"/>
      <w:bookmarkEnd w:id="625"/>
    </w:p>
    <w:p w14:paraId="75EAE73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7F5BDF5">
      <w:pPr>
        <w:spacing w:line="360" w:lineRule="auto"/>
        <w:ind w:firstLine="422" w:firstLineChars="200"/>
        <w:rPr>
          <w:rFonts w:hint="eastAsia" w:ascii="宋体" w:hAnsi="宋体" w:eastAsia="宋体" w:cs="宋体"/>
          <w:b/>
          <w:sz w:val="21"/>
          <w:szCs w:val="21"/>
          <w:highlight w:val="none"/>
        </w:rPr>
      </w:pPr>
      <w:bookmarkStart w:id="626" w:name="_Toc14371"/>
      <w:bookmarkStart w:id="627" w:name="_Toc4720"/>
      <w:bookmarkStart w:id="628" w:name="_Toc25571"/>
      <w:bookmarkStart w:id="629" w:name="_Toc26633"/>
      <w:bookmarkStart w:id="630" w:name="_Toc32494"/>
      <w:r>
        <w:rPr>
          <w:rFonts w:hint="eastAsia" w:ascii="宋体" w:hAnsi="宋体" w:eastAsia="宋体" w:cs="宋体"/>
          <w:b/>
          <w:sz w:val="21"/>
          <w:szCs w:val="21"/>
          <w:highlight w:val="none"/>
        </w:rPr>
        <w:t>2.11 不可抗力</w:t>
      </w:r>
      <w:bookmarkEnd w:id="626"/>
      <w:bookmarkEnd w:id="627"/>
      <w:bookmarkEnd w:id="628"/>
      <w:bookmarkEnd w:id="629"/>
      <w:bookmarkEnd w:id="630"/>
    </w:p>
    <w:p w14:paraId="0FBE59D6">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2.11.1如果任何一方遭遇法律规定的不可抗力，致使合同履行受阻时，履行合同的期限应予延长，延长的期限应相当于不可抗力所影响的时间；</w:t>
      </w:r>
    </w:p>
    <w:p w14:paraId="4D07C3A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2.11.2 因不可抗力致使不能实现合同目的的，当事人可以解除合同；</w:t>
      </w:r>
    </w:p>
    <w:p w14:paraId="38A90FE5">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2.11.3 因不可抗力致使合同有变更必要的，双方当事人应在</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约定时间内以书面形式变更合同；</w:t>
      </w:r>
    </w:p>
    <w:p w14:paraId="0C8A2B1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2.11.4受不可抗力影响的一方在不可抗力发生后，应在</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约定时间内以书面形式通知对方当事人，并在</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约定时间内，将有关部门出具的证明文件送达对方当事人。</w:t>
      </w:r>
    </w:p>
    <w:p w14:paraId="7DBE9EC7">
      <w:pPr>
        <w:spacing w:line="360" w:lineRule="auto"/>
        <w:ind w:firstLine="422" w:firstLineChars="200"/>
        <w:rPr>
          <w:rFonts w:hint="eastAsia" w:ascii="宋体" w:hAnsi="宋体" w:eastAsia="宋体" w:cs="宋体"/>
          <w:b/>
          <w:sz w:val="21"/>
          <w:szCs w:val="21"/>
          <w:highlight w:val="none"/>
        </w:rPr>
      </w:pPr>
      <w:bookmarkStart w:id="631" w:name="_Toc14115"/>
      <w:bookmarkStart w:id="632" w:name="_Toc279701255"/>
      <w:bookmarkStart w:id="633" w:name="_Toc23854"/>
      <w:bookmarkStart w:id="634" w:name="_Toc487900365"/>
      <w:bookmarkStart w:id="635" w:name="_Toc24465"/>
      <w:bookmarkStart w:id="636" w:name="_Toc3638"/>
      <w:bookmarkStart w:id="637" w:name="_Toc259093684"/>
      <w:r>
        <w:rPr>
          <w:rFonts w:hint="eastAsia" w:ascii="宋体" w:hAnsi="宋体" w:eastAsia="宋体" w:cs="宋体"/>
          <w:b/>
          <w:sz w:val="21"/>
          <w:szCs w:val="21"/>
          <w:highlight w:val="none"/>
        </w:rPr>
        <w:t>2.12 税费</w:t>
      </w:r>
      <w:bookmarkEnd w:id="631"/>
      <w:bookmarkEnd w:id="632"/>
      <w:bookmarkEnd w:id="633"/>
      <w:bookmarkEnd w:id="634"/>
      <w:bookmarkEnd w:id="635"/>
      <w:bookmarkEnd w:id="636"/>
      <w:bookmarkEnd w:id="637"/>
    </w:p>
    <w:p w14:paraId="4F741FA1">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与合同有关的一切税费，均按照中华人民共和国法律的相关规定缴纳。</w:t>
      </w:r>
    </w:p>
    <w:p w14:paraId="0AFC0318">
      <w:pPr>
        <w:spacing w:line="360" w:lineRule="auto"/>
        <w:ind w:firstLine="422" w:firstLineChars="200"/>
        <w:rPr>
          <w:rFonts w:hint="eastAsia" w:ascii="宋体" w:hAnsi="宋体" w:eastAsia="宋体" w:cs="宋体"/>
          <w:b/>
          <w:sz w:val="21"/>
          <w:szCs w:val="21"/>
          <w:highlight w:val="none"/>
        </w:rPr>
      </w:pPr>
      <w:bookmarkStart w:id="638" w:name="_Toc7315"/>
      <w:bookmarkStart w:id="639" w:name="_Toc25525"/>
      <w:bookmarkStart w:id="640" w:name="_Toc487900368"/>
      <w:bookmarkStart w:id="641" w:name="_Toc26883"/>
      <w:bookmarkStart w:id="642" w:name="_Toc30105"/>
      <w:bookmarkStart w:id="643" w:name="_Toc14814"/>
      <w:bookmarkStart w:id="644" w:name="_Toc259093687"/>
      <w:bookmarkStart w:id="645" w:name="_Toc279701258"/>
      <w:r>
        <w:rPr>
          <w:rFonts w:hint="eastAsia" w:ascii="宋体" w:hAnsi="宋体" w:eastAsia="宋体" w:cs="宋体"/>
          <w:b/>
          <w:sz w:val="21"/>
          <w:szCs w:val="21"/>
          <w:highlight w:val="none"/>
        </w:rPr>
        <w:t>2.13 乙方破产</w:t>
      </w:r>
      <w:bookmarkEnd w:id="638"/>
      <w:bookmarkEnd w:id="639"/>
      <w:bookmarkEnd w:id="640"/>
      <w:bookmarkEnd w:id="641"/>
      <w:bookmarkEnd w:id="642"/>
      <w:bookmarkEnd w:id="643"/>
      <w:bookmarkEnd w:id="644"/>
      <w:bookmarkEnd w:id="645"/>
    </w:p>
    <w:p w14:paraId="36D35379">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5385670">
      <w:pPr>
        <w:spacing w:line="360" w:lineRule="auto"/>
        <w:ind w:firstLine="422" w:firstLineChars="200"/>
        <w:rPr>
          <w:rFonts w:hint="eastAsia" w:ascii="宋体" w:hAnsi="宋体" w:eastAsia="宋体" w:cs="宋体"/>
          <w:b/>
          <w:sz w:val="21"/>
          <w:szCs w:val="21"/>
          <w:highlight w:val="none"/>
        </w:rPr>
      </w:pPr>
      <w:bookmarkStart w:id="646" w:name="_Toc1123"/>
      <w:bookmarkStart w:id="647" w:name="_Toc2016"/>
      <w:bookmarkStart w:id="648" w:name="_Toc23323"/>
      <w:r>
        <w:rPr>
          <w:rFonts w:hint="eastAsia" w:ascii="宋体" w:hAnsi="宋体" w:eastAsia="宋体" w:cs="宋体"/>
          <w:b/>
          <w:sz w:val="21"/>
          <w:szCs w:val="21"/>
          <w:highlight w:val="none"/>
        </w:rPr>
        <w:t>2.14 合同中止、终止</w:t>
      </w:r>
      <w:bookmarkEnd w:id="646"/>
      <w:bookmarkEnd w:id="647"/>
      <w:bookmarkEnd w:id="648"/>
    </w:p>
    <w:p w14:paraId="0793A7DA">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2.14.1 双方当事人不得擅自中止或者终止合同；</w:t>
      </w:r>
    </w:p>
    <w:p w14:paraId="17F3B46C">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2.14.2合同继续履行将损害国家利益和社会公共利益的，双方当事人应当中止或者终止合同。有过错的一方应当承担赔偿责任，双方当事人都有过错的，各自承担相应的责任。</w:t>
      </w:r>
    </w:p>
    <w:p w14:paraId="6FD635EA">
      <w:pPr>
        <w:spacing w:line="360" w:lineRule="auto"/>
        <w:ind w:firstLine="422" w:firstLineChars="200"/>
        <w:rPr>
          <w:rFonts w:hint="eastAsia" w:ascii="宋体" w:hAnsi="宋体" w:eastAsia="宋体" w:cs="宋体"/>
          <w:b/>
          <w:sz w:val="21"/>
          <w:szCs w:val="21"/>
          <w:highlight w:val="none"/>
        </w:rPr>
      </w:pPr>
      <w:bookmarkStart w:id="649" w:name="_Toc1969"/>
      <w:bookmarkStart w:id="650" w:name="_Toc17363"/>
      <w:bookmarkStart w:id="651" w:name="_Toc14525"/>
      <w:r>
        <w:rPr>
          <w:rFonts w:hint="eastAsia" w:ascii="宋体" w:hAnsi="宋体" w:eastAsia="宋体" w:cs="宋体"/>
          <w:b/>
          <w:sz w:val="21"/>
          <w:szCs w:val="21"/>
          <w:highlight w:val="none"/>
        </w:rPr>
        <w:t>2.15 检验和验收</w:t>
      </w:r>
      <w:bookmarkEnd w:id="649"/>
      <w:bookmarkEnd w:id="650"/>
      <w:bookmarkEnd w:id="651"/>
    </w:p>
    <w:p w14:paraId="507993A8">
      <w:pPr>
        <w:tabs>
          <w:tab w:val="left" w:pos="360"/>
          <w:tab w:val="left" w:pos="540"/>
          <w:tab w:val="left" w:pos="1080"/>
        </w:tabs>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2.15.1 乙方按照</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的约定，定期提交服务报告，甲方按照</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的约定进行定期验收；</w:t>
      </w:r>
    </w:p>
    <w:p w14:paraId="4409A3E8">
      <w:pPr>
        <w:tabs>
          <w:tab w:val="left" w:pos="360"/>
          <w:tab w:val="left" w:pos="540"/>
          <w:tab w:val="left" w:pos="1080"/>
        </w:tabs>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362ECF0">
      <w:pPr>
        <w:tabs>
          <w:tab w:val="left" w:pos="360"/>
          <w:tab w:val="left" w:pos="540"/>
          <w:tab w:val="left" w:pos="1080"/>
        </w:tabs>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2.15.3 检验和验收标准、程序等具体内容以及前述验收书的效力详见</w:t>
      </w:r>
      <w:r>
        <w:rPr>
          <w:rFonts w:hint="eastAsia" w:ascii="宋体" w:hAnsi="宋体" w:eastAsia="宋体" w:cs="宋体"/>
          <w:b/>
          <w:i/>
          <w:sz w:val="21"/>
          <w:szCs w:val="21"/>
          <w:highlight w:val="none"/>
          <w:u w:val="single"/>
        </w:rPr>
        <w:t>合同专用条款</w:t>
      </w:r>
      <w:r>
        <w:rPr>
          <w:rFonts w:hint="eastAsia" w:ascii="宋体" w:hAnsi="宋体" w:eastAsia="宋体" w:cs="宋体"/>
          <w:i/>
          <w:sz w:val="21"/>
          <w:szCs w:val="21"/>
          <w:highlight w:val="none"/>
        </w:rPr>
        <w:t>。</w:t>
      </w:r>
    </w:p>
    <w:bookmarkEnd w:id="614"/>
    <w:bookmarkEnd w:id="615"/>
    <w:bookmarkEnd w:id="616"/>
    <w:bookmarkEnd w:id="617"/>
    <w:p w14:paraId="1DE924BE">
      <w:pPr>
        <w:spacing w:line="360" w:lineRule="auto"/>
        <w:ind w:firstLine="422" w:firstLineChars="200"/>
        <w:rPr>
          <w:rFonts w:hint="eastAsia" w:ascii="宋体" w:hAnsi="宋体" w:eastAsia="宋体" w:cs="宋体"/>
          <w:b/>
          <w:sz w:val="21"/>
          <w:szCs w:val="21"/>
          <w:highlight w:val="none"/>
        </w:rPr>
      </w:pPr>
      <w:bookmarkStart w:id="652" w:name="_Toc259093690"/>
      <w:bookmarkStart w:id="653" w:name="_Toc279701261"/>
      <w:bookmarkStart w:id="654" w:name="_Toc487900371"/>
      <w:bookmarkStart w:id="655" w:name="_Toc2308"/>
      <w:bookmarkStart w:id="656" w:name="_Toc25198"/>
      <w:bookmarkStart w:id="657" w:name="_Toc12666"/>
      <w:bookmarkStart w:id="658" w:name="_Toc31892"/>
      <w:bookmarkStart w:id="659" w:name="_Toc9808"/>
      <w:r>
        <w:rPr>
          <w:rFonts w:hint="eastAsia" w:ascii="宋体" w:hAnsi="宋体" w:eastAsia="宋体" w:cs="宋体"/>
          <w:b/>
          <w:sz w:val="21"/>
          <w:szCs w:val="21"/>
          <w:highlight w:val="none"/>
        </w:rPr>
        <w:t>2.16 通知</w:t>
      </w:r>
      <w:bookmarkEnd w:id="652"/>
      <w:bookmarkEnd w:id="653"/>
      <w:bookmarkEnd w:id="654"/>
      <w:r>
        <w:rPr>
          <w:rFonts w:hint="eastAsia" w:ascii="宋体" w:hAnsi="宋体" w:eastAsia="宋体" w:cs="宋体"/>
          <w:b/>
          <w:sz w:val="21"/>
          <w:szCs w:val="21"/>
          <w:highlight w:val="none"/>
        </w:rPr>
        <w:t>和送达</w:t>
      </w:r>
      <w:bookmarkEnd w:id="655"/>
      <w:bookmarkEnd w:id="656"/>
      <w:bookmarkEnd w:id="657"/>
      <w:bookmarkEnd w:id="658"/>
      <w:bookmarkEnd w:id="659"/>
    </w:p>
    <w:p w14:paraId="769B77B0">
      <w:pPr>
        <w:spacing w:line="360" w:lineRule="auto"/>
        <w:ind w:firstLine="420" w:firstLineChars="200"/>
        <w:rPr>
          <w:rFonts w:hint="eastAsia" w:ascii="宋体" w:hAnsi="宋体" w:eastAsia="宋体" w:cs="宋体"/>
          <w:sz w:val="21"/>
          <w:szCs w:val="21"/>
          <w:highlight w:val="none"/>
        </w:rPr>
      </w:pPr>
      <w:bookmarkStart w:id="660" w:name="_Toc7073"/>
      <w:bookmarkStart w:id="661" w:name="_Toc29220"/>
      <w:bookmarkStart w:id="662" w:name="_Toc487900372"/>
      <w:bookmarkStart w:id="663" w:name="_Toc279701262"/>
      <w:bookmarkStart w:id="664" w:name="_Toc259093691"/>
      <w:r>
        <w:rPr>
          <w:rFonts w:hint="eastAsia" w:ascii="宋体" w:hAnsi="宋体" w:eastAsia="宋体" w:cs="宋体"/>
          <w:sz w:val="21"/>
          <w:szCs w:val="21"/>
          <w:highlight w:val="none"/>
        </w:rPr>
        <w:t>2.16.1 任何一方因履行合同而以合同第一部分尾部所列明的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发出的所有通知、文件、材料，均视为已向对方当事人送达；任何一方变更上述送达方式或者地址的，应于</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个工作日内书面通知对方当事人，在对方当事人收到有关变更通知之前，变更前的约定送达方式或者地址仍视为有效。</w:t>
      </w:r>
      <w:bookmarkEnd w:id="660"/>
      <w:bookmarkEnd w:id="661"/>
    </w:p>
    <w:p w14:paraId="2BBB9DD8">
      <w:pPr>
        <w:spacing w:line="360" w:lineRule="auto"/>
        <w:ind w:firstLine="420" w:firstLineChars="200"/>
        <w:rPr>
          <w:rFonts w:hint="eastAsia" w:ascii="宋体" w:hAnsi="宋体" w:eastAsia="宋体" w:cs="宋体"/>
          <w:sz w:val="21"/>
          <w:szCs w:val="21"/>
          <w:highlight w:val="none"/>
        </w:rPr>
      </w:pPr>
      <w:bookmarkStart w:id="665" w:name="_Toc27674"/>
      <w:bookmarkStart w:id="666" w:name="_Toc18401"/>
      <w:r>
        <w:rPr>
          <w:rFonts w:hint="eastAsia" w:ascii="宋体" w:hAnsi="宋体" w:eastAsia="宋体" w:cs="宋体"/>
          <w:sz w:val="21"/>
          <w:szCs w:val="21"/>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665"/>
      <w:bookmarkEnd w:id="666"/>
    </w:p>
    <w:bookmarkEnd w:id="662"/>
    <w:bookmarkEnd w:id="663"/>
    <w:bookmarkEnd w:id="664"/>
    <w:p w14:paraId="54846112">
      <w:pPr>
        <w:spacing w:line="360" w:lineRule="auto"/>
        <w:ind w:firstLine="422" w:firstLineChars="200"/>
        <w:rPr>
          <w:rFonts w:hint="eastAsia" w:ascii="宋体" w:hAnsi="宋体" w:eastAsia="宋体" w:cs="宋体"/>
          <w:b/>
          <w:sz w:val="21"/>
          <w:szCs w:val="21"/>
          <w:highlight w:val="none"/>
        </w:rPr>
      </w:pPr>
      <w:bookmarkStart w:id="667" w:name="_Toc20808"/>
      <w:bookmarkStart w:id="668" w:name="_Toc279701263"/>
      <w:bookmarkStart w:id="669" w:name="_Toc27644"/>
      <w:bookmarkStart w:id="670" w:name="_Toc12254"/>
      <w:bookmarkStart w:id="671" w:name="_Toc28906"/>
      <w:bookmarkStart w:id="672" w:name="_Toc259093692"/>
      <w:bookmarkStart w:id="673" w:name="_Toc487900373"/>
      <w:bookmarkStart w:id="674" w:name="_Toc5063"/>
      <w:r>
        <w:rPr>
          <w:rFonts w:hint="eastAsia" w:ascii="宋体" w:hAnsi="宋体" w:eastAsia="宋体" w:cs="宋体"/>
          <w:b/>
          <w:sz w:val="21"/>
          <w:szCs w:val="21"/>
          <w:highlight w:val="none"/>
        </w:rPr>
        <w:t>2.17 合同使用的文字和适用的法律</w:t>
      </w:r>
      <w:bookmarkEnd w:id="667"/>
      <w:bookmarkEnd w:id="668"/>
      <w:bookmarkEnd w:id="669"/>
      <w:bookmarkEnd w:id="670"/>
      <w:bookmarkEnd w:id="671"/>
      <w:bookmarkEnd w:id="672"/>
      <w:bookmarkEnd w:id="673"/>
      <w:bookmarkEnd w:id="674"/>
    </w:p>
    <w:p w14:paraId="61B8EB05">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2.17.1 合同使用汉语书就、变更和解释；</w:t>
      </w:r>
    </w:p>
    <w:p w14:paraId="29CD6DAE">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2.17.2 合同适用中华人民共和国法律。</w:t>
      </w:r>
    </w:p>
    <w:p w14:paraId="40431A26">
      <w:pPr>
        <w:spacing w:line="360" w:lineRule="auto"/>
        <w:ind w:firstLine="422" w:firstLineChars="200"/>
        <w:rPr>
          <w:rFonts w:hint="eastAsia" w:ascii="宋体" w:hAnsi="宋体" w:eastAsia="宋体" w:cs="宋体"/>
          <w:b/>
          <w:sz w:val="21"/>
          <w:szCs w:val="21"/>
          <w:highlight w:val="none"/>
        </w:rPr>
      </w:pPr>
      <w:bookmarkStart w:id="675" w:name="_Toc30096"/>
      <w:bookmarkStart w:id="676" w:name="_Toc1492"/>
      <w:bookmarkStart w:id="677" w:name="_Toc27403"/>
      <w:bookmarkStart w:id="678" w:name="_Toc279701264"/>
      <w:bookmarkStart w:id="679" w:name="_Toc22266"/>
      <w:bookmarkStart w:id="680" w:name="_Toc259093693"/>
      <w:bookmarkStart w:id="681" w:name="_Toc27127"/>
      <w:bookmarkStart w:id="682" w:name="_Toc487900374"/>
      <w:r>
        <w:rPr>
          <w:rFonts w:hint="eastAsia" w:ascii="宋体" w:hAnsi="宋体" w:eastAsia="宋体" w:cs="宋体"/>
          <w:b/>
          <w:sz w:val="21"/>
          <w:szCs w:val="21"/>
          <w:highlight w:val="none"/>
        </w:rPr>
        <w:t>2.18 履约保证金</w:t>
      </w:r>
      <w:bookmarkEnd w:id="675"/>
      <w:bookmarkEnd w:id="676"/>
      <w:bookmarkEnd w:id="677"/>
      <w:bookmarkEnd w:id="678"/>
      <w:bookmarkEnd w:id="679"/>
      <w:bookmarkEnd w:id="680"/>
      <w:bookmarkEnd w:id="681"/>
    </w:p>
    <w:p w14:paraId="4E3872F0">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2.18.1 采购文件要求乙方提交履约保证金的，乙方应按</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约定的方式，以支票、汇票、本票或者金融机构、担保机构出具的保函等非现金形式，提交不超过合同价</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%的履约保证金；</w:t>
      </w:r>
    </w:p>
    <w:p w14:paraId="382FE54D">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2.18.2 履约保证金在</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约定期间内不予退还或者应完全有效，前述约定期间届满之日起</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个工作日内，甲方应将履约保证金退还乙方；</w:t>
      </w:r>
    </w:p>
    <w:p w14:paraId="142820D6">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682"/>
    <w:p w14:paraId="1094411C">
      <w:pPr>
        <w:spacing w:line="360" w:lineRule="auto"/>
        <w:ind w:firstLine="422" w:firstLineChars="200"/>
        <w:rPr>
          <w:rFonts w:hint="eastAsia" w:ascii="宋体" w:hAnsi="宋体" w:eastAsia="宋体" w:cs="宋体"/>
          <w:b/>
          <w:sz w:val="21"/>
          <w:szCs w:val="21"/>
          <w:highlight w:val="none"/>
        </w:rPr>
      </w:pPr>
      <w:r>
        <w:rPr>
          <w:rFonts w:hint="eastAsia" w:ascii="宋体" w:hAnsi="宋体" w:eastAsia="宋体" w:cs="宋体"/>
          <w:b/>
          <w:sz w:val="21"/>
          <w:szCs w:val="21"/>
          <w:highlight w:val="none"/>
        </w:rPr>
        <w:t>2.19 合同份数</w:t>
      </w:r>
    </w:p>
    <w:p w14:paraId="6B45E048">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合同份数按</w:t>
      </w:r>
      <w:r>
        <w:rPr>
          <w:rFonts w:hint="eastAsia" w:ascii="宋体" w:hAnsi="宋体" w:eastAsia="宋体" w:cs="宋体"/>
          <w:b/>
          <w:i/>
          <w:sz w:val="21"/>
          <w:szCs w:val="21"/>
          <w:highlight w:val="none"/>
          <w:u w:val="single"/>
        </w:rPr>
        <w:t>合同专用条款</w:t>
      </w:r>
      <w:r>
        <w:rPr>
          <w:rFonts w:hint="eastAsia" w:ascii="宋体" w:hAnsi="宋体" w:eastAsia="宋体" w:cs="宋体"/>
          <w:sz w:val="21"/>
          <w:szCs w:val="21"/>
          <w:highlight w:val="none"/>
        </w:rPr>
        <w:t>规定，每份均具有同等法律效力。</w:t>
      </w:r>
    </w:p>
    <w:p w14:paraId="143E6317">
      <w:pPr>
        <w:pStyle w:val="53"/>
        <w:spacing w:line="360" w:lineRule="auto"/>
        <w:ind w:firstLine="0"/>
        <w:jc w:val="center"/>
        <w:rPr>
          <w:rFonts w:hint="eastAsia" w:ascii="宋体" w:hAnsi="宋体" w:eastAsia="宋体" w:cs="宋体"/>
          <w:b/>
          <w:sz w:val="21"/>
          <w:szCs w:val="21"/>
          <w:highlight w:val="none"/>
        </w:rPr>
      </w:pPr>
      <w:r>
        <w:rPr>
          <w:rFonts w:hint="eastAsia" w:ascii="宋体" w:hAnsi="宋体" w:eastAsia="宋体" w:cs="宋体"/>
          <w:sz w:val="21"/>
          <w:szCs w:val="21"/>
          <w:highlight w:val="none"/>
        </w:rPr>
        <w:br w:type="page"/>
      </w:r>
      <w:bookmarkStart w:id="683" w:name="_Toc331685784"/>
      <w:r>
        <w:rPr>
          <w:rFonts w:hint="eastAsia" w:ascii="宋体" w:hAnsi="宋体" w:eastAsia="宋体" w:cs="宋体"/>
          <w:b/>
          <w:sz w:val="21"/>
          <w:szCs w:val="21"/>
          <w:highlight w:val="none"/>
        </w:rPr>
        <w:t>第三部分  合同专用条款</w:t>
      </w:r>
      <w:bookmarkEnd w:id="683"/>
    </w:p>
    <w:p w14:paraId="50E7E507">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3"/>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2013"/>
        <w:gridCol w:w="7087"/>
      </w:tblGrid>
      <w:tr w14:paraId="56629F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7BF695BD">
            <w:pPr>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条款号</w:t>
            </w:r>
          </w:p>
        </w:tc>
        <w:tc>
          <w:tcPr>
            <w:tcW w:w="7087" w:type="dxa"/>
            <w:noWrap w:val="0"/>
            <w:vAlign w:val="center"/>
          </w:tcPr>
          <w:p w14:paraId="29D91A66">
            <w:pPr>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约定内容</w:t>
            </w:r>
          </w:p>
        </w:tc>
      </w:tr>
      <w:tr w14:paraId="293F13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1A3E3238">
            <w:pPr>
              <w:jc w:val="center"/>
              <w:rPr>
                <w:rFonts w:hint="eastAsia" w:ascii="宋体" w:hAnsi="宋体" w:eastAsia="宋体" w:cs="宋体"/>
                <w:sz w:val="21"/>
                <w:szCs w:val="21"/>
                <w:highlight w:val="none"/>
              </w:rPr>
            </w:pPr>
          </w:p>
        </w:tc>
        <w:tc>
          <w:tcPr>
            <w:tcW w:w="7087" w:type="dxa"/>
            <w:noWrap w:val="0"/>
            <w:vAlign w:val="center"/>
          </w:tcPr>
          <w:p w14:paraId="2FDDDB78">
            <w:pPr>
              <w:rPr>
                <w:rFonts w:hint="eastAsia" w:ascii="宋体" w:hAnsi="宋体" w:eastAsia="宋体" w:cs="宋体"/>
                <w:sz w:val="21"/>
                <w:szCs w:val="21"/>
                <w:highlight w:val="none"/>
              </w:rPr>
            </w:pPr>
          </w:p>
        </w:tc>
      </w:tr>
      <w:tr w14:paraId="7ED0D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5C39E5C8">
            <w:pPr>
              <w:jc w:val="center"/>
              <w:rPr>
                <w:rFonts w:hint="eastAsia" w:ascii="宋体" w:hAnsi="宋体" w:eastAsia="宋体" w:cs="宋体"/>
                <w:sz w:val="21"/>
                <w:szCs w:val="21"/>
                <w:highlight w:val="none"/>
              </w:rPr>
            </w:pPr>
          </w:p>
        </w:tc>
        <w:tc>
          <w:tcPr>
            <w:tcW w:w="7087" w:type="dxa"/>
            <w:noWrap w:val="0"/>
            <w:vAlign w:val="center"/>
          </w:tcPr>
          <w:p w14:paraId="65CC1A3D">
            <w:pPr>
              <w:rPr>
                <w:rFonts w:hint="eastAsia" w:ascii="宋体" w:hAnsi="宋体" w:eastAsia="宋体" w:cs="宋体"/>
                <w:sz w:val="21"/>
                <w:szCs w:val="21"/>
                <w:highlight w:val="none"/>
              </w:rPr>
            </w:pPr>
          </w:p>
        </w:tc>
      </w:tr>
      <w:tr w14:paraId="4F4B70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7DD61B65">
            <w:pPr>
              <w:jc w:val="center"/>
              <w:rPr>
                <w:rFonts w:hint="eastAsia" w:ascii="宋体" w:hAnsi="宋体" w:eastAsia="宋体" w:cs="宋体"/>
                <w:sz w:val="21"/>
                <w:szCs w:val="21"/>
                <w:highlight w:val="none"/>
              </w:rPr>
            </w:pPr>
          </w:p>
        </w:tc>
        <w:tc>
          <w:tcPr>
            <w:tcW w:w="7087" w:type="dxa"/>
            <w:noWrap w:val="0"/>
            <w:vAlign w:val="center"/>
          </w:tcPr>
          <w:p w14:paraId="3854E051">
            <w:pPr>
              <w:rPr>
                <w:rFonts w:hint="eastAsia" w:ascii="宋体" w:hAnsi="宋体" w:eastAsia="宋体" w:cs="宋体"/>
                <w:sz w:val="21"/>
                <w:szCs w:val="21"/>
                <w:highlight w:val="none"/>
              </w:rPr>
            </w:pPr>
          </w:p>
        </w:tc>
      </w:tr>
      <w:tr w14:paraId="62AA44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14FE1668">
            <w:pPr>
              <w:jc w:val="center"/>
              <w:rPr>
                <w:rFonts w:hint="eastAsia" w:ascii="宋体" w:hAnsi="宋体" w:eastAsia="宋体" w:cs="宋体"/>
                <w:sz w:val="21"/>
                <w:szCs w:val="21"/>
                <w:highlight w:val="none"/>
              </w:rPr>
            </w:pPr>
          </w:p>
        </w:tc>
        <w:tc>
          <w:tcPr>
            <w:tcW w:w="7087" w:type="dxa"/>
            <w:noWrap w:val="0"/>
            <w:vAlign w:val="center"/>
          </w:tcPr>
          <w:p w14:paraId="6E8C2D59">
            <w:pPr>
              <w:rPr>
                <w:rFonts w:hint="eastAsia" w:ascii="宋体" w:hAnsi="宋体" w:eastAsia="宋体" w:cs="宋体"/>
                <w:sz w:val="21"/>
                <w:szCs w:val="21"/>
                <w:highlight w:val="none"/>
              </w:rPr>
            </w:pPr>
          </w:p>
        </w:tc>
      </w:tr>
      <w:tr w14:paraId="7F84E0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4D97A5CE">
            <w:pPr>
              <w:jc w:val="center"/>
              <w:rPr>
                <w:rFonts w:hint="eastAsia" w:ascii="宋体" w:hAnsi="宋体" w:eastAsia="宋体" w:cs="宋体"/>
                <w:sz w:val="21"/>
                <w:szCs w:val="21"/>
                <w:highlight w:val="none"/>
              </w:rPr>
            </w:pPr>
          </w:p>
        </w:tc>
        <w:tc>
          <w:tcPr>
            <w:tcW w:w="7087" w:type="dxa"/>
            <w:noWrap w:val="0"/>
            <w:vAlign w:val="center"/>
          </w:tcPr>
          <w:p w14:paraId="5CD45713">
            <w:pPr>
              <w:rPr>
                <w:rFonts w:hint="eastAsia" w:ascii="宋体" w:hAnsi="宋体" w:eastAsia="宋体" w:cs="宋体"/>
                <w:sz w:val="21"/>
                <w:szCs w:val="21"/>
                <w:highlight w:val="none"/>
                <w:u w:val="single"/>
              </w:rPr>
            </w:pPr>
          </w:p>
        </w:tc>
      </w:tr>
      <w:tr w14:paraId="2774B6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600DC613">
            <w:pPr>
              <w:jc w:val="center"/>
              <w:rPr>
                <w:rFonts w:hint="eastAsia" w:ascii="宋体" w:hAnsi="宋体" w:eastAsia="宋体" w:cs="宋体"/>
                <w:sz w:val="21"/>
                <w:szCs w:val="21"/>
                <w:highlight w:val="none"/>
              </w:rPr>
            </w:pPr>
          </w:p>
        </w:tc>
        <w:tc>
          <w:tcPr>
            <w:tcW w:w="7087" w:type="dxa"/>
            <w:noWrap w:val="0"/>
            <w:vAlign w:val="center"/>
          </w:tcPr>
          <w:p w14:paraId="162EB3C1">
            <w:pPr>
              <w:rPr>
                <w:rFonts w:hint="eastAsia" w:ascii="宋体" w:hAnsi="宋体" w:eastAsia="宋体" w:cs="宋体"/>
                <w:sz w:val="21"/>
                <w:szCs w:val="21"/>
                <w:highlight w:val="none"/>
              </w:rPr>
            </w:pPr>
          </w:p>
        </w:tc>
      </w:tr>
      <w:tr w14:paraId="48963D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4CCDE280">
            <w:pPr>
              <w:jc w:val="center"/>
              <w:rPr>
                <w:rFonts w:hint="eastAsia" w:ascii="宋体" w:hAnsi="宋体" w:eastAsia="宋体" w:cs="宋体"/>
                <w:sz w:val="21"/>
                <w:szCs w:val="21"/>
                <w:highlight w:val="none"/>
              </w:rPr>
            </w:pPr>
          </w:p>
        </w:tc>
        <w:tc>
          <w:tcPr>
            <w:tcW w:w="7087" w:type="dxa"/>
            <w:noWrap w:val="0"/>
            <w:vAlign w:val="center"/>
          </w:tcPr>
          <w:p w14:paraId="44926E50">
            <w:pPr>
              <w:rPr>
                <w:rFonts w:hint="eastAsia" w:ascii="宋体" w:hAnsi="宋体" w:eastAsia="宋体" w:cs="宋体"/>
                <w:sz w:val="21"/>
                <w:szCs w:val="21"/>
                <w:highlight w:val="none"/>
                <w:u w:val="single"/>
              </w:rPr>
            </w:pPr>
          </w:p>
        </w:tc>
      </w:tr>
      <w:tr w14:paraId="0E955E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457CD4E7">
            <w:pPr>
              <w:jc w:val="center"/>
              <w:rPr>
                <w:rFonts w:hint="eastAsia" w:ascii="宋体" w:hAnsi="宋体" w:eastAsia="宋体" w:cs="宋体"/>
                <w:sz w:val="21"/>
                <w:szCs w:val="21"/>
                <w:highlight w:val="none"/>
              </w:rPr>
            </w:pPr>
          </w:p>
        </w:tc>
        <w:tc>
          <w:tcPr>
            <w:tcW w:w="7087" w:type="dxa"/>
            <w:noWrap w:val="0"/>
            <w:vAlign w:val="center"/>
          </w:tcPr>
          <w:p w14:paraId="4DB7060F">
            <w:pPr>
              <w:rPr>
                <w:rFonts w:hint="eastAsia" w:ascii="宋体" w:hAnsi="宋体" w:eastAsia="宋体" w:cs="宋体"/>
                <w:sz w:val="21"/>
                <w:szCs w:val="21"/>
                <w:highlight w:val="none"/>
              </w:rPr>
            </w:pPr>
          </w:p>
        </w:tc>
      </w:tr>
      <w:tr w14:paraId="3CC639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2BAAD12F">
            <w:pPr>
              <w:jc w:val="center"/>
              <w:rPr>
                <w:rFonts w:hint="eastAsia" w:ascii="宋体" w:hAnsi="宋体" w:eastAsia="宋体" w:cs="宋体"/>
                <w:sz w:val="21"/>
                <w:szCs w:val="21"/>
                <w:highlight w:val="none"/>
              </w:rPr>
            </w:pPr>
          </w:p>
        </w:tc>
        <w:tc>
          <w:tcPr>
            <w:tcW w:w="7087" w:type="dxa"/>
            <w:noWrap w:val="0"/>
            <w:vAlign w:val="center"/>
          </w:tcPr>
          <w:p w14:paraId="74608A49">
            <w:pPr>
              <w:rPr>
                <w:rFonts w:hint="eastAsia" w:ascii="宋体" w:hAnsi="宋体" w:eastAsia="宋体" w:cs="宋体"/>
                <w:sz w:val="21"/>
                <w:szCs w:val="21"/>
                <w:highlight w:val="none"/>
              </w:rPr>
            </w:pPr>
          </w:p>
        </w:tc>
      </w:tr>
      <w:tr w14:paraId="163D67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0751DC5A">
            <w:pPr>
              <w:jc w:val="center"/>
              <w:rPr>
                <w:rFonts w:hint="eastAsia" w:ascii="宋体" w:hAnsi="宋体" w:eastAsia="宋体" w:cs="宋体"/>
                <w:sz w:val="21"/>
                <w:szCs w:val="21"/>
                <w:highlight w:val="none"/>
              </w:rPr>
            </w:pPr>
          </w:p>
        </w:tc>
        <w:tc>
          <w:tcPr>
            <w:tcW w:w="7087" w:type="dxa"/>
            <w:noWrap w:val="0"/>
            <w:vAlign w:val="center"/>
          </w:tcPr>
          <w:p w14:paraId="57397838">
            <w:pPr>
              <w:rPr>
                <w:rFonts w:hint="eastAsia" w:ascii="宋体" w:hAnsi="宋体" w:eastAsia="宋体" w:cs="宋体"/>
                <w:sz w:val="21"/>
                <w:szCs w:val="21"/>
                <w:highlight w:val="none"/>
              </w:rPr>
            </w:pPr>
          </w:p>
        </w:tc>
      </w:tr>
      <w:tr w14:paraId="1BECB8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noWrap w:val="0"/>
            <w:vAlign w:val="center"/>
          </w:tcPr>
          <w:p w14:paraId="16DB2A82">
            <w:pPr>
              <w:jc w:val="center"/>
              <w:rPr>
                <w:rFonts w:hint="eastAsia" w:ascii="宋体" w:hAnsi="宋体" w:eastAsia="宋体" w:cs="宋体"/>
                <w:sz w:val="21"/>
                <w:szCs w:val="21"/>
                <w:highlight w:val="none"/>
              </w:rPr>
            </w:pPr>
          </w:p>
        </w:tc>
        <w:tc>
          <w:tcPr>
            <w:tcW w:w="7087" w:type="dxa"/>
            <w:tcBorders>
              <w:top w:val="single" w:color="auto" w:sz="6" w:space="0"/>
              <w:left w:val="single" w:color="auto" w:sz="6" w:space="0"/>
              <w:bottom w:val="single" w:color="auto" w:sz="6" w:space="0"/>
              <w:right w:val="single" w:color="auto" w:sz="6" w:space="0"/>
            </w:tcBorders>
            <w:noWrap w:val="0"/>
            <w:vAlign w:val="center"/>
          </w:tcPr>
          <w:p w14:paraId="28948704">
            <w:pPr>
              <w:rPr>
                <w:rFonts w:hint="eastAsia" w:ascii="宋体" w:hAnsi="宋体" w:eastAsia="宋体" w:cs="宋体"/>
                <w:sz w:val="21"/>
                <w:szCs w:val="21"/>
                <w:highlight w:val="none"/>
              </w:rPr>
            </w:pPr>
          </w:p>
        </w:tc>
      </w:tr>
      <w:tr w14:paraId="3BCF37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noWrap w:val="0"/>
            <w:vAlign w:val="center"/>
          </w:tcPr>
          <w:p w14:paraId="1D927C31">
            <w:pPr>
              <w:jc w:val="center"/>
              <w:rPr>
                <w:rFonts w:hint="eastAsia" w:ascii="宋体" w:hAnsi="宋体" w:eastAsia="宋体" w:cs="宋体"/>
                <w:sz w:val="21"/>
                <w:szCs w:val="21"/>
                <w:highlight w:val="none"/>
              </w:rPr>
            </w:pPr>
          </w:p>
        </w:tc>
        <w:tc>
          <w:tcPr>
            <w:tcW w:w="7087" w:type="dxa"/>
            <w:tcBorders>
              <w:top w:val="single" w:color="auto" w:sz="6" w:space="0"/>
              <w:left w:val="single" w:color="auto" w:sz="6" w:space="0"/>
              <w:bottom w:val="single" w:color="auto" w:sz="6" w:space="0"/>
              <w:right w:val="single" w:color="auto" w:sz="6" w:space="0"/>
            </w:tcBorders>
            <w:noWrap w:val="0"/>
            <w:vAlign w:val="center"/>
          </w:tcPr>
          <w:p w14:paraId="09DAF6DD">
            <w:pPr>
              <w:rPr>
                <w:rFonts w:hint="eastAsia" w:ascii="宋体" w:hAnsi="宋体" w:eastAsia="宋体" w:cs="宋体"/>
                <w:sz w:val="21"/>
                <w:szCs w:val="21"/>
                <w:highlight w:val="none"/>
              </w:rPr>
            </w:pPr>
          </w:p>
        </w:tc>
      </w:tr>
    </w:tbl>
    <w:p w14:paraId="788CF5B2">
      <w:pPr>
        <w:spacing w:line="360" w:lineRule="auto"/>
        <w:ind w:firstLine="480"/>
        <w:rPr>
          <w:rFonts w:hint="eastAsia" w:ascii="宋体" w:hAnsi="宋体" w:eastAsia="宋体" w:cs="宋体"/>
          <w:sz w:val="21"/>
          <w:szCs w:val="21"/>
          <w:highlight w:val="none"/>
        </w:rPr>
      </w:pPr>
    </w:p>
    <w:p w14:paraId="64528B93">
      <w:pPr>
        <w:spacing w:line="360" w:lineRule="auto"/>
        <w:ind w:firstLine="480"/>
        <w:rPr>
          <w:rFonts w:hint="eastAsia" w:ascii="宋体" w:hAnsi="宋体" w:eastAsia="宋体" w:cs="宋体"/>
          <w:sz w:val="21"/>
          <w:szCs w:val="21"/>
          <w:highlight w:val="none"/>
        </w:rPr>
      </w:pPr>
    </w:p>
    <w:p w14:paraId="2FAEC3D8">
      <w:pPr>
        <w:spacing w:line="360" w:lineRule="auto"/>
        <w:ind w:firstLine="480"/>
        <w:rPr>
          <w:rFonts w:hint="eastAsia" w:ascii="宋体" w:hAnsi="宋体" w:eastAsia="宋体" w:cs="宋体"/>
          <w:b/>
          <w:color w:val="000000"/>
          <w:sz w:val="21"/>
          <w:szCs w:val="21"/>
          <w:highlight w:val="none"/>
          <w:u w:val="single"/>
        </w:rPr>
      </w:pPr>
      <w:r>
        <w:rPr>
          <w:rFonts w:hint="eastAsia" w:ascii="宋体" w:hAnsi="宋体" w:eastAsia="宋体" w:cs="宋体"/>
          <w:b/>
          <w:color w:val="000000"/>
          <w:sz w:val="21"/>
          <w:szCs w:val="21"/>
          <w:highlight w:val="none"/>
          <w:u w:val="single"/>
        </w:rPr>
        <w:t>本合同仅供参考，采购人和成交供应商可根据项目特点签订合同，但合同实质性内容不得违背采购文件和响应文件。</w:t>
      </w:r>
    </w:p>
    <w:p w14:paraId="358679E4">
      <w:pPr>
        <w:rPr>
          <w:rFonts w:hint="eastAsia" w:ascii="宋体" w:hAnsi="宋体" w:eastAsia="宋体" w:cs="宋体"/>
          <w:color w:val="000000"/>
          <w:sz w:val="21"/>
          <w:szCs w:val="21"/>
        </w:rPr>
      </w:pPr>
    </w:p>
    <w:p w14:paraId="19E2A392">
      <w:pPr>
        <w:adjustRightInd w:val="0"/>
        <w:snapToGrid w:val="0"/>
        <w:spacing w:line="360" w:lineRule="auto"/>
        <w:jc w:val="both"/>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br w:type="page"/>
      </w:r>
    </w:p>
    <w:p w14:paraId="43E332FB">
      <w:pPr>
        <w:adjustRightInd w:val="0"/>
        <w:snapToGrid w:val="0"/>
        <w:spacing w:line="360" w:lineRule="auto"/>
        <w:jc w:val="center"/>
        <w:rPr>
          <w:rFonts w:hint="eastAsia" w:ascii="宋体" w:hAnsi="宋体"/>
          <w:color w:val="000000" w:themeColor="text1"/>
          <w:sz w:val="24"/>
          <w:highlight w:val="none"/>
          <w14:textFill>
            <w14:solidFill>
              <w14:schemeClr w14:val="tx1"/>
            </w14:solidFill>
          </w14:textFill>
        </w:rPr>
      </w:pPr>
    </w:p>
    <w:p w14:paraId="2075E88E">
      <w:pPr>
        <w:adjustRightInd w:val="0"/>
        <w:snapToGrid w:val="0"/>
        <w:spacing w:line="360" w:lineRule="auto"/>
        <w:jc w:val="center"/>
        <w:rPr>
          <w:rStyle w:val="114"/>
          <w:b w:val="0"/>
          <w:bCs w:val="0"/>
          <w:color w:val="000000" w:themeColor="text1"/>
          <w:szCs w:val="22"/>
          <w:highlight w:val="none"/>
          <w14:textFill>
            <w14:solidFill>
              <w14:schemeClr w14:val="tx1"/>
            </w14:solidFill>
          </w14:textFill>
        </w:rPr>
      </w:pPr>
      <w:r>
        <w:rPr>
          <w:rStyle w:val="114"/>
          <w:rFonts w:hint="eastAsia"/>
          <w:b/>
          <w:bCs/>
          <w:color w:val="000000" w:themeColor="text1"/>
          <w:szCs w:val="22"/>
          <w:highlight w:val="none"/>
          <w14:textFill>
            <w14:solidFill>
              <w14:schemeClr w14:val="tx1"/>
            </w14:solidFill>
          </w14:textFill>
        </w:rPr>
        <w:t>第五章 响应文件格式</w:t>
      </w:r>
      <w:bookmarkEnd w:id="500"/>
      <w:bookmarkEnd w:id="501"/>
      <w:bookmarkStart w:id="684" w:name="_Toc283042131"/>
      <w:bookmarkStart w:id="685" w:name="_Toc208886781"/>
    </w:p>
    <w:bookmarkEnd w:id="684"/>
    <w:bookmarkEnd w:id="685"/>
    <w:p w14:paraId="12D8B099">
      <w:pPr>
        <w:jc w:val="center"/>
        <w:rPr>
          <w:color w:val="000000" w:themeColor="text1"/>
          <w:highlight w:val="none"/>
          <w14:textFill>
            <w14:solidFill>
              <w14:schemeClr w14:val="tx1"/>
            </w14:solidFill>
          </w14:textFill>
        </w:rPr>
      </w:pPr>
    </w:p>
    <w:p w14:paraId="099C632A">
      <w:pPr>
        <w:jc w:val="center"/>
        <w:rPr>
          <w:color w:val="000000" w:themeColor="text1"/>
          <w:highlight w:val="none"/>
          <w14:textFill>
            <w14:solidFill>
              <w14:schemeClr w14:val="tx1"/>
            </w14:solidFill>
          </w14:textFill>
        </w:rPr>
      </w:pPr>
    </w:p>
    <w:p w14:paraId="7BF43436">
      <w:pPr>
        <w:pStyle w:val="6"/>
        <w:spacing w:line="360" w:lineRule="auto"/>
        <w:jc w:val="center"/>
        <w:rPr>
          <w:color w:val="000000" w:themeColor="text1"/>
          <w:highlight w:val="none"/>
          <w14:textFill>
            <w14:solidFill>
              <w14:schemeClr w14:val="tx1"/>
            </w14:solidFill>
          </w14:textFill>
        </w:rPr>
      </w:pPr>
      <w:bookmarkStart w:id="686" w:name="_Toc28666"/>
      <w:bookmarkStart w:id="687" w:name="_Toc303756413"/>
      <w:bookmarkStart w:id="688" w:name="_Toc10226"/>
      <w:r>
        <w:rPr>
          <w:rFonts w:hint="eastAsia" w:ascii="宋体" w:hAnsi="宋体"/>
          <w:color w:val="000000" w:themeColor="text1"/>
          <w:sz w:val="24"/>
          <w:szCs w:val="24"/>
          <w:highlight w:val="none"/>
          <w14:textFill>
            <w14:solidFill>
              <w14:schemeClr w14:val="tx1"/>
            </w14:solidFill>
          </w14:textFill>
        </w:rPr>
        <w:t>一、</w:t>
      </w:r>
      <w:bookmarkEnd w:id="686"/>
      <w:bookmarkEnd w:id="687"/>
      <w:bookmarkStart w:id="689" w:name="_Toc303756414"/>
      <w:bookmarkStart w:id="690" w:name="_Toc17291"/>
      <w:r>
        <w:rPr>
          <w:rFonts w:hint="eastAsia" w:ascii="宋体" w:hAnsi="宋体"/>
          <w:color w:val="000000" w:themeColor="text1"/>
          <w:sz w:val="30"/>
          <w:szCs w:val="30"/>
          <w:highlight w:val="none"/>
          <w14:textFill>
            <w14:solidFill>
              <w14:schemeClr w14:val="tx1"/>
            </w14:solidFill>
          </w14:textFill>
        </w:rPr>
        <w:t>资格审查文件格式</w:t>
      </w:r>
      <w:bookmarkEnd w:id="688"/>
      <w:bookmarkEnd w:id="689"/>
      <w:bookmarkEnd w:id="690"/>
    </w:p>
    <w:p w14:paraId="79660E2D">
      <w:pPr>
        <w:pStyle w:val="13"/>
        <w:snapToGrid w:val="0"/>
        <w:spacing w:before="50" w:after="120"/>
        <w:ind w:firstLine="0"/>
        <w:rPr>
          <w:rFonts w:ascii="宋体"/>
          <w:color w:val="000000" w:themeColor="text1"/>
          <w:szCs w:val="21"/>
          <w:highlight w:val="none"/>
          <w14:textFill>
            <w14:solidFill>
              <w14:schemeClr w14:val="tx1"/>
            </w14:solidFill>
          </w14:textFill>
        </w:rPr>
      </w:pPr>
      <w:bookmarkStart w:id="691" w:name="_Toc303756434"/>
      <w:bookmarkStart w:id="692" w:name="_Toc11770"/>
    </w:p>
    <w:p w14:paraId="4D5D893E">
      <w:pPr>
        <w:pStyle w:val="13"/>
        <w:snapToGrid w:val="0"/>
        <w:spacing w:before="50" w:after="120"/>
        <w:ind w:firstLine="0"/>
        <w:rPr>
          <w:rFonts w:ascii="宋体"/>
          <w:color w:val="000000" w:themeColor="text1"/>
          <w:sz w:val="28"/>
          <w:szCs w:val="28"/>
          <w:highlight w:val="none"/>
          <w14:textFill>
            <w14:solidFill>
              <w14:schemeClr w14:val="tx1"/>
            </w14:solidFill>
          </w14:textFill>
        </w:rPr>
      </w:pPr>
    </w:p>
    <w:p w14:paraId="22B4C820">
      <w:pPr>
        <w:jc w:val="center"/>
        <w:rPr>
          <w:rFonts w:ascii="宋体" w:hAnsi="宋体" w:cs="宋体"/>
          <w:b/>
          <w:color w:val="000000" w:themeColor="text1"/>
          <w:sz w:val="28"/>
          <w:szCs w:val="28"/>
          <w:highlight w:val="none"/>
          <w14:textFill>
            <w14:solidFill>
              <w14:schemeClr w14:val="tx1"/>
            </w14:solidFill>
          </w14:textFill>
        </w:rPr>
      </w:pPr>
      <w:bookmarkStart w:id="693" w:name="_Toc303756416"/>
      <w:r>
        <w:rPr>
          <w:rFonts w:hint="eastAsia" w:ascii="宋体" w:hAnsi="宋体" w:cs="宋体"/>
          <w:b/>
          <w:color w:val="000000" w:themeColor="text1"/>
          <w:sz w:val="28"/>
          <w:szCs w:val="28"/>
          <w:highlight w:val="none"/>
          <w14:textFill>
            <w14:solidFill>
              <w14:schemeClr w14:val="tx1"/>
            </w14:solidFill>
          </w14:textFill>
        </w:rPr>
        <w:t>资格审查文件封面</w:t>
      </w:r>
      <w:bookmarkEnd w:id="693"/>
      <w:r>
        <w:rPr>
          <w:rFonts w:hint="eastAsia" w:ascii="宋体" w:hAnsi="宋体" w:cs="宋体"/>
          <w:b/>
          <w:color w:val="000000" w:themeColor="text1"/>
          <w:sz w:val="28"/>
          <w:szCs w:val="28"/>
          <w:highlight w:val="none"/>
          <w14:textFill>
            <w14:solidFill>
              <w14:schemeClr w14:val="tx1"/>
            </w14:solidFill>
          </w14:textFill>
        </w:rPr>
        <w:t>格式</w:t>
      </w:r>
    </w:p>
    <w:p w14:paraId="0D75DA7F">
      <w:pPr>
        <w:pStyle w:val="13"/>
        <w:snapToGrid w:val="0"/>
        <w:spacing w:before="50" w:after="120"/>
        <w:ind w:firstLine="0"/>
        <w:rPr>
          <w:rFonts w:ascii="宋体" w:hAnsi="宋体" w:cs="宋体"/>
          <w:color w:val="000000" w:themeColor="text1"/>
          <w:szCs w:val="21"/>
          <w:highlight w:val="none"/>
          <w14:textFill>
            <w14:solidFill>
              <w14:schemeClr w14:val="tx1"/>
            </w14:solidFill>
          </w14:textFill>
        </w:rPr>
      </w:pPr>
    </w:p>
    <w:p w14:paraId="2FBA80AD">
      <w:pPr>
        <w:pStyle w:val="13"/>
        <w:spacing w:line="360" w:lineRule="auto"/>
        <w:ind w:firstLine="0"/>
        <w:jc w:val="center"/>
        <w:rPr>
          <w:rFonts w:ascii="宋体" w:hAnsi="宋体"/>
          <w:bCs/>
          <w:color w:val="000000" w:themeColor="text1"/>
          <w:sz w:val="24"/>
          <w:highlight w:val="none"/>
          <w14:textFill>
            <w14:solidFill>
              <w14:schemeClr w14:val="tx1"/>
            </w14:solidFill>
          </w14:textFill>
        </w:rPr>
      </w:pPr>
      <w:bookmarkStart w:id="694" w:name="_Toc303756417"/>
      <w:r>
        <w:rPr>
          <w:rFonts w:hint="eastAsia" w:ascii="宋体" w:hAnsi="宋体"/>
          <w:b/>
          <w:color w:val="000000" w:themeColor="text1"/>
          <w:sz w:val="32"/>
          <w:szCs w:val="32"/>
          <w:highlight w:val="none"/>
          <w14:textFill>
            <w14:solidFill>
              <w14:schemeClr w14:val="tx1"/>
            </w14:solidFill>
          </w14:textFill>
        </w:rPr>
        <w:t>响应文件</w:t>
      </w:r>
    </w:p>
    <w:tbl>
      <w:tblPr>
        <w:tblStyle w:val="43"/>
        <w:tblW w:w="0" w:type="auto"/>
        <w:jc w:val="center"/>
        <w:tblLayout w:type="autofit"/>
        <w:tblCellMar>
          <w:top w:w="0" w:type="dxa"/>
          <w:left w:w="108" w:type="dxa"/>
          <w:bottom w:w="0" w:type="dxa"/>
          <w:right w:w="108" w:type="dxa"/>
        </w:tblCellMar>
      </w:tblPr>
      <w:tblGrid>
        <w:gridCol w:w="2518"/>
        <w:gridCol w:w="4536"/>
      </w:tblGrid>
      <w:tr w14:paraId="2A49566D">
        <w:tblPrEx>
          <w:tblCellMar>
            <w:top w:w="0" w:type="dxa"/>
            <w:left w:w="108" w:type="dxa"/>
            <w:bottom w:w="0" w:type="dxa"/>
            <w:right w:w="108" w:type="dxa"/>
          </w:tblCellMar>
        </w:tblPrEx>
        <w:trPr>
          <w:trHeight w:val="556" w:hRule="atLeast"/>
          <w:jc w:val="center"/>
        </w:trPr>
        <w:tc>
          <w:tcPr>
            <w:tcW w:w="2518" w:type="dxa"/>
            <w:vAlign w:val="center"/>
          </w:tcPr>
          <w:p w14:paraId="3D630CD5">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磋商响应文件名称：</w:t>
            </w:r>
          </w:p>
        </w:tc>
        <w:tc>
          <w:tcPr>
            <w:tcW w:w="4536" w:type="dxa"/>
            <w:vAlign w:val="center"/>
          </w:tcPr>
          <w:p w14:paraId="110DF606">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资格审查文件              </w:t>
            </w:r>
          </w:p>
        </w:tc>
      </w:tr>
      <w:tr w14:paraId="0E87B76A">
        <w:tblPrEx>
          <w:tblCellMar>
            <w:top w:w="0" w:type="dxa"/>
            <w:left w:w="108" w:type="dxa"/>
            <w:bottom w:w="0" w:type="dxa"/>
            <w:right w:w="108" w:type="dxa"/>
          </w:tblCellMar>
        </w:tblPrEx>
        <w:trPr>
          <w:trHeight w:val="526" w:hRule="atLeast"/>
          <w:jc w:val="center"/>
        </w:trPr>
        <w:tc>
          <w:tcPr>
            <w:tcW w:w="2518" w:type="dxa"/>
            <w:vAlign w:val="center"/>
          </w:tcPr>
          <w:p w14:paraId="0B38EC75">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 购 编 号：</w:t>
            </w:r>
          </w:p>
        </w:tc>
        <w:tc>
          <w:tcPr>
            <w:tcW w:w="4536" w:type="dxa"/>
            <w:vAlign w:val="center"/>
          </w:tcPr>
          <w:p w14:paraId="0047D617">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3FCC335E">
        <w:tblPrEx>
          <w:tblCellMar>
            <w:top w:w="0" w:type="dxa"/>
            <w:left w:w="108" w:type="dxa"/>
            <w:bottom w:w="0" w:type="dxa"/>
            <w:right w:w="108" w:type="dxa"/>
          </w:tblCellMar>
        </w:tblPrEx>
        <w:trPr>
          <w:trHeight w:val="556" w:hRule="atLeast"/>
          <w:jc w:val="center"/>
        </w:trPr>
        <w:tc>
          <w:tcPr>
            <w:tcW w:w="2518" w:type="dxa"/>
            <w:vAlign w:val="center"/>
          </w:tcPr>
          <w:p w14:paraId="0AA8E29F">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 名 称：</w:t>
            </w:r>
          </w:p>
        </w:tc>
        <w:tc>
          <w:tcPr>
            <w:tcW w:w="4536" w:type="dxa"/>
            <w:vAlign w:val="center"/>
          </w:tcPr>
          <w:p w14:paraId="17DCA9E5">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3D5E8481">
        <w:tblPrEx>
          <w:tblCellMar>
            <w:top w:w="0" w:type="dxa"/>
            <w:left w:w="108" w:type="dxa"/>
            <w:bottom w:w="0" w:type="dxa"/>
            <w:right w:w="108" w:type="dxa"/>
          </w:tblCellMar>
        </w:tblPrEx>
        <w:trPr>
          <w:trHeight w:val="586" w:hRule="atLeast"/>
          <w:jc w:val="center"/>
        </w:trPr>
        <w:tc>
          <w:tcPr>
            <w:tcW w:w="2518" w:type="dxa"/>
            <w:vAlign w:val="center"/>
          </w:tcPr>
          <w:p w14:paraId="6E892FE1">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标      项：</w:t>
            </w:r>
          </w:p>
        </w:tc>
        <w:tc>
          <w:tcPr>
            <w:tcW w:w="4536" w:type="dxa"/>
            <w:vAlign w:val="center"/>
          </w:tcPr>
          <w:p w14:paraId="06A02EF1">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（若有）                </w:t>
            </w:r>
          </w:p>
        </w:tc>
      </w:tr>
      <w:tr w14:paraId="7F151A48">
        <w:tblPrEx>
          <w:tblCellMar>
            <w:top w:w="0" w:type="dxa"/>
            <w:left w:w="108" w:type="dxa"/>
            <w:bottom w:w="0" w:type="dxa"/>
            <w:right w:w="108" w:type="dxa"/>
          </w:tblCellMar>
        </w:tblPrEx>
        <w:trPr>
          <w:trHeight w:val="397" w:hRule="atLeast"/>
          <w:jc w:val="center"/>
        </w:trPr>
        <w:tc>
          <w:tcPr>
            <w:tcW w:w="2518" w:type="dxa"/>
            <w:vAlign w:val="center"/>
          </w:tcPr>
          <w:p w14:paraId="1423CB3A">
            <w:pPr>
              <w:spacing w:line="360" w:lineRule="auto"/>
              <w:jc w:val="distribute"/>
              <w:rPr>
                <w:rFonts w:ascii="宋体" w:hAnsi="宋体" w:cs="宋体"/>
                <w:color w:val="000000" w:themeColor="text1"/>
                <w:sz w:val="24"/>
                <w:highlight w:val="none"/>
                <w14:textFill>
                  <w14:solidFill>
                    <w14:schemeClr w14:val="tx1"/>
                  </w14:solidFill>
                </w14:textFill>
              </w:rPr>
            </w:pPr>
          </w:p>
        </w:tc>
        <w:tc>
          <w:tcPr>
            <w:tcW w:w="4536" w:type="dxa"/>
            <w:vAlign w:val="center"/>
          </w:tcPr>
          <w:p w14:paraId="2673D2FC">
            <w:pPr>
              <w:spacing w:line="360" w:lineRule="auto"/>
              <w:jc w:val="left"/>
              <w:rPr>
                <w:rFonts w:ascii="宋体" w:hAnsi="宋体" w:cs="宋体"/>
                <w:color w:val="000000" w:themeColor="text1"/>
                <w:sz w:val="24"/>
                <w:highlight w:val="none"/>
                <w14:textFill>
                  <w14:solidFill>
                    <w14:schemeClr w14:val="tx1"/>
                  </w14:solidFill>
                </w14:textFill>
              </w:rPr>
            </w:pPr>
          </w:p>
        </w:tc>
      </w:tr>
      <w:tr w14:paraId="0E64DCD4">
        <w:tblPrEx>
          <w:tblCellMar>
            <w:top w:w="0" w:type="dxa"/>
            <w:left w:w="108" w:type="dxa"/>
            <w:bottom w:w="0" w:type="dxa"/>
            <w:right w:w="108" w:type="dxa"/>
          </w:tblCellMar>
        </w:tblPrEx>
        <w:trPr>
          <w:trHeight w:val="481" w:hRule="atLeast"/>
          <w:jc w:val="center"/>
        </w:trPr>
        <w:tc>
          <w:tcPr>
            <w:tcW w:w="2518" w:type="dxa"/>
            <w:vAlign w:val="center"/>
          </w:tcPr>
          <w:p w14:paraId="6FE52288">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供应商全称（盖章）：</w:t>
            </w:r>
          </w:p>
        </w:tc>
        <w:tc>
          <w:tcPr>
            <w:tcW w:w="4536" w:type="dxa"/>
            <w:vAlign w:val="center"/>
          </w:tcPr>
          <w:p w14:paraId="1B9C14C1">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0024E7D2">
        <w:tblPrEx>
          <w:tblCellMar>
            <w:top w:w="0" w:type="dxa"/>
            <w:left w:w="108" w:type="dxa"/>
            <w:bottom w:w="0" w:type="dxa"/>
            <w:right w:w="108" w:type="dxa"/>
          </w:tblCellMar>
        </w:tblPrEx>
        <w:trPr>
          <w:trHeight w:val="556" w:hRule="atLeast"/>
          <w:jc w:val="center"/>
        </w:trPr>
        <w:tc>
          <w:tcPr>
            <w:tcW w:w="2518" w:type="dxa"/>
            <w:vAlign w:val="center"/>
          </w:tcPr>
          <w:p w14:paraId="76740C39">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供应商地址：</w:t>
            </w:r>
          </w:p>
        </w:tc>
        <w:tc>
          <w:tcPr>
            <w:tcW w:w="4536" w:type="dxa"/>
            <w:vAlign w:val="center"/>
          </w:tcPr>
          <w:p w14:paraId="3537ED9E">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45A73F51">
        <w:tblPrEx>
          <w:tblCellMar>
            <w:top w:w="0" w:type="dxa"/>
            <w:left w:w="108" w:type="dxa"/>
            <w:bottom w:w="0" w:type="dxa"/>
            <w:right w:w="108" w:type="dxa"/>
          </w:tblCellMar>
        </w:tblPrEx>
        <w:trPr>
          <w:trHeight w:val="397" w:hRule="atLeast"/>
          <w:jc w:val="center"/>
        </w:trPr>
        <w:tc>
          <w:tcPr>
            <w:tcW w:w="7054" w:type="dxa"/>
            <w:gridSpan w:val="2"/>
            <w:vAlign w:val="center"/>
          </w:tcPr>
          <w:p w14:paraId="7ACE42BA">
            <w:pPr>
              <w:spacing w:line="360" w:lineRule="auto"/>
              <w:jc w:val="left"/>
              <w:rPr>
                <w:rFonts w:ascii="宋体" w:hAnsi="宋体" w:cs="宋体"/>
                <w:color w:val="000000" w:themeColor="text1"/>
                <w:sz w:val="24"/>
                <w:highlight w:val="none"/>
                <w:u w:val="single"/>
                <w14:textFill>
                  <w14:solidFill>
                    <w14:schemeClr w14:val="tx1"/>
                  </w14:solidFill>
                </w14:textFill>
              </w:rPr>
            </w:pPr>
          </w:p>
        </w:tc>
      </w:tr>
      <w:tr w14:paraId="52FE110A">
        <w:tblPrEx>
          <w:tblCellMar>
            <w:top w:w="0" w:type="dxa"/>
            <w:left w:w="108" w:type="dxa"/>
            <w:bottom w:w="0" w:type="dxa"/>
            <w:right w:w="108" w:type="dxa"/>
          </w:tblCellMar>
        </w:tblPrEx>
        <w:trPr>
          <w:trHeight w:val="397" w:hRule="atLeast"/>
          <w:jc w:val="center"/>
        </w:trPr>
        <w:tc>
          <w:tcPr>
            <w:tcW w:w="7054" w:type="dxa"/>
            <w:gridSpan w:val="2"/>
            <w:vAlign w:val="center"/>
          </w:tcPr>
          <w:p w14:paraId="734A50F8">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年  月  日</w:t>
            </w:r>
          </w:p>
        </w:tc>
      </w:tr>
    </w:tbl>
    <w:p w14:paraId="2003FE45">
      <w:pPr>
        <w:jc w:val="center"/>
        <w:rPr>
          <w:rFonts w:ascii="宋体" w:hAnsi="宋体" w:cs="宋体"/>
          <w:b/>
          <w:color w:val="000000" w:themeColor="text1"/>
          <w:sz w:val="24"/>
          <w:highlight w:val="none"/>
          <w14:textFill>
            <w14:solidFill>
              <w14:schemeClr w14:val="tx1"/>
            </w14:solidFill>
          </w14:textFill>
        </w:rPr>
      </w:pPr>
    </w:p>
    <w:p w14:paraId="2DFB14BF">
      <w:pPr>
        <w:jc w:val="center"/>
        <w:rPr>
          <w:rFonts w:ascii="宋体" w:hAnsi="宋体" w:cs="宋体"/>
          <w:b/>
          <w:color w:val="000000" w:themeColor="text1"/>
          <w:sz w:val="24"/>
          <w:highlight w:val="none"/>
          <w14:textFill>
            <w14:solidFill>
              <w14:schemeClr w14:val="tx1"/>
            </w14:solidFill>
          </w14:textFill>
        </w:rPr>
      </w:pPr>
    </w:p>
    <w:p w14:paraId="45D47260">
      <w:pPr>
        <w:pStyle w:val="19"/>
        <w:rPr>
          <w:rFonts w:ascii="宋体" w:hAnsi="宋体" w:cs="宋体"/>
          <w:b/>
          <w:color w:val="000000" w:themeColor="text1"/>
          <w:sz w:val="24"/>
          <w:highlight w:val="none"/>
          <w14:textFill>
            <w14:solidFill>
              <w14:schemeClr w14:val="tx1"/>
            </w14:solidFill>
          </w14:textFill>
        </w:rPr>
      </w:pPr>
    </w:p>
    <w:p w14:paraId="7A3F3656">
      <w:pPr>
        <w:pStyle w:val="20"/>
        <w:ind w:firstLine="241"/>
        <w:rPr>
          <w:rFonts w:ascii="宋体" w:hAnsi="宋体" w:cs="宋体"/>
          <w:b/>
          <w:color w:val="000000" w:themeColor="text1"/>
          <w:sz w:val="24"/>
          <w:highlight w:val="none"/>
          <w14:textFill>
            <w14:solidFill>
              <w14:schemeClr w14:val="tx1"/>
            </w14:solidFill>
          </w14:textFill>
        </w:rPr>
      </w:pPr>
    </w:p>
    <w:p w14:paraId="4D0F4D84">
      <w:pPr>
        <w:pStyle w:val="20"/>
        <w:ind w:firstLine="241"/>
        <w:rPr>
          <w:rFonts w:ascii="宋体" w:hAnsi="宋体"/>
          <w:b/>
          <w:color w:val="000000" w:themeColor="text1"/>
          <w:sz w:val="24"/>
          <w:highlight w:val="none"/>
          <w14:textFill>
            <w14:solidFill>
              <w14:schemeClr w14:val="tx1"/>
            </w14:solidFill>
          </w14:textFill>
        </w:rPr>
      </w:pPr>
    </w:p>
    <w:p w14:paraId="3FF5628D">
      <w:pPr>
        <w:pStyle w:val="20"/>
        <w:ind w:firstLine="241"/>
        <w:rPr>
          <w:rFonts w:ascii="宋体" w:hAnsi="宋体"/>
          <w:b/>
          <w:color w:val="000000" w:themeColor="text1"/>
          <w:sz w:val="24"/>
          <w:highlight w:val="none"/>
          <w14:textFill>
            <w14:solidFill>
              <w14:schemeClr w14:val="tx1"/>
            </w14:solidFill>
          </w14:textFill>
        </w:rPr>
      </w:pPr>
    </w:p>
    <w:p w14:paraId="469BAC3E">
      <w:pPr>
        <w:pStyle w:val="20"/>
        <w:ind w:firstLine="241"/>
        <w:rPr>
          <w:rFonts w:ascii="宋体" w:hAnsi="宋体"/>
          <w:b/>
          <w:color w:val="000000" w:themeColor="text1"/>
          <w:sz w:val="24"/>
          <w:highlight w:val="none"/>
          <w14:textFill>
            <w14:solidFill>
              <w14:schemeClr w14:val="tx1"/>
            </w14:solidFill>
          </w14:textFill>
        </w:rPr>
      </w:pPr>
    </w:p>
    <w:p w14:paraId="252708CE">
      <w:pPr>
        <w:pStyle w:val="20"/>
        <w:ind w:firstLine="241"/>
        <w:rPr>
          <w:rFonts w:ascii="宋体" w:hAnsi="宋体"/>
          <w:b/>
          <w:color w:val="000000" w:themeColor="text1"/>
          <w:sz w:val="24"/>
          <w:highlight w:val="none"/>
          <w14:textFill>
            <w14:solidFill>
              <w14:schemeClr w14:val="tx1"/>
            </w14:solidFill>
          </w14:textFill>
        </w:rPr>
      </w:pPr>
    </w:p>
    <w:p w14:paraId="4BE0A3A1">
      <w:pPr>
        <w:pStyle w:val="20"/>
        <w:ind w:firstLine="241"/>
        <w:rPr>
          <w:rFonts w:ascii="宋体" w:hAnsi="宋体"/>
          <w:b/>
          <w:color w:val="000000" w:themeColor="text1"/>
          <w:sz w:val="24"/>
          <w:highlight w:val="none"/>
          <w14:textFill>
            <w14:solidFill>
              <w14:schemeClr w14:val="tx1"/>
            </w14:solidFill>
          </w14:textFill>
        </w:rPr>
      </w:pPr>
    </w:p>
    <w:p w14:paraId="5F0C9694">
      <w:pPr>
        <w:pStyle w:val="20"/>
        <w:ind w:firstLine="241"/>
        <w:rPr>
          <w:rFonts w:ascii="宋体" w:hAnsi="宋体"/>
          <w:b/>
          <w:color w:val="000000" w:themeColor="text1"/>
          <w:sz w:val="24"/>
          <w:highlight w:val="none"/>
          <w14:textFill>
            <w14:solidFill>
              <w14:schemeClr w14:val="tx1"/>
            </w14:solidFill>
          </w14:textFill>
        </w:rPr>
      </w:pPr>
    </w:p>
    <w:p w14:paraId="5B48C3EE">
      <w:pPr>
        <w:pStyle w:val="20"/>
        <w:ind w:firstLine="241"/>
        <w:rPr>
          <w:rFonts w:ascii="宋体" w:hAnsi="宋体"/>
          <w:b/>
          <w:color w:val="000000" w:themeColor="text1"/>
          <w:sz w:val="24"/>
          <w:highlight w:val="none"/>
          <w14:textFill>
            <w14:solidFill>
              <w14:schemeClr w14:val="tx1"/>
            </w14:solidFill>
          </w14:textFill>
        </w:rPr>
      </w:pPr>
    </w:p>
    <w:p w14:paraId="1A519723">
      <w:pPr>
        <w:pStyle w:val="20"/>
        <w:ind w:firstLine="241"/>
        <w:rPr>
          <w:rFonts w:ascii="宋体" w:hAnsi="宋体"/>
          <w:b/>
          <w:color w:val="000000" w:themeColor="text1"/>
          <w:sz w:val="24"/>
          <w:highlight w:val="none"/>
          <w14:textFill>
            <w14:solidFill>
              <w14:schemeClr w14:val="tx1"/>
            </w14:solidFill>
          </w14:textFill>
        </w:rPr>
      </w:pPr>
    </w:p>
    <w:p w14:paraId="7B8458F4">
      <w:pPr>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资格审查文件目录</w:t>
      </w:r>
      <w:bookmarkEnd w:id="694"/>
    </w:p>
    <w:p w14:paraId="7ED679F4">
      <w:pPr>
        <w:spacing w:line="360" w:lineRule="auto"/>
        <w:jc w:val="center"/>
        <w:rPr>
          <w:rFonts w:ascii="宋体" w:hAnsi="宋体" w:cs="宋体"/>
          <w:color w:val="000000" w:themeColor="text1"/>
          <w:highlight w:val="none"/>
          <w14:textFill>
            <w14:solidFill>
              <w14:schemeClr w14:val="tx1"/>
            </w14:solidFill>
          </w14:textFill>
        </w:rPr>
      </w:pPr>
    </w:p>
    <w:p w14:paraId="07DB1102">
      <w:pPr>
        <w:snapToGrid w:val="0"/>
        <w:spacing w:line="400" w:lineRule="exact"/>
        <w:rPr>
          <w:rFonts w:ascii="宋体" w:hAnsi="宋体" w:cs="宋体"/>
          <w:bCs/>
          <w:color w:val="000000" w:themeColor="text1"/>
          <w:szCs w:val="21"/>
          <w:highlight w:val="none"/>
          <w14:textFill>
            <w14:solidFill>
              <w14:schemeClr w14:val="tx1"/>
            </w14:solidFill>
          </w14:textFill>
        </w:rPr>
      </w:pPr>
    </w:p>
    <w:p w14:paraId="051D358E">
      <w:pPr>
        <w:numPr>
          <w:ilvl w:val="0"/>
          <w:numId w:val="0"/>
        </w:numPr>
        <w:snapToGrid w:val="0"/>
        <w:spacing w:line="360"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1</w:t>
      </w:r>
      <w:r>
        <w:rPr>
          <w:rFonts w:hint="eastAsia" w:ascii="宋体" w:hAnsi="宋体" w:cs="宋体"/>
          <w:bCs/>
          <w:color w:val="000000" w:themeColor="text1"/>
          <w:szCs w:val="21"/>
          <w:highlight w:val="none"/>
          <w14:textFill>
            <w14:solidFill>
              <w14:schemeClr w14:val="tx1"/>
            </w14:solidFill>
          </w14:textFill>
        </w:rPr>
        <w:t>）远程参与磋商会议诚信承诺书</w:t>
      </w:r>
    </w:p>
    <w:p w14:paraId="5F21E189">
      <w:pPr>
        <w:snapToGrid w:val="0"/>
        <w:spacing w:line="360" w:lineRule="auto"/>
        <w:rPr>
          <w:rFonts w:hint="eastAsia" w:ascii="宋体" w:hAnsi="宋体" w:eastAsia="宋体" w:cs="宋体"/>
          <w:bCs/>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（2）</w:t>
      </w:r>
      <w:r>
        <w:rPr>
          <w:rFonts w:hint="eastAsia" w:ascii="宋体" w:hAnsi="宋体" w:cs="宋体"/>
          <w:bCs/>
          <w:color w:val="000000" w:themeColor="text1"/>
          <w:szCs w:val="21"/>
          <w:highlight w:val="none"/>
          <w:lang w:eastAsia="zh-CN"/>
          <w14:textFill>
            <w14:solidFill>
              <w14:schemeClr w14:val="tx1"/>
            </w14:solidFill>
          </w14:textFill>
        </w:rPr>
        <w:t>有效的营业执照电子文档</w:t>
      </w:r>
    </w:p>
    <w:p w14:paraId="3694ECF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eastAsia="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法定代表人</w:t>
      </w:r>
      <w:r>
        <w:rPr>
          <w:rFonts w:hint="eastAsia" w:ascii="宋体" w:hAnsi="宋体" w:eastAsia="宋体" w:cs="宋体"/>
          <w:color w:val="000000" w:themeColor="text1"/>
          <w:szCs w:val="21"/>
          <w:highlight w:val="none"/>
          <w:lang w:eastAsia="zh-CN"/>
          <w14:textFill>
            <w14:solidFill>
              <w14:schemeClr w14:val="tx1"/>
            </w14:solidFill>
          </w14:textFill>
        </w:rPr>
        <w:t>（负责人）</w:t>
      </w:r>
      <w:r>
        <w:rPr>
          <w:rFonts w:hint="eastAsia" w:ascii="宋体" w:hAnsi="宋体" w:eastAsia="宋体" w:cs="宋体"/>
          <w:color w:val="000000" w:themeColor="text1"/>
          <w:szCs w:val="21"/>
          <w:highlight w:val="none"/>
          <w14:textFill>
            <w14:solidFill>
              <w14:schemeClr w14:val="tx1"/>
            </w14:solidFill>
          </w14:textFill>
        </w:rPr>
        <w:t>身份证</w:t>
      </w:r>
      <w:r>
        <w:rPr>
          <w:rFonts w:hint="eastAsia" w:ascii="宋体" w:hAnsi="宋体" w:eastAsia="宋体" w:cs="宋体"/>
          <w:bCs/>
          <w:color w:val="000000" w:themeColor="text1"/>
          <w:szCs w:val="21"/>
          <w:highlight w:val="none"/>
          <w14:textFill>
            <w14:solidFill>
              <w14:schemeClr w14:val="tx1"/>
            </w14:solidFill>
          </w14:textFill>
        </w:rPr>
        <w:t>电子文档</w:t>
      </w:r>
    </w:p>
    <w:p w14:paraId="7386E7D3">
      <w:pPr>
        <w:numPr>
          <w:ilvl w:val="0"/>
          <w:numId w:val="0"/>
        </w:numPr>
        <w:snapToGrid w:val="0"/>
        <w:spacing w:line="360"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4）</w:t>
      </w:r>
      <w:r>
        <w:rPr>
          <w:rFonts w:hint="eastAsia" w:ascii="宋体" w:hAnsi="宋体" w:cs="宋体"/>
          <w:bCs/>
          <w:color w:val="000000" w:themeColor="text1"/>
          <w:szCs w:val="21"/>
          <w:highlight w:val="none"/>
          <w14:textFill>
            <w14:solidFill>
              <w14:schemeClr w14:val="tx1"/>
            </w14:solidFill>
          </w14:textFill>
        </w:rPr>
        <w:t>若有委托代理人的，则还应当提供授权委托书及委托代理人的身份证电子文档</w:t>
      </w:r>
    </w:p>
    <w:p w14:paraId="100B6030">
      <w:pPr>
        <w:numPr>
          <w:ilvl w:val="0"/>
          <w:numId w:val="0"/>
        </w:numPr>
        <w:snapToGrid w:val="0"/>
        <w:spacing w:line="360"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（5）具有良好的财务会计制度、依法缴纳税收和社会保障资金的承诺函</w:t>
      </w:r>
    </w:p>
    <w:p w14:paraId="6F767A5F">
      <w:pPr>
        <w:numPr>
          <w:ilvl w:val="0"/>
          <w:numId w:val="0"/>
        </w:numPr>
        <w:snapToGrid w:val="0"/>
        <w:spacing w:line="360"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6</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具备履行合同所必需的设备和专业技术能力的</w:t>
      </w:r>
      <w:r>
        <w:rPr>
          <w:rFonts w:hint="eastAsia" w:ascii="宋体" w:hAnsi="宋体" w:cs="宋体"/>
          <w:bCs/>
          <w:color w:val="000000" w:themeColor="text1"/>
          <w:szCs w:val="21"/>
          <w:highlight w:val="none"/>
          <w14:textFill>
            <w14:solidFill>
              <w14:schemeClr w14:val="tx1"/>
            </w14:solidFill>
          </w14:textFill>
        </w:rPr>
        <w:t>承诺函</w:t>
      </w:r>
    </w:p>
    <w:p w14:paraId="70CE2C45">
      <w:pPr>
        <w:numPr>
          <w:ilvl w:val="0"/>
          <w:numId w:val="0"/>
        </w:numPr>
        <w:snapToGrid w:val="0"/>
        <w:spacing w:line="360"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7</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无</w:t>
      </w:r>
      <w:r>
        <w:rPr>
          <w:rFonts w:hint="eastAsia" w:ascii="宋体" w:hAnsi="宋体" w:cs="宋体"/>
          <w:bCs/>
          <w:color w:val="000000" w:themeColor="text1"/>
          <w:szCs w:val="21"/>
          <w:highlight w:val="none"/>
          <w14:textFill>
            <w14:solidFill>
              <w14:schemeClr w14:val="tx1"/>
            </w14:solidFill>
          </w14:textFill>
        </w:rPr>
        <w:t>重大违法记录的书面声明</w:t>
      </w:r>
    </w:p>
    <w:p w14:paraId="610B5A54">
      <w:pPr>
        <w:numPr>
          <w:ilvl w:val="0"/>
          <w:numId w:val="0"/>
        </w:numPr>
        <w:snapToGrid w:val="0"/>
        <w:spacing w:line="360" w:lineRule="auto"/>
        <w:rPr>
          <w:rFonts w:hint="eastAsia" w:ascii="宋体" w:hAnsi="宋体" w:cs="宋体"/>
          <w:bCs/>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8</w:t>
      </w:r>
      <w:r>
        <w:rPr>
          <w:rFonts w:hint="eastAsia" w:ascii="宋体" w:hAnsi="宋体" w:cs="宋体"/>
          <w:bCs/>
          <w:color w:val="000000" w:themeColor="text1"/>
          <w:szCs w:val="21"/>
          <w:highlight w:val="none"/>
          <w:lang w:eastAsia="zh-CN"/>
          <w14:textFill>
            <w14:solidFill>
              <w14:schemeClr w14:val="tx1"/>
            </w14:solidFill>
          </w14:textFill>
        </w:rPr>
        <w:t>）供应商信用信息声明书</w:t>
      </w:r>
    </w:p>
    <w:p w14:paraId="5C2A4A6D">
      <w:pPr>
        <w:numPr>
          <w:ilvl w:val="0"/>
          <w:numId w:val="0"/>
        </w:numPr>
        <w:snapToGrid w:val="0"/>
        <w:spacing w:line="360" w:lineRule="auto"/>
        <w:rPr>
          <w:rFonts w:hint="eastAsia" w:ascii="宋体" w:hAnsi="宋体" w:cs="宋体"/>
          <w:bCs/>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9</w:t>
      </w:r>
      <w:r>
        <w:rPr>
          <w:rFonts w:hint="eastAsia" w:ascii="宋体" w:hAnsi="宋体" w:cs="宋体"/>
          <w:bCs/>
          <w:color w:val="000000" w:themeColor="text1"/>
          <w:szCs w:val="21"/>
          <w:highlight w:val="none"/>
          <w:lang w:eastAsia="zh-CN"/>
          <w14:textFill>
            <w14:solidFill>
              <w14:schemeClr w14:val="tx1"/>
            </w14:solidFill>
          </w14:textFill>
        </w:rPr>
        <w:t>）企业类型声明函</w:t>
      </w:r>
    </w:p>
    <w:p w14:paraId="6CAD31E7">
      <w:pPr>
        <w:numPr>
          <w:ilvl w:val="0"/>
          <w:numId w:val="0"/>
        </w:numPr>
        <w:snapToGrid w:val="0"/>
        <w:spacing w:line="360" w:lineRule="auto"/>
        <w:rPr>
          <w:rFonts w:hint="eastAsia" w:ascii="宋体" w:hAnsi="宋体" w:cs="宋体"/>
          <w:bCs/>
          <w:color w:val="000000" w:themeColor="text1"/>
          <w:szCs w:val="21"/>
          <w:highlight w:val="none"/>
          <w:lang w:eastAsia="zh-CN"/>
          <w14:textFill>
            <w14:solidFill>
              <w14:schemeClr w14:val="tx1"/>
            </w14:solidFill>
          </w14:textFill>
        </w:rPr>
      </w:pPr>
      <w:r>
        <w:rPr>
          <w:rFonts w:hint="eastAsia" w:ascii="宋体" w:hAnsi="宋体" w:cs="宋体"/>
          <w:bCs/>
          <w:color w:val="000000" w:themeColor="text1"/>
          <w:szCs w:val="21"/>
          <w:highlight w:val="none"/>
          <w:lang w:eastAsia="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10</w:t>
      </w:r>
      <w:r>
        <w:rPr>
          <w:rFonts w:hint="eastAsia" w:ascii="宋体" w:hAnsi="宋体" w:cs="宋体"/>
          <w:bCs/>
          <w:color w:val="000000" w:themeColor="text1"/>
          <w:szCs w:val="21"/>
          <w:highlight w:val="none"/>
          <w:lang w:eastAsia="zh-CN"/>
          <w14:textFill>
            <w14:solidFill>
              <w14:schemeClr w14:val="tx1"/>
            </w14:solidFill>
          </w14:textFill>
        </w:rPr>
        <w:t>）其他</w:t>
      </w:r>
    </w:p>
    <w:p w14:paraId="6A04F94E">
      <w:pPr>
        <w:snapToGrid w:val="0"/>
        <w:spacing w:line="400" w:lineRule="exact"/>
        <w:rPr>
          <w:rFonts w:ascii="宋体" w:hAnsi="宋体" w:cs="宋体"/>
          <w:bCs/>
          <w:color w:val="000000" w:themeColor="text1"/>
          <w:szCs w:val="21"/>
          <w:highlight w:val="none"/>
          <w14:textFill>
            <w14:solidFill>
              <w14:schemeClr w14:val="tx1"/>
            </w14:solidFill>
          </w14:textFill>
        </w:rPr>
      </w:pPr>
    </w:p>
    <w:p w14:paraId="49BE8FAD">
      <w:pPr>
        <w:spacing w:line="360" w:lineRule="auto"/>
        <w:rPr>
          <w:rFonts w:ascii="宋体" w:hAnsi="宋体" w:cs="宋体"/>
          <w:color w:val="000000" w:themeColor="text1"/>
          <w:szCs w:val="21"/>
          <w:highlight w:val="none"/>
          <w14:textFill>
            <w14:solidFill>
              <w14:schemeClr w14:val="tx1"/>
            </w14:solidFill>
          </w14:textFill>
        </w:rPr>
      </w:pPr>
    </w:p>
    <w:p w14:paraId="3A293B16">
      <w:pPr>
        <w:jc w:val="center"/>
        <w:rPr>
          <w:rFonts w:ascii="宋体" w:hAnsi="宋体" w:cs="宋体"/>
          <w:color w:val="000000" w:themeColor="text1"/>
          <w:szCs w:val="21"/>
          <w:highlight w:val="none"/>
          <w14:textFill>
            <w14:solidFill>
              <w14:schemeClr w14:val="tx1"/>
            </w14:solidFill>
          </w14:textFill>
        </w:rPr>
      </w:pPr>
    </w:p>
    <w:p w14:paraId="424BB102">
      <w:pPr>
        <w:jc w:val="center"/>
        <w:rPr>
          <w:rFonts w:ascii="宋体" w:hAnsi="宋体" w:cs="宋体"/>
          <w:color w:val="000000" w:themeColor="text1"/>
          <w:szCs w:val="21"/>
          <w:highlight w:val="none"/>
          <w14:textFill>
            <w14:solidFill>
              <w14:schemeClr w14:val="tx1"/>
            </w14:solidFill>
          </w14:textFill>
        </w:rPr>
      </w:pPr>
    </w:p>
    <w:p w14:paraId="68C92FE9">
      <w:pPr>
        <w:jc w:val="center"/>
        <w:rPr>
          <w:rFonts w:ascii="宋体" w:hAnsi="宋体" w:cs="宋体"/>
          <w:color w:val="000000" w:themeColor="text1"/>
          <w:szCs w:val="21"/>
          <w:highlight w:val="none"/>
          <w14:textFill>
            <w14:solidFill>
              <w14:schemeClr w14:val="tx1"/>
            </w14:solidFill>
          </w14:textFill>
        </w:rPr>
      </w:pPr>
    </w:p>
    <w:p w14:paraId="6B1B65AB">
      <w:pPr>
        <w:jc w:val="center"/>
        <w:rPr>
          <w:rFonts w:ascii="宋体" w:hAnsi="宋体" w:cs="宋体"/>
          <w:color w:val="000000" w:themeColor="text1"/>
          <w:szCs w:val="21"/>
          <w:highlight w:val="none"/>
          <w14:textFill>
            <w14:solidFill>
              <w14:schemeClr w14:val="tx1"/>
            </w14:solidFill>
          </w14:textFill>
        </w:rPr>
      </w:pPr>
    </w:p>
    <w:p w14:paraId="44407E40">
      <w:pPr>
        <w:jc w:val="center"/>
        <w:rPr>
          <w:rFonts w:ascii="宋体" w:hAnsi="宋体" w:cs="宋体"/>
          <w:color w:val="000000" w:themeColor="text1"/>
          <w:szCs w:val="21"/>
          <w:highlight w:val="none"/>
          <w14:textFill>
            <w14:solidFill>
              <w14:schemeClr w14:val="tx1"/>
            </w14:solidFill>
          </w14:textFill>
        </w:rPr>
      </w:pPr>
    </w:p>
    <w:p w14:paraId="788DFC9D">
      <w:pPr>
        <w:jc w:val="center"/>
        <w:rPr>
          <w:rFonts w:ascii="宋体" w:hAnsi="宋体" w:cs="宋体"/>
          <w:color w:val="000000" w:themeColor="text1"/>
          <w:szCs w:val="21"/>
          <w:highlight w:val="none"/>
          <w14:textFill>
            <w14:solidFill>
              <w14:schemeClr w14:val="tx1"/>
            </w14:solidFill>
          </w14:textFill>
        </w:rPr>
      </w:pPr>
    </w:p>
    <w:p w14:paraId="791B24F0">
      <w:pPr>
        <w:jc w:val="center"/>
        <w:rPr>
          <w:rFonts w:ascii="宋体" w:hAnsi="宋体" w:cs="宋体"/>
          <w:color w:val="000000" w:themeColor="text1"/>
          <w:szCs w:val="21"/>
          <w:highlight w:val="none"/>
          <w14:textFill>
            <w14:solidFill>
              <w14:schemeClr w14:val="tx1"/>
            </w14:solidFill>
          </w14:textFill>
        </w:rPr>
      </w:pPr>
    </w:p>
    <w:p w14:paraId="215CCC9C">
      <w:pPr>
        <w:jc w:val="center"/>
        <w:rPr>
          <w:rFonts w:ascii="宋体" w:hAnsi="宋体" w:cs="宋体"/>
          <w:color w:val="000000" w:themeColor="text1"/>
          <w:szCs w:val="21"/>
          <w:highlight w:val="none"/>
          <w14:textFill>
            <w14:solidFill>
              <w14:schemeClr w14:val="tx1"/>
            </w14:solidFill>
          </w14:textFill>
        </w:rPr>
      </w:pPr>
    </w:p>
    <w:p w14:paraId="001FB492">
      <w:pPr>
        <w:jc w:val="center"/>
        <w:rPr>
          <w:rFonts w:ascii="宋体" w:hAnsi="宋体" w:cs="宋体"/>
          <w:color w:val="000000" w:themeColor="text1"/>
          <w:szCs w:val="21"/>
          <w:highlight w:val="none"/>
          <w14:textFill>
            <w14:solidFill>
              <w14:schemeClr w14:val="tx1"/>
            </w14:solidFill>
          </w14:textFill>
        </w:rPr>
      </w:pPr>
    </w:p>
    <w:p w14:paraId="17B40475">
      <w:pPr>
        <w:jc w:val="center"/>
        <w:rPr>
          <w:rFonts w:ascii="宋体" w:hAnsi="宋体" w:cs="宋体"/>
          <w:color w:val="000000" w:themeColor="text1"/>
          <w:szCs w:val="21"/>
          <w:highlight w:val="none"/>
          <w14:textFill>
            <w14:solidFill>
              <w14:schemeClr w14:val="tx1"/>
            </w14:solidFill>
          </w14:textFill>
        </w:rPr>
      </w:pPr>
    </w:p>
    <w:p w14:paraId="15A31A50">
      <w:pPr>
        <w:jc w:val="center"/>
        <w:rPr>
          <w:rFonts w:ascii="宋体" w:hAnsi="宋体" w:cs="宋体"/>
          <w:color w:val="000000" w:themeColor="text1"/>
          <w:szCs w:val="21"/>
          <w:highlight w:val="none"/>
          <w14:textFill>
            <w14:solidFill>
              <w14:schemeClr w14:val="tx1"/>
            </w14:solidFill>
          </w14:textFill>
        </w:rPr>
      </w:pPr>
    </w:p>
    <w:p w14:paraId="30A5CE97">
      <w:pPr>
        <w:jc w:val="center"/>
        <w:rPr>
          <w:rFonts w:ascii="宋体" w:hAnsi="宋体" w:cs="宋体"/>
          <w:color w:val="000000" w:themeColor="text1"/>
          <w:szCs w:val="21"/>
          <w:highlight w:val="none"/>
          <w14:textFill>
            <w14:solidFill>
              <w14:schemeClr w14:val="tx1"/>
            </w14:solidFill>
          </w14:textFill>
        </w:rPr>
      </w:pPr>
    </w:p>
    <w:p w14:paraId="2A54926A">
      <w:pPr>
        <w:jc w:val="center"/>
        <w:rPr>
          <w:rFonts w:ascii="宋体" w:hAnsi="宋体" w:cs="宋体"/>
          <w:color w:val="000000" w:themeColor="text1"/>
          <w:szCs w:val="21"/>
          <w:highlight w:val="none"/>
          <w14:textFill>
            <w14:solidFill>
              <w14:schemeClr w14:val="tx1"/>
            </w14:solidFill>
          </w14:textFill>
        </w:rPr>
      </w:pPr>
    </w:p>
    <w:p w14:paraId="6BD3EA1D">
      <w:pPr>
        <w:jc w:val="center"/>
        <w:rPr>
          <w:rFonts w:ascii="宋体" w:hAnsi="宋体" w:cs="宋体"/>
          <w:color w:val="000000" w:themeColor="text1"/>
          <w:szCs w:val="21"/>
          <w:highlight w:val="none"/>
          <w14:textFill>
            <w14:solidFill>
              <w14:schemeClr w14:val="tx1"/>
            </w14:solidFill>
          </w14:textFill>
        </w:rPr>
      </w:pPr>
    </w:p>
    <w:p w14:paraId="52A8DEA3">
      <w:pPr>
        <w:jc w:val="center"/>
        <w:rPr>
          <w:rFonts w:ascii="宋体" w:hAnsi="宋体" w:cs="宋体"/>
          <w:color w:val="000000" w:themeColor="text1"/>
          <w:szCs w:val="21"/>
          <w:highlight w:val="none"/>
          <w14:textFill>
            <w14:solidFill>
              <w14:schemeClr w14:val="tx1"/>
            </w14:solidFill>
          </w14:textFill>
        </w:rPr>
      </w:pPr>
    </w:p>
    <w:p w14:paraId="46CAD883">
      <w:pPr>
        <w:pStyle w:val="33"/>
        <w:rPr>
          <w:rFonts w:ascii="宋体" w:hAnsi="宋体" w:cs="宋体"/>
          <w:color w:val="000000" w:themeColor="text1"/>
          <w:szCs w:val="21"/>
          <w:highlight w:val="none"/>
          <w14:textFill>
            <w14:solidFill>
              <w14:schemeClr w14:val="tx1"/>
            </w14:solidFill>
          </w14:textFill>
        </w:rPr>
      </w:pPr>
    </w:p>
    <w:p w14:paraId="584D7323">
      <w:pPr>
        <w:rPr>
          <w:rFonts w:ascii="宋体" w:hAnsi="宋体" w:cs="宋体"/>
          <w:color w:val="000000" w:themeColor="text1"/>
          <w:szCs w:val="21"/>
          <w:highlight w:val="none"/>
          <w14:textFill>
            <w14:solidFill>
              <w14:schemeClr w14:val="tx1"/>
            </w14:solidFill>
          </w14:textFill>
        </w:rPr>
      </w:pPr>
    </w:p>
    <w:p w14:paraId="68111596">
      <w:pPr>
        <w:pStyle w:val="33"/>
        <w:rPr>
          <w:rFonts w:ascii="宋体" w:hAnsi="宋体" w:cs="宋体"/>
          <w:color w:val="000000" w:themeColor="text1"/>
          <w:szCs w:val="21"/>
          <w:highlight w:val="none"/>
          <w14:textFill>
            <w14:solidFill>
              <w14:schemeClr w14:val="tx1"/>
            </w14:solidFill>
          </w14:textFill>
        </w:rPr>
      </w:pPr>
    </w:p>
    <w:p w14:paraId="205588FC">
      <w:pPr>
        <w:rPr>
          <w:rFonts w:ascii="宋体" w:hAnsi="宋体" w:cs="宋体"/>
          <w:color w:val="000000" w:themeColor="text1"/>
          <w:szCs w:val="21"/>
          <w:highlight w:val="none"/>
          <w14:textFill>
            <w14:solidFill>
              <w14:schemeClr w14:val="tx1"/>
            </w14:solidFill>
          </w14:textFill>
        </w:rPr>
      </w:pPr>
    </w:p>
    <w:p w14:paraId="557C756D">
      <w:pPr>
        <w:pStyle w:val="33"/>
        <w:rPr>
          <w:rFonts w:ascii="宋体" w:hAnsi="宋体" w:cs="宋体"/>
          <w:color w:val="000000" w:themeColor="text1"/>
          <w:szCs w:val="21"/>
          <w:highlight w:val="none"/>
          <w14:textFill>
            <w14:solidFill>
              <w14:schemeClr w14:val="tx1"/>
            </w14:solidFill>
          </w14:textFill>
        </w:rPr>
      </w:pPr>
    </w:p>
    <w:p w14:paraId="57CB6581">
      <w:pPr>
        <w:jc w:val="both"/>
        <w:rPr>
          <w:rFonts w:hint="eastAsia" w:ascii="宋体" w:hAnsi="宋体" w:cs="宋体"/>
          <w:b/>
          <w:color w:val="000000" w:themeColor="text1"/>
          <w:sz w:val="28"/>
          <w:szCs w:val="28"/>
          <w:highlight w:val="none"/>
          <w14:textFill>
            <w14:solidFill>
              <w14:schemeClr w14:val="tx1"/>
            </w14:solidFill>
          </w14:textFill>
        </w:rPr>
      </w:pPr>
      <w:bookmarkStart w:id="695" w:name="_Toc303756419"/>
    </w:p>
    <w:p w14:paraId="447107CA">
      <w:pPr>
        <w:jc w:val="center"/>
        <w:rPr>
          <w:rFonts w:hint="eastAsia" w:ascii="宋体" w:hAnsi="宋体" w:cs="宋体"/>
          <w:b/>
          <w:color w:val="000000" w:themeColor="text1"/>
          <w:sz w:val="28"/>
          <w:szCs w:val="28"/>
          <w:highlight w:val="none"/>
          <w14:textFill>
            <w14:solidFill>
              <w14:schemeClr w14:val="tx1"/>
            </w14:solidFill>
          </w14:textFill>
        </w:rPr>
      </w:pPr>
    </w:p>
    <w:p w14:paraId="5BFA485A">
      <w:pPr>
        <w:rPr>
          <w:rFonts w:hint="eastAsia"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br w:type="page"/>
      </w:r>
    </w:p>
    <w:p w14:paraId="6503E5C3">
      <w:pPr>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
          <w:color w:val="000000" w:themeColor="text1"/>
          <w:sz w:val="28"/>
          <w:szCs w:val="28"/>
          <w:highlight w:val="none"/>
          <w14:textFill>
            <w14:solidFill>
              <w14:schemeClr w14:val="tx1"/>
            </w14:solidFill>
          </w14:textFill>
        </w:rPr>
        <w:t>1</w:t>
      </w:r>
      <w:bookmarkEnd w:id="695"/>
      <w:bookmarkStart w:id="696" w:name="_Toc16971"/>
      <w:bookmarkStart w:id="697" w:name="_Toc482171557"/>
      <w:bookmarkStart w:id="698" w:name="_Toc303756420"/>
      <w:r>
        <w:rPr>
          <w:rFonts w:hint="eastAsia" w:ascii="宋体" w:hAnsi="宋体" w:cs="宋体"/>
          <w:b/>
          <w:color w:val="000000" w:themeColor="text1"/>
          <w:sz w:val="28"/>
          <w:szCs w:val="28"/>
          <w:highlight w:val="none"/>
          <w:lang w:val="en-US" w:eastAsia="zh-CN"/>
          <w14:textFill>
            <w14:solidFill>
              <w14:schemeClr w14:val="tx1"/>
            </w14:solidFill>
          </w14:textFill>
        </w:rPr>
        <w:t>.</w:t>
      </w:r>
      <w:r>
        <w:rPr>
          <w:rFonts w:hint="eastAsia" w:ascii="宋体" w:hAnsi="宋体" w:cs="宋体"/>
          <w:b/>
          <w:color w:val="000000" w:themeColor="text1"/>
          <w:sz w:val="28"/>
          <w:szCs w:val="28"/>
          <w:highlight w:val="none"/>
          <w14:textFill>
            <w14:solidFill>
              <w14:schemeClr w14:val="tx1"/>
            </w14:solidFill>
          </w14:textFill>
        </w:rPr>
        <w:t>远程参与磋商会议诚信承诺书</w:t>
      </w:r>
      <w:bookmarkEnd w:id="696"/>
    </w:p>
    <w:p w14:paraId="25793C61">
      <w:pPr>
        <w:spacing w:line="500" w:lineRule="exac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致：</w:t>
      </w:r>
      <w:r>
        <w:rPr>
          <w:rFonts w:hint="eastAsia" w:ascii="宋体" w:hAnsi="宋体" w:cs="宋体"/>
          <w:color w:val="000000" w:themeColor="text1"/>
          <w:highlight w:val="none"/>
          <w:u w:val="single"/>
          <w14:textFill>
            <w14:solidFill>
              <w14:schemeClr w14:val="tx1"/>
            </w14:solidFill>
          </w14:textFill>
        </w:rPr>
        <w:t xml:space="preserve">           （采购人）</w:t>
      </w:r>
    </w:p>
    <w:p w14:paraId="5BD104D4">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我方郑重承诺：遵循公开、公平、公正和诚实守信的原则，参加本次远程磋商会议，是我方真实意思的表达。</w:t>
      </w:r>
    </w:p>
    <w:p w14:paraId="74D4FBD0">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一、不出借、买卖、伪造、涂改企业和从业人员的资质证书、营业执照、资格业绩、印章以及其他相关资信证明文件，严禁其他企业或个人以我公司的名义参与磋商。</w:t>
      </w:r>
    </w:p>
    <w:p w14:paraId="09250A97">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二、严格遵守法律、法规和竞争性磋商文件规定的竞争性磋商会议程序。不隐瞒真实情况，不弄虚作假，不骗取磋商和成交资格。</w:t>
      </w:r>
    </w:p>
    <w:p w14:paraId="2EA70F32">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三、坚决抵制和杜绝串标、围标、哄抬报价、贿赂、回扣等违法磋商和不正当竞争行为。</w:t>
      </w:r>
    </w:p>
    <w:p w14:paraId="0F410E05">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四、依法经营，公平竞争，不采取违法、违规或不正当手段损害、侵犯同行企业的正当权益。</w:t>
      </w:r>
    </w:p>
    <w:p w14:paraId="353213D6">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五、遵守指令、不擅离职守。磋商过程中，我方将坚持全程参加磋商会议，积极响应采购人的指令和操作要求，不擅离职守，始终保持通讯顺畅，因我方原因导致10分钟内无法与采购人或代理机构建立起联系的，即视为放弃参与磋商会议的权利，我方认可采购人或磋商小组的任意处置及决定，接受包括终止磋商资格在内的任何处理结果。</w:t>
      </w:r>
    </w:p>
    <w:p w14:paraId="65C13F0D">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六、确保设施、设备状况良好。我方将负责提前检查电力供应、网络环境和远程磋商会议有关设施、设备的稳定性和安全性，因我方原因导致无法完成磋商或者不能进行现场实时询问、澄清、补充等，均由我方自行承担一切后果。</w:t>
      </w:r>
    </w:p>
    <w:p w14:paraId="0E47820A">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七、不向采购人或磋商小组成员或相关人员行贿，以牟取项目成交。</w:t>
      </w:r>
    </w:p>
    <w:p w14:paraId="3ABB0FDD">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八、我方将在法律、法规框架允许的范围内就有关评审过程中的事项向管理人员提出咨询或疑问，如需要提出现场质疑的，将严格按照有关规定提出。不在采购活动中虚假质疑和投诉。</w:t>
      </w:r>
    </w:p>
    <w:p w14:paraId="0538C8B4">
      <w:pPr>
        <w:spacing w:line="500" w:lineRule="exact"/>
        <w:ind w:firstLine="378" w:firstLineChars="1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我方若有违反承诺内容的行为，自愿接受取消磋商资格、将不良行为记录记入档案等有关处理，并承担相应的法律责任。给采购人造成损失的，依法承担赔偿责任。</w:t>
      </w:r>
    </w:p>
    <w:p w14:paraId="5402B248">
      <w:pPr>
        <w:spacing w:line="400" w:lineRule="exact"/>
        <w:ind w:firstLine="411" w:firstLineChars="196"/>
        <w:rPr>
          <w:rFonts w:ascii="宋体" w:hAnsi="宋体" w:cs="宋体"/>
          <w:color w:val="000000" w:themeColor="text1"/>
          <w:highlight w:val="none"/>
          <w14:textFill>
            <w14:solidFill>
              <w14:schemeClr w14:val="tx1"/>
            </w14:solidFill>
          </w14:textFill>
        </w:rPr>
      </w:pPr>
    </w:p>
    <w:p w14:paraId="590620D7">
      <w:pPr>
        <w:spacing w:line="400" w:lineRule="exact"/>
        <w:ind w:firstLine="411" w:firstLineChars="196"/>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承 诺 单 位（盖章）：</w:t>
      </w:r>
    </w:p>
    <w:p w14:paraId="266C11B0">
      <w:pPr>
        <w:spacing w:line="400" w:lineRule="exact"/>
        <w:ind w:firstLine="411" w:firstLineChars="196"/>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法定代表人或委托代理人（签字或盖章）：</w:t>
      </w:r>
    </w:p>
    <w:p w14:paraId="2935E84D">
      <w:pPr>
        <w:spacing w:line="400" w:lineRule="exact"/>
        <w:ind w:firstLine="411" w:firstLineChars="196"/>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w:t>
      </w:r>
    </w:p>
    <w:p w14:paraId="1B55B282">
      <w:pPr>
        <w:spacing w:line="400" w:lineRule="exact"/>
        <w:ind w:firstLine="5449" w:firstLineChars="2595"/>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年     月     日</w:t>
      </w:r>
    </w:p>
    <w:bookmarkEnd w:id="697"/>
    <w:p w14:paraId="64B7943C">
      <w:pPr>
        <w:jc w:val="both"/>
        <w:rPr>
          <w:rFonts w:ascii="宋体" w:hAnsi="宋体" w:cs="宋体"/>
          <w:b/>
          <w:color w:val="000000" w:themeColor="text1"/>
          <w:sz w:val="28"/>
          <w:szCs w:val="28"/>
          <w:highlight w:val="none"/>
          <w14:textFill>
            <w14:solidFill>
              <w14:schemeClr w14:val="tx1"/>
            </w14:solidFill>
          </w14:textFill>
        </w:rPr>
      </w:pPr>
    </w:p>
    <w:p w14:paraId="7ABB7EC4">
      <w:pPr>
        <w:jc w:val="both"/>
        <w:rPr>
          <w:rFonts w:ascii="宋体" w:hAnsi="宋体" w:cs="宋体"/>
          <w:b/>
          <w:color w:val="000000" w:themeColor="text1"/>
          <w:sz w:val="28"/>
          <w:szCs w:val="28"/>
          <w:highlight w:val="none"/>
          <w14:textFill>
            <w14:solidFill>
              <w14:schemeClr w14:val="tx1"/>
            </w14:solidFill>
          </w14:textFill>
        </w:rPr>
      </w:pPr>
    </w:p>
    <w:bookmarkEnd w:id="698"/>
    <w:p w14:paraId="2E3C1BF0">
      <w:pPr>
        <w:spacing w:line="360" w:lineRule="auto"/>
        <w:jc w:val="center"/>
        <w:rPr>
          <w:rFonts w:ascii="宋体" w:hAnsi="宋体" w:cs="宋体"/>
          <w:b/>
          <w:color w:val="000000" w:themeColor="text1"/>
          <w:sz w:val="30"/>
          <w:szCs w:val="30"/>
          <w:highlight w:val="none"/>
          <w14:textFill>
            <w14:solidFill>
              <w14:schemeClr w14:val="tx1"/>
            </w14:solidFill>
          </w14:textFill>
        </w:rPr>
      </w:pPr>
      <w:bookmarkStart w:id="699" w:name="_Toc303756422"/>
      <w:r>
        <w:rPr>
          <w:rFonts w:hint="eastAsia" w:ascii="宋体" w:hAnsi="宋体"/>
          <w:color w:val="000000" w:themeColor="text1"/>
          <w:szCs w:val="21"/>
          <w:highlight w:val="none"/>
          <w14:textFill>
            <w14:solidFill>
              <w14:schemeClr w14:val="tx1"/>
            </w14:solidFill>
          </w14:textFill>
        </w:rPr>
        <w:t>▲</w:t>
      </w:r>
      <w:r>
        <w:rPr>
          <w:rFonts w:hint="eastAsia" w:ascii="宋体" w:hAnsi="宋体" w:cs="宋体"/>
          <w:b/>
          <w:color w:val="000000" w:themeColor="text1"/>
          <w:sz w:val="30"/>
          <w:szCs w:val="30"/>
          <w:highlight w:val="none"/>
          <w14:textFill>
            <w14:solidFill>
              <w14:schemeClr w14:val="tx1"/>
            </w14:solidFill>
          </w14:textFill>
        </w:rPr>
        <w:t>2</w:t>
      </w:r>
      <w:r>
        <w:rPr>
          <w:rFonts w:hint="eastAsia" w:ascii="宋体" w:hAnsi="宋体" w:cs="宋体"/>
          <w:b/>
          <w:color w:val="000000" w:themeColor="text1"/>
          <w:sz w:val="30"/>
          <w:szCs w:val="30"/>
          <w:highlight w:val="none"/>
          <w:lang w:val="en-US" w:eastAsia="zh-CN"/>
          <w14:textFill>
            <w14:solidFill>
              <w14:schemeClr w14:val="tx1"/>
            </w14:solidFill>
          </w14:textFill>
        </w:rPr>
        <w:t>.</w:t>
      </w:r>
      <w:r>
        <w:rPr>
          <w:rFonts w:hint="eastAsia" w:ascii="宋体" w:hAnsi="宋体" w:cs="宋体"/>
          <w:b/>
          <w:color w:val="000000" w:themeColor="text1"/>
          <w:sz w:val="30"/>
          <w:szCs w:val="30"/>
          <w:highlight w:val="none"/>
          <w14:textFill>
            <w14:solidFill>
              <w14:schemeClr w14:val="tx1"/>
            </w14:solidFill>
          </w14:textFill>
        </w:rPr>
        <w:t>有效营业执照电子文档</w:t>
      </w:r>
    </w:p>
    <w:p w14:paraId="37138776">
      <w:pPr>
        <w:pStyle w:val="13"/>
        <w:ind w:firstLine="0"/>
        <w:rPr>
          <w:rFonts w:ascii="宋体" w:hAnsi="宋体"/>
          <w:color w:val="000000" w:themeColor="text1"/>
          <w:szCs w:val="21"/>
          <w:highlight w:val="none"/>
          <w14:textFill>
            <w14:solidFill>
              <w14:schemeClr w14:val="tx1"/>
            </w14:solidFill>
          </w14:textFill>
        </w:rPr>
      </w:pPr>
    </w:p>
    <w:p w14:paraId="1FFB1086">
      <w:pPr>
        <w:spacing w:line="360"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内容要求：</w:t>
      </w:r>
    </w:p>
    <w:p w14:paraId="3E5F1546">
      <w:pPr>
        <w:spacing w:line="360" w:lineRule="auto"/>
        <w:ind w:firstLine="420" w:firstLineChars="200"/>
        <w:rPr>
          <w:rFonts w:hint="eastAsia" w:ascii="宋体" w:hAnsi="宋体"/>
          <w:color w:val="000000"/>
          <w:szCs w:val="21"/>
        </w:rPr>
      </w:pPr>
      <w:bookmarkStart w:id="700" w:name="_Toc531359043"/>
      <w:r>
        <w:rPr>
          <w:rFonts w:hint="eastAsia" w:ascii="宋体" w:hAnsi="宋体"/>
          <w:color w:val="000000"/>
          <w:szCs w:val="21"/>
        </w:rPr>
        <w:t>提供有效的营业执照电子文档并加盖公司公章；事业单位的，则提供有效的《事业单位法人证书》副本电子文档并加盖单位公章；自然人的，则提供有效的身份证电子文档。</w:t>
      </w:r>
    </w:p>
    <w:p w14:paraId="2000B847">
      <w:pPr>
        <w:spacing w:line="360" w:lineRule="auto"/>
        <w:ind w:firstLine="420" w:firstLineChars="200"/>
        <w:rPr>
          <w:rFonts w:hint="eastAsia" w:ascii="宋体" w:hAnsi="宋体"/>
          <w:color w:val="000000"/>
          <w:szCs w:val="21"/>
        </w:rPr>
      </w:pPr>
      <w:r>
        <w:rPr>
          <w:rFonts w:hint="eastAsia" w:ascii="宋体" w:hAnsi="宋体"/>
          <w:color w:val="000000"/>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19B42D52">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1AF13234">
      <w:pPr>
        <w:rPr>
          <w:rFonts w:hAnsi="宋体" w:cs="宋体"/>
          <w:b/>
          <w:color w:val="000000" w:themeColor="text1"/>
          <w:sz w:val="28"/>
          <w:szCs w:val="28"/>
          <w:highlight w:val="none"/>
          <w14:textFill>
            <w14:solidFill>
              <w14:schemeClr w14:val="tx1"/>
            </w14:solidFill>
          </w14:textFill>
        </w:rPr>
      </w:pPr>
    </w:p>
    <w:p w14:paraId="0D0D4410">
      <w:pPr>
        <w:pStyle w:val="2"/>
        <w:rPr>
          <w:rFonts w:hAnsi="宋体"/>
          <w:b/>
          <w:color w:val="000000" w:themeColor="text1"/>
          <w:sz w:val="28"/>
          <w:szCs w:val="28"/>
          <w:highlight w:val="none"/>
          <w14:textFill>
            <w14:solidFill>
              <w14:schemeClr w14:val="tx1"/>
            </w14:solidFill>
          </w14:textFill>
        </w:rPr>
      </w:pPr>
    </w:p>
    <w:p w14:paraId="7FA6680F">
      <w:pPr>
        <w:pStyle w:val="2"/>
        <w:rPr>
          <w:rFonts w:hAnsi="宋体"/>
          <w:b/>
          <w:color w:val="000000" w:themeColor="text1"/>
          <w:sz w:val="28"/>
          <w:szCs w:val="28"/>
          <w:highlight w:val="none"/>
          <w14:textFill>
            <w14:solidFill>
              <w14:schemeClr w14:val="tx1"/>
            </w14:solidFill>
          </w14:textFill>
        </w:rPr>
      </w:pPr>
    </w:p>
    <w:p w14:paraId="6C97C8AC">
      <w:pPr>
        <w:rPr>
          <w:rFonts w:hAnsi="宋体" w:cs="宋体"/>
          <w:b/>
          <w:color w:val="000000" w:themeColor="text1"/>
          <w:sz w:val="28"/>
          <w:szCs w:val="28"/>
          <w:highlight w:val="none"/>
          <w14:textFill>
            <w14:solidFill>
              <w14:schemeClr w14:val="tx1"/>
            </w14:solidFill>
          </w14:textFill>
        </w:rPr>
      </w:pPr>
    </w:p>
    <w:p w14:paraId="27626D90">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hAnsi="宋体" w:cs="宋体"/>
          <w:b/>
          <w:color w:val="000000" w:themeColor="text1"/>
          <w:sz w:val="28"/>
          <w:szCs w:val="28"/>
          <w:highlight w:val="none"/>
          <w14:textFill>
            <w14:solidFill>
              <w14:schemeClr w14:val="tx1"/>
            </w14:solidFill>
          </w14:textFill>
        </w:rPr>
        <w:t>3</w:t>
      </w:r>
      <w:r>
        <w:rPr>
          <w:rFonts w:hint="eastAsia" w:hAnsi="宋体" w:cs="宋体"/>
          <w:b/>
          <w:color w:val="000000" w:themeColor="text1"/>
          <w:sz w:val="28"/>
          <w:szCs w:val="28"/>
          <w:highlight w:val="none"/>
          <w:lang w:val="en-US" w:eastAsia="zh-CN"/>
          <w14:textFill>
            <w14:solidFill>
              <w14:schemeClr w14:val="tx1"/>
            </w14:solidFill>
          </w14:textFill>
        </w:rPr>
        <w:t>.</w:t>
      </w:r>
      <w:r>
        <w:rPr>
          <w:rFonts w:hint="eastAsia" w:hAnsi="宋体" w:cs="宋体"/>
          <w:b/>
          <w:color w:val="000000" w:themeColor="text1"/>
          <w:sz w:val="28"/>
          <w:szCs w:val="28"/>
          <w:highlight w:val="none"/>
          <w14:textFill>
            <w14:solidFill>
              <w14:schemeClr w14:val="tx1"/>
            </w14:solidFill>
          </w14:textFill>
        </w:rPr>
        <w:t>法定代表人（负责人）身份证电子文档</w:t>
      </w:r>
    </w:p>
    <w:p w14:paraId="3757C770">
      <w:pPr>
        <w:pStyle w:val="13"/>
        <w:ind w:firstLine="0"/>
        <w:rPr>
          <w:rFonts w:ascii="宋体" w:hAnsi="宋体"/>
          <w:color w:val="000000" w:themeColor="text1"/>
          <w:highlight w:val="none"/>
          <w14:textFill>
            <w14:solidFill>
              <w14:schemeClr w14:val="tx1"/>
            </w14:solidFill>
          </w14:textFill>
        </w:rPr>
      </w:pPr>
    </w:p>
    <w:p w14:paraId="18EB2FE8">
      <w:pPr>
        <w:spacing w:line="360" w:lineRule="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内容要求</w:t>
      </w:r>
      <w:r>
        <w:rPr>
          <w:rFonts w:ascii="宋体" w:hAnsi="宋体"/>
          <w:color w:val="000000" w:themeColor="text1"/>
          <w:szCs w:val="21"/>
          <w:highlight w:val="none"/>
          <w14:textFill>
            <w14:solidFill>
              <w14:schemeClr w14:val="tx1"/>
            </w14:solidFill>
          </w14:textFill>
        </w:rPr>
        <w:t>：</w:t>
      </w:r>
    </w:p>
    <w:p w14:paraId="06163C1E">
      <w:pPr>
        <w:spacing w:line="360" w:lineRule="auto"/>
        <w:ind w:firstLine="630" w:firstLineChars="3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法定代表人（负责人）身份证正、反面电子文档；</w:t>
      </w:r>
    </w:p>
    <w:p w14:paraId="69454588">
      <w:pPr>
        <w:spacing w:line="360" w:lineRule="auto"/>
        <w:ind w:firstLine="630" w:firstLineChars="3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若有委托代理人的，则还应当提供授权委托书及委托代理人的身份证电子文档。</w:t>
      </w:r>
    </w:p>
    <w:p w14:paraId="2CC7CD03">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bookmarkStart w:id="701" w:name="_Toc531359044"/>
    </w:p>
    <w:p w14:paraId="36BA5B61">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5FCE6D07">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6FD7949A">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6902E78D">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5A9D79AF">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2889413A">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041A2798">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5972005F">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p>
    <w:p w14:paraId="250A67B5">
      <w:pPr>
        <w:rPr>
          <w:rFonts w:hint="eastAsia" w:hAnsi="宋体" w:cs="宋体"/>
          <w:b/>
          <w:color w:val="000000" w:themeColor="text1"/>
          <w:sz w:val="28"/>
          <w:szCs w:val="28"/>
          <w:highlight w:val="none"/>
          <w14:textFill>
            <w14:solidFill>
              <w14:schemeClr w14:val="tx1"/>
            </w14:solidFill>
          </w14:textFill>
        </w:rPr>
      </w:pPr>
      <w:r>
        <w:rPr>
          <w:rFonts w:hint="eastAsia" w:hAnsi="宋体" w:cs="宋体"/>
          <w:b/>
          <w:color w:val="000000" w:themeColor="text1"/>
          <w:sz w:val="28"/>
          <w:szCs w:val="28"/>
          <w:highlight w:val="none"/>
          <w14:textFill>
            <w14:solidFill>
              <w14:schemeClr w14:val="tx1"/>
            </w14:solidFill>
          </w14:textFill>
        </w:rPr>
        <w:br w:type="page"/>
      </w:r>
    </w:p>
    <w:p w14:paraId="797019B7">
      <w:pPr>
        <w:pStyle w:val="25"/>
        <w:spacing w:before="0" w:beforeLines="0" w:after="0" w:afterLines="0" w:line="360" w:lineRule="auto"/>
        <w:jc w:val="center"/>
        <w:rPr>
          <w:rFonts w:hAnsi="宋体" w:cs="宋体"/>
          <w:b/>
          <w:color w:val="000000" w:themeColor="text1"/>
          <w:sz w:val="28"/>
          <w:szCs w:val="28"/>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hAnsi="宋体" w:cs="宋体"/>
          <w:b/>
          <w:color w:val="000000" w:themeColor="text1"/>
          <w:sz w:val="28"/>
          <w:szCs w:val="28"/>
          <w:highlight w:val="none"/>
          <w14:textFill>
            <w14:solidFill>
              <w14:schemeClr w14:val="tx1"/>
            </w14:solidFill>
          </w14:textFill>
        </w:rPr>
        <w:t>4</w:t>
      </w:r>
      <w:r>
        <w:rPr>
          <w:rFonts w:hint="eastAsia" w:hAnsi="宋体" w:cs="宋体"/>
          <w:b/>
          <w:color w:val="000000" w:themeColor="text1"/>
          <w:sz w:val="28"/>
          <w:szCs w:val="28"/>
          <w:highlight w:val="none"/>
          <w:lang w:val="en-US" w:eastAsia="zh-CN"/>
          <w14:textFill>
            <w14:solidFill>
              <w14:schemeClr w14:val="tx1"/>
            </w14:solidFill>
          </w14:textFill>
        </w:rPr>
        <w:t>.</w:t>
      </w:r>
      <w:r>
        <w:rPr>
          <w:rFonts w:hint="eastAsia" w:hAnsi="宋体" w:cs="宋体"/>
          <w:b/>
          <w:color w:val="000000" w:themeColor="text1"/>
          <w:sz w:val="28"/>
          <w:szCs w:val="28"/>
          <w:highlight w:val="none"/>
          <w14:textFill>
            <w14:solidFill>
              <w14:schemeClr w14:val="tx1"/>
            </w14:solidFill>
          </w14:textFill>
        </w:rPr>
        <w:t>授权委托书</w:t>
      </w:r>
      <w:bookmarkEnd w:id="701"/>
      <w:r>
        <w:rPr>
          <w:rFonts w:hint="eastAsia" w:hAnsi="宋体" w:cs="宋体"/>
          <w:b/>
          <w:color w:val="000000" w:themeColor="text1"/>
          <w:sz w:val="28"/>
          <w:szCs w:val="28"/>
          <w:highlight w:val="none"/>
          <w14:textFill>
            <w14:solidFill>
              <w14:schemeClr w14:val="tx1"/>
            </w14:solidFill>
          </w14:textFill>
        </w:rPr>
        <w:t>格式</w:t>
      </w:r>
    </w:p>
    <w:p w14:paraId="5A37DB96">
      <w:pPr>
        <w:pStyle w:val="2"/>
        <w:rPr>
          <w:rFonts w:hAnsi="宋体"/>
          <w:b/>
          <w:color w:val="000000" w:themeColor="text1"/>
          <w:sz w:val="28"/>
          <w:szCs w:val="28"/>
          <w:highlight w:val="none"/>
          <w14:textFill>
            <w14:solidFill>
              <w14:schemeClr w14:val="tx1"/>
            </w14:solidFill>
          </w14:textFill>
        </w:rPr>
      </w:pPr>
    </w:p>
    <w:bookmarkEnd w:id="699"/>
    <w:bookmarkEnd w:id="700"/>
    <w:p w14:paraId="02B5DE89">
      <w:pPr>
        <w:pStyle w:val="189"/>
        <w:spacing w:line="360" w:lineRule="auto"/>
        <w:rPr>
          <w:rFonts w:ascii="宋体" w:hAnsi="宋体"/>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u w:val="single"/>
          <w14:textFill>
            <w14:solidFill>
              <w14:schemeClr w14:val="tx1"/>
            </w14:solidFill>
          </w14:textFill>
        </w:rPr>
        <w:t xml:space="preserve">     （采购人名称）     ：</w:t>
      </w:r>
    </w:p>
    <w:p w14:paraId="62F7D977">
      <w:pPr>
        <w:pStyle w:val="132"/>
        <w:autoSpaceDE w:val="0"/>
        <w:autoSpaceDN w:val="0"/>
        <w:spacing w:line="360" w:lineRule="auto"/>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我</w:t>
      </w:r>
      <w:r>
        <w:rPr>
          <w:rFonts w:hint="eastAsia" w:ascii="宋体" w:hAnsi="宋体"/>
          <w:color w:val="000000" w:themeColor="text1"/>
          <w:szCs w:val="21"/>
          <w:highlight w:val="none"/>
          <w:u w:val="single"/>
          <w14:textFill>
            <w14:solidFill>
              <w14:schemeClr w14:val="tx1"/>
            </w14:solidFill>
          </w14:textFill>
        </w:rPr>
        <w:t xml:space="preserve"> 法定</w:t>
      </w:r>
      <w:r>
        <w:rPr>
          <w:rFonts w:ascii="宋体" w:hAnsi="宋体"/>
          <w:color w:val="000000" w:themeColor="text1"/>
          <w:szCs w:val="21"/>
          <w:highlight w:val="none"/>
          <w:u w:val="single"/>
          <w14:textFill>
            <w14:solidFill>
              <w14:schemeClr w14:val="tx1"/>
            </w14:solidFill>
          </w14:textFill>
        </w:rPr>
        <w:t>代表人</w:t>
      </w:r>
      <w:r>
        <w:rPr>
          <w:rFonts w:hint="eastAsia" w:ascii="宋体" w:hAnsi="宋体"/>
          <w:color w:val="000000" w:themeColor="text1"/>
          <w:szCs w:val="21"/>
          <w:highlight w:val="none"/>
          <w:u w:val="single"/>
          <w14:textFill>
            <w14:solidFill>
              <w14:schemeClr w14:val="tx1"/>
            </w14:solidFill>
          </w14:textFill>
        </w:rPr>
        <w:t>（</w:t>
      </w:r>
      <w:r>
        <w:rPr>
          <w:rFonts w:ascii="宋体" w:hAnsi="宋体"/>
          <w:color w:val="000000" w:themeColor="text1"/>
          <w:szCs w:val="21"/>
          <w:highlight w:val="none"/>
          <w:u w:val="single"/>
          <w14:textFill>
            <w14:solidFill>
              <w14:schemeClr w14:val="tx1"/>
            </w14:solidFill>
          </w14:textFill>
        </w:rPr>
        <w:t>负责人</w:t>
      </w:r>
      <w:r>
        <w:rPr>
          <w:rFonts w:hint="eastAsia" w:ascii="宋体" w:hAnsi="宋体"/>
          <w:color w:val="000000" w:themeColor="text1"/>
          <w:szCs w:val="21"/>
          <w:highlight w:val="none"/>
          <w:u w:val="singl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系</w:t>
      </w:r>
      <w:r>
        <w:rPr>
          <w:rFonts w:hint="eastAsia" w:ascii="宋体" w:hAnsi="宋体"/>
          <w:color w:val="000000" w:themeColor="text1"/>
          <w:szCs w:val="21"/>
          <w:highlight w:val="none"/>
          <w:u w:val="single"/>
          <w14:textFill>
            <w14:solidFill>
              <w14:schemeClr w14:val="tx1"/>
            </w14:solidFill>
          </w14:textFill>
        </w:rPr>
        <w:t xml:space="preserve"> （供应商全称） </w:t>
      </w:r>
      <w:r>
        <w:rPr>
          <w:rFonts w:hint="eastAsia" w:ascii="宋体" w:hAnsi="宋体"/>
          <w:color w:val="000000" w:themeColor="text1"/>
          <w:szCs w:val="21"/>
          <w:highlight w:val="none"/>
          <w14:textFill>
            <w14:solidFill>
              <w14:schemeClr w14:val="tx1"/>
            </w14:solidFill>
          </w14:textFill>
        </w:rPr>
        <w:t>的法定代表</w:t>
      </w:r>
      <w:r>
        <w:rPr>
          <w:rFonts w:ascii="宋体" w:hAnsi="宋体"/>
          <w:color w:val="000000" w:themeColor="text1"/>
          <w:szCs w:val="21"/>
          <w:highlight w:val="none"/>
          <w14:textFill>
            <w14:solidFill>
              <w14:schemeClr w14:val="tx1"/>
            </w14:solidFill>
          </w14:textFill>
        </w:rPr>
        <w:t>人</w:t>
      </w:r>
      <w:r>
        <w:rPr>
          <w:rFonts w:hint="eastAsia" w:ascii="宋体" w:hAnsi="宋体"/>
          <w:color w:val="000000" w:themeColor="text1"/>
          <w:szCs w:val="21"/>
          <w:highlight w:val="none"/>
          <w14:textFill>
            <w14:solidFill>
              <w14:schemeClr w14:val="tx1"/>
            </w14:solidFill>
          </w14:textFill>
        </w:rPr>
        <w:t>（或</w:t>
      </w:r>
      <w:r>
        <w:rPr>
          <w:rFonts w:ascii="宋体" w:hAnsi="宋体"/>
          <w:color w:val="000000" w:themeColor="text1"/>
          <w:szCs w:val="21"/>
          <w:highlight w:val="none"/>
          <w14:textFill>
            <w14:solidFill>
              <w14:schemeClr w14:val="tx1"/>
            </w14:solidFill>
          </w14:textFill>
        </w:rPr>
        <w:t>负责人</w:t>
      </w:r>
      <w:r>
        <w:rPr>
          <w:rFonts w:hint="eastAsia" w:ascii="宋体" w:hAnsi="宋体"/>
          <w:color w:val="000000" w:themeColor="text1"/>
          <w:szCs w:val="21"/>
          <w:highlight w:val="none"/>
          <w14:textFill>
            <w14:solidFill>
              <w14:schemeClr w14:val="tx1"/>
            </w14:solidFill>
          </w14:textFill>
        </w:rPr>
        <w:t>），现授权委托本单位在职职工</w:t>
      </w:r>
      <w:r>
        <w:rPr>
          <w:rFonts w:hint="eastAsia" w:ascii="宋体" w:hAnsi="宋体"/>
          <w:color w:val="000000" w:themeColor="text1"/>
          <w:szCs w:val="21"/>
          <w:highlight w:val="none"/>
          <w:u w:val="single"/>
          <w14:textFill>
            <w14:solidFill>
              <w14:schemeClr w14:val="tx1"/>
            </w14:solidFill>
          </w14:textFill>
        </w:rPr>
        <w:t xml:space="preserve">   （姓名）  </w:t>
      </w:r>
      <w:r>
        <w:rPr>
          <w:rFonts w:hint="eastAsia" w:ascii="宋体" w:hAnsi="宋体"/>
          <w:color w:val="000000" w:themeColor="text1"/>
          <w:szCs w:val="21"/>
          <w:highlight w:val="none"/>
          <w14:textFill>
            <w14:solidFill>
              <w14:schemeClr w14:val="tx1"/>
            </w14:solidFill>
          </w14:textFill>
        </w:rPr>
        <w:t>以我方的名义参加就贵方组织的</w:t>
      </w:r>
      <w:r>
        <w:rPr>
          <w:rFonts w:hint="eastAsia" w:ascii="宋体" w:hAnsi="宋体"/>
          <w:color w:val="000000" w:themeColor="text1"/>
          <w:szCs w:val="21"/>
          <w:highlight w:val="none"/>
          <w:u w:val="single"/>
          <w14:textFill>
            <w14:solidFill>
              <w14:schemeClr w14:val="tx1"/>
            </w14:solidFill>
          </w14:textFill>
        </w:rPr>
        <w:t xml:space="preserve">   （</w:t>
      </w:r>
      <w:r>
        <w:rPr>
          <w:rFonts w:ascii="宋体" w:hAnsi="宋体"/>
          <w:color w:val="000000" w:themeColor="text1"/>
          <w:szCs w:val="21"/>
          <w:highlight w:val="none"/>
          <w:u w:val="single"/>
          <w14:textFill>
            <w14:solidFill>
              <w14:schemeClr w14:val="tx1"/>
            </w14:solidFill>
          </w14:textFill>
        </w:rPr>
        <w:t>项目名称</w:t>
      </w:r>
      <w:r>
        <w:rPr>
          <w:rFonts w:hint="eastAsia" w:ascii="宋体" w:hAnsi="宋体"/>
          <w:color w:val="000000" w:themeColor="text1"/>
          <w:szCs w:val="21"/>
          <w:highlight w:val="none"/>
          <w:u w:val="single"/>
          <w14:textFill>
            <w14:solidFill>
              <w14:schemeClr w14:val="tx1"/>
            </w14:solidFill>
          </w14:textFill>
        </w:rPr>
        <w:t xml:space="preserve">）（项目编号）（标项） </w:t>
      </w:r>
      <w:r>
        <w:rPr>
          <w:rFonts w:hint="eastAsia" w:ascii="宋体" w:hAnsi="宋体"/>
          <w:color w:val="000000" w:themeColor="text1"/>
          <w:szCs w:val="21"/>
          <w:highlight w:val="none"/>
          <w14:textFill>
            <w14:solidFill>
              <w14:schemeClr w14:val="tx1"/>
            </w14:solidFill>
          </w14:textFill>
        </w:rPr>
        <w:t>的磋商活动，并代表我方全权办理针对上述项目的磋商、评审、签约等具体事务和签署相关文件。</w:t>
      </w:r>
    </w:p>
    <w:p w14:paraId="4930C426">
      <w:pPr>
        <w:pStyle w:val="132"/>
        <w:autoSpaceDE w:val="0"/>
        <w:autoSpaceDN w:val="0"/>
        <w:spacing w:line="360" w:lineRule="auto"/>
        <w:textAlignment w:val="bottom"/>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我方对委托代理人的签字或盖章事项负全部责任。</w:t>
      </w:r>
    </w:p>
    <w:p w14:paraId="72E3DF13">
      <w:pPr>
        <w:pStyle w:val="132"/>
        <w:spacing w:line="360" w:lineRule="auto"/>
        <w:ind w:firstLine="48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本授权书自签署之日起生效，在撤销授权的书面通知送达贵方以前，本授权委托书一直有效。委托代理人在授权书有效期内签署的所有文件不因授权的撤销而失效。</w:t>
      </w:r>
    </w:p>
    <w:p w14:paraId="7CD5B2A1">
      <w:pPr>
        <w:pStyle w:val="132"/>
        <w:spacing w:line="360" w:lineRule="auto"/>
        <w:ind w:firstLine="48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委托代理人无转委托权，特此声明。</w:t>
      </w:r>
    </w:p>
    <w:p w14:paraId="48F9D88D">
      <w:pPr>
        <w:pStyle w:val="132"/>
        <w:spacing w:line="360" w:lineRule="auto"/>
        <w:ind w:firstLine="480"/>
        <w:rPr>
          <w:rFonts w:ascii="宋体" w:hAnsi="宋体"/>
          <w:color w:val="000000" w:themeColor="text1"/>
          <w:szCs w:val="21"/>
          <w:highlight w:val="none"/>
          <w14:textFill>
            <w14:solidFill>
              <w14:schemeClr w14:val="tx1"/>
            </w14:solidFill>
          </w14:textFill>
        </w:rPr>
      </w:pPr>
    </w:p>
    <w:p w14:paraId="20F84A12">
      <w:pPr>
        <w:pStyle w:val="132"/>
        <w:spacing w:line="360" w:lineRule="auto"/>
        <w:ind w:firstLine="480"/>
        <w:rPr>
          <w:rFonts w:ascii="宋体" w:hAnsi="宋体"/>
          <w:color w:val="000000" w:themeColor="text1"/>
          <w:szCs w:val="21"/>
          <w:highlight w:val="none"/>
          <w14:textFill>
            <w14:solidFill>
              <w14:schemeClr w14:val="tx1"/>
            </w14:solidFill>
          </w14:textFill>
        </w:rPr>
      </w:pPr>
    </w:p>
    <w:p w14:paraId="5982FE73">
      <w:pPr>
        <w:pStyle w:val="132"/>
        <w:spacing w:line="360" w:lineRule="auto"/>
        <w:ind w:firstLine="480"/>
        <w:jc w:val="right"/>
        <w:rPr>
          <w:rFonts w:ascii="宋体" w:hAnsi="宋体"/>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供应商</w:t>
      </w:r>
      <w:r>
        <w:rPr>
          <w:rFonts w:ascii="宋体" w:hAnsi="宋体"/>
          <w:color w:val="000000" w:themeColor="text1"/>
          <w:szCs w:val="21"/>
          <w:highlight w:val="none"/>
          <w14:textFill>
            <w14:solidFill>
              <w14:schemeClr w14:val="tx1"/>
            </w14:solidFill>
          </w14:textFill>
        </w:rPr>
        <w:t>盖章：</w:t>
      </w:r>
      <w:r>
        <w:rPr>
          <w:rFonts w:hint="eastAsia" w:ascii="宋体" w:hAnsi="宋体"/>
          <w:color w:val="000000" w:themeColor="text1"/>
          <w:szCs w:val="21"/>
          <w:highlight w:val="none"/>
          <w:u w:val="single"/>
          <w14:textFill>
            <w14:solidFill>
              <w14:schemeClr w14:val="tx1"/>
            </w14:solidFill>
          </w14:textFill>
        </w:rPr>
        <w:t xml:space="preserve"> </w:t>
      </w:r>
      <w:r>
        <w:rPr>
          <w:rFonts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w:t>
      </w:r>
    </w:p>
    <w:p w14:paraId="1D795997">
      <w:pPr>
        <w:pStyle w:val="132"/>
        <w:spacing w:line="360" w:lineRule="auto"/>
        <w:ind w:firstLine="480"/>
        <w:jc w:val="center"/>
        <w:rPr>
          <w:rFonts w:ascii="宋体" w:hAnsi="宋体"/>
          <w:color w:val="000000" w:themeColor="text1"/>
          <w:szCs w:val="21"/>
          <w:highlight w:val="none"/>
          <w:u w:val="singl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法定代表人（或负责人）签字：</w:t>
      </w:r>
      <w:r>
        <w:rPr>
          <w:rFonts w:hint="eastAsia" w:ascii="宋体" w:hAnsi="宋体"/>
          <w:color w:val="000000" w:themeColor="text1"/>
          <w:szCs w:val="21"/>
          <w:highlight w:val="none"/>
          <w:u w:val="single"/>
          <w14:textFill>
            <w14:solidFill>
              <w14:schemeClr w14:val="tx1"/>
            </w14:solidFill>
          </w14:textFill>
        </w:rPr>
        <w:t xml:space="preserve"> </w:t>
      </w:r>
      <w:r>
        <w:rPr>
          <w:rFonts w:ascii="宋体" w:hAnsi="宋体"/>
          <w:color w:val="000000" w:themeColor="text1"/>
          <w:szCs w:val="21"/>
          <w:highlight w:val="none"/>
          <w:u w:val="single"/>
          <w14:textFill>
            <w14:solidFill>
              <w14:schemeClr w14:val="tx1"/>
            </w14:solidFill>
          </w14:textFill>
        </w:rPr>
        <w:t xml:space="preserve">              </w:t>
      </w:r>
    </w:p>
    <w:p w14:paraId="06C600B3">
      <w:pPr>
        <w:pStyle w:val="132"/>
        <w:wordWrap w:val="0"/>
        <w:spacing w:line="360" w:lineRule="auto"/>
        <w:ind w:firstLine="480"/>
        <w:jc w:val="right"/>
        <w:rPr>
          <w:rFonts w:ascii="宋体" w:hAnsi="宋体"/>
          <w:color w:val="000000" w:themeColor="text1"/>
          <w:szCs w:val="21"/>
          <w:highlight w:val="none"/>
          <w:u w:val="single"/>
          <w14:textFill>
            <w14:solidFill>
              <w14:schemeClr w14:val="tx1"/>
            </w14:solidFill>
          </w14:textFill>
        </w:rPr>
      </w:pPr>
      <w:r>
        <w:rPr>
          <w:rFonts w:ascii="宋体" w:hAnsi="宋体"/>
          <w:color w:val="000000" w:themeColor="text1"/>
          <w:szCs w:val="21"/>
          <w:highlight w:val="none"/>
          <w14:textFill>
            <w14:solidFill>
              <w14:schemeClr w14:val="tx1"/>
            </w14:solidFill>
          </w14:textFill>
        </w:rPr>
        <w:t>日      期：</w:t>
      </w:r>
      <w:r>
        <w:rPr>
          <w:rFonts w:hint="eastAsia" w:ascii="宋体" w:hAnsi="宋体"/>
          <w:color w:val="000000" w:themeColor="text1"/>
          <w:szCs w:val="21"/>
          <w:highlight w:val="none"/>
          <w:u w:val="single"/>
          <w14:textFill>
            <w14:solidFill>
              <w14:schemeClr w14:val="tx1"/>
            </w14:solidFill>
          </w14:textFill>
        </w:rPr>
        <w:t xml:space="preserve"> </w:t>
      </w:r>
      <w:r>
        <w:rPr>
          <w:rFonts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w:t>
      </w:r>
    </w:p>
    <w:p w14:paraId="1B433ED4">
      <w:pPr>
        <w:pStyle w:val="132"/>
        <w:spacing w:line="440" w:lineRule="exact"/>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132715</wp:posOffset>
                </wp:positionV>
                <wp:extent cx="6067425" cy="0"/>
                <wp:effectExtent l="0" t="0" r="0" b="19050"/>
                <wp:wrapNone/>
                <wp:docPr id="1" name="自选图形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自选图形 2" o:spid="_x0000_s1026" o:spt="32" type="#_x0000_t32" style="position:absolute;left:0pt;margin-left:-16.5pt;margin-top:10.45pt;height:0pt;width:477.75pt;z-index:251659264;mso-width-relative:page;mso-height-relative:page;" filled="f" stroked="t" coordsize="21600,21600" o:gfxdata="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vlw/+2AAAAAkBAAAPAAAAAAAAAAEAIAAAACIAAABkcnMvZG93bnJldi54bWxQSwEC&#10;FAAUAAAACACHTuJAkKO0Z/QBAADkAwAADgAAAAAAAAABACAAAAAnAQAAZHJzL2Uyb0RvYy54bWxQ&#10;SwUGAAAAAAYABgBZAQAAjQUAAAAA&#10;">
                <v:fill on="f" focussize="0,0"/>
                <v:stroke color="#000000" joinstyle="round" dashstyle="longDash"/>
                <v:imagedata o:title=""/>
                <o:lock v:ext="edit" aspectratio="f"/>
              </v:shape>
            </w:pict>
          </mc:Fallback>
        </mc:AlternateContent>
      </w:r>
    </w:p>
    <w:p w14:paraId="49D45349">
      <w:pPr>
        <w:pStyle w:val="132"/>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附：1</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委托代理人工作单位：</w:t>
      </w:r>
      <w:r>
        <w:rPr>
          <w:rFonts w:hint="eastAsia" w:ascii="宋体" w:hAnsi="宋体"/>
          <w:color w:val="000000" w:themeColor="text1"/>
          <w:szCs w:val="21"/>
          <w:highlight w:val="none"/>
          <w14:textFill>
            <w14:solidFill>
              <w14:schemeClr w14:val="tx1"/>
            </w14:solidFill>
          </w14:textFill>
        </w:rPr>
        <w:tab/>
      </w:r>
      <w:r>
        <w:rPr>
          <w:rFonts w:hint="eastAsia" w:ascii="宋体" w:hAnsi="宋体"/>
          <w:color w:val="000000" w:themeColor="text1"/>
          <w:szCs w:val="21"/>
          <w:highlight w:val="none"/>
          <w14:textFill>
            <w14:solidFill>
              <w14:schemeClr w14:val="tx1"/>
            </w14:solidFill>
          </w14:textFill>
        </w:rPr>
        <w:tab/>
      </w:r>
      <w:r>
        <w:rPr>
          <w:rFonts w:hint="eastAsia" w:ascii="宋体" w:hAnsi="宋体"/>
          <w:color w:val="000000" w:themeColor="text1"/>
          <w:szCs w:val="21"/>
          <w:highlight w:val="none"/>
          <w14:textFill>
            <w14:solidFill>
              <w14:schemeClr w14:val="tx1"/>
            </w14:solidFill>
          </w14:textFill>
        </w:rPr>
        <w:tab/>
      </w:r>
      <w:r>
        <w:rPr>
          <w:rFonts w:hint="eastAsia" w:ascii="宋体" w:hAnsi="宋体"/>
          <w:color w:val="000000" w:themeColor="text1"/>
          <w:szCs w:val="21"/>
          <w:highlight w:val="none"/>
          <w14:textFill>
            <w14:solidFill>
              <w14:schemeClr w14:val="tx1"/>
            </w14:solidFill>
          </w14:textFill>
        </w:rPr>
        <w:tab/>
      </w:r>
      <w:r>
        <w:rPr>
          <w:rFonts w:hint="eastAsia" w:ascii="宋体" w:hAnsi="宋体"/>
          <w:color w:val="000000" w:themeColor="text1"/>
          <w:szCs w:val="21"/>
          <w:highlight w:val="none"/>
          <w14:textFill>
            <w14:solidFill>
              <w14:schemeClr w14:val="tx1"/>
            </w14:solidFill>
          </w14:textFill>
        </w:rPr>
        <w:tab/>
      </w:r>
      <w:r>
        <w:rPr>
          <w:rFonts w:hint="eastAsia" w:ascii="宋体" w:hAnsi="宋体"/>
          <w:color w:val="000000" w:themeColor="text1"/>
          <w:szCs w:val="21"/>
          <w:highlight w:val="none"/>
          <w14:textFill>
            <w14:solidFill>
              <w14:schemeClr w14:val="tx1"/>
            </w14:solidFill>
          </w14:textFill>
        </w:rPr>
        <w:t xml:space="preserve">职务： </w:t>
      </w:r>
    </w:p>
    <w:p w14:paraId="47380C0A">
      <w:pPr>
        <w:pStyle w:val="132"/>
        <w:spacing w:line="440" w:lineRule="exact"/>
        <w:ind w:firstLine="48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身份证号码：　　　　　　　　  　　</w:t>
      </w:r>
      <w:r>
        <w:rPr>
          <w:rFonts w:hint="eastAsia" w:ascii="宋体" w:hAnsi="宋体"/>
          <w:color w:val="000000" w:themeColor="text1"/>
          <w:szCs w:val="21"/>
          <w:highlight w:val="none"/>
          <w14:textFill>
            <w14:solidFill>
              <w14:schemeClr w14:val="tx1"/>
            </w14:solidFill>
          </w14:textFill>
        </w:rPr>
        <w:tab/>
      </w:r>
      <w:r>
        <w:rPr>
          <w:rFonts w:hint="eastAsia" w:ascii="宋体" w:hAnsi="宋体"/>
          <w:color w:val="000000" w:themeColor="text1"/>
          <w:szCs w:val="21"/>
          <w:highlight w:val="none"/>
          <w14:textFill>
            <w14:solidFill>
              <w14:schemeClr w14:val="tx1"/>
            </w14:solidFill>
          </w14:textFill>
        </w:rPr>
        <w:t xml:space="preserve">性别： </w:t>
      </w:r>
    </w:p>
    <w:p w14:paraId="271D28E9">
      <w:pPr>
        <w:pStyle w:val="132"/>
        <w:spacing w:line="440" w:lineRule="exact"/>
        <w:ind w:firstLine="480"/>
        <w:rPr>
          <w:rFonts w:ascii="宋体" w:hAnsi="宋体"/>
          <w:color w:val="000000" w:themeColor="text1"/>
          <w:spacing w:val="20"/>
          <w:szCs w:val="21"/>
          <w:highlight w:val="none"/>
          <w:u w:val="single"/>
          <w14:textFill>
            <w14:solidFill>
              <w14:schemeClr w14:val="tx1"/>
            </w14:solidFill>
          </w14:textFill>
        </w:rPr>
      </w:pPr>
      <w:r>
        <w:rPr>
          <w:rFonts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委托代理人身份证正</w:t>
      </w:r>
      <w:r>
        <w:rPr>
          <w:rFonts w:ascii="宋体" w:hAnsi="宋体"/>
          <w:bCs/>
          <w:color w:val="000000" w:themeColor="text1"/>
          <w:szCs w:val="21"/>
          <w:highlight w:val="none"/>
          <w14:textFill>
            <w14:solidFill>
              <w14:schemeClr w14:val="tx1"/>
            </w14:solidFill>
          </w14:textFill>
        </w:rPr>
        <w:t>、反面</w:t>
      </w:r>
      <w:r>
        <w:rPr>
          <w:rFonts w:hint="eastAsia" w:ascii="宋体" w:hAnsi="宋体"/>
          <w:bCs/>
          <w:color w:val="000000" w:themeColor="text1"/>
          <w:szCs w:val="21"/>
          <w:highlight w:val="none"/>
          <w14:textFill>
            <w14:solidFill>
              <w14:schemeClr w14:val="tx1"/>
            </w14:solidFill>
          </w14:textFill>
        </w:rPr>
        <w:t>电子文档：</w:t>
      </w:r>
    </w:p>
    <w:tbl>
      <w:tblPr>
        <w:tblStyle w:val="43"/>
        <w:tblW w:w="0" w:type="auto"/>
        <w:tblInd w:w="0" w:type="dxa"/>
        <w:tblLayout w:type="autofit"/>
        <w:tblCellMar>
          <w:top w:w="0" w:type="dxa"/>
          <w:left w:w="108" w:type="dxa"/>
          <w:bottom w:w="0" w:type="dxa"/>
          <w:right w:w="108" w:type="dxa"/>
        </w:tblCellMar>
      </w:tblPr>
      <w:tblGrid>
        <w:gridCol w:w="4621"/>
        <w:gridCol w:w="4621"/>
      </w:tblGrid>
      <w:tr w14:paraId="5241E366">
        <w:tblPrEx>
          <w:tblCellMar>
            <w:top w:w="0" w:type="dxa"/>
            <w:left w:w="108" w:type="dxa"/>
            <w:bottom w:w="0" w:type="dxa"/>
            <w:right w:w="108" w:type="dxa"/>
          </w:tblCellMar>
        </w:tblPrEx>
        <w:trPr>
          <w:trHeight w:val="3198" w:hRule="atLeast"/>
        </w:trPr>
        <w:tc>
          <w:tcPr>
            <w:tcW w:w="4621" w:type="dxa"/>
          </w:tcPr>
          <w:p w14:paraId="0467FB55">
            <w:pPr>
              <w:pStyle w:val="132"/>
              <w:spacing w:line="440" w:lineRule="exact"/>
              <w:rPr>
                <w:rFonts w:ascii="宋体" w:hAnsi="宋体"/>
                <w:color w:val="000000" w:themeColor="text1"/>
                <w:spacing w:val="20"/>
                <w:szCs w:val="21"/>
                <w:highlight w:val="none"/>
                <w14:textFill>
                  <w14:solidFill>
                    <w14:schemeClr w14:val="tx1"/>
                  </w14:solidFill>
                </w14:textFill>
              </w:rPr>
            </w:pPr>
            <w:r>
              <w:rPr>
                <w:rFonts w:hint="eastAsia" w:ascii="宋体" w:hAnsi="宋体"/>
                <w:color w:val="000000" w:themeColor="text1"/>
                <w:spacing w:val="20"/>
                <w:szCs w:val="21"/>
                <w:highlight w:val="none"/>
                <w14:textFill>
                  <w14:solidFill>
                    <w14:schemeClr w14:val="tx1"/>
                  </w14:solidFill>
                </w14:textFill>
              </w:rPr>
              <w:t>正面：</w:t>
            </w:r>
          </w:p>
          <w:p w14:paraId="7A8C02C7">
            <w:pPr>
              <w:pStyle w:val="132"/>
              <w:spacing w:line="440" w:lineRule="exact"/>
              <w:rPr>
                <w:rFonts w:ascii="宋体" w:hAnsi="宋体"/>
                <w:color w:val="000000" w:themeColor="text1"/>
                <w:spacing w:val="20"/>
                <w:szCs w:val="21"/>
                <w:highlight w:val="none"/>
                <w14:textFill>
                  <w14:solidFill>
                    <w14:schemeClr w14:val="tx1"/>
                  </w14:solidFill>
                </w14:textFill>
              </w:rPr>
            </w:pPr>
          </w:p>
        </w:tc>
        <w:tc>
          <w:tcPr>
            <w:tcW w:w="4621" w:type="dxa"/>
          </w:tcPr>
          <w:p w14:paraId="122E205E">
            <w:pPr>
              <w:pStyle w:val="132"/>
              <w:spacing w:line="440" w:lineRule="exact"/>
              <w:rPr>
                <w:rFonts w:ascii="宋体" w:hAnsi="宋体"/>
                <w:color w:val="000000" w:themeColor="text1"/>
                <w:spacing w:val="20"/>
                <w:szCs w:val="21"/>
                <w:highlight w:val="none"/>
                <w14:textFill>
                  <w14:solidFill>
                    <w14:schemeClr w14:val="tx1"/>
                  </w14:solidFill>
                </w14:textFill>
              </w:rPr>
            </w:pPr>
            <w:r>
              <w:rPr>
                <w:rFonts w:hint="eastAsia" w:ascii="宋体" w:hAnsi="宋体"/>
                <w:color w:val="000000" w:themeColor="text1"/>
                <w:spacing w:val="20"/>
                <w:szCs w:val="21"/>
                <w:highlight w:val="none"/>
                <w14:textFill>
                  <w14:solidFill>
                    <w14:schemeClr w14:val="tx1"/>
                  </w14:solidFill>
                </w14:textFill>
              </w:rPr>
              <w:t>反面：</w:t>
            </w:r>
          </w:p>
          <w:p w14:paraId="7929D1F6">
            <w:pPr>
              <w:pStyle w:val="132"/>
              <w:spacing w:line="440" w:lineRule="exact"/>
              <w:rPr>
                <w:rFonts w:ascii="宋体" w:hAnsi="宋体"/>
                <w:color w:val="000000" w:themeColor="text1"/>
                <w:spacing w:val="20"/>
                <w:szCs w:val="21"/>
                <w:highlight w:val="none"/>
                <w:u w:val="single"/>
                <w14:textFill>
                  <w14:solidFill>
                    <w14:schemeClr w14:val="tx1"/>
                  </w14:solidFill>
                </w14:textFill>
              </w:rPr>
            </w:pPr>
          </w:p>
        </w:tc>
      </w:tr>
    </w:tbl>
    <w:p w14:paraId="7A0647F0">
      <w:pPr>
        <w:pStyle w:val="132"/>
        <w:ind w:left="527" w:leftChars="50" w:hanging="422" w:hangingChars="200"/>
        <w:rPr>
          <w:rFonts w:ascii="宋体" w:hAnsi="宋体"/>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注：</w:t>
      </w:r>
      <w:r>
        <w:rPr>
          <w:rFonts w:hint="eastAsia" w:ascii="宋体" w:hAnsi="宋体"/>
          <w:color w:val="000000" w:themeColor="text1"/>
          <w:szCs w:val="21"/>
          <w:highlight w:val="none"/>
          <w14:textFill>
            <w14:solidFill>
              <w14:schemeClr w14:val="tx1"/>
            </w14:solidFill>
          </w14:textFill>
        </w:rPr>
        <w:t>若</w:t>
      </w:r>
      <w:r>
        <w:rPr>
          <w:rFonts w:ascii="宋体" w:hAnsi="宋体"/>
          <w:color w:val="000000" w:themeColor="text1"/>
          <w:szCs w:val="21"/>
          <w:highlight w:val="none"/>
          <w14:textFill>
            <w14:solidFill>
              <w14:schemeClr w14:val="tx1"/>
            </w14:solidFill>
          </w14:textFill>
        </w:rPr>
        <w:t>是</w:t>
      </w:r>
      <w:r>
        <w:rPr>
          <w:rFonts w:hint="eastAsia" w:ascii="宋体" w:hAnsi="宋体"/>
          <w:color w:val="000000" w:themeColor="text1"/>
          <w:szCs w:val="21"/>
          <w:highlight w:val="none"/>
          <w14:textFill>
            <w14:solidFill>
              <w14:schemeClr w14:val="tx1"/>
            </w14:solidFill>
          </w14:textFill>
        </w:rPr>
        <w:t>法定代表人（负责人）参会</w:t>
      </w:r>
      <w:r>
        <w:rPr>
          <w:rFonts w:ascii="宋体" w:hAnsi="宋体"/>
          <w:color w:val="000000" w:themeColor="text1"/>
          <w:szCs w:val="21"/>
          <w:highlight w:val="none"/>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不</w:t>
      </w:r>
      <w:r>
        <w:rPr>
          <w:rFonts w:ascii="宋体" w:hAnsi="宋体"/>
          <w:color w:val="000000" w:themeColor="text1"/>
          <w:szCs w:val="21"/>
          <w:highlight w:val="none"/>
          <w14:textFill>
            <w14:solidFill>
              <w14:schemeClr w14:val="tx1"/>
            </w14:solidFill>
          </w14:textFill>
        </w:rPr>
        <w:t>需要提供</w:t>
      </w:r>
      <w:r>
        <w:rPr>
          <w:rFonts w:hint="eastAsia" w:ascii="宋体" w:hAnsi="宋体"/>
          <w:color w:val="000000" w:themeColor="text1"/>
          <w:szCs w:val="21"/>
          <w:highlight w:val="none"/>
          <w14:textFill>
            <w14:solidFill>
              <w14:schemeClr w14:val="tx1"/>
            </w14:solidFill>
          </w14:textFill>
        </w:rPr>
        <w:t>此授权</w:t>
      </w:r>
      <w:r>
        <w:rPr>
          <w:rFonts w:ascii="宋体" w:hAnsi="宋体"/>
          <w:color w:val="000000" w:themeColor="text1"/>
          <w:szCs w:val="21"/>
          <w:highlight w:val="none"/>
          <w14:textFill>
            <w14:solidFill>
              <w14:schemeClr w14:val="tx1"/>
            </w14:solidFill>
          </w14:textFill>
        </w:rPr>
        <w:t>委托书。</w:t>
      </w:r>
    </w:p>
    <w:p w14:paraId="17A004BF">
      <w:pPr>
        <w:rPr>
          <w:rFonts w:ascii="宋体" w:hAnsi="宋体"/>
          <w:color w:val="000000" w:themeColor="text1"/>
          <w:szCs w:val="21"/>
          <w:highlight w:val="none"/>
          <w14:textFill>
            <w14:solidFill>
              <w14:schemeClr w14:val="tx1"/>
            </w14:solidFill>
          </w14:textFill>
        </w:rPr>
        <w:sectPr>
          <w:pgSz w:w="11906" w:h="16838"/>
          <w:pgMar w:top="1440" w:right="1440" w:bottom="1440" w:left="1440" w:header="851" w:footer="851" w:gutter="0"/>
          <w:cols w:space="720" w:num="1"/>
          <w:docGrid w:linePitch="312" w:charSpace="0"/>
        </w:sectPr>
      </w:pPr>
    </w:p>
    <w:p w14:paraId="2BA76B0B">
      <w:pPr>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
          <w:color w:val="000000" w:themeColor="text1"/>
          <w:sz w:val="30"/>
          <w:szCs w:val="30"/>
          <w:highlight w:val="none"/>
          <w14:textFill>
            <w14:solidFill>
              <w14:schemeClr w14:val="tx1"/>
            </w14:solidFill>
          </w14:textFill>
        </w:rPr>
        <w:t>5</w:t>
      </w:r>
      <w:r>
        <w:rPr>
          <w:rFonts w:hint="eastAsia" w:ascii="宋体" w:hAnsi="宋体" w:cs="宋体"/>
          <w:b/>
          <w:color w:val="000000" w:themeColor="text1"/>
          <w:sz w:val="30"/>
          <w:szCs w:val="30"/>
          <w:highlight w:val="none"/>
          <w:lang w:val="en-US" w:eastAsia="zh-CN"/>
          <w14:textFill>
            <w14:solidFill>
              <w14:schemeClr w14:val="tx1"/>
            </w14:solidFill>
          </w14:textFill>
        </w:rPr>
        <w:t>.</w:t>
      </w:r>
      <w:r>
        <w:rPr>
          <w:rFonts w:hint="eastAsia" w:ascii="宋体" w:hAnsi="宋体" w:cs="宋体"/>
          <w:b/>
          <w:color w:val="000000" w:themeColor="text1"/>
          <w:sz w:val="30"/>
          <w:szCs w:val="30"/>
          <w:highlight w:val="none"/>
          <w14:textFill>
            <w14:solidFill>
              <w14:schemeClr w14:val="tx1"/>
            </w14:solidFill>
          </w14:textFill>
        </w:rPr>
        <w:t>具有良好的财务会计制度、依法缴纳税收和社会保障资金的承诺函</w:t>
      </w:r>
    </w:p>
    <w:p w14:paraId="1E496FD3">
      <w:pPr>
        <w:jc w:val="center"/>
        <w:rPr>
          <w:rFonts w:ascii="宋体" w:hAnsi="宋体" w:cs="宋体"/>
          <w:b/>
          <w:color w:val="000000" w:themeColor="text1"/>
          <w:sz w:val="24"/>
          <w:highlight w:val="none"/>
          <w14:textFill>
            <w14:solidFill>
              <w14:schemeClr w14:val="tx1"/>
            </w14:solidFill>
          </w14:textFill>
        </w:rPr>
      </w:pPr>
    </w:p>
    <w:p w14:paraId="2D86A962">
      <w:pPr>
        <w:pStyle w:val="128"/>
        <w:spacing w:line="360" w:lineRule="auto"/>
        <w:ind w:firstLine="482" w:firstLineChars="200"/>
        <w:rPr>
          <w:rFonts w:ascii="宋体" w:hAnsi="宋体" w:cs="宋体"/>
          <w:b/>
          <w:bCs/>
          <w:color w:val="000000" w:themeColor="text1"/>
          <w:sz w:val="24"/>
          <w:highlight w:val="none"/>
          <w14:textFill>
            <w14:solidFill>
              <w14:schemeClr w14:val="tx1"/>
            </w14:solidFill>
          </w14:textFill>
        </w:rPr>
      </w:pPr>
    </w:p>
    <w:p w14:paraId="014693BE">
      <w:pPr>
        <w:pStyle w:val="121"/>
        <w:spacing w:before="0" w:beforeAutospacing="0" w:after="0" w:afterAutospacing="0" w:line="480" w:lineRule="auto"/>
        <w:rPr>
          <w:color w:val="000000" w:themeColor="text1"/>
          <w:sz w:val="22"/>
          <w:szCs w:val="22"/>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致：</w:t>
      </w:r>
      <w:r>
        <w:rPr>
          <w:rFonts w:hint="eastAsia"/>
          <w:color w:val="000000" w:themeColor="text1"/>
          <w:sz w:val="22"/>
          <w:szCs w:val="22"/>
          <w:highlight w:val="none"/>
          <w:u w:val="single"/>
          <w14:textFill>
            <w14:solidFill>
              <w14:schemeClr w14:val="tx1"/>
            </w14:solidFill>
          </w14:textFill>
        </w:rPr>
        <w:t xml:space="preserve">       （采购单位名称）</w:t>
      </w:r>
    </w:p>
    <w:p w14:paraId="4ADD49A4">
      <w:pPr>
        <w:pStyle w:val="189"/>
        <w:spacing w:line="360" w:lineRule="auto"/>
        <w:ind w:firstLine="444" w:firstLineChars="200"/>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我方参与的</w:t>
      </w:r>
      <w:r>
        <w:rPr>
          <w:rFonts w:hint="eastAsia" w:ascii="宋体" w:hAnsi="宋体" w:cs="宋体"/>
          <w:color w:val="000000" w:themeColor="text1"/>
          <w:spacing w:val="6"/>
          <w:sz w:val="22"/>
          <w:szCs w:val="22"/>
          <w:highlight w:val="none"/>
          <w:u w:val="single"/>
          <w14:textFill>
            <w14:solidFill>
              <w14:schemeClr w14:val="tx1"/>
            </w14:solidFill>
          </w14:textFill>
        </w:rPr>
        <w:t xml:space="preserve">           （采购项目名称）</w:t>
      </w:r>
      <w:r>
        <w:rPr>
          <w:rFonts w:hint="eastAsia" w:ascii="宋体" w:hAnsi="宋体" w:cs="宋体"/>
          <w:color w:val="000000" w:themeColor="text1"/>
          <w:spacing w:val="6"/>
          <w:sz w:val="22"/>
          <w:szCs w:val="22"/>
          <w:highlight w:val="none"/>
          <w14:textFill>
            <w14:solidFill>
              <w14:schemeClr w14:val="tx1"/>
            </w14:solidFill>
          </w14:textFill>
        </w:rPr>
        <w:t>（采购编号：</w:t>
      </w:r>
      <w:r>
        <w:rPr>
          <w:rFonts w:hint="eastAsia" w:ascii="宋体" w:hAnsi="宋体" w:cs="宋体"/>
          <w:color w:val="000000" w:themeColor="text1"/>
          <w:spacing w:val="6"/>
          <w:sz w:val="22"/>
          <w:szCs w:val="22"/>
          <w:highlight w:val="none"/>
          <w:u w:val="single"/>
          <w14:textFill>
            <w14:solidFill>
              <w14:schemeClr w14:val="tx1"/>
            </w14:solidFill>
          </w14:textFill>
        </w:rPr>
        <w:t>　　　　</w:t>
      </w:r>
      <w:r>
        <w:rPr>
          <w:rFonts w:hint="eastAsia" w:ascii="宋体" w:hAnsi="宋体" w:cs="宋体"/>
          <w:color w:val="000000" w:themeColor="text1"/>
          <w:spacing w:val="6"/>
          <w:sz w:val="22"/>
          <w:szCs w:val="22"/>
          <w:highlight w:val="none"/>
          <w14:textFill>
            <w14:solidFill>
              <w14:schemeClr w14:val="tx1"/>
            </w14:solidFill>
          </w14:textFill>
        </w:rPr>
        <w:t>）</w:t>
      </w:r>
      <w:r>
        <w:rPr>
          <w:rFonts w:hint="eastAsia" w:ascii="宋体" w:hAnsi="宋体"/>
          <w:color w:val="000000" w:themeColor="text1"/>
          <w:spacing w:val="6"/>
          <w:szCs w:val="21"/>
          <w:highlight w:val="none"/>
          <w14:textFill>
            <w14:solidFill>
              <w14:schemeClr w14:val="tx1"/>
            </w14:solidFill>
          </w14:textFill>
        </w:rPr>
        <w:t>的磋商活动，</w:t>
      </w:r>
      <w:r>
        <w:rPr>
          <w:rFonts w:ascii="宋体" w:hAnsi="宋体"/>
          <w:color w:val="000000" w:themeColor="text1"/>
          <w:spacing w:val="6"/>
          <w:szCs w:val="21"/>
          <w:highlight w:val="none"/>
          <w14:textFill>
            <w14:solidFill>
              <w14:schemeClr w14:val="tx1"/>
            </w14:solidFill>
          </w14:textFill>
        </w:rPr>
        <w:t>我方</w:t>
      </w:r>
      <w:r>
        <w:rPr>
          <w:rFonts w:hint="eastAsia" w:ascii="宋体" w:hAnsi="宋体"/>
          <w:color w:val="000000" w:themeColor="text1"/>
          <w:spacing w:val="6"/>
          <w:szCs w:val="21"/>
          <w:highlight w:val="none"/>
          <w14:textFill>
            <w14:solidFill>
              <w14:schemeClr w14:val="tx1"/>
            </w14:solidFill>
          </w14:textFill>
        </w:rPr>
        <w:t>郑重承诺，我方具有良好的财务会计制度，并依法缴纳税收和社会保障资金，不存在着偷逃税款和逃避缴纳社会保障资金的情况。如有虚假，采购人可取消我方任何资格（</w:t>
      </w:r>
      <w:r>
        <w:rPr>
          <w:rFonts w:hint="eastAsia" w:ascii="宋体" w:hAnsi="宋体" w:cs="宋体"/>
          <w:color w:val="000000" w:themeColor="text1"/>
          <w:spacing w:val="6"/>
          <w:sz w:val="22"/>
          <w:szCs w:val="22"/>
          <w:highlight w:val="none"/>
          <w14:textFill>
            <w14:solidFill>
              <w14:schemeClr w14:val="tx1"/>
            </w14:solidFill>
          </w14:textFill>
        </w:rPr>
        <w:t>磋商/定标/签订合同</w:t>
      </w:r>
      <w:r>
        <w:rPr>
          <w:rFonts w:hint="eastAsia" w:ascii="宋体" w:hAnsi="宋体"/>
          <w:color w:val="000000" w:themeColor="text1"/>
          <w:spacing w:val="6"/>
          <w:szCs w:val="21"/>
          <w:highlight w:val="none"/>
          <w14:textFill>
            <w14:solidFill>
              <w14:schemeClr w14:val="tx1"/>
            </w14:solidFill>
          </w14:textFill>
        </w:rPr>
        <w:t>），我方对此无任何异议。</w:t>
      </w:r>
    </w:p>
    <w:p w14:paraId="5889ACE7">
      <w:pPr>
        <w:pStyle w:val="189"/>
        <w:spacing w:line="480" w:lineRule="auto"/>
        <w:ind w:firstLine="444" w:firstLineChars="200"/>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特此承诺！</w:t>
      </w:r>
    </w:p>
    <w:p w14:paraId="387EEFA6">
      <w:pPr>
        <w:pStyle w:val="131"/>
        <w:spacing w:line="360" w:lineRule="auto"/>
        <w:ind w:firstLine="420"/>
        <w:rPr>
          <w:rFonts w:ascii="宋体" w:hAnsi="宋体" w:cs="宋体"/>
          <w:color w:val="000000" w:themeColor="text1"/>
          <w:sz w:val="24"/>
          <w:szCs w:val="24"/>
          <w:highlight w:val="none"/>
          <w14:textFill>
            <w14:solidFill>
              <w14:schemeClr w14:val="tx1"/>
            </w14:solidFill>
          </w14:textFill>
        </w:rPr>
      </w:pPr>
    </w:p>
    <w:p w14:paraId="2931C532">
      <w:pPr>
        <w:jc w:val="center"/>
        <w:rPr>
          <w:rFonts w:ascii="宋体" w:hAnsi="宋体" w:cs="宋体"/>
          <w:b/>
          <w:color w:val="000000" w:themeColor="text1"/>
          <w:sz w:val="24"/>
          <w:highlight w:val="none"/>
          <w14:textFill>
            <w14:solidFill>
              <w14:schemeClr w14:val="tx1"/>
            </w14:solidFill>
          </w14:textFill>
        </w:rPr>
      </w:pPr>
    </w:p>
    <w:p w14:paraId="3538289F">
      <w:pPr>
        <w:rPr>
          <w:rFonts w:ascii="宋体" w:hAnsi="宋体" w:cs="宋体"/>
          <w:color w:val="000000" w:themeColor="text1"/>
          <w:highlight w:val="none"/>
          <w14:textFill>
            <w14:solidFill>
              <w14:schemeClr w14:val="tx1"/>
            </w14:solidFill>
          </w14:textFill>
        </w:rPr>
      </w:pPr>
    </w:p>
    <w:p w14:paraId="727D16EF">
      <w:pPr>
        <w:jc w:val="center"/>
        <w:rPr>
          <w:rFonts w:ascii="宋体" w:hAnsi="宋体" w:cs="宋体"/>
          <w:b/>
          <w:color w:val="000000" w:themeColor="text1"/>
          <w:sz w:val="24"/>
          <w:highlight w:val="none"/>
          <w14:textFill>
            <w14:solidFill>
              <w14:schemeClr w14:val="tx1"/>
            </w14:solidFill>
          </w14:textFill>
        </w:rPr>
      </w:pPr>
    </w:p>
    <w:p w14:paraId="7FA40905">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0D512601">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002314A4">
      <w:pPr>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
          <w:color w:val="000000" w:themeColor="text1"/>
          <w:sz w:val="30"/>
          <w:szCs w:val="30"/>
          <w:highlight w:val="none"/>
          <w14:textFill>
            <w14:solidFill>
              <w14:schemeClr w14:val="tx1"/>
            </w14:solidFill>
          </w14:textFill>
        </w:rPr>
        <w:t>6</w:t>
      </w:r>
      <w:r>
        <w:rPr>
          <w:rFonts w:hint="eastAsia" w:ascii="宋体" w:hAnsi="宋体" w:cs="宋体"/>
          <w:b/>
          <w:color w:val="000000" w:themeColor="text1"/>
          <w:sz w:val="30"/>
          <w:szCs w:val="30"/>
          <w:highlight w:val="none"/>
          <w:lang w:val="en-US" w:eastAsia="zh-CN"/>
          <w14:textFill>
            <w14:solidFill>
              <w14:schemeClr w14:val="tx1"/>
            </w14:solidFill>
          </w14:textFill>
        </w:rPr>
        <w:t>.</w:t>
      </w:r>
      <w:r>
        <w:rPr>
          <w:rFonts w:hint="eastAsia" w:ascii="宋体" w:hAnsi="宋体" w:cs="宋体"/>
          <w:b/>
          <w:color w:val="000000" w:themeColor="text1"/>
          <w:sz w:val="30"/>
          <w:szCs w:val="30"/>
          <w:highlight w:val="none"/>
          <w14:textFill>
            <w14:solidFill>
              <w14:schemeClr w14:val="tx1"/>
            </w14:solidFill>
          </w14:textFill>
        </w:rPr>
        <w:t>具备履行合同所必需的设备和专业技术能力的承诺函</w:t>
      </w:r>
    </w:p>
    <w:p w14:paraId="0C6DD014">
      <w:pPr>
        <w:jc w:val="center"/>
        <w:rPr>
          <w:rFonts w:ascii="宋体" w:hAnsi="宋体" w:cs="宋体"/>
          <w:b/>
          <w:color w:val="000000" w:themeColor="text1"/>
          <w:sz w:val="28"/>
          <w:szCs w:val="28"/>
          <w:highlight w:val="none"/>
          <w14:textFill>
            <w14:solidFill>
              <w14:schemeClr w14:val="tx1"/>
            </w14:solidFill>
          </w14:textFill>
        </w:rPr>
      </w:pPr>
    </w:p>
    <w:p w14:paraId="449BECD6">
      <w:pPr>
        <w:jc w:val="center"/>
        <w:rPr>
          <w:rFonts w:ascii="宋体" w:hAnsi="宋体" w:cs="宋体"/>
          <w:b/>
          <w:color w:val="000000" w:themeColor="text1"/>
          <w:sz w:val="28"/>
          <w:szCs w:val="28"/>
          <w:highlight w:val="none"/>
          <w14:textFill>
            <w14:solidFill>
              <w14:schemeClr w14:val="tx1"/>
            </w14:solidFill>
          </w14:textFill>
        </w:rPr>
      </w:pPr>
    </w:p>
    <w:p w14:paraId="40EE6357">
      <w:pPr>
        <w:jc w:val="center"/>
        <w:rPr>
          <w:rFonts w:ascii="宋体" w:hAnsi="宋体" w:cs="宋体"/>
          <w:b/>
          <w:color w:val="000000" w:themeColor="text1"/>
          <w:sz w:val="24"/>
          <w:highlight w:val="none"/>
          <w14:textFill>
            <w14:solidFill>
              <w14:schemeClr w14:val="tx1"/>
            </w14:solidFill>
          </w14:textFill>
        </w:rPr>
      </w:pPr>
    </w:p>
    <w:p w14:paraId="0ECA6428">
      <w:pPr>
        <w:pStyle w:val="189"/>
        <w:spacing w:line="360" w:lineRule="auto"/>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z w:val="22"/>
          <w:szCs w:val="22"/>
          <w:highlight w:val="none"/>
          <w:u w:val="single"/>
          <w14:textFill>
            <w14:solidFill>
              <w14:schemeClr w14:val="tx1"/>
            </w14:solidFill>
          </w14:textFill>
        </w:rPr>
        <w:t xml:space="preserve">（采购单位名称）     </w:t>
      </w:r>
      <w:r>
        <w:rPr>
          <w:rFonts w:hint="eastAsia" w:ascii="宋体" w:hAnsi="宋体" w:cs="宋体"/>
          <w:color w:val="000000" w:themeColor="text1"/>
          <w:spacing w:val="6"/>
          <w:sz w:val="22"/>
          <w:szCs w:val="22"/>
          <w:highlight w:val="none"/>
          <w14:textFill>
            <w14:solidFill>
              <w14:schemeClr w14:val="tx1"/>
            </w14:solidFill>
          </w14:textFill>
        </w:rPr>
        <w:t>：</w:t>
      </w:r>
    </w:p>
    <w:p w14:paraId="58D1735E">
      <w:pPr>
        <w:pStyle w:val="189"/>
        <w:spacing w:line="36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p>
    <w:p w14:paraId="2063D31D">
      <w:pPr>
        <w:pStyle w:val="189"/>
        <w:spacing w:line="36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我方参与的</w:t>
      </w:r>
      <w:r>
        <w:rPr>
          <w:rFonts w:hint="eastAsia" w:ascii="宋体" w:hAnsi="宋体" w:cs="宋体"/>
          <w:color w:val="000000" w:themeColor="text1"/>
          <w:spacing w:val="6"/>
          <w:sz w:val="22"/>
          <w:szCs w:val="22"/>
          <w:highlight w:val="none"/>
          <w:u w:val="single"/>
          <w14:textFill>
            <w14:solidFill>
              <w14:schemeClr w14:val="tx1"/>
            </w14:solidFill>
          </w14:textFill>
        </w:rPr>
        <w:t xml:space="preserve">            （项目名称）</w:t>
      </w:r>
      <w:r>
        <w:rPr>
          <w:rFonts w:hint="eastAsia" w:ascii="宋体" w:hAnsi="宋体" w:cs="宋体"/>
          <w:color w:val="000000" w:themeColor="text1"/>
          <w:spacing w:val="6"/>
          <w:sz w:val="22"/>
          <w:szCs w:val="22"/>
          <w:highlight w:val="none"/>
          <w14:textFill>
            <w14:solidFill>
              <w14:schemeClr w14:val="tx1"/>
            </w14:solidFill>
          </w14:textFill>
        </w:rPr>
        <w:t>（采购编号：</w:t>
      </w:r>
      <w:r>
        <w:rPr>
          <w:rFonts w:hint="eastAsia" w:ascii="宋体" w:hAnsi="宋体" w:cs="宋体"/>
          <w:color w:val="000000" w:themeColor="text1"/>
          <w:spacing w:val="6"/>
          <w:sz w:val="22"/>
          <w:szCs w:val="22"/>
          <w:highlight w:val="none"/>
          <w:u w:val="single"/>
          <w14:textFill>
            <w14:solidFill>
              <w14:schemeClr w14:val="tx1"/>
            </w14:solidFill>
          </w14:textFill>
        </w:rPr>
        <w:t>　　　　</w:t>
      </w:r>
      <w:r>
        <w:rPr>
          <w:rFonts w:hint="eastAsia" w:ascii="宋体" w:hAnsi="宋体" w:cs="宋体"/>
          <w:color w:val="000000" w:themeColor="text1"/>
          <w:spacing w:val="6"/>
          <w:sz w:val="22"/>
          <w:szCs w:val="22"/>
          <w:highlight w:val="none"/>
          <w14:textFill>
            <w14:solidFill>
              <w14:schemeClr w14:val="tx1"/>
            </w14:solidFill>
          </w14:textFill>
        </w:rPr>
        <w:t>）的采购活动，我方郑重承诺具有履行合同所必需设备和专业技术能力。如有虚假，采购人可取消我方任何资格（磋商/定标/签订合同），我方对此无任何异议。</w:t>
      </w:r>
    </w:p>
    <w:p w14:paraId="6C07271E">
      <w:pPr>
        <w:pStyle w:val="189"/>
        <w:spacing w:line="36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p>
    <w:p w14:paraId="10FACC81">
      <w:pPr>
        <w:pStyle w:val="189"/>
        <w:spacing w:line="360"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特此承诺！</w:t>
      </w:r>
    </w:p>
    <w:p w14:paraId="522B2879">
      <w:pPr>
        <w:pStyle w:val="189"/>
        <w:spacing w:line="360" w:lineRule="auto"/>
        <w:ind w:firstLine="504" w:firstLineChars="200"/>
        <w:rPr>
          <w:rFonts w:ascii="仿宋_GB2312" w:eastAsia="仿宋_GB2312"/>
          <w:color w:val="000000" w:themeColor="text1"/>
          <w:spacing w:val="6"/>
          <w:sz w:val="24"/>
          <w:highlight w:val="none"/>
          <w14:textFill>
            <w14:solidFill>
              <w14:schemeClr w14:val="tx1"/>
            </w14:solidFill>
          </w14:textFill>
        </w:rPr>
      </w:pPr>
    </w:p>
    <w:p w14:paraId="5A6B087D">
      <w:pPr>
        <w:rPr>
          <w:rFonts w:ascii="宋体" w:hAnsi="宋体"/>
          <w:color w:val="000000" w:themeColor="text1"/>
          <w:highlight w:val="none"/>
          <w14:textFill>
            <w14:solidFill>
              <w14:schemeClr w14:val="tx1"/>
            </w14:solidFill>
          </w14:textFill>
        </w:rPr>
      </w:pPr>
    </w:p>
    <w:p w14:paraId="0DB51246">
      <w:pPr>
        <w:rPr>
          <w:rFonts w:ascii="宋体" w:hAnsi="宋体"/>
          <w:color w:val="000000" w:themeColor="text1"/>
          <w:highlight w:val="none"/>
          <w14:textFill>
            <w14:solidFill>
              <w14:schemeClr w14:val="tx1"/>
            </w14:solidFill>
          </w14:textFill>
        </w:rPr>
      </w:pPr>
    </w:p>
    <w:p w14:paraId="50AF411B">
      <w:pPr>
        <w:rPr>
          <w:rFonts w:ascii="宋体" w:hAnsi="宋体"/>
          <w:color w:val="000000" w:themeColor="text1"/>
          <w:highlight w:val="none"/>
          <w14:textFill>
            <w14:solidFill>
              <w14:schemeClr w14:val="tx1"/>
            </w14:solidFill>
          </w14:textFill>
        </w:rPr>
      </w:pPr>
    </w:p>
    <w:p w14:paraId="0306CF47">
      <w:pPr>
        <w:pStyle w:val="25"/>
        <w:spacing w:before="120" w:after="120" w:line="360" w:lineRule="auto"/>
        <w:rPr>
          <w:rFonts w:hAnsi="宋体" w:cs="宋体"/>
          <w:color w:val="000000" w:themeColor="text1"/>
          <w:spacing w:val="20"/>
          <w:sz w:val="21"/>
          <w:szCs w:val="21"/>
          <w:highlight w:val="non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 xml:space="preserve"> </w:t>
      </w:r>
    </w:p>
    <w:p w14:paraId="3176D6EB">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242DB1D4">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56A1DDCA">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5383C48C">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6D93565C">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2521924D">
      <w:pPr>
        <w:rPr>
          <w:rFonts w:hAnsi="宋体" w:cs="宋体"/>
          <w:color w:val="000000" w:themeColor="text1"/>
          <w:sz w:val="22"/>
          <w:szCs w:val="22"/>
          <w:highlight w:val="none"/>
          <w14:textFill>
            <w14:solidFill>
              <w14:schemeClr w14:val="tx1"/>
            </w14:solidFill>
          </w14:textFill>
        </w:rPr>
      </w:pPr>
    </w:p>
    <w:p w14:paraId="5D016879">
      <w:pPr>
        <w:pStyle w:val="19"/>
        <w:rPr>
          <w:rFonts w:hAnsi="宋体" w:cs="宋体"/>
          <w:color w:val="000000" w:themeColor="text1"/>
          <w:sz w:val="22"/>
          <w:szCs w:val="22"/>
          <w:highlight w:val="none"/>
          <w14:textFill>
            <w14:solidFill>
              <w14:schemeClr w14:val="tx1"/>
            </w14:solidFill>
          </w14:textFill>
        </w:rPr>
      </w:pPr>
    </w:p>
    <w:p w14:paraId="77F925D1">
      <w:pPr>
        <w:pStyle w:val="33"/>
        <w:rPr>
          <w:rFonts w:hAnsi="宋体" w:cs="宋体"/>
          <w:color w:val="000000" w:themeColor="text1"/>
          <w:sz w:val="22"/>
          <w:highlight w:val="none"/>
          <w14:textFill>
            <w14:solidFill>
              <w14:schemeClr w14:val="tx1"/>
            </w14:solidFill>
          </w14:textFill>
        </w:rPr>
      </w:pPr>
    </w:p>
    <w:p w14:paraId="75864E2A">
      <w:pPr>
        <w:rPr>
          <w:rFonts w:hAnsi="宋体" w:cs="宋体"/>
          <w:color w:val="000000" w:themeColor="text1"/>
          <w:sz w:val="22"/>
          <w:szCs w:val="22"/>
          <w:highlight w:val="none"/>
          <w14:textFill>
            <w14:solidFill>
              <w14:schemeClr w14:val="tx1"/>
            </w14:solidFill>
          </w14:textFill>
        </w:rPr>
      </w:pPr>
    </w:p>
    <w:p w14:paraId="61CFC885">
      <w:pPr>
        <w:pStyle w:val="19"/>
        <w:rPr>
          <w:color w:val="000000" w:themeColor="text1"/>
          <w:highlight w:val="none"/>
          <w14:textFill>
            <w14:solidFill>
              <w14:schemeClr w14:val="tx1"/>
            </w14:solidFill>
          </w14:textFill>
        </w:rPr>
      </w:pPr>
    </w:p>
    <w:p w14:paraId="45900765">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1A6DF5BA">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64F43221">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150F7AFD">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4F2667FD">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0068E51D">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1E66786A">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255D21F3">
      <w:pPr>
        <w:spacing w:line="400" w:lineRule="exact"/>
        <w:rPr>
          <w:rFonts w:ascii="宋体" w:hAnsi="宋体" w:cs="宋体"/>
          <w:color w:val="000000" w:themeColor="text1"/>
          <w:highlight w:val="none"/>
          <w14:textFill>
            <w14:solidFill>
              <w14:schemeClr w14:val="tx1"/>
            </w14:solidFill>
          </w14:textFill>
        </w:rPr>
      </w:pPr>
    </w:p>
    <w:p w14:paraId="4BCF3FA1">
      <w:pPr>
        <w:jc w:val="center"/>
        <w:rPr>
          <w:rFonts w:ascii="宋体" w:hAnsi="宋体" w:cs="宋体"/>
          <w:b/>
          <w:color w:val="000000" w:themeColor="text1"/>
          <w:sz w:val="28"/>
          <w:szCs w:val="28"/>
          <w:highlight w:val="none"/>
          <w14:textFill>
            <w14:solidFill>
              <w14:schemeClr w14:val="tx1"/>
            </w14:solidFill>
          </w14:textFill>
        </w:rPr>
      </w:pPr>
    </w:p>
    <w:p w14:paraId="03EACD96">
      <w:pPr>
        <w:jc w:val="center"/>
        <w:rPr>
          <w:rFonts w:ascii="宋体" w:hAnsi="宋体" w:cs="宋体"/>
          <w:b/>
          <w:color w:val="000000" w:themeColor="text1"/>
          <w:sz w:val="28"/>
          <w:szCs w:val="28"/>
          <w:highlight w:val="none"/>
          <w14:textFill>
            <w14:solidFill>
              <w14:schemeClr w14:val="tx1"/>
            </w14:solidFill>
          </w14:textFill>
        </w:rPr>
      </w:pPr>
    </w:p>
    <w:p w14:paraId="28478C85">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
          <w:color w:val="000000" w:themeColor="text1"/>
          <w:sz w:val="28"/>
          <w:szCs w:val="28"/>
          <w:highlight w:val="none"/>
          <w14:textFill>
            <w14:solidFill>
              <w14:schemeClr w14:val="tx1"/>
            </w14:solidFill>
          </w14:textFill>
        </w:rPr>
        <w:t>7</w:t>
      </w:r>
      <w:r>
        <w:rPr>
          <w:rFonts w:hint="eastAsia" w:ascii="宋体" w:hAnsi="宋体" w:cs="宋体"/>
          <w:b/>
          <w:color w:val="000000" w:themeColor="text1"/>
          <w:sz w:val="28"/>
          <w:szCs w:val="28"/>
          <w:highlight w:val="none"/>
          <w:lang w:val="en-US" w:eastAsia="zh-CN"/>
          <w14:textFill>
            <w14:solidFill>
              <w14:schemeClr w14:val="tx1"/>
            </w14:solidFill>
          </w14:textFill>
        </w:rPr>
        <w:t>.</w:t>
      </w:r>
      <w:r>
        <w:rPr>
          <w:rFonts w:hint="eastAsia" w:ascii="宋体" w:hAnsi="宋体" w:cs="宋体"/>
          <w:b/>
          <w:color w:val="000000" w:themeColor="text1"/>
          <w:sz w:val="28"/>
          <w:szCs w:val="28"/>
          <w:highlight w:val="none"/>
          <w14:textFill>
            <w14:solidFill>
              <w14:schemeClr w14:val="tx1"/>
            </w14:solidFill>
          </w14:textFill>
        </w:rPr>
        <w:t>无重大违法记录的书面声明</w:t>
      </w:r>
    </w:p>
    <w:p w14:paraId="008C47A3">
      <w:pPr>
        <w:pStyle w:val="121"/>
        <w:spacing w:before="0" w:beforeAutospacing="0" w:after="0" w:afterAutospacing="0" w:line="440" w:lineRule="exact"/>
        <w:rPr>
          <w:color w:val="000000" w:themeColor="text1"/>
          <w:sz w:val="21"/>
          <w:szCs w:val="21"/>
          <w:highlight w:val="none"/>
          <w14:textFill>
            <w14:solidFill>
              <w14:schemeClr w14:val="tx1"/>
            </w14:solidFill>
          </w14:textFill>
        </w:rPr>
      </w:pPr>
    </w:p>
    <w:p w14:paraId="1F2906B3">
      <w:pPr>
        <w:pStyle w:val="121"/>
        <w:spacing w:before="0" w:beforeAutospacing="0" w:after="0" w:afterAutospacing="0" w:line="408" w:lineRule="auto"/>
        <w:rPr>
          <w:color w:val="000000" w:themeColor="text1"/>
          <w:sz w:val="22"/>
          <w:szCs w:val="22"/>
          <w:highlight w:val="none"/>
          <w14:textFill>
            <w14:solidFill>
              <w14:schemeClr w14:val="tx1"/>
            </w14:solidFill>
          </w14:textFill>
        </w:rPr>
      </w:pPr>
    </w:p>
    <w:p w14:paraId="1C75109B">
      <w:pPr>
        <w:pStyle w:val="121"/>
        <w:spacing w:before="0" w:beforeAutospacing="0" w:after="0" w:afterAutospacing="0" w:line="408" w:lineRule="auto"/>
        <w:rPr>
          <w:color w:val="000000" w:themeColor="text1"/>
          <w:sz w:val="22"/>
          <w:szCs w:val="22"/>
          <w:highlight w:val="none"/>
          <w14:textFill>
            <w14:solidFill>
              <w14:schemeClr w14:val="tx1"/>
            </w14:solidFill>
          </w14:textFill>
        </w:rPr>
      </w:pPr>
      <w:r>
        <w:rPr>
          <w:rFonts w:hint="eastAsia"/>
          <w:color w:val="000000" w:themeColor="text1"/>
          <w:sz w:val="22"/>
          <w:szCs w:val="22"/>
          <w:highlight w:val="none"/>
          <w14:textFill>
            <w14:solidFill>
              <w14:schemeClr w14:val="tx1"/>
            </w14:solidFill>
          </w14:textFill>
        </w:rPr>
        <w:t>致：</w:t>
      </w:r>
      <w:r>
        <w:rPr>
          <w:rFonts w:hint="eastAsia"/>
          <w:color w:val="000000" w:themeColor="text1"/>
          <w:sz w:val="22"/>
          <w:szCs w:val="22"/>
          <w:highlight w:val="none"/>
          <w:u w:val="single"/>
          <w14:textFill>
            <w14:solidFill>
              <w14:schemeClr w14:val="tx1"/>
            </w14:solidFill>
          </w14:textFill>
        </w:rPr>
        <w:t xml:space="preserve">       （采购单位名称）</w:t>
      </w:r>
    </w:p>
    <w:p w14:paraId="75A1460A">
      <w:pPr>
        <w:spacing w:line="408"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我方参与</w:t>
      </w:r>
      <w:r>
        <w:rPr>
          <w:rFonts w:hint="eastAsia" w:ascii="宋体" w:hAnsi="宋体" w:cs="宋体"/>
          <w:color w:val="000000" w:themeColor="text1"/>
          <w:spacing w:val="6"/>
          <w:sz w:val="22"/>
          <w:szCs w:val="22"/>
          <w:highlight w:val="none"/>
          <w:u w:val="single"/>
          <w14:textFill>
            <w14:solidFill>
              <w14:schemeClr w14:val="tx1"/>
            </w14:solidFill>
          </w14:textFill>
        </w:rPr>
        <w:t xml:space="preserve">           （采购项目名称）</w:t>
      </w:r>
      <w:r>
        <w:rPr>
          <w:rFonts w:hint="eastAsia" w:ascii="宋体" w:hAnsi="宋体" w:cs="宋体"/>
          <w:color w:val="000000" w:themeColor="text1"/>
          <w:spacing w:val="6"/>
          <w:sz w:val="22"/>
          <w:szCs w:val="22"/>
          <w:highlight w:val="none"/>
          <w14:textFill>
            <w14:solidFill>
              <w14:schemeClr w14:val="tx1"/>
            </w14:solidFill>
          </w14:textFill>
        </w:rPr>
        <w:t>（采购编号：</w:t>
      </w:r>
      <w:r>
        <w:rPr>
          <w:rFonts w:hint="eastAsia" w:ascii="宋体" w:hAnsi="宋体" w:cs="宋体"/>
          <w:color w:val="000000" w:themeColor="text1"/>
          <w:spacing w:val="6"/>
          <w:sz w:val="22"/>
          <w:szCs w:val="22"/>
          <w:highlight w:val="none"/>
          <w:u w:val="single"/>
          <w14:textFill>
            <w14:solidFill>
              <w14:schemeClr w14:val="tx1"/>
            </w14:solidFill>
          </w14:textFill>
        </w:rPr>
        <w:t>　　　　</w:t>
      </w:r>
      <w:r>
        <w:rPr>
          <w:rFonts w:hint="eastAsia" w:ascii="宋体" w:hAnsi="宋体" w:cs="宋体"/>
          <w:color w:val="000000" w:themeColor="text1"/>
          <w:spacing w:val="6"/>
          <w:sz w:val="22"/>
          <w:szCs w:val="22"/>
          <w:highlight w:val="none"/>
          <w14:textFill>
            <w14:solidFill>
              <w14:schemeClr w14:val="tx1"/>
            </w14:solidFill>
          </w14:textFill>
        </w:rPr>
        <w:t>）项目的磋商活动，我方郑重声明，我方参加本项目磋商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14:paraId="22345FEA">
      <w:pPr>
        <w:spacing w:line="408" w:lineRule="auto"/>
        <w:ind w:firstLine="464" w:firstLineChars="200"/>
        <w:rPr>
          <w:rFonts w:ascii="宋体" w:hAnsi="宋体" w:cs="宋体"/>
          <w:color w:val="000000" w:themeColor="text1"/>
          <w:spacing w:val="6"/>
          <w:sz w:val="22"/>
          <w:szCs w:val="22"/>
          <w:highlight w:val="none"/>
          <w14:textFill>
            <w14:solidFill>
              <w14:schemeClr w14:val="tx1"/>
            </w14:solidFill>
          </w14:textFill>
        </w:rPr>
      </w:pPr>
      <w:r>
        <w:rPr>
          <w:rFonts w:hint="eastAsia" w:ascii="宋体" w:hAnsi="宋体" w:cs="宋体"/>
          <w:color w:val="000000" w:themeColor="text1"/>
          <w:spacing w:val="6"/>
          <w:sz w:val="22"/>
          <w:szCs w:val="22"/>
          <w:highlight w:val="none"/>
          <w14:textFill>
            <w14:solidFill>
              <w14:schemeClr w14:val="tx1"/>
            </w14:solidFill>
          </w14:textFill>
        </w:rPr>
        <w:t>特此声明。</w:t>
      </w:r>
    </w:p>
    <w:p w14:paraId="39DB85A3">
      <w:pPr>
        <w:pStyle w:val="14"/>
        <w:snapToGrid w:val="0"/>
        <w:spacing w:before="0" w:after="0" w:line="408" w:lineRule="auto"/>
        <w:rPr>
          <w:rFonts w:ascii="宋体" w:hAnsi="宋体" w:eastAsia="宋体" w:cs="宋体"/>
          <w:color w:val="000000" w:themeColor="text1"/>
          <w:sz w:val="22"/>
          <w:szCs w:val="22"/>
          <w:highlight w:val="none"/>
          <w14:textFill>
            <w14:solidFill>
              <w14:schemeClr w14:val="tx1"/>
            </w14:solidFill>
          </w14:textFill>
        </w:rPr>
      </w:pPr>
    </w:p>
    <w:p w14:paraId="34EE9C22">
      <w:pPr>
        <w:rPr>
          <w:rFonts w:ascii="宋体" w:hAnsi="宋体" w:cs="宋体"/>
          <w:color w:val="000000" w:themeColor="text1"/>
          <w:sz w:val="22"/>
          <w:szCs w:val="22"/>
          <w:highlight w:val="none"/>
          <w14:textFill>
            <w14:solidFill>
              <w14:schemeClr w14:val="tx1"/>
            </w14:solidFill>
          </w14:textFill>
        </w:rPr>
      </w:pPr>
    </w:p>
    <w:p w14:paraId="4F85A302">
      <w:pPr>
        <w:rPr>
          <w:rFonts w:ascii="宋体" w:hAnsi="宋体" w:cs="宋体"/>
          <w:color w:val="000000" w:themeColor="text1"/>
          <w:sz w:val="22"/>
          <w:szCs w:val="22"/>
          <w:highlight w:val="none"/>
          <w14:textFill>
            <w14:solidFill>
              <w14:schemeClr w14:val="tx1"/>
            </w14:solidFill>
          </w14:textFill>
        </w:rPr>
      </w:pPr>
    </w:p>
    <w:p w14:paraId="4B8A5B4F">
      <w:pPr>
        <w:rPr>
          <w:rFonts w:ascii="宋体" w:hAnsi="宋体" w:cs="宋体"/>
          <w:color w:val="000000" w:themeColor="text1"/>
          <w:sz w:val="22"/>
          <w:szCs w:val="22"/>
          <w:highlight w:val="none"/>
          <w14:textFill>
            <w14:solidFill>
              <w14:schemeClr w14:val="tx1"/>
            </w14:solidFill>
          </w14:textFill>
        </w:rPr>
      </w:pPr>
    </w:p>
    <w:p w14:paraId="138B2D16">
      <w:pPr>
        <w:rPr>
          <w:rFonts w:ascii="宋体" w:hAnsi="宋体" w:cs="宋体"/>
          <w:color w:val="000000" w:themeColor="text1"/>
          <w:sz w:val="22"/>
          <w:szCs w:val="22"/>
          <w:highlight w:val="none"/>
          <w14:textFill>
            <w14:solidFill>
              <w14:schemeClr w14:val="tx1"/>
            </w14:solidFill>
          </w14:textFill>
        </w:rPr>
      </w:pPr>
    </w:p>
    <w:p w14:paraId="1465DD22">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p>
    <w:p w14:paraId="4B249B01">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1DF94D2F">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652F83CF">
      <w:pPr>
        <w:rPr>
          <w:rFonts w:ascii="宋体" w:hAnsi="宋体"/>
          <w:color w:val="000000" w:themeColor="text1"/>
          <w:highlight w:val="none"/>
          <w14:textFill>
            <w14:solidFill>
              <w14:schemeClr w14:val="tx1"/>
            </w14:solidFill>
          </w14:textFill>
        </w:rPr>
      </w:pPr>
      <w:r>
        <w:rPr>
          <w:rFonts w:ascii="宋体" w:hAnsi="宋体"/>
          <w:color w:val="000000" w:themeColor="text1"/>
          <w:highlight w:val="none"/>
          <w14:textFill>
            <w14:solidFill>
              <w14:schemeClr w14:val="tx1"/>
            </w14:solidFill>
          </w14:textFill>
        </w:rPr>
        <w:br w:type="page"/>
      </w:r>
    </w:p>
    <w:p w14:paraId="64EA2EFD">
      <w:pPr>
        <w:jc w:val="center"/>
        <w:rPr>
          <w:rFonts w:hint="eastAsia" w:ascii="宋体" w:hAnsi="宋体" w:cs="宋体"/>
          <w:b/>
          <w:color w:val="000000"/>
          <w:sz w:val="28"/>
          <w:szCs w:val="28"/>
        </w:rPr>
      </w:pPr>
      <w:r>
        <w:rPr>
          <w:rFonts w:hint="eastAsia" w:ascii="宋体" w:hAnsi="宋体"/>
          <w:color w:val="000000" w:themeColor="text1"/>
          <w:szCs w:val="21"/>
          <w:highlight w:val="none"/>
          <w14:textFill>
            <w14:solidFill>
              <w14:schemeClr w14:val="tx1"/>
            </w14:solidFill>
          </w14:textFill>
        </w:rPr>
        <w:t>▲</w:t>
      </w:r>
      <w:r>
        <w:rPr>
          <w:rFonts w:hint="eastAsia" w:ascii="宋体" w:hAnsi="宋体" w:cs="宋体"/>
          <w:b/>
          <w:color w:val="000000"/>
          <w:sz w:val="28"/>
          <w:szCs w:val="28"/>
        </w:rPr>
        <w:t>8.供应商信用信息声明书</w:t>
      </w:r>
    </w:p>
    <w:p w14:paraId="1655C68E">
      <w:pPr>
        <w:jc w:val="center"/>
        <w:rPr>
          <w:rFonts w:hint="eastAsia" w:ascii="宋体" w:hAnsi="宋体" w:cs="宋体"/>
          <w:color w:val="000000"/>
        </w:rPr>
      </w:pPr>
    </w:p>
    <w:tbl>
      <w:tblPr>
        <w:tblStyle w:val="4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91"/>
        <w:gridCol w:w="1078"/>
        <w:gridCol w:w="2641"/>
        <w:gridCol w:w="2078"/>
        <w:gridCol w:w="2299"/>
      </w:tblGrid>
      <w:tr w14:paraId="46968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2269" w:type="dxa"/>
            <w:gridSpan w:val="2"/>
            <w:tcBorders>
              <w:top w:val="single" w:color="auto" w:sz="4" w:space="0"/>
              <w:left w:val="single" w:color="auto" w:sz="4" w:space="0"/>
              <w:bottom w:val="single" w:color="auto" w:sz="4" w:space="0"/>
              <w:right w:val="single" w:color="auto" w:sz="4" w:space="0"/>
            </w:tcBorders>
            <w:noWrap w:val="0"/>
            <w:vAlign w:val="center"/>
          </w:tcPr>
          <w:p w14:paraId="4FD8106F">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企业名称 </w:t>
            </w:r>
          </w:p>
        </w:tc>
        <w:tc>
          <w:tcPr>
            <w:tcW w:w="2641" w:type="dxa"/>
            <w:tcBorders>
              <w:top w:val="single" w:color="auto" w:sz="4" w:space="0"/>
              <w:left w:val="single" w:color="auto" w:sz="4" w:space="0"/>
              <w:bottom w:val="single" w:color="auto" w:sz="4" w:space="0"/>
              <w:right w:val="single" w:color="auto" w:sz="4" w:space="0"/>
            </w:tcBorders>
            <w:noWrap w:val="0"/>
            <w:vAlign w:val="center"/>
          </w:tcPr>
          <w:p w14:paraId="71934273">
            <w:pPr>
              <w:spacing w:line="260" w:lineRule="exact"/>
              <w:rPr>
                <w:rFonts w:hint="eastAsia" w:ascii="宋体" w:hAnsi="宋体" w:cs="宋体"/>
                <w:color w:val="000000"/>
                <w:sz w:val="18"/>
                <w:szCs w:val="18"/>
              </w:rPr>
            </w:pPr>
          </w:p>
        </w:tc>
        <w:tc>
          <w:tcPr>
            <w:tcW w:w="2078" w:type="dxa"/>
            <w:tcBorders>
              <w:top w:val="single" w:color="auto" w:sz="4" w:space="0"/>
              <w:left w:val="single" w:color="auto" w:sz="4" w:space="0"/>
              <w:bottom w:val="single" w:color="auto" w:sz="4" w:space="0"/>
              <w:right w:val="single" w:color="auto" w:sz="4" w:space="0"/>
            </w:tcBorders>
            <w:noWrap w:val="0"/>
            <w:vAlign w:val="center"/>
          </w:tcPr>
          <w:p w14:paraId="4C578919">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企业资质等级    （如 有）</w:t>
            </w:r>
          </w:p>
        </w:tc>
        <w:tc>
          <w:tcPr>
            <w:tcW w:w="2299" w:type="dxa"/>
            <w:tcBorders>
              <w:top w:val="single" w:color="auto" w:sz="4" w:space="0"/>
              <w:left w:val="single" w:color="auto" w:sz="4" w:space="0"/>
              <w:bottom w:val="single" w:color="auto" w:sz="4" w:space="0"/>
              <w:right w:val="single" w:color="auto" w:sz="4" w:space="0"/>
            </w:tcBorders>
            <w:noWrap w:val="0"/>
            <w:vAlign w:val="center"/>
          </w:tcPr>
          <w:p w14:paraId="21A199F2">
            <w:pPr>
              <w:spacing w:line="260" w:lineRule="exact"/>
              <w:rPr>
                <w:rFonts w:hint="eastAsia" w:ascii="宋体" w:hAnsi="宋体" w:cs="宋体"/>
                <w:color w:val="000000"/>
                <w:sz w:val="18"/>
                <w:szCs w:val="18"/>
              </w:rPr>
            </w:pPr>
          </w:p>
        </w:tc>
      </w:tr>
      <w:tr w14:paraId="1332DD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2269" w:type="dxa"/>
            <w:gridSpan w:val="2"/>
            <w:tcBorders>
              <w:top w:val="single" w:color="auto" w:sz="4" w:space="0"/>
              <w:left w:val="single" w:color="auto" w:sz="4" w:space="0"/>
              <w:bottom w:val="single" w:color="auto" w:sz="4" w:space="0"/>
              <w:right w:val="single" w:color="auto" w:sz="4" w:space="0"/>
            </w:tcBorders>
            <w:noWrap w:val="0"/>
            <w:vAlign w:val="center"/>
          </w:tcPr>
          <w:p w14:paraId="55A517F6">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企 业 地 址 </w:t>
            </w:r>
          </w:p>
        </w:tc>
        <w:tc>
          <w:tcPr>
            <w:tcW w:w="2641" w:type="dxa"/>
            <w:tcBorders>
              <w:top w:val="single" w:color="auto" w:sz="4" w:space="0"/>
              <w:left w:val="single" w:color="auto" w:sz="4" w:space="0"/>
              <w:bottom w:val="single" w:color="auto" w:sz="4" w:space="0"/>
              <w:right w:val="single" w:color="auto" w:sz="4" w:space="0"/>
            </w:tcBorders>
            <w:noWrap w:val="0"/>
            <w:vAlign w:val="center"/>
          </w:tcPr>
          <w:p w14:paraId="7D1B75EE">
            <w:pPr>
              <w:spacing w:line="260" w:lineRule="exact"/>
              <w:rPr>
                <w:rFonts w:hint="eastAsia" w:ascii="宋体" w:hAnsi="宋体" w:cs="宋体"/>
                <w:color w:val="000000"/>
                <w:sz w:val="18"/>
                <w:szCs w:val="18"/>
              </w:rPr>
            </w:pPr>
          </w:p>
        </w:tc>
        <w:tc>
          <w:tcPr>
            <w:tcW w:w="2078" w:type="dxa"/>
            <w:tcBorders>
              <w:top w:val="single" w:color="auto" w:sz="4" w:space="0"/>
              <w:left w:val="single" w:color="auto" w:sz="4" w:space="0"/>
              <w:bottom w:val="single" w:color="auto" w:sz="4" w:space="0"/>
              <w:right w:val="single" w:color="auto" w:sz="4" w:space="0"/>
            </w:tcBorders>
            <w:noWrap w:val="0"/>
            <w:vAlign w:val="center"/>
          </w:tcPr>
          <w:p w14:paraId="5F42F516">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联 系 电 话 </w:t>
            </w:r>
          </w:p>
        </w:tc>
        <w:tc>
          <w:tcPr>
            <w:tcW w:w="2299" w:type="dxa"/>
            <w:tcBorders>
              <w:top w:val="single" w:color="auto" w:sz="4" w:space="0"/>
              <w:left w:val="single" w:color="auto" w:sz="4" w:space="0"/>
              <w:bottom w:val="single" w:color="auto" w:sz="4" w:space="0"/>
              <w:right w:val="single" w:color="auto" w:sz="4" w:space="0"/>
            </w:tcBorders>
            <w:noWrap w:val="0"/>
            <w:vAlign w:val="center"/>
          </w:tcPr>
          <w:p w14:paraId="38668BD0">
            <w:pPr>
              <w:spacing w:line="260" w:lineRule="exact"/>
              <w:rPr>
                <w:rFonts w:hint="eastAsia" w:ascii="宋体" w:hAnsi="宋体" w:cs="宋体"/>
                <w:color w:val="000000"/>
                <w:sz w:val="18"/>
                <w:szCs w:val="18"/>
              </w:rPr>
            </w:pPr>
          </w:p>
        </w:tc>
      </w:tr>
      <w:tr w14:paraId="14D2C9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2269" w:type="dxa"/>
            <w:gridSpan w:val="2"/>
            <w:tcBorders>
              <w:top w:val="single" w:color="auto" w:sz="4" w:space="0"/>
              <w:left w:val="single" w:color="auto" w:sz="4" w:space="0"/>
              <w:bottom w:val="single" w:color="auto" w:sz="4" w:space="0"/>
              <w:right w:val="single" w:color="auto" w:sz="4" w:space="0"/>
            </w:tcBorders>
            <w:noWrap w:val="0"/>
            <w:vAlign w:val="center"/>
          </w:tcPr>
          <w:p w14:paraId="29A9C614">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项目名称 </w:t>
            </w:r>
          </w:p>
        </w:tc>
        <w:tc>
          <w:tcPr>
            <w:tcW w:w="2641" w:type="dxa"/>
            <w:tcBorders>
              <w:top w:val="single" w:color="auto" w:sz="4" w:space="0"/>
              <w:left w:val="single" w:color="auto" w:sz="4" w:space="0"/>
              <w:bottom w:val="single" w:color="auto" w:sz="4" w:space="0"/>
              <w:right w:val="single" w:color="auto" w:sz="4" w:space="0"/>
            </w:tcBorders>
            <w:noWrap w:val="0"/>
            <w:vAlign w:val="center"/>
          </w:tcPr>
          <w:p w14:paraId="5336213C">
            <w:pPr>
              <w:spacing w:line="260" w:lineRule="exact"/>
              <w:rPr>
                <w:rFonts w:hint="eastAsia" w:ascii="宋体" w:hAnsi="宋体" w:cs="宋体"/>
                <w:color w:val="000000"/>
                <w:sz w:val="18"/>
                <w:szCs w:val="18"/>
              </w:rPr>
            </w:pPr>
          </w:p>
        </w:tc>
        <w:tc>
          <w:tcPr>
            <w:tcW w:w="2078" w:type="dxa"/>
            <w:tcBorders>
              <w:top w:val="single" w:color="auto" w:sz="4" w:space="0"/>
              <w:left w:val="single" w:color="auto" w:sz="4" w:space="0"/>
              <w:bottom w:val="single" w:color="auto" w:sz="4" w:space="0"/>
              <w:right w:val="single" w:color="auto" w:sz="4" w:space="0"/>
            </w:tcBorders>
            <w:noWrap w:val="0"/>
            <w:vAlign w:val="center"/>
          </w:tcPr>
          <w:p w14:paraId="6E5DAE46">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拟投入项目负责人姓名</w:t>
            </w:r>
          </w:p>
        </w:tc>
        <w:tc>
          <w:tcPr>
            <w:tcW w:w="2299" w:type="dxa"/>
            <w:tcBorders>
              <w:top w:val="single" w:color="auto" w:sz="4" w:space="0"/>
              <w:left w:val="single" w:color="auto" w:sz="4" w:space="0"/>
              <w:bottom w:val="single" w:color="auto" w:sz="4" w:space="0"/>
              <w:right w:val="single" w:color="auto" w:sz="4" w:space="0"/>
            </w:tcBorders>
            <w:noWrap w:val="0"/>
            <w:vAlign w:val="top"/>
          </w:tcPr>
          <w:p w14:paraId="6434DF14">
            <w:pPr>
              <w:spacing w:line="260" w:lineRule="exact"/>
              <w:rPr>
                <w:rFonts w:hint="eastAsia" w:ascii="宋体" w:hAnsi="宋体" w:cs="宋体"/>
                <w:color w:val="000000"/>
                <w:sz w:val="18"/>
                <w:szCs w:val="18"/>
              </w:rPr>
            </w:pPr>
          </w:p>
        </w:tc>
      </w:tr>
      <w:tr w14:paraId="654D64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1191" w:type="dxa"/>
            <w:vMerge w:val="restart"/>
            <w:tcBorders>
              <w:top w:val="single" w:color="auto" w:sz="4" w:space="0"/>
              <w:left w:val="single" w:color="auto" w:sz="4" w:space="0"/>
              <w:bottom w:val="single" w:color="auto" w:sz="4" w:space="0"/>
              <w:right w:val="single" w:color="auto" w:sz="4" w:space="0"/>
            </w:tcBorders>
            <w:noWrap w:val="0"/>
            <w:vAlign w:val="center"/>
          </w:tcPr>
          <w:p w14:paraId="12B371EF">
            <w:pPr>
              <w:spacing w:before="100" w:beforeAutospacing="1" w:after="100" w:afterAutospacing="1" w:line="260" w:lineRule="exact"/>
              <w:jc w:val="center"/>
              <w:rPr>
                <w:rFonts w:hint="eastAsia" w:ascii="宋体" w:hAnsi="宋体" w:cs="宋体"/>
                <w:color w:val="000000"/>
                <w:sz w:val="22"/>
                <w:szCs w:val="22"/>
              </w:rPr>
            </w:pPr>
            <w:r>
              <w:rPr>
                <w:rFonts w:hint="eastAsia" w:ascii="宋体" w:hAnsi="宋体" w:cs="宋体"/>
                <w:color w:val="000000"/>
                <w:sz w:val="22"/>
                <w:szCs w:val="22"/>
              </w:rPr>
              <w:t>供应商</w:t>
            </w:r>
          </w:p>
          <w:p w14:paraId="704B7E80">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市场</w:t>
            </w:r>
          </w:p>
          <w:p w14:paraId="59C032BC">
            <w:pPr>
              <w:spacing w:before="100" w:beforeAutospacing="1" w:after="100" w:afterAutospacing="1" w:line="260" w:lineRule="exact"/>
              <w:jc w:val="center"/>
              <w:rPr>
                <w:rFonts w:hint="eastAsia" w:ascii="宋体" w:hAnsi="宋体" w:cs="宋体"/>
                <w:color w:val="000000"/>
              </w:rPr>
            </w:pPr>
            <w:r>
              <w:rPr>
                <w:rFonts w:hint="eastAsia" w:ascii="宋体" w:hAnsi="宋体" w:cs="宋体"/>
                <w:color w:val="000000"/>
              </w:rPr>
              <w:t>行为</w:t>
            </w:r>
          </w:p>
          <w:p w14:paraId="573B9DEF">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信誉</w:t>
            </w:r>
          </w:p>
          <w:p w14:paraId="289FEBB1">
            <w:pPr>
              <w:spacing w:before="100" w:beforeAutospacing="1" w:after="100" w:afterAutospacing="1" w:line="260" w:lineRule="exact"/>
              <w:jc w:val="center"/>
              <w:rPr>
                <w:rFonts w:hint="eastAsia" w:ascii="宋体" w:hAnsi="宋体" w:cs="宋体"/>
                <w:color w:val="000000"/>
              </w:rPr>
            </w:pPr>
            <w:r>
              <w:rPr>
                <w:rFonts w:hint="eastAsia" w:ascii="宋体" w:hAnsi="宋体" w:cs="宋体"/>
                <w:color w:val="000000"/>
              </w:rPr>
              <w:t>情况</w:t>
            </w:r>
          </w:p>
        </w:tc>
        <w:tc>
          <w:tcPr>
            <w:tcW w:w="3719" w:type="dxa"/>
            <w:gridSpan w:val="2"/>
            <w:tcBorders>
              <w:top w:val="single" w:color="auto" w:sz="4" w:space="0"/>
              <w:left w:val="single" w:color="auto" w:sz="4" w:space="0"/>
              <w:bottom w:val="single" w:color="auto" w:sz="4" w:space="0"/>
              <w:right w:val="single" w:color="auto" w:sz="4" w:space="0"/>
            </w:tcBorders>
            <w:noWrap w:val="0"/>
            <w:vAlign w:val="center"/>
          </w:tcPr>
          <w:p w14:paraId="1C596C66">
            <w:pPr>
              <w:spacing w:before="100" w:beforeAutospacing="1" w:after="100" w:afterAutospacing="1" w:line="260" w:lineRule="exact"/>
              <w:rPr>
                <w:rFonts w:hint="eastAsia" w:ascii="宋体" w:hAnsi="宋体" w:cs="宋体"/>
                <w:color w:val="000000"/>
              </w:rPr>
            </w:pPr>
            <w:r>
              <w:rPr>
                <w:rFonts w:hint="eastAsia" w:ascii="宋体" w:hAnsi="宋体" w:cs="宋体"/>
                <w:color w:val="000000"/>
              </w:rPr>
              <w:t>有无受到财政监管部门处理、公告的不良行为。（未注明公告期限的）</w:t>
            </w:r>
          </w:p>
        </w:tc>
        <w:tc>
          <w:tcPr>
            <w:tcW w:w="4377" w:type="dxa"/>
            <w:gridSpan w:val="2"/>
            <w:tcBorders>
              <w:top w:val="single" w:color="auto" w:sz="4" w:space="0"/>
              <w:left w:val="single" w:color="auto" w:sz="4" w:space="0"/>
              <w:bottom w:val="single" w:color="auto" w:sz="4" w:space="0"/>
              <w:right w:val="single" w:color="auto" w:sz="4" w:space="0"/>
            </w:tcBorders>
            <w:noWrap w:val="0"/>
            <w:vAlign w:val="top"/>
          </w:tcPr>
          <w:p w14:paraId="78F813BF">
            <w:pPr>
              <w:spacing w:line="260" w:lineRule="exact"/>
              <w:rPr>
                <w:rFonts w:hint="eastAsia" w:ascii="宋体" w:hAnsi="宋体" w:cs="宋体"/>
                <w:color w:val="000000"/>
                <w:sz w:val="18"/>
                <w:szCs w:val="18"/>
              </w:rPr>
            </w:pPr>
          </w:p>
        </w:tc>
      </w:tr>
      <w:tr w14:paraId="2AB31D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trPr>
        <w:tc>
          <w:tcPr>
            <w:tcW w:w="1191" w:type="dxa"/>
            <w:vMerge w:val="continue"/>
            <w:tcBorders>
              <w:top w:val="single" w:color="auto" w:sz="4" w:space="0"/>
              <w:left w:val="single" w:color="auto" w:sz="4" w:space="0"/>
              <w:bottom w:val="single" w:color="auto" w:sz="4" w:space="0"/>
              <w:right w:val="single" w:color="auto" w:sz="4" w:space="0"/>
            </w:tcBorders>
            <w:noWrap w:val="0"/>
            <w:vAlign w:val="center"/>
          </w:tcPr>
          <w:p w14:paraId="3088D1B4">
            <w:pPr>
              <w:spacing w:before="100" w:beforeAutospacing="1" w:after="100" w:afterAutospacing="1" w:line="260" w:lineRule="exact"/>
              <w:jc w:val="center"/>
              <w:rPr>
                <w:rFonts w:hint="eastAsia" w:ascii="宋体" w:hAnsi="宋体" w:cs="宋体"/>
                <w:color w:val="000000"/>
              </w:rPr>
            </w:pPr>
          </w:p>
        </w:tc>
        <w:tc>
          <w:tcPr>
            <w:tcW w:w="3719" w:type="dxa"/>
            <w:gridSpan w:val="2"/>
            <w:tcBorders>
              <w:top w:val="single" w:color="auto" w:sz="4" w:space="0"/>
              <w:left w:val="single" w:color="auto" w:sz="4" w:space="0"/>
              <w:bottom w:val="single" w:color="auto" w:sz="4" w:space="0"/>
              <w:right w:val="single" w:color="auto" w:sz="4" w:space="0"/>
            </w:tcBorders>
            <w:noWrap w:val="0"/>
            <w:vAlign w:val="center"/>
          </w:tcPr>
          <w:p w14:paraId="010C7E31">
            <w:pPr>
              <w:spacing w:before="100" w:beforeAutospacing="1" w:after="100" w:afterAutospacing="1" w:line="260" w:lineRule="exact"/>
              <w:rPr>
                <w:rFonts w:hint="eastAsia" w:ascii="宋体" w:hAnsi="宋体" w:cs="宋体"/>
                <w:color w:val="000000"/>
              </w:rPr>
            </w:pPr>
            <w:r>
              <w:rPr>
                <w:rFonts w:hint="eastAsia" w:ascii="宋体" w:hAnsi="宋体" w:cs="宋体"/>
                <w:color w:val="000000"/>
              </w:rPr>
              <w:t>有无受到财政监管部门处理、公告的不良行为（在公告期内）。</w:t>
            </w:r>
          </w:p>
        </w:tc>
        <w:tc>
          <w:tcPr>
            <w:tcW w:w="4377" w:type="dxa"/>
            <w:gridSpan w:val="2"/>
            <w:tcBorders>
              <w:top w:val="single" w:color="auto" w:sz="4" w:space="0"/>
              <w:left w:val="single" w:color="auto" w:sz="4" w:space="0"/>
              <w:bottom w:val="single" w:color="auto" w:sz="4" w:space="0"/>
              <w:right w:val="single" w:color="auto" w:sz="4" w:space="0"/>
            </w:tcBorders>
            <w:noWrap w:val="0"/>
            <w:vAlign w:val="top"/>
          </w:tcPr>
          <w:p w14:paraId="67A21FE0">
            <w:pPr>
              <w:spacing w:line="260" w:lineRule="exact"/>
              <w:rPr>
                <w:rFonts w:hint="eastAsia" w:ascii="宋体" w:hAnsi="宋体" w:cs="宋体"/>
                <w:color w:val="000000"/>
                <w:sz w:val="18"/>
                <w:szCs w:val="18"/>
              </w:rPr>
            </w:pPr>
          </w:p>
        </w:tc>
      </w:tr>
      <w:tr w14:paraId="65695C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6" w:hRule="atLeast"/>
        </w:trPr>
        <w:tc>
          <w:tcPr>
            <w:tcW w:w="1191" w:type="dxa"/>
            <w:vMerge w:val="continue"/>
            <w:tcBorders>
              <w:top w:val="single" w:color="auto" w:sz="4" w:space="0"/>
              <w:left w:val="single" w:color="auto" w:sz="4" w:space="0"/>
              <w:bottom w:val="single" w:color="auto" w:sz="4" w:space="0"/>
              <w:right w:val="single" w:color="auto" w:sz="4" w:space="0"/>
            </w:tcBorders>
            <w:noWrap w:val="0"/>
            <w:vAlign w:val="center"/>
          </w:tcPr>
          <w:p w14:paraId="38F8FABB">
            <w:pPr>
              <w:spacing w:line="260" w:lineRule="exact"/>
              <w:rPr>
                <w:rFonts w:hint="eastAsia" w:ascii="宋体" w:hAnsi="宋体" w:cs="宋体"/>
                <w:color w:val="000000"/>
                <w:sz w:val="24"/>
              </w:rPr>
            </w:pPr>
          </w:p>
        </w:tc>
        <w:tc>
          <w:tcPr>
            <w:tcW w:w="3719" w:type="dxa"/>
            <w:gridSpan w:val="2"/>
            <w:tcBorders>
              <w:top w:val="single" w:color="auto" w:sz="4" w:space="0"/>
              <w:left w:val="single" w:color="auto" w:sz="4" w:space="0"/>
              <w:bottom w:val="single" w:color="auto" w:sz="4" w:space="0"/>
              <w:right w:val="single" w:color="auto" w:sz="4" w:space="0"/>
            </w:tcBorders>
            <w:noWrap w:val="0"/>
            <w:vAlign w:val="center"/>
          </w:tcPr>
          <w:p w14:paraId="03752084">
            <w:pPr>
              <w:spacing w:before="100" w:beforeAutospacing="1" w:after="100" w:afterAutospacing="1" w:line="260" w:lineRule="exact"/>
              <w:rPr>
                <w:rFonts w:hint="eastAsia" w:ascii="宋体" w:hAnsi="宋体" w:cs="宋体"/>
                <w:color w:val="000000"/>
                <w:sz w:val="24"/>
              </w:rPr>
            </w:pPr>
            <w:r>
              <w:rPr>
                <w:rFonts w:hint="eastAsia" w:ascii="宋体" w:hAnsi="宋体" w:cs="宋体"/>
                <w:color w:val="000000"/>
              </w:rPr>
              <w:t>有无受到财政监管部门处理、公告的不良行为（不在公告期但在三年内）。</w:t>
            </w:r>
          </w:p>
        </w:tc>
        <w:tc>
          <w:tcPr>
            <w:tcW w:w="4377" w:type="dxa"/>
            <w:gridSpan w:val="2"/>
            <w:tcBorders>
              <w:top w:val="single" w:color="auto" w:sz="4" w:space="0"/>
              <w:left w:val="single" w:color="auto" w:sz="4" w:space="0"/>
              <w:bottom w:val="single" w:color="auto" w:sz="4" w:space="0"/>
              <w:right w:val="single" w:color="auto" w:sz="4" w:space="0"/>
            </w:tcBorders>
            <w:noWrap w:val="0"/>
            <w:vAlign w:val="top"/>
          </w:tcPr>
          <w:p w14:paraId="13831B32">
            <w:pPr>
              <w:spacing w:line="260" w:lineRule="exact"/>
              <w:rPr>
                <w:rFonts w:hint="eastAsia" w:ascii="宋体" w:hAnsi="宋体" w:cs="宋体"/>
                <w:color w:val="000000"/>
                <w:sz w:val="18"/>
                <w:szCs w:val="18"/>
              </w:rPr>
            </w:pPr>
          </w:p>
        </w:tc>
      </w:tr>
      <w:tr w14:paraId="77431A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1191" w:type="dxa"/>
            <w:vMerge w:val="continue"/>
            <w:tcBorders>
              <w:top w:val="single" w:color="auto" w:sz="4" w:space="0"/>
              <w:left w:val="single" w:color="auto" w:sz="4" w:space="0"/>
              <w:bottom w:val="single" w:color="auto" w:sz="4" w:space="0"/>
              <w:right w:val="single" w:color="auto" w:sz="4" w:space="0"/>
            </w:tcBorders>
            <w:noWrap w:val="0"/>
            <w:vAlign w:val="center"/>
          </w:tcPr>
          <w:p w14:paraId="136743D5">
            <w:pPr>
              <w:spacing w:line="260" w:lineRule="exact"/>
              <w:rPr>
                <w:rFonts w:hint="eastAsia" w:ascii="宋体" w:hAnsi="宋体" w:cs="宋体"/>
                <w:color w:val="000000"/>
                <w:sz w:val="24"/>
              </w:rPr>
            </w:pPr>
          </w:p>
        </w:tc>
        <w:tc>
          <w:tcPr>
            <w:tcW w:w="3719" w:type="dxa"/>
            <w:gridSpan w:val="2"/>
            <w:tcBorders>
              <w:top w:val="single" w:color="auto" w:sz="4" w:space="0"/>
              <w:left w:val="single" w:color="auto" w:sz="4" w:space="0"/>
              <w:bottom w:val="single" w:color="auto" w:sz="4" w:space="0"/>
              <w:right w:val="single" w:color="auto" w:sz="4" w:space="0"/>
            </w:tcBorders>
            <w:noWrap w:val="0"/>
            <w:vAlign w:val="center"/>
          </w:tcPr>
          <w:p w14:paraId="4BBC4869">
            <w:pPr>
              <w:spacing w:before="100" w:beforeAutospacing="1" w:after="100" w:afterAutospacing="1" w:line="260" w:lineRule="exact"/>
              <w:rPr>
                <w:rFonts w:hint="eastAsia" w:ascii="宋体" w:hAnsi="宋体" w:cs="宋体"/>
                <w:color w:val="000000"/>
              </w:rPr>
            </w:pPr>
            <w:r>
              <w:rPr>
                <w:rFonts w:hint="eastAsia" w:ascii="宋体" w:hAnsi="宋体" w:cs="宋体"/>
                <w:color w:val="000000"/>
              </w:rPr>
              <w:t>申请报名前三年内，在经营活动中有无重大违法记录（重大违法记录包括：（一）县级以上行政机关对企业或其法定代表人、董事、监事、高级管理人员在经营活动中的违法行为做出的行政处罚决定，但警告和罚款额在较大数额以下的行政处罚决定除外。（二）各级司法机关对供应商或其法定代表人、董事、监事、高级管理人员在经营活动中的违法行为做出的刑事判决。</w:t>
            </w:r>
          </w:p>
        </w:tc>
        <w:tc>
          <w:tcPr>
            <w:tcW w:w="4377" w:type="dxa"/>
            <w:gridSpan w:val="2"/>
            <w:tcBorders>
              <w:top w:val="single" w:color="auto" w:sz="4" w:space="0"/>
              <w:left w:val="single" w:color="auto" w:sz="4" w:space="0"/>
              <w:bottom w:val="single" w:color="auto" w:sz="4" w:space="0"/>
              <w:right w:val="single" w:color="auto" w:sz="4" w:space="0"/>
            </w:tcBorders>
            <w:noWrap w:val="0"/>
            <w:vAlign w:val="top"/>
          </w:tcPr>
          <w:p w14:paraId="5236282B">
            <w:pPr>
              <w:spacing w:line="260" w:lineRule="exact"/>
              <w:rPr>
                <w:rFonts w:hint="eastAsia" w:ascii="宋体" w:hAnsi="宋体" w:cs="宋体"/>
                <w:color w:val="000000"/>
                <w:sz w:val="18"/>
                <w:szCs w:val="18"/>
              </w:rPr>
            </w:pPr>
          </w:p>
        </w:tc>
      </w:tr>
      <w:tr w14:paraId="743DC6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1191" w:type="dxa"/>
            <w:tcBorders>
              <w:top w:val="single" w:color="auto" w:sz="4" w:space="0"/>
              <w:left w:val="single" w:color="auto" w:sz="4" w:space="0"/>
              <w:bottom w:val="single" w:color="auto" w:sz="4" w:space="0"/>
              <w:right w:val="single" w:color="auto" w:sz="4" w:space="0"/>
            </w:tcBorders>
            <w:noWrap w:val="0"/>
            <w:vAlign w:val="center"/>
          </w:tcPr>
          <w:p w14:paraId="72577231">
            <w:pPr>
              <w:spacing w:before="100" w:beforeAutospacing="1" w:after="100" w:afterAutospacing="1" w:line="260" w:lineRule="exact"/>
              <w:jc w:val="center"/>
              <w:rPr>
                <w:rFonts w:hint="eastAsia" w:ascii="宋体" w:hAnsi="宋体" w:cs="宋体"/>
                <w:color w:val="000000"/>
                <w:sz w:val="22"/>
                <w:szCs w:val="22"/>
              </w:rPr>
            </w:pPr>
            <w:r>
              <w:rPr>
                <w:rFonts w:hint="eastAsia" w:ascii="宋体" w:hAnsi="宋体" w:cs="宋体"/>
                <w:color w:val="000000"/>
                <w:sz w:val="22"/>
                <w:szCs w:val="22"/>
              </w:rPr>
              <w:t>供应商</w:t>
            </w:r>
          </w:p>
          <w:p w14:paraId="219EF2D1">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信用</w:t>
            </w:r>
          </w:p>
          <w:p w14:paraId="3B9A777B">
            <w:pPr>
              <w:spacing w:line="260" w:lineRule="exact"/>
              <w:jc w:val="center"/>
              <w:rPr>
                <w:rFonts w:hint="eastAsia" w:ascii="宋体" w:hAnsi="宋体" w:cs="宋体"/>
                <w:color w:val="000000"/>
                <w:sz w:val="24"/>
              </w:rPr>
            </w:pPr>
            <w:r>
              <w:rPr>
                <w:rFonts w:hint="eastAsia" w:ascii="宋体" w:hAnsi="宋体" w:cs="宋体"/>
                <w:color w:val="000000"/>
              </w:rPr>
              <w:t>情况</w:t>
            </w:r>
          </w:p>
        </w:tc>
        <w:tc>
          <w:tcPr>
            <w:tcW w:w="3719" w:type="dxa"/>
            <w:gridSpan w:val="2"/>
            <w:tcBorders>
              <w:top w:val="single" w:color="auto" w:sz="4" w:space="0"/>
              <w:left w:val="single" w:color="auto" w:sz="4" w:space="0"/>
              <w:bottom w:val="single" w:color="auto" w:sz="4" w:space="0"/>
              <w:right w:val="single" w:color="auto" w:sz="4" w:space="0"/>
            </w:tcBorders>
            <w:noWrap w:val="0"/>
            <w:vAlign w:val="center"/>
          </w:tcPr>
          <w:p w14:paraId="09F4B840">
            <w:pPr>
              <w:spacing w:before="100" w:beforeAutospacing="1" w:after="100" w:afterAutospacing="1" w:line="260" w:lineRule="exact"/>
              <w:rPr>
                <w:rFonts w:hint="eastAsia" w:ascii="宋体" w:hAnsi="宋体" w:cs="宋体"/>
                <w:color w:val="000000"/>
              </w:rPr>
            </w:pPr>
            <w:r>
              <w:rPr>
                <w:rFonts w:hint="eastAsia" w:ascii="宋体" w:hAnsi="宋体" w:cs="宋体"/>
                <w:color w:val="000000"/>
              </w:rPr>
              <w:t>是否列入失信被执行人、重大税收违法案件当事人名单、政府采购严重违法失信行为记录名单及其他不符合《中华人民共和国政府采购法》第二十二条规定条件。</w:t>
            </w:r>
          </w:p>
        </w:tc>
        <w:tc>
          <w:tcPr>
            <w:tcW w:w="4377" w:type="dxa"/>
            <w:gridSpan w:val="2"/>
            <w:tcBorders>
              <w:top w:val="single" w:color="auto" w:sz="4" w:space="0"/>
              <w:left w:val="single" w:color="auto" w:sz="4" w:space="0"/>
              <w:bottom w:val="single" w:color="auto" w:sz="4" w:space="0"/>
              <w:right w:val="single" w:color="auto" w:sz="4" w:space="0"/>
            </w:tcBorders>
            <w:noWrap w:val="0"/>
            <w:vAlign w:val="top"/>
          </w:tcPr>
          <w:p w14:paraId="5FAD7E7F">
            <w:pPr>
              <w:spacing w:line="260" w:lineRule="exact"/>
              <w:rPr>
                <w:rFonts w:hint="eastAsia" w:ascii="宋体" w:hAnsi="宋体" w:cs="宋体"/>
                <w:color w:val="000000"/>
                <w:sz w:val="18"/>
                <w:szCs w:val="18"/>
              </w:rPr>
            </w:pPr>
          </w:p>
        </w:tc>
      </w:tr>
      <w:tr w14:paraId="3275F9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2" w:hRule="atLeast"/>
        </w:trPr>
        <w:tc>
          <w:tcPr>
            <w:tcW w:w="1191" w:type="dxa"/>
            <w:tcBorders>
              <w:top w:val="single" w:color="auto" w:sz="4" w:space="0"/>
              <w:left w:val="single" w:color="auto" w:sz="4" w:space="0"/>
              <w:bottom w:val="single" w:color="auto" w:sz="4" w:space="0"/>
              <w:right w:val="single" w:color="auto" w:sz="4" w:space="0"/>
            </w:tcBorders>
            <w:noWrap w:val="0"/>
            <w:vAlign w:val="center"/>
          </w:tcPr>
          <w:p w14:paraId="3EAE6121">
            <w:pPr>
              <w:spacing w:before="100" w:beforeAutospacing="1" w:after="100" w:afterAutospacing="1" w:line="260" w:lineRule="exact"/>
              <w:jc w:val="center"/>
              <w:rPr>
                <w:rFonts w:hint="eastAsia" w:ascii="宋体" w:hAnsi="宋体" w:cs="宋体"/>
                <w:color w:val="000000"/>
                <w:sz w:val="22"/>
                <w:szCs w:val="22"/>
              </w:rPr>
            </w:pPr>
            <w:r>
              <w:rPr>
                <w:rFonts w:hint="eastAsia" w:ascii="宋体" w:hAnsi="宋体" w:cs="宋体"/>
                <w:color w:val="000000"/>
                <w:sz w:val="22"/>
                <w:szCs w:val="22"/>
              </w:rPr>
              <w:t>供应商</w:t>
            </w:r>
          </w:p>
          <w:p w14:paraId="4F457A7A">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 声 明 </w:t>
            </w:r>
          </w:p>
        </w:tc>
        <w:tc>
          <w:tcPr>
            <w:tcW w:w="8096" w:type="dxa"/>
            <w:gridSpan w:val="4"/>
            <w:tcBorders>
              <w:top w:val="single" w:color="auto" w:sz="4" w:space="0"/>
              <w:left w:val="single" w:color="auto" w:sz="4" w:space="0"/>
              <w:bottom w:val="single" w:color="auto" w:sz="4" w:space="0"/>
              <w:right w:val="single" w:color="auto" w:sz="4" w:space="0"/>
            </w:tcBorders>
            <w:noWrap w:val="0"/>
            <w:vAlign w:val="top"/>
          </w:tcPr>
          <w:p w14:paraId="436EF3BA">
            <w:pPr>
              <w:pStyle w:val="3"/>
              <w:spacing w:line="260" w:lineRule="exact"/>
              <w:rPr>
                <w:rFonts w:hint="eastAsia" w:ascii="宋体" w:hAnsi="宋体" w:cs="宋体"/>
                <w:color w:val="000000"/>
                <w:szCs w:val="18"/>
              </w:rPr>
            </w:pPr>
            <w:r>
              <w:rPr>
                <w:rFonts w:hint="eastAsia" w:ascii="宋体" w:hAnsi="宋体" w:cs="宋体"/>
                <w:color w:val="000000"/>
                <w:szCs w:val="18"/>
              </w:rPr>
              <w:t>本企业对上述声明的真实性负责，如有虚假，将依法承担相应责任。</w:t>
            </w:r>
          </w:p>
          <w:p w14:paraId="4EDF85B7">
            <w:pPr>
              <w:spacing w:before="100" w:beforeAutospacing="1" w:after="100" w:afterAutospacing="1" w:line="260" w:lineRule="exact"/>
              <w:jc w:val="center"/>
              <w:rPr>
                <w:rFonts w:hint="eastAsia" w:ascii="宋体" w:hAnsi="宋体" w:cs="宋体"/>
                <w:color w:val="000000"/>
              </w:rPr>
            </w:pPr>
          </w:p>
          <w:p w14:paraId="3503B7CC">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(单位公章) </w:t>
            </w:r>
          </w:p>
          <w:p w14:paraId="586D9645">
            <w:pPr>
              <w:spacing w:before="100" w:beforeAutospacing="1" w:after="100" w:afterAutospacing="1" w:line="260" w:lineRule="exact"/>
              <w:jc w:val="center"/>
              <w:rPr>
                <w:rFonts w:hint="eastAsia" w:ascii="宋体" w:hAnsi="宋体" w:cs="宋体"/>
                <w:color w:val="000000"/>
                <w:sz w:val="24"/>
              </w:rPr>
            </w:pPr>
            <w:r>
              <w:rPr>
                <w:rFonts w:hint="eastAsia" w:ascii="宋体" w:hAnsi="宋体" w:cs="宋体"/>
                <w:color w:val="000000"/>
              </w:rPr>
              <w:t xml:space="preserve">               日 期：    年  月   日 </w:t>
            </w:r>
          </w:p>
        </w:tc>
      </w:tr>
    </w:tbl>
    <w:p w14:paraId="75E3A165">
      <w:pPr>
        <w:spacing w:line="288" w:lineRule="auto"/>
        <w:rPr>
          <w:rFonts w:hint="eastAsia" w:ascii="宋体" w:hAnsi="宋体" w:cs="宋体"/>
          <w:color w:val="000000"/>
        </w:rPr>
      </w:pPr>
      <w:r>
        <w:rPr>
          <w:rFonts w:hint="eastAsia" w:ascii="宋体" w:hAnsi="宋体" w:cs="宋体"/>
          <w:color w:val="000000"/>
        </w:rPr>
        <w:t>注：(1)企业对上述情况进行承诺，按本表格内容如实填写；</w:t>
      </w:r>
    </w:p>
    <w:p w14:paraId="7007A295">
      <w:pPr>
        <w:spacing w:line="288" w:lineRule="auto"/>
        <w:ind w:firstLine="420" w:firstLineChars="200"/>
        <w:rPr>
          <w:rFonts w:hint="eastAsia" w:ascii="宋体" w:hAnsi="宋体" w:cs="宋体"/>
          <w:color w:val="000000"/>
        </w:rPr>
      </w:pPr>
      <w:r>
        <w:rPr>
          <w:rFonts w:hint="eastAsia" w:ascii="宋体" w:hAnsi="宋体" w:cs="宋体"/>
          <w:color w:val="000000"/>
        </w:rPr>
        <w:t>(2)本表格须在磋商时作为响应文件的资信部分内容放入响应文件中；</w:t>
      </w:r>
    </w:p>
    <w:p w14:paraId="2F6678A8">
      <w:pPr>
        <w:spacing w:line="288" w:lineRule="auto"/>
        <w:ind w:firstLine="420" w:firstLineChars="200"/>
        <w:rPr>
          <w:rFonts w:hint="eastAsia" w:ascii="宋体" w:hAnsi="宋体" w:cs="宋体"/>
          <w:color w:val="000000"/>
        </w:rPr>
      </w:pPr>
      <w:r>
        <w:rPr>
          <w:rFonts w:hint="eastAsia" w:ascii="宋体" w:hAnsi="宋体" w:cs="宋体"/>
          <w:color w:val="000000"/>
        </w:rPr>
        <w:t>(3)本表格由企业自己填写，若无表中所列情况，则在相应栏中写“无”，若有，须按具体次数分别说明（包括处罚时间、事由、处罚主体等）；</w:t>
      </w:r>
    </w:p>
    <w:p w14:paraId="3C9DFEAC">
      <w:pPr>
        <w:spacing w:line="288" w:lineRule="auto"/>
        <w:ind w:firstLine="435"/>
        <w:rPr>
          <w:rFonts w:hint="eastAsia" w:ascii="宋体" w:hAnsi="宋体" w:cs="宋体"/>
          <w:color w:val="000000"/>
        </w:rPr>
      </w:pPr>
      <w:r>
        <w:rPr>
          <w:rFonts w:hint="eastAsia" w:ascii="宋体" w:hAnsi="宋体" w:cs="宋体"/>
          <w:color w:val="000000"/>
        </w:rPr>
        <w:t>(4)联合体成员存在不良信用记录的，视同联合体存在不良信用记录。</w:t>
      </w:r>
    </w:p>
    <w:p w14:paraId="78197E6F">
      <w:pPr>
        <w:pStyle w:val="131"/>
        <w:spacing w:line="360" w:lineRule="auto"/>
        <w:jc w:val="left"/>
        <w:rPr>
          <w:rFonts w:ascii="宋体" w:hAnsi="宋体"/>
          <w:color w:val="000000" w:themeColor="text1"/>
          <w:highlight w:val="none"/>
          <w14:textFill>
            <w14:solidFill>
              <w14:schemeClr w14:val="tx1"/>
            </w14:solidFill>
          </w14:textFill>
        </w:rPr>
      </w:pPr>
      <w:r>
        <w:rPr>
          <w:rFonts w:hint="eastAsia" w:ascii="宋体" w:hAnsi="宋体" w:cs="宋体"/>
          <w:color w:val="000000"/>
        </w:rPr>
        <w:t>(5)本表后可附“信用中国”网站（www.creditchina.gov.cn）、中国政府采购网（www.ccgp.gov.cn）查询截图，无不良或受惩信用记录（截图查询日期须在响应文件递交截止时间之前一个星期内）。</w:t>
      </w:r>
    </w:p>
    <w:p w14:paraId="0798DFAA">
      <w:pPr>
        <w:pStyle w:val="131"/>
        <w:spacing w:line="360" w:lineRule="auto"/>
        <w:jc w:val="left"/>
        <w:rPr>
          <w:rFonts w:ascii="宋体" w:hAnsi="宋体"/>
          <w:color w:val="000000" w:themeColor="text1"/>
          <w:highlight w:val="none"/>
          <w14:textFill>
            <w14:solidFill>
              <w14:schemeClr w14:val="tx1"/>
            </w14:solidFill>
          </w14:textFill>
        </w:rPr>
      </w:pPr>
    </w:p>
    <w:p w14:paraId="6BD4E94E">
      <w:pPr>
        <w:pStyle w:val="131"/>
        <w:spacing w:line="360" w:lineRule="auto"/>
        <w:jc w:val="left"/>
        <w:rPr>
          <w:rFonts w:ascii="宋体" w:hAnsi="宋体"/>
          <w:color w:val="000000" w:themeColor="text1"/>
          <w:highlight w:val="none"/>
          <w14:textFill>
            <w14:solidFill>
              <w14:schemeClr w14:val="tx1"/>
            </w14:solidFill>
          </w14:textFill>
        </w:rPr>
      </w:pPr>
    </w:p>
    <w:p w14:paraId="1DA3C48B">
      <w:pPr>
        <w:rPr>
          <w:rFonts w:hint="eastAsia" w:ascii="宋体" w:hAnsi="宋体" w:cs="宋体"/>
          <w:b/>
          <w:color w:val="000000"/>
          <w:sz w:val="28"/>
          <w:szCs w:val="28"/>
          <w:lang w:val="en-US" w:eastAsia="zh-CN"/>
        </w:rPr>
      </w:pPr>
      <w:r>
        <w:rPr>
          <w:rFonts w:hint="eastAsia" w:ascii="宋体" w:hAnsi="宋体" w:cs="宋体"/>
          <w:b/>
          <w:color w:val="000000"/>
          <w:sz w:val="28"/>
          <w:szCs w:val="28"/>
          <w:lang w:val="en-US" w:eastAsia="zh-CN"/>
        </w:rPr>
        <w:br w:type="page"/>
      </w:r>
    </w:p>
    <w:p w14:paraId="0E4BF99E">
      <w:pPr>
        <w:jc w:val="center"/>
        <w:rPr>
          <w:rFonts w:hint="default" w:ascii="宋体" w:hAnsi="宋体" w:eastAsia="宋体" w:cs="宋体"/>
          <w:b/>
          <w:color w:val="000000"/>
          <w:sz w:val="28"/>
          <w:szCs w:val="28"/>
          <w:lang w:val="en-US" w:eastAsia="zh-CN"/>
        </w:rPr>
      </w:pPr>
      <w:r>
        <w:rPr>
          <w:rFonts w:hint="eastAsia" w:ascii="宋体" w:hAnsi="宋体"/>
          <w:color w:val="000000" w:themeColor="text1"/>
          <w:szCs w:val="21"/>
          <w:highlight w:val="none"/>
          <w14:textFill>
            <w14:solidFill>
              <w14:schemeClr w14:val="tx1"/>
            </w14:solidFill>
          </w14:textFill>
        </w:rPr>
        <w:t>▲</w:t>
      </w:r>
      <w:r>
        <w:rPr>
          <w:rFonts w:hint="eastAsia" w:ascii="宋体" w:hAnsi="宋体" w:eastAsia="宋体" w:cs="宋体"/>
          <w:b/>
          <w:color w:val="000000"/>
          <w:sz w:val="28"/>
          <w:szCs w:val="28"/>
          <w:lang w:val="en-US" w:eastAsia="zh-CN"/>
        </w:rPr>
        <w:t>9.</w:t>
      </w:r>
      <w:r>
        <w:rPr>
          <w:rFonts w:hint="eastAsia" w:ascii="宋体" w:hAnsi="宋体" w:eastAsia="宋体" w:cs="宋体"/>
          <w:b/>
          <w:color w:val="000000"/>
          <w:sz w:val="28"/>
          <w:szCs w:val="28"/>
        </w:rPr>
        <w:t>企业类型声明函</w:t>
      </w:r>
    </w:p>
    <w:p w14:paraId="09B43544">
      <w:pPr>
        <w:pStyle w:val="13"/>
        <w:keepNext w:val="0"/>
        <w:keepLines w:val="0"/>
        <w:pageBreakBefore w:val="0"/>
        <w:widowControl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val="en-US" w:eastAsia="zh-CN"/>
          <w14:textFill>
            <w14:solidFill>
              <w14:schemeClr w14:val="tx1"/>
            </w14:solidFill>
          </w14:textFill>
        </w:rPr>
        <w:t>9</w:t>
      </w:r>
      <w:r>
        <w:rPr>
          <w:rFonts w:hint="eastAsia" w:ascii="宋体" w:hAnsi="宋体" w:eastAsia="宋体" w:cs="宋体"/>
          <w:b/>
          <w:color w:val="000000" w:themeColor="text1"/>
          <w:sz w:val="24"/>
          <w:szCs w:val="24"/>
          <w:highlight w:val="none"/>
          <w14:textFill>
            <w14:solidFill>
              <w14:schemeClr w14:val="tx1"/>
            </w14:solidFill>
          </w14:textFill>
        </w:rPr>
        <w:t>.1 中小企业声明函格式</w:t>
      </w:r>
    </w:p>
    <w:p w14:paraId="37F4D6D1">
      <w:pPr>
        <w:pStyle w:val="19"/>
        <w:spacing w:line="302" w:lineRule="auto"/>
        <w:ind w:right="415" w:firstLine="640"/>
        <w:rPr>
          <w:rFonts w:hint="eastAsia" w:ascii="宋体" w:hAnsi="宋体" w:eastAsia="宋体" w:cs="宋体"/>
          <w:color w:val="000000" w:themeColor="text1"/>
          <w:spacing w:val="-2"/>
          <w:highlight w:val="none"/>
          <w14:textFill>
            <w14:solidFill>
              <w14:schemeClr w14:val="tx1"/>
            </w14:solidFill>
          </w14:textFill>
        </w:rPr>
      </w:pPr>
    </w:p>
    <w:p w14:paraId="11F3636D">
      <w:pPr>
        <w:pStyle w:val="19"/>
        <w:spacing w:line="360" w:lineRule="auto"/>
        <w:ind w:right="375" w:firstLine="64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本公司（联合体）郑重声明，根据《政府采购促进中小企业发展管理办法》（财库﹝2020﹞46 号）的规定，本公司（联合体）的施工单位全部为符合政策要求的中小企业（或者：服务全部由符合政策要求的中小企业承接）。相关企业（含联合 体中的中小企业、签订分包意向协议的中小企业）的具体情况如下：</w:t>
      </w:r>
    </w:p>
    <w:p w14:paraId="2E07E2A3">
      <w:pPr>
        <w:pStyle w:val="19"/>
        <w:spacing w:before="108" w:line="360" w:lineRule="auto"/>
        <w:ind w:right="417" w:firstLine="645"/>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u w:val="single"/>
          <w14:textFill>
            <w14:solidFill>
              <w14:schemeClr w14:val="tx1"/>
            </w14:solidFill>
          </w14:textFill>
        </w:rPr>
        <w:t xml:space="preserve">  （标的名称）  </w:t>
      </w:r>
      <w:r>
        <w:rPr>
          <w:rFonts w:hint="eastAsia" w:ascii="宋体" w:hAnsi="宋体" w:eastAsia="宋体" w:cs="宋体"/>
          <w:color w:val="000000" w:themeColor="text1"/>
          <w:sz w:val="21"/>
          <w:szCs w:val="21"/>
          <w:highlight w:val="none"/>
          <w14:textFill>
            <w14:solidFill>
              <w14:schemeClr w14:val="tx1"/>
            </w14:solidFill>
          </w14:textFill>
        </w:rPr>
        <w:t>，属于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（采购文件中明确的所属行业）  </w:t>
      </w:r>
      <w:r>
        <w:rPr>
          <w:rFonts w:hint="eastAsia" w:ascii="宋体" w:hAnsi="宋体" w:eastAsia="宋体" w:cs="宋体"/>
          <w:color w:val="000000" w:themeColor="text1"/>
          <w:sz w:val="21"/>
          <w:szCs w:val="21"/>
          <w:highlight w:val="none"/>
          <w14:textFill>
            <w14:solidFill>
              <w14:schemeClr w14:val="tx1"/>
            </w14:solidFill>
          </w14:textFill>
        </w:rPr>
        <w:t>；承建（承接）企业为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企业名称  </w:t>
      </w:r>
      <w:r>
        <w:rPr>
          <w:rFonts w:hint="eastAsia" w:ascii="宋体" w:hAnsi="宋体" w:eastAsia="宋体" w:cs="宋体"/>
          <w:color w:val="000000" w:themeColor="text1"/>
          <w:sz w:val="21"/>
          <w:szCs w:val="21"/>
          <w:highlight w:val="none"/>
          <w14:textFill>
            <w14:solidFill>
              <w14:schemeClr w14:val="tx1"/>
            </w14:solidFill>
          </w14:textFill>
        </w:rPr>
        <w:t>,从业人员</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人，营业收入为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万元，资产总额为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万元,属于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1"/>
          <w:szCs w:val="21"/>
          <w:highlight w:val="none"/>
          <w14:textFill>
            <w14:solidFill>
              <w14:schemeClr w14:val="tx1"/>
            </w14:solidFill>
          </w14:textFill>
        </w:rPr>
        <w:t>；</w:t>
      </w:r>
    </w:p>
    <w:p w14:paraId="28FBB07A">
      <w:pPr>
        <w:pStyle w:val="19"/>
        <w:spacing w:before="108" w:line="360" w:lineRule="auto"/>
        <w:ind w:right="417" w:firstLine="645"/>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u w:val="single"/>
          <w14:textFill>
            <w14:solidFill>
              <w14:schemeClr w14:val="tx1"/>
            </w14:solidFill>
          </w14:textFill>
        </w:rPr>
        <w:t xml:space="preserve">  （标的名称）  </w:t>
      </w:r>
      <w:r>
        <w:rPr>
          <w:rFonts w:hint="eastAsia" w:ascii="宋体" w:hAnsi="宋体" w:eastAsia="宋体" w:cs="宋体"/>
          <w:color w:val="000000" w:themeColor="text1"/>
          <w:sz w:val="21"/>
          <w:szCs w:val="21"/>
          <w:highlight w:val="none"/>
          <w14:textFill>
            <w14:solidFill>
              <w14:schemeClr w14:val="tx1"/>
            </w14:solidFill>
          </w14:textFill>
        </w:rPr>
        <w:t>，属于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（采购文件中明确的所属行业）  </w:t>
      </w:r>
      <w:r>
        <w:rPr>
          <w:rFonts w:hint="eastAsia" w:ascii="宋体" w:hAnsi="宋体" w:eastAsia="宋体" w:cs="宋体"/>
          <w:color w:val="000000" w:themeColor="text1"/>
          <w:sz w:val="21"/>
          <w:szCs w:val="21"/>
          <w:highlight w:val="none"/>
          <w14:textFill>
            <w14:solidFill>
              <w14:schemeClr w14:val="tx1"/>
            </w14:solidFill>
          </w14:textFill>
        </w:rPr>
        <w:t>；承建（承接）企业为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企业名称  </w:t>
      </w:r>
      <w:r>
        <w:rPr>
          <w:rFonts w:hint="eastAsia" w:ascii="宋体" w:hAnsi="宋体" w:eastAsia="宋体" w:cs="宋体"/>
          <w:color w:val="000000" w:themeColor="text1"/>
          <w:sz w:val="21"/>
          <w:szCs w:val="21"/>
          <w:highlight w:val="none"/>
          <w14:textFill>
            <w14:solidFill>
              <w14:schemeClr w14:val="tx1"/>
            </w14:solidFill>
          </w14:textFill>
        </w:rPr>
        <w:t>,从业人员</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人，营业收入为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万元，资产总额为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万元,属于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1"/>
          <w:szCs w:val="21"/>
          <w:highlight w:val="none"/>
          <w14:textFill>
            <w14:solidFill>
              <w14:schemeClr w14:val="tx1"/>
            </w14:solidFill>
          </w14:textFill>
        </w:rPr>
        <w:t>；</w:t>
      </w:r>
    </w:p>
    <w:p w14:paraId="4AB4D06E">
      <w:pPr>
        <w:pStyle w:val="19"/>
        <w:spacing w:before="11" w:line="360" w:lineRule="auto"/>
        <w:ind w:left="86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p>
    <w:p w14:paraId="14E5C427">
      <w:pPr>
        <w:pStyle w:val="19"/>
        <w:spacing w:before="108" w:line="360" w:lineRule="auto"/>
        <w:ind w:right="417" w:firstLine="645"/>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pacing w:val="-3"/>
          <w:sz w:val="21"/>
          <w:szCs w:val="21"/>
          <w:highlight w:val="none"/>
          <w14:textFill>
            <w14:solidFill>
              <w14:schemeClr w14:val="tx1"/>
            </w14:solidFill>
          </w14:textFill>
        </w:rPr>
        <w:t>以上企业，不属于大企业的分支机构，不存在控股股东</w:t>
      </w:r>
      <w:r>
        <w:rPr>
          <w:rFonts w:hint="eastAsia" w:ascii="宋体" w:hAnsi="宋体" w:eastAsia="宋体" w:cs="宋体"/>
          <w:b/>
          <w:bCs/>
          <w:color w:val="000000" w:themeColor="text1"/>
          <w:spacing w:val="-5"/>
          <w:sz w:val="21"/>
          <w:szCs w:val="21"/>
          <w:highlight w:val="none"/>
          <w14:textFill>
            <w14:solidFill>
              <w14:schemeClr w14:val="tx1"/>
            </w14:solidFill>
          </w14:textFill>
        </w:rPr>
        <w:t>为大企业的情形，也不存在与大企业的负责人为同一人的情形。</w:t>
      </w:r>
    </w:p>
    <w:p w14:paraId="10429B9A">
      <w:pPr>
        <w:pStyle w:val="19"/>
        <w:spacing w:line="360" w:lineRule="auto"/>
        <w:ind w:right="375" w:firstLine="64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本企业对上述声明内容的真实性负责。如有虚假，将依法承担相应责任。</w:t>
      </w:r>
    </w:p>
    <w:p w14:paraId="5B427E4B">
      <w:pPr>
        <w:pStyle w:val="34"/>
        <w:snapToGrid w:val="0"/>
        <w:spacing w:line="360" w:lineRule="auto"/>
        <w:ind w:left="420" w:hanging="420"/>
        <w:jc w:val="left"/>
        <w:rPr>
          <w:rFonts w:hint="eastAsia" w:ascii="宋体" w:hAnsi="宋体" w:eastAsia="宋体" w:cs="宋体"/>
          <w:color w:val="000000" w:themeColor="text1"/>
          <w:sz w:val="21"/>
          <w:szCs w:val="21"/>
          <w:highlight w:val="none"/>
          <w14:textFill>
            <w14:solidFill>
              <w14:schemeClr w14:val="tx1"/>
            </w14:solidFill>
          </w14:textFill>
        </w:rPr>
      </w:pPr>
    </w:p>
    <w:p w14:paraId="748572FF">
      <w:pPr>
        <w:pStyle w:val="25"/>
        <w:spacing w:before="120" w:after="120" w:line="312" w:lineRule="auto"/>
        <w:ind w:firstLine="5250" w:firstLineChars="2100"/>
        <w:rPr>
          <w:rFonts w:hint="eastAsia" w:ascii="宋体" w:hAnsi="宋体" w:eastAsia="宋体" w:cs="宋体"/>
          <w:color w:val="000000" w:themeColor="text1"/>
          <w:spacing w:val="20"/>
          <w:sz w:val="21"/>
          <w:szCs w:val="21"/>
          <w:highlight w:val="none"/>
          <w:u w:val="single"/>
          <w14:textFill>
            <w14:solidFill>
              <w14:schemeClr w14:val="tx1"/>
            </w14:solidFill>
          </w14:textFill>
        </w:rPr>
      </w:pPr>
      <w:r>
        <w:rPr>
          <w:rFonts w:hint="eastAsia" w:ascii="宋体" w:hAnsi="宋体" w:eastAsia="宋体" w:cs="宋体"/>
          <w:color w:val="000000" w:themeColor="text1"/>
          <w:spacing w:val="20"/>
          <w:sz w:val="21"/>
          <w:szCs w:val="21"/>
          <w:highlight w:val="none"/>
          <w14:textFill>
            <w14:solidFill>
              <w14:schemeClr w14:val="tx1"/>
            </w14:solidFill>
          </w14:textFill>
        </w:rPr>
        <w:t>供应商盖章：</w:t>
      </w:r>
      <w:r>
        <w:rPr>
          <w:rFonts w:hint="eastAsia" w:ascii="宋体" w:hAnsi="宋体" w:eastAsia="宋体" w:cs="宋体"/>
          <w:color w:val="000000" w:themeColor="text1"/>
          <w:spacing w:val="20"/>
          <w:sz w:val="21"/>
          <w:szCs w:val="21"/>
          <w:highlight w:val="none"/>
          <w:u w:val="single"/>
          <w14:textFill>
            <w14:solidFill>
              <w14:schemeClr w14:val="tx1"/>
            </w14:solidFill>
          </w14:textFill>
        </w:rPr>
        <w:t xml:space="preserve">            </w:t>
      </w:r>
    </w:p>
    <w:p w14:paraId="4AE8BD7E">
      <w:pPr>
        <w:spacing w:line="312" w:lineRule="auto"/>
        <w:ind w:firstLine="5250" w:firstLineChars="21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pacing w:val="20"/>
          <w:sz w:val="21"/>
          <w:szCs w:val="21"/>
          <w:highlight w:val="none"/>
          <w14:textFill>
            <w14:solidFill>
              <w14:schemeClr w14:val="tx1"/>
            </w14:solidFill>
          </w14:textFill>
        </w:rPr>
        <w:t>日     期：</w:t>
      </w:r>
      <w:r>
        <w:rPr>
          <w:rFonts w:hint="eastAsia" w:ascii="宋体" w:hAnsi="宋体" w:eastAsia="宋体" w:cs="宋体"/>
          <w:color w:val="000000" w:themeColor="text1"/>
          <w:spacing w:val="20"/>
          <w:sz w:val="21"/>
          <w:szCs w:val="21"/>
          <w:highlight w:val="none"/>
          <w:u w:val="single"/>
          <w14:textFill>
            <w14:solidFill>
              <w14:schemeClr w14:val="tx1"/>
            </w14:solidFill>
          </w14:textFill>
        </w:rPr>
        <w:t xml:space="preserve">            </w:t>
      </w:r>
    </w:p>
    <w:p w14:paraId="1A127B22">
      <w:pPr>
        <w:pStyle w:val="132"/>
        <w:spacing w:line="360" w:lineRule="auto"/>
        <w:jc w:val="left"/>
        <w:rPr>
          <w:rFonts w:hint="eastAsia" w:ascii="宋体" w:hAnsi="宋体" w:eastAsia="宋体" w:cs="宋体"/>
          <w:color w:val="000000" w:themeColor="text1"/>
          <w:spacing w:val="6"/>
          <w:sz w:val="21"/>
          <w:szCs w:val="21"/>
          <w:highlight w:val="none"/>
          <w14:textFill>
            <w14:solidFill>
              <w14:schemeClr w14:val="tx1"/>
            </w14:solidFill>
          </w14:textFill>
        </w:rPr>
      </w:pPr>
    </w:p>
    <w:p w14:paraId="7AEA7543">
      <w:pPr>
        <w:pStyle w:val="163"/>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p>
    <w:p w14:paraId="0C0C27CE">
      <w:pPr>
        <w:pStyle w:val="131"/>
        <w:spacing w:line="360" w:lineRule="auto"/>
        <w:ind w:firstLine="222" w:firstLineChars="1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注：</w:t>
      </w:r>
      <w:r>
        <w:rPr>
          <w:rFonts w:hint="eastAsia" w:ascii="宋体" w:hAnsi="宋体" w:eastAsia="宋体" w:cs="宋体"/>
          <w:color w:val="000000" w:themeColor="text1"/>
          <w:sz w:val="21"/>
          <w:szCs w:val="21"/>
          <w:highlight w:val="none"/>
          <w14:textFill>
            <w14:solidFill>
              <w14:schemeClr w14:val="tx1"/>
            </w14:solidFill>
          </w14:textFill>
        </w:rPr>
        <w:t>从业人员、营业收入、资产总额填报上一年度数据，无上一年度数据的新成立企业可不填报。</w:t>
      </w:r>
    </w:p>
    <w:p w14:paraId="2C16C78D">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33BED0B7">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2FE17796">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3262CC1A">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6A54342E">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1CBD06C6">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026AE536">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7B4A8B99">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3067764F">
      <w:pPr>
        <w:pStyle w:val="131"/>
        <w:spacing w:line="360" w:lineRule="auto"/>
        <w:jc w:val="left"/>
        <w:rPr>
          <w:rFonts w:hint="eastAsia" w:ascii="宋体" w:hAnsi="宋体" w:eastAsia="宋体" w:cs="宋体"/>
          <w:color w:val="000000" w:themeColor="text1"/>
          <w:highlight w:val="none"/>
          <w14:textFill>
            <w14:solidFill>
              <w14:schemeClr w14:val="tx1"/>
            </w14:solidFill>
          </w14:textFill>
        </w:rPr>
      </w:pPr>
    </w:p>
    <w:p w14:paraId="46EA685B">
      <w:pPr>
        <w:pStyle w:val="13"/>
        <w:spacing w:line="360" w:lineRule="auto"/>
        <w:ind w:firstLine="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val="en-US" w:eastAsia="zh-CN"/>
          <w14:textFill>
            <w14:solidFill>
              <w14:schemeClr w14:val="tx1"/>
            </w14:solidFill>
          </w14:textFill>
        </w:rPr>
        <w:t>9</w:t>
      </w:r>
      <w:r>
        <w:rPr>
          <w:rFonts w:hint="eastAsia" w:ascii="宋体" w:hAnsi="宋体" w:eastAsia="宋体" w:cs="宋体"/>
          <w:b/>
          <w:color w:val="000000" w:themeColor="text1"/>
          <w:sz w:val="24"/>
          <w:szCs w:val="24"/>
          <w:highlight w:val="none"/>
          <w14:textFill>
            <w14:solidFill>
              <w14:schemeClr w14:val="tx1"/>
            </w14:solidFill>
          </w14:textFill>
        </w:rPr>
        <w:t>.2监狱企业声明函</w:t>
      </w:r>
    </w:p>
    <w:p w14:paraId="6545B378">
      <w:pPr>
        <w:pStyle w:val="13"/>
        <w:ind w:firstLine="0"/>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（监狱企业提供）</w:t>
      </w:r>
    </w:p>
    <w:p w14:paraId="19E736D3">
      <w:pPr>
        <w:pStyle w:val="13"/>
        <w:ind w:firstLine="0"/>
        <w:jc w:val="center"/>
        <w:rPr>
          <w:rFonts w:hint="eastAsia" w:ascii="宋体" w:hAnsi="宋体" w:eastAsia="宋体" w:cs="宋体"/>
          <w:color w:val="000000" w:themeColor="text1"/>
          <w:szCs w:val="21"/>
          <w:highlight w:val="none"/>
          <w14:textFill>
            <w14:solidFill>
              <w14:schemeClr w14:val="tx1"/>
            </w14:solidFill>
          </w14:textFill>
        </w:rPr>
      </w:pPr>
    </w:p>
    <w:p w14:paraId="61207815">
      <w:pPr>
        <w:pStyle w:val="163"/>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本公司郑重声明，根据</w:t>
      </w:r>
      <w:r>
        <w:rPr>
          <w:rFonts w:hint="eastAsia" w:ascii="宋体" w:hAnsi="宋体" w:eastAsia="宋体" w:cs="宋体"/>
          <w:bCs/>
          <w:color w:val="000000" w:themeColor="text1"/>
          <w:sz w:val="21"/>
          <w:szCs w:val="21"/>
          <w:highlight w:val="none"/>
          <w14:textFill>
            <w14:solidFill>
              <w14:schemeClr w14:val="tx1"/>
            </w14:solidFill>
          </w14:textFill>
        </w:rPr>
        <w:t>《财政部、司法部关于政府采购支持监狱企业发展有关问题的通知》（财库〔2014〕68号）</w:t>
      </w:r>
      <w:r>
        <w:rPr>
          <w:rFonts w:hint="eastAsia" w:ascii="宋体" w:hAnsi="宋体" w:eastAsia="宋体" w:cs="宋体"/>
          <w:color w:val="000000" w:themeColor="text1"/>
          <w:spacing w:val="6"/>
          <w:sz w:val="21"/>
          <w:szCs w:val="21"/>
          <w:highlight w:val="none"/>
          <w14:textFill>
            <w14:solidFill>
              <w14:schemeClr w14:val="tx1"/>
            </w14:solidFill>
          </w14:textFill>
        </w:rPr>
        <w:t>的规定，本公司为监狱企业。</w:t>
      </w:r>
    </w:p>
    <w:p w14:paraId="27D1BB8C">
      <w:pPr>
        <w:pStyle w:val="163"/>
        <w:spacing w:line="360" w:lineRule="auto"/>
        <w:ind w:firstLine="444"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本公司参加</w:t>
      </w:r>
      <w:r>
        <w:rPr>
          <w:rFonts w:hint="eastAsia" w:ascii="宋体" w:hAnsi="宋体" w:eastAsia="宋体" w:cs="宋体"/>
          <w:color w:val="000000" w:themeColor="text1"/>
          <w:spacing w:val="6"/>
          <w:sz w:val="21"/>
          <w:szCs w:val="21"/>
          <w:highlight w:val="none"/>
          <w:u w:val="single"/>
          <w14:textFill>
            <w14:solidFill>
              <w14:schemeClr w14:val="tx1"/>
            </w14:solidFill>
          </w14:textFill>
        </w:rPr>
        <w:t>（采购人名称）</w:t>
      </w:r>
      <w:r>
        <w:rPr>
          <w:rFonts w:hint="eastAsia" w:ascii="宋体" w:hAnsi="宋体" w:eastAsia="宋体" w:cs="宋体"/>
          <w:color w:val="000000" w:themeColor="text1"/>
          <w:spacing w:val="6"/>
          <w:sz w:val="21"/>
          <w:szCs w:val="21"/>
          <w:highlight w:val="none"/>
          <w14:textFill>
            <w14:solidFill>
              <w14:schemeClr w14:val="tx1"/>
            </w14:solidFill>
          </w14:textFill>
        </w:rPr>
        <w:t>的</w:t>
      </w:r>
      <w:r>
        <w:rPr>
          <w:rFonts w:hint="eastAsia" w:ascii="宋体" w:hAnsi="宋体" w:eastAsia="宋体" w:cs="宋体"/>
          <w:color w:val="000000" w:themeColor="text1"/>
          <w:spacing w:val="6"/>
          <w:sz w:val="21"/>
          <w:szCs w:val="21"/>
          <w:highlight w:val="none"/>
          <w:u w:val="single"/>
          <w14:textFill>
            <w14:solidFill>
              <w14:schemeClr w14:val="tx1"/>
            </w14:solidFill>
          </w14:textFill>
        </w:rPr>
        <w:t>（项目名称）（项目编号）（标项）</w:t>
      </w:r>
      <w:r>
        <w:rPr>
          <w:rFonts w:hint="eastAsia" w:ascii="宋体" w:hAnsi="宋体" w:eastAsia="宋体" w:cs="宋体"/>
          <w:color w:val="000000" w:themeColor="text1"/>
          <w:spacing w:val="6"/>
          <w:sz w:val="21"/>
          <w:szCs w:val="21"/>
          <w:highlight w:val="none"/>
          <w14:textFill>
            <w14:solidFill>
              <w14:schemeClr w14:val="tx1"/>
            </w14:solidFill>
          </w14:textFill>
        </w:rPr>
        <w:t>供本企业制造的产品（产品名称见下表一），由本企业承担工程、提供服务，或者提供其他监狱企业制造的产品（产品名称见表二）。本条所称产品不包括使用其他监狱企业制造的产品。</w:t>
      </w: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3CFB7B5A">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15AEB154">
            <w:pPr>
              <w:pStyle w:val="163"/>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表一</w:t>
            </w:r>
          </w:p>
        </w:tc>
      </w:tr>
      <w:tr w14:paraId="058D20DB">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1C51C303">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436622FD">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F68CCCE">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4679585B">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36B65A60">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7D8510F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w:t>
            </w:r>
          </w:p>
        </w:tc>
      </w:tr>
      <w:tr w14:paraId="75B4849C">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75936AA0">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8285214">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45AD3B25">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9DD282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4795F348">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04EC587E">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r w14:paraId="07F14CF7">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54B774E2">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B43DE8D">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8185363">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2A0AA777">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288D3A0C">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0CF43EE6">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bl>
    <w:p w14:paraId="17CCD2D5">
      <w:pPr>
        <w:pStyle w:val="163"/>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70F7FAE0">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76E90A64">
            <w:pPr>
              <w:pStyle w:val="163"/>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表二</w:t>
            </w:r>
          </w:p>
        </w:tc>
      </w:tr>
      <w:tr w14:paraId="426DDCCF">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125C79E5">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41C372E0">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00BDAC3">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AE3627D">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89BC264">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29EB13F1">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w:t>
            </w:r>
          </w:p>
        </w:tc>
      </w:tr>
      <w:tr w14:paraId="733B1737">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73DA5654">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9A5C9B0">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A2E87A9">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C9D8758">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E71651C">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212F402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r w14:paraId="2C7A0854">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0DCFDCCE">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42FE91C4">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2171AD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74286CF">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58D0094">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7B23E83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bl>
    <w:p w14:paraId="5D030482">
      <w:pPr>
        <w:pStyle w:val="163"/>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本公司对上述声明的真实性负责。如有虚假，将依法承担相应责任。</w:t>
      </w:r>
    </w:p>
    <w:p w14:paraId="0EFF9D2B">
      <w:pPr>
        <w:pStyle w:val="34"/>
        <w:snapToGrid w:val="0"/>
        <w:spacing w:line="360" w:lineRule="auto"/>
        <w:ind w:left="422" w:hanging="422"/>
        <w:jc w:val="left"/>
        <w:rPr>
          <w:rFonts w:hint="eastAsia" w:ascii="宋体" w:hAnsi="宋体" w:eastAsia="宋体" w:cs="宋体"/>
          <w:b/>
          <w:color w:val="000000" w:themeColor="text1"/>
          <w:sz w:val="21"/>
          <w:szCs w:val="21"/>
          <w:highlight w:val="none"/>
          <w14:textFill>
            <w14:solidFill>
              <w14:schemeClr w14:val="tx1"/>
            </w14:solidFill>
          </w14:textFill>
        </w:rPr>
      </w:pPr>
    </w:p>
    <w:p w14:paraId="0C49CA6D">
      <w:pPr>
        <w:pStyle w:val="34"/>
        <w:wordWrap w:val="0"/>
        <w:snapToGrid w:val="0"/>
        <w:spacing w:line="360" w:lineRule="auto"/>
        <w:ind w:left="420" w:hanging="42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监狱企业盖章：</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0BF7250D">
      <w:pPr>
        <w:pStyle w:val="132"/>
        <w:wordWrap w:val="0"/>
        <w:spacing w:line="360" w:lineRule="auto"/>
        <w:jc w:val="right"/>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日        期：</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62DE7D53">
      <w:pPr>
        <w:pStyle w:val="34"/>
        <w:snapToGrid w:val="0"/>
        <w:ind w:left="666" w:hanging="666" w:hangingChars="300"/>
        <w:jc w:val="left"/>
        <w:rPr>
          <w:rFonts w:hint="eastAsia" w:ascii="宋体" w:hAnsi="宋体" w:eastAsia="宋体" w:cs="宋体"/>
          <w:color w:val="000000" w:themeColor="text1"/>
          <w:spacing w:val="6"/>
          <w:sz w:val="21"/>
          <w:szCs w:val="21"/>
          <w:highlight w:val="none"/>
          <w14:textFill>
            <w14:solidFill>
              <w14:schemeClr w14:val="tx1"/>
            </w14:solidFill>
          </w14:textFill>
        </w:rPr>
      </w:pPr>
    </w:p>
    <w:p w14:paraId="3109827C">
      <w:pPr>
        <w:spacing w:line="312" w:lineRule="auto"/>
        <w:ind w:firstLine="482"/>
        <w:jc w:val="left"/>
        <w:rPr>
          <w:rFonts w:hint="eastAsia" w:ascii="宋体" w:hAnsi="宋体" w:eastAsia="宋体" w:cs="宋体"/>
          <w:color w:val="000000" w:themeColor="text1"/>
          <w:kern w:val="0"/>
          <w:sz w:val="21"/>
          <w:szCs w:val="21"/>
          <w:highlight w:val="none"/>
          <w14:textFill>
            <w14:solidFill>
              <w14:schemeClr w14:val="tx1"/>
            </w14:solidFill>
          </w14:textFill>
        </w:rPr>
      </w:pPr>
    </w:p>
    <w:p w14:paraId="2115D78C">
      <w:pPr>
        <w:pStyle w:val="34"/>
        <w:snapToGrid w:val="0"/>
        <w:spacing w:line="360" w:lineRule="auto"/>
        <w:ind w:left="0" w:firstLine="420" w:firstLineChars="20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注：须附省级以上监狱管理局、戒毒管理局（含新疆生产建设兵团）出具的属于监狱企业的证明文件，否则视为供应商放弃相关政策优惠处理。</w:t>
      </w:r>
    </w:p>
    <w:p w14:paraId="0A1FA3BA">
      <w:pPr>
        <w:pStyle w:val="25"/>
        <w:rPr>
          <w:rFonts w:hint="eastAsia" w:ascii="宋体" w:hAnsi="宋体" w:eastAsia="宋体" w:cs="宋体"/>
          <w:color w:val="000000" w:themeColor="text1"/>
          <w:kern w:val="0"/>
          <w:szCs w:val="21"/>
          <w:highlight w:val="none"/>
          <w14:textFill>
            <w14:solidFill>
              <w14:schemeClr w14:val="tx1"/>
            </w14:solidFill>
          </w14:textFill>
        </w:rPr>
      </w:pPr>
    </w:p>
    <w:p w14:paraId="023DAD68">
      <w:pPr>
        <w:rPr>
          <w:rFonts w:hint="eastAsia" w:ascii="宋体" w:hAnsi="宋体" w:eastAsia="宋体" w:cs="宋体"/>
          <w:color w:val="000000" w:themeColor="text1"/>
          <w:kern w:val="0"/>
          <w:szCs w:val="21"/>
          <w:highlight w:val="none"/>
          <w14:textFill>
            <w14:solidFill>
              <w14:schemeClr w14:val="tx1"/>
            </w14:solidFill>
          </w14:textFill>
        </w:rPr>
      </w:pPr>
    </w:p>
    <w:p w14:paraId="0E272E31">
      <w:pPr>
        <w:pStyle w:val="25"/>
        <w:rPr>
          <w:rFonts w:hint="eastAsia" w:ascii="宋体" w:hAnsi="宋体" w:eastAsia="宋体" w:cs="宋体"/>
          <w:color w:val="000000" w:themeColor="text1"/>
          <w:kern w:val="0"/>
          <w:szCs w:val="21"/>
          <w:highlight w:val="none"/>
          <w14:textFill>
            <w14:solidFill>
              <w14:schemeClr w14:val="tx1"/>
            </w14:solidFill>
          </w14:textFill>
        </w:rPr>
      </w:pPr>
    </w:p>
    <w:p w14:paraId="07BE1D13">
      <w:pPr>
        <w:rPr>
          <w:rFonts w:hint="eastAsia" w:ascii="宋体" w:hAnsi="宋体" w:eastAsia="宋体" w:cs="宋体"/>
          <w:color w:val="000000" w:themeColor="text1"/>
          <w:kern w:val="0"/>
          <w:szCs w:val="21"/>
          <w:highlight w:val="none"/>
          <w14:textFill>
            <w14:solidFill>
              <w14:schemeClr w14:val="tx1"/>
            </w14:solidFill>
          </w14:textFill>
        </w:rPr>
      </w:pPr>
    </w:p>
    <w:p w14:paraId="7CA6492F">
      <w:pPr>
        <w:pStyle w:val="25"/>
        <w:rPr>
          <w:rFonts w:hint="eastAsia" w:ascii="宋体" w:hAnsi="宋体" w:eastAsia="宋体" w:cs="宋体"/>
          <w:color w:val="000000" w:themeColor="text1"/>
          <w:kern w:val="0"/>
          <w:szCs w:val="21"/>
          <w:highlight w:val="none"/>
          <w14:textFill>
            <w14:solidFill>
              <w14:schemeClr w14:val="tx1"/>
            </w14:solidFill>
          </w14:textFill>
        </w:rPr>
      </w:pPr>
    </w:p>
    <w:p w14:paraId="14D77C8F">
      <w:pPr>
        <w:rPr>
          <w:rFonts w:hint="eastAsia" w:ascii="宋体" w:hAnsi="宋体" w:eastAsia="宋体" w:cs="宋体"/>
          <w:color w:val="000000" w:themeColor="text1"/>
          <w:kern w:val="0"/>
          <w:szCs w:val="21"/>
          <w:highlight w:val="none"/>
          <w14:textFill>
            <w14:solidFill>
              <w14:schemeClr w14:val="tx1"/>
            </w14:solidFill>
          </w14:textFill>
        </w:rPr>
      </w:pPr>
    </w:p>
    <w:p w14:paraId="5CFE011E">
      <w:pPr>
        <w:pStyle w:val="25"/>
        <w:rPr>
          <w:rFonts w:hint="eastAsia" w:ascii="宋体" w:hAnsi="宋体" w:eastAsia="宋体" w:cs="宋体"/>
          <w:color w:val="000000" w:themeColor="text1"/>
          <w:kern w:val="0"/>
          <w:szCs w:val="21"/>
          <w:highlight w:val="none"/>
          <w14:textFill>
            <w14:solidFill>
              <w14:schemeClr w14:val="tx1"/>
            </w14:solidFill>
          </w14:textFill>
        </w:rPr>
      </w:pPr>
    </w:p>
    <w:p w14:paraId="1FFA949A">
      <w:pPr>
        <w:rPr>
          <w:rFonts w:hint="eastAsia" w:ascii="宋体" w:hAnsi="宋体" w:eastAsia="宋体" w:cs="宋体"/>
          <w:color w:val="000000" w:themeColor="text1"/>
          <w:highlight w:val="none"/>
          <w14:textFill>
            <w14:solidFill>
              <w14:schemeClr w14:val="tx1"/>
            </w14:solidFill>
          </w14:textFill>
        </w:rPr>
      </w:pPr>
    </w:p>
    <w:p w14:paraId="4F225D6F">
      <w:pPr>
        <w:pStyle w:val="13"/>
        <w:spacing w:line="360" w:lineRule="auto"/>
        <w:ind w:firstLine="0"/>
        <w:jc w:val="center"/>
        <w:rPr>
          <w:rFonts w:hint="eastAsia" w:ascii="宋体" w:hAnsi="宋体" w:eastAsia="宋体" w:cs="宋体"/>
          <w:b/>
          <w:color w:val="000000" w:themeColor="text1"/>
          <w:sz w:val="24"/>
          <w:szCs w:val="24"/>
          <w:highlight w:val="none"/>
          <w:lang w:val="en-US" w:eastAsia="zh-CN"/>
          <w14:textFill>
            <w14:solidFill>
              <w14:schemeClr w14:val="tx1"/>
            </w14:solidFill>
          </w14:textFill>
        </w:rPr>
      </w:pPr>
    </w:p>
    <w:p w14:paraId="5E18B01B">
      <w:pPr>
        <w:pStyle w:val="13"/>
        <w:spacing w:line="360" w:lineRule="auto"/>
        <w:ind w:firstLine="0"/>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val="en-US" w:eastAsia="zh-CN"/>
          <w14:textFill>
            <w14:solidFill>
              <w14:schemeClr w14:val="tx1"/>
            </w14:solidFill>
          </w14:textFill>
        </w:rPr>
        <w:t>9</w:t>
      </w:r>
      <w:r>
        <w:rPr>
          <w:rFonts w:hint="eastAsia" w:ascii="宋体" w:hAnsi="宋体" w:eastAsia="宋体" w:cs="宋体"/>
          <w:b/>
          <w:color w:val="000000" w:themeColor="text1"/>
          <w:sz w:val="24"/>
          <w:szCs w:val="24"/>
          <w:highlight w:val="none"/>
          <w14:textFill>
            <w14:solidFill>
              <w14:schemeClr w14:val="tx1"/>
            </w14:solidFill>
          </w14:textFill>
        </w:rPr>
        <w:t>.3残疾人福利性企业声明函</w:t>
      </w:r>
    </w:p>
    <w:p w14:paraId="442220D4">
      <w:pPr>
        <w:pStyle w:val="13"/>
        <w:ind w:firstLine="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[残疾人福利性企业提供]</w:t>
      </w:r>
    </w:p>
    <w:p w14:paraId="4CEB5E32">
      <w:pPr>
        <w:rPr>
          <w:rFonts w:hint="eastAsia" w:ascii="宋体" w:hAnsi="宋体" w:eastAsia="宋体" w:cs="宋体"/>
          <w:color w:val="000000" w:themeColor="text1"/>
          <w:sz w:val="21"/>
          <w:szCs w:val="21"/>
          <w:highlight w:val="none"/>
          <w14:textFill>
            <w14:solidFill>
              <w14:schemeClr w14:val="tx1"/>
            </w14:solidFill>
          </w14:textFill>
        </w:rPr>
      </w:pPr>
    </w:p>
    <w:p w14:paraId="020F7FCE">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本单位郑重声明，根据《财政部 民政部 中国残疾人联合会关于促进残疾人就业政府采购政策的通知》（财库〔2017〕141号）的规定，本企业为符合条件的残疾人福利性单位，且本单位参加</w:t>
      </w:r>
      <w:r>
        <w:rPr>
          <w:rFonts w:hint="eastAsia" w:ascii="宋体" w:hAnsi="宋体" w:eastAsia="宋体" w:cs="宋体"/>
          <w:color w:val="000000" w:themeColor="text1"/>
          <w:spacing w:val="6"/>
          <w:sz w:val="21"/>
          <w:szCs w:val="21"/>
          <w:highlight w:val="none"/>
          <w:u w:val="single"/>
          <w14:textFill>
            <w14:solidFill>
              <w14:schemeClr w14:val="tx1"/>
            </w14:solidFill>
          </w14:textFill>
        </w:rPr>
        <w:t>（采购人名称）</w:t>
      </w:r>
      <w:r>
        <w:rPr>
          <w:rFonts w:hint="eastAsia" w:ascii="宋体" w:hAnsi="宋体" w:eastAsia="宋体" w:cs="宋体"/>
          <w:color w:val="000000" w:themeColor="text1"/>
          <w:spacing w:val="6"/>
          <w:sz w:val="21"/>
          <w:szCs w:val="21"/>
          <w:highlight w:val="none"/>
          <w14:textFill>
            <w14:solidFill>
              <w14:schemeClr w14:val="tx1"/>
            </w14:solidFill>
          </w14:textFill>
        </w:rPr>
        <w:t>的</w:t>
      </w:r>
      <w:r>
        <w:rPr>
          <w:rFonts w:hint="eastAsia" w:ascii="宋体" w:hAnsi="宋体" w:eastAsia="宋体" w:cs="宋体"/>
          <w:color w:val="000000" w:themeColor="text1"/>
          <w:spacing w:val="6"/>
          <w:sz w:val="21"/>
          <w:szCs w:val="21"/>
          <w:highlight w:val="none"/>
          <w:u w:val="single"/>
          <w14:textFill>
            <w14:solidFill>
              <w14:schemeClr w14:val="tx1"/>
            </w14:solidFill>
          </w14:textFill>
        </w:rPr>
        <w:t>（项目名称）（项目编号）（标项）</w:t>
      </w:r>
      <w:r>
        <w:rPr>
          <w:rFonts w:hint="eastAsia" w:ascii="宋体" w:hAnsi="宋体" w:eastAsia="宋体" w:cs="宋体"/>
          <w:color w:val="000000" w:themeColor="text1"/>
          <w:sz w:val="21"/>
          <w:szCs w:val="21"/>
          <w:highlight w:val="none"/>
          <w14:textFill>
            <w14:solidFill>
              <w14:schemeClr w14:val="tx1"/>
            </w14:solidFill>
          </w14:textFill>
        </w:rPr>
        <w:t>项目采购活动提供本单位制造的产品（产品名称见下表一），由本单位承接工程、提供服务，或者提供其他残疾人福利性单位制造的产品（产品名称见下表二），本条不包括使用非残疾人福利性单位注册商标的货物。</w:t>
      </w: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266800ED">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21B715B3">
            <w:pPr>
              <w:pStyle w:val="163"/>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表一</w:t>
            </w:r>
          </w:p>
        </w:tc>
      </w:tr>
      <w:tr w14:paraId="4B2740A5">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682DD882">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0A2F07A8">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227279B8">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9DFE5A3">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5E2BCB9">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4F98A191">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w:t>
            </w:r>
          </w:p>
        </w:tc>
      </w:tr>
      <w:tr w14:paraId="22A9A4F9">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2BF8755E">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2B743C8F">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2F925A4D">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6377816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7B9065C">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32314E0E">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r w14:paraId="0E553DDD">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0E1318D4">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A0ECF34">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855F4CE">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7C687DF9">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51BEBCF">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68E32A36">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bl>
    <w:p w14:paraId="44065596">
      <w:pPr>
        <w:pStyle w:val="163"/>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14:paraId="2BC4A26A">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14:paraId="20C13B24">
            <w:pPr>
              <w:pStyle w:val="163"/>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表二</w:t>
            </w:r>
          </w:p>
        </w:tc>
      </w:tr>
      <w:tr w14:paraId="5E2009A6">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07E3705C">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E890891">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708A9185">
            <w:pPr>
              <w:pStyle w:val="163"/>
              <w:ind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3161345C">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2BFA02B">
            <w:pPr>
              <w:pStyle w:val="163"/>
              <w:ind w:left="-103" w:leftChars="-49" w:right="-48" w:rightChars="-2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14:paraId="1335E500">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w:t>
            </w:r>
          </w:p>
        </w:tc>
      </w:tr>
      <w:tr w14:paraId="1129777B">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6AB55443">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89B3585">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951C780">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7BABEAE8">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DFBF406">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52F28E18">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r w14:paraId="4B9C9A72">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00228C7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5D114F01">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156B8AAD">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14:paraId="179CBB7B">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1677621">
            <w:pPr>
              <w:pStyle w:val="163"/>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14:paraId="69EE2632">
            <w:pPr>
              <w:pStyle w:val="163"/>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与分项报价表一致</w:t>
            </w:r>
          </w:p>
        </w:tc>
      </w:tr>
    </w:tbl>
    <w:p w14:paraId="034092F5">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本公司对上述声明的真实性负责。如有虚假，将依法承担相应责任。</w:t>
      </w:r>
    </w:p>
    <w:p w14:paraId="4E6D4A3C">
      <w:pPr>
        <w:pStyle w:val="34"/>
        <w:snapToGrid w:val="0"/>
        <w:spacing w:line="360" w:lineRule="auto"/>
        <w:ind w:left="175" w:hanging="175" w:hangingChars="83"/>
        <w:jc w:val="left"/>
        <w:rPr>
          <w:rFonts w:hint="eastAsia" w:ascii="宋体" w:hAnsi="宋体" w:eastAsia="宋体" w:cs="宋体"/>
          <w:b/>
          <w:color w:val="000000" w:themeColor="text1"/>
          <w:sz w:val="21"/>
          <w:szCs w:val="21"/>
          <w:highlight w:val="none"/>
          <w14:textFill>
            <w14:solidFill>
              <w14:schemeClr w14:val="tx1"/>
            </w14:solidFill>
          </w14:textFill>
        </w:rPr>
      </w:pPr>
    </w:p>
    <w:p w14:paraId="1748F684">
      <w:pPr>
        <w:pStyle w:val="34"/>
        <w:wordWrap w:val="0"/>
        <w:snapToGrid w:val="0"/>
        <w:spacing w:line="360" w:lineRule="auto"/>
        <w:ind w:left="420" w:hanging="42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残疾人福利性企业盖章：</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6537EC08">
      <w:pPr>
        <w:pStyle w:val="132"/>
        <w:wordWrap w:val="0"/>
        <w:spacing w:line="360" w:lineRule="auto"/>
        <w:jc w:val="right"/>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日       期：</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40BF6A7B">
      <w:pPr>
        <w:pStyle w:val="34"/>
        <w:snapToGrid w:val="0"/>
        <w:ind w:left="594" w:hanging="594" w:hangingChars="283"/>
        <w:jc w:val="left"/>
        <w:rPr>
          <w:rFonts w:hint="eastAsia" w:ascii="宋体" w:hAnsi="宋体" w:eastAsia="宋体" w:cs="宋体"/>
          <w:color w:val="000000" w:themeColor="text1"/>
          <w:sz w:val="21"/>
          <w:szCs w:val="21"/>
          <w:highlight w:val="none"/>
          <w14:textFill>
            <w14:solidFill>
              <w14:schemeClr w14:val="tx1"/>
            </w14:solidFill>
          </w14:textFill>
        </w:rPr>
      </w:pPr>
    </w:p>
    <w:p w14:paraId="0AF5B1E1">
      <w:pPr>
        <w:spacing w:line="312" w:lineRule="auto"/>
        <w:ind w:firstLine="482"/>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p>
    <w:p w14:paraId="597F36A1">
      <w:pPr>
        <w:pStyle w:val="34"/>
        <w:snapToGrid w:val="0"/>
        <w:spacing w:line="360" w:lineRule="auto"/>
        <w:ind w:left="0" w:firstLine="420" w:firstLineChars="200"/>
        <w:jc w:val="left"/>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注：（1）符合小微企业或监狱企业或残疾人福利性企业政策的供应商应提供以上相关材料，否则视为供应商放弃相关政策优惠处理。</w:t>
      </w:r>
    </w:p>
    <w:p w14:paraId="537B7A4C">
      <w:pPr>
        <w:pStyle w:val="34"/>
        <w:snapToGrid w:val="0"/>
        <w:spacing w:line="360" w:lineRule="auto"/>
        <w:ind w:left="0" w:firstLine="420" w:firstLineChars="200"/>
        <w:jc w:val="left"/>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（2）中小微型企业划分标准参照国家统计局印发的《统计上大中小微型企业划分办法（2017）》。</w:t>
      </w:r>
    </w:p>
    <w:p w14:paraId="49E1D343">
      <w:pPr>
        <w:pStyle w:val="34"/>
        <w:keepNext w:val="0"/>
        <w:keepLines w:val="0"/>
        <w:pageBreakBefore w:val="0"/>
        <w:widowControl w:val="0"/>
        <w:kinsoku/>
        <w:wordWrap/>
        <w:overflowPunct/>
        <w:topLinePunct w:val="0"/>
        <w:autoSpaceDE/>
        <w:autoSpaceDN/>
        <w:bidi w:val="0"/>
        <w:adjustRightInd/>
        <w:snapToGrid w:val="0"/>
        <w:spacing w:line="360" w:lineRule="auto"/>
        <w:ind w:left="0" w:firstLine="420" w:firstLineChars="200"/>
        <w:jc w:val="left"/>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（3）供应商提供声明函内容不实的，属于提供虚假材料谋取成交资格，依照《中华人民共和国政府采购法》等国家有关规定追究相应责任。</w:t>
      </w:r>
    </w:p>
    <w:p w14:paraId="1A51E40B">
      <w:pPr>
        <w:rPr>
          <w:rFonts w:hint="eastAsia" w:ascii="宋体" w:hAnsi="宋体" w:cs="宋体"/>
          <w:b/>
          <w:color w:val="000000"/>
          <w:sz w:val="28"/>
          <w:szCs w:val="28"/>
          <w:lang w:val="en-US" w:eastAsia="zh-CN"/>
        </w:rPr>
      </w:pPr>
    </w:p>
    <w:p w14:paraId="570F89A1">
      <w:pPr>
        <w:jc w:val="center"/>
        <w:rPr>
          <w:rFonts w:hint="eastAsia" w:ascii="宋体" w:hAnsi="宋体" w:cs="宋体"/>
          <w:b/>
          <w:color w:val="000000"/>
          <w:sz w:val="28"/>
          <w:szCs w:val="28"/>
          <w:lang w:val="en-US" w:eastAsia="zh-CN"/>
        </w:rPr>
      </w:pPr>
      <w:r>
        <w:rPr>
          <w:rFonts w:hint="eastAsia" w:ascii="宋体" w:hAnsi="宋体" w:cs="宋体"/>
          <w:b/>
          <w:color w:val="000000"/>
          <w:sz w:val="28"/>
          <w:szCs w:val="28"/>
          <w:lang w:val="en-US" w:eastAsia="zh-CN"/>
        </w:rPr>
        <w:t>10.其他</w:t>
      </w:r>
    </w:p>
    <w:p w14:paraId="64B9FD01">
      <w:pPr>
        <w:spacing w:line="336"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（格式自拟）</w:t>
      </w:r>
    </w:p>
    <w:p w14:paraId="7D7D0B43">
      <w:pPr>
        <w:pStyle w:val="131"/>
        <w:spacing w:line="360" w:lineRule="auto"/>
        <w:jc w:val="left"/>
        <w:rPr>
          <w:rFonts w:ascii="宋体" w:hAnsi="宋体"/>
          <w:color w:val="000000" w:themeColor="text1"/>
          <w:highlight w:val="none"/>
          <w14:textFill>
            <w14:solidFill>
              <w14:schemeClr w14:val="tx1"/>
            </w14:solidFill>
          </w14:textFill>
        </w:rPr>
      </w:pPr>
    </w:p>
    <w:p w14:paraId="3DA6E597">
      <w:pPr>
        <w:pStyle w:val="131"/>
        <w:spacing w:line="360" w:lineRule="auto"/>
        <w:jc w:val="left"/>
        <w:rPr>
          <w:rFonts w:ascii="宋体" w:hAnsi="宋体"/>
          <w:color w:val="000000" w:themeColor="text1"/>
          <w:highlight w:val="none"/>
          <w14:textFill>
            <w14:solidFill>
              <w14:schemeClr w14:val="tx1"/>
            </w14:solidFill>
          </w14:textFill>
        </w:rPr>
      </w:pPr>
    </w:p>
    <w:p w14:paraId="217B154C">
      <w:pPr>
        <w:pStyle w:val="131"/>
        <w:spacing w:line="360" w:lineRule="auto"/>
        <w:jc w:val="left"/>
        <w:rPr>
          <w:rFonts w:ascii="宋体" w:hAnsi="宋体"/>
          <w:color w:val="000000" w:themeColor="text1"/>
          <w:highlight w:val="none"/>
          <w14:textFill>
            <w14:solidFill>
              <w14:schemeClr w14:val="tx1"/>
            </w14:solidFill>
          </w14:textFill>
        </w:rPr>
      </w:pPr>
    </w:p>
    <w:p w14:paraId="5836214B">
      <w:pPr>
        <w:pStyle w:val="131"/>
        <w:spacing w:line="360" w:lineRule="auto"/>
        <w:jc w:val="left"/>
        <w:rPr>
          <w:rFonts w:ascii="宋体" w:hAnsi="宋体"/>
          <w:color w:val="000000" w:themeColor="text1"/>
          <w:highlight w:val="none"/>
          <w14:textFill>
            <w14:solidFill>
              <w14:schemeClr w14:val="tx1"/>
            </w14:solidFill>
          </w14:textFill>
        </w:rPr>
      </w:pPr>
    </w:p>
    <w:p w14:paraId="1BF9D196">
      <w:pPr>
        <w:pStyle w:val="6"/>
        <w:spacing w:line="360" w:lineRule="auto"/>
        <w:jc w:val="center"/>
        <w:rPr>
          <w:rFonts w:ascii="宋体" w:hAnsi="宋体"/>
          <w:color w:val="000000" w:themeColor="text1"/>
          <w:sz w:val="30"/>
          <w:szCs w:val="30"/>
          <w:highlight w:val="none"/>
          <w14:textFill>
            <w14:solidFill>
              <w14:schemeClr w14:val="tx1"/>
            </w14:solidFill>
          </w14:textFill>
        </w:rPr>
      </w:pPr>
      <w:bookmarkStart w:id="702" w:name="_Toc26345"/>
      <w:r>
        <w:rPr>
          <w:rFonts w:hint="eastAsia" w:ascii="宋体" w:hAnsi="宋体"/>
          <w:color w:val="000000" w:themeColor="text1"/>
          <w:sz w:val="30"/>
          <w:szCs w:val="30"/>
          <w:highlight w:val="none"/>
          <w14:textFill>
            <w14:solidFill>
              <w14:schemeClr w14:val="tx1"/>
            </w14:solidFill>
          </w14:textFill>
        </w:rPr>
        <w:t>二、</w:t>
      </w:r>
      <w:r>
        <w:rPr>
          <w:rFonts w:hint="eastAsia"/>
          <w:color w:val="000000" w:themeColor="text1"/>
          <w:sz w:val="28"/>
          <w:szCs w:val="28"/>
          <w:highlight w:val="none"/>
          <w14:textFill>
            <w14:solidFill>
              <w14:schemeClr w14:val="tx1"/>
            </w14:solidFill>
          </w14:textFill>
        </w:rPr>
        <w:t>资信商务及</w:t>
      </w:r>
      <w:r>
        <w:rPr>
          <w:rFonts w:hint="eastAsia" w:ascii="宋体" w:hAnsi="宋体"/>
          <w:color w:val="000000" w:themeColor="text1"/>
          <w:sz w:val="30"/>
          <w:szCs w:val="30"/>
          <w:highlight w:val="none"/>
          <w14:textFill>
            <w14:solidFill>
              <w14:schemeClr w14:val="tx1"/>
            </w14:solidFill>
          </w14:textFill>
        </w:rPr>
        <w:t>技术文件格式</w:t>
      </w:r>
      <w:bookmarkEnd w:id="691"/>
      <w:bookmarkEnd w:id="692"/>
      <w:bookmarkEnd w:id="702"/>
    </w:p>
    <w:p w14:paraId="53AEF3EA">
      <w:pPr>
        <w:pStyle w:val="13"/>
        <w:snapToGrid w:val="0"/>
        <w:spacing w:before="50" w:after="120"/>
        <w:ind w:firstLine="0"/>
        <w:rPr>
          <w:rFonts w:ascii="宋体"/>
          <w:color w:val="000000" w:themeColor="text1"/>
          <w:szCs w:val="21"/>
          <w:highlight w:val="none"/>
          <w14:textFill>
            <w14:solidFill>
              <w14:schemeClr w14:val="tx1"/>
            </w14:solidFill>
          </w14:textFill>
        </w:rPr>
      </w:pPr>
      <w:bookmarkStart w:id="703" w:name="_Toc303756459"/>
      <w:bookmarkStart w:id="704" w:name="_Toc22905"/>
    </w:p>
    <w:p w14:paraId="04ABC7A5">
      <w:pPr>
        <w:jc w:val="center"/>
        <w:rPr>
          <w:b/>
          <w:color w:val="000000" w:themeColor="text1"/>
          <w:sz w:val="28"/>
          <w:szCs w:val="28"/>
          <w:highlight w:val="none"/>
          <w14:textFill>
            <w14:solidFill>
              <w14:schemeClr w14:val="tx1"/>
            </w14:solidFill>
          </w14:textFill>
        </w:rPr>
      </w:pPr>
      <w:bookmarkStart w:id="705" w:name="_Toc303756436"/>
      <w:r>
        <w:rPr>
          <w:rFonts w:hint="eastAsia"/>
          <w:b/>
          <w:color w:val="000000" w:themeColor="text1"/>
          <w:sz w:val="28"/>
          <w:szCs w:val="28"/>
          <w:highlight w:val="none"/>
          <w14:textFill>
            <w14:solidFill>
              <w14:schemeClr w14:val="tx1"/>
            </w14:solidFill>
          </w14:textFill>
        </w:rPr>
        <w:t>资信商务及技术文件封面</w:t>
      </w:r>
      <w:bookmarkEnd w:id="705"/>
    </w:p>
    <w:p w14:paraId="6DA1D96C">
      <w:pPr>
        <w:jc w:val="center"/>
        <w:rPr>
          <w:b/>
          <w:color w:val="000000" w:themeColor="text1"/>
          <w:sz w:val="28"/>
          <w:szCs w:val="28"/>
          <w:highlight w:val="none"/>
          <w14:textFill>
            <w14:solidFill>
              <w14:schemeClr w14:val="tx1"/>
            </w14:solidFill>
          </w14:textFill>
        </w:rPr>
      </w:pPr>
    </w:p>
    <w:p w14:paraId="1CCB8DCF">
      <w:pPr>
        <w:pStyle w:val="13"/>
        <w:spacing w:line="360" w:lineRule="auto"/>
        <w:ind w:firstLine="0"/>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响应文件</w:t>
      </w:r>
    </w:p>
    <w:p w14:paraId="3E7A708C">
      <w:pPr>
        <w:spacing w:line="360" w:lineRule="auto"/>
        <w:rPr>
          <w:rFonts w:ascii="宋体" w:hAnsi="宋体"/>
          <w:color w:val="000000" w:themeColor="text1"/>
          <w:szCs w:val="21"/>
          <w:highlight w:val="none"/>
          <w14:textFill>
            <w14:solidFill>
              <w14:schemeClr w14:val="tx1"/>
            </w14:solidFill>
          </w14:textFill>
        </w:rPr>
      </w:pPr>
    </w:p>
    <w:tbl>
      <w:tblPr>
        <w:tblStyle w:val="43"/>
        <w:tblW w:w="0" w:type="auto"/>
        <w:jc w:val="center"/>
        <w:tblLayout w:type="autofit"/>
        <w:tblCellMar>
          <w:top w:w="0" w:type="dxa"/>
          <w:left w:w="108" w:type="dxa"/>
          <w:bottom w:w="0" w:type="dxa"/>
          <w:right w:w="108" w:type="dxa"/>
        </w:tblCellMar>
      </w:tblPr>
      <w:tblGrid>
        <w:gridCol w:w="2518"/>
        <w:gridCol w:w="4536"/>
      </w:tblGrid>
      <w:tr w14:paraId="55D79098">
        <w:tblPrEx>
          <w:tblCellMar>
            <w:top w:w="0" w:type="dxa"/>
            <w:left w:w="108" w:type="dxa"/>
            <w:bottom w:w="0" w:type="dxa"/>
            <w:right w:w="108" w:type="dxa"/>
          </w:tblCellMar>
        </w:tblPrEx>
        <w:trPr>
          <w:trHeight w:val="556" w:hRule="atLeast"/>
          <w:jc w:val="center"/>
        </w:trPr>
        <w:tc>
          <w:tcPr>
            <w:tcW w:w="2518" w:type="dxa"/>
            <w:vAlign w:val="center"/>
          </w:tcPr>
          <w:p w14:paraId="04BD59EA">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电子响应文件名称：</w:t>
            </w:r>
          </w:p>
        </w:tc>
        <w:tc>
          <w:tcPr>
            <w:tcW w:w="4536" w:type="dxa"/>
            <w:vAlign w:val="center"/>
          </w:tcPr>
          <w:p w14:paraId="2F311CE6">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u w:val="single"/>
                <w:lang w:val="en-US" w:eastAsia="zh-CN"/>
                <w14:textFill>
                  <w14:solidFill>
                    <w14:schemeClr w14:val="tx1"/>
                  </w14:solidFill>
                </w14:textFill>
              </w:rPr>
              <w:t>资信</w:t>
            </w:r>
            <w:r>
              <w:rPr>
                <w:rFonts w:hint="eastAsia" w:ascii="宋体" w:hAnsi="宋体"/>
                <w:color w:val="000000" w:themeColor="text1"/>
                <w:szCs w:val="21"/>
                <w:highlight w:val="none"/>
                <w:u w:val="single"/>
                <w14:textFill>
                  <w14:solidFill>
                    <w14:schemeClr w14:val="tx1"/>
                  </w14:solidFill>
                </w14:textFill>
              </w:rPr>
              <w:t>商务及技术文件</w:t>
            </w:r>
            <w:r>
              <w:rPr>
                <w:rFonts w:hint="eastAsia" w:ascii="宋体" w:hAnsi="宋体" w:cs="宋体"/>
                <w:color w:val="000000" w:themeColor="text1"/>
                <w:sz w:val="24"/>
                <w:highlight w:val="none"/>
                <w:u w:val="single"/>
                <w14:textFill>
                  <w14:solidFill>
                    <w14:schemeClr w14:val="tx1"/>
                  </w14:solidFill>
                </w14:textFill>
              </w:rPr>
              <w:t xml:space="preserve">            </w:t>
            </w:r>
          </w:p>
        </w:tc>
      </w:tr>
      <w:tr w14:paraId="6E7EC712">
        <w:tblPrEx>
          <w:tblCellMar>
            <w:top w:w="0" w:type="dxa"/>
            <w:left w:w="108" w:type="dxa"/>
            <w:bottom w:w="0" w:type="dxa"/>
            <w:right w:w="108" w:type="dxa"/>
          </w:tblCellMar>
        </w:tblPrEx>
        <w:trPr>
          <w:trHeight w:val="526" w:hRule="atLeast"/>
          <w:jc w:val="center"/>
        </w:trPr>
        <w:tc>
          <w:tcPr>
            <w:tcW w:w="2518" w:type="dxa"/>
            <w:vAlign w:val="center"/>
          </w:tcPr>
          <w:p w14:paraId="1487FB13">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 购 编 号：</w:t>
            </w:r>
          </w:p>
        </w:tc>
        <w:tc>
          <w:tcPr>
            <w:tcW w:w="4536" w:type="dxa"/>
            <w:vAlign w:val="center"/>
          </w:tcPr>
          <w:p w14:paraId="65D54BE3">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6756F475">
        <w:tblPrEx>
          <w:tblCellMar>
            <w:top w:w="0" w:type="dxa"/>
            <w:left w:w="108" w:type="dxa"/>
            <w:bottom w:w="0" w:type="dxa"/>
            <w:right w:w="108" w:type="dxa"/>
          </w:tblCellMar>
        </w:tblPrEx>
        <w:trPr>
          <w:trHeight w:val="556" w:hRule="atLeast"/>
          <w:jc w:val="center"/>
        </w:trPr>
        <w:tc>
          <w:tcPr>
            <w:tcW w:w="2518" w:type="dxa"/>
            <w:vAlign w:val="center"/>
          </w:tcPr>
          <w:p w14:paraId="313AFAE9">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 名 称：</w:t>
            </w:r>
          </w:p>
        </w:tc>
        <w:tc>
          <w:tcPr>
            <w:tcW w:w="4536" w:type="dxa"/>
            <w:vAlign w:val="center"/>
          </w:tcPr>
          <w:p w14:paraId="494AE89F">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690B387B">
        <w:tblPrEx>
          <w:tblCellMar>
            <w:top w:w="0" w:type="dxa"/>
            <w:left w:w="108" w:type="dxa"/>
            <w:bottom w:w="0" w:type="dxa"/>
            <w:right w:w="108" w:type="dxa"/>
          </w:tblCellMar>
        </w:tblPrEx>
        <w:trPr>
          <w:trHeight w:val="586" w:hRule="atLeast"/>
          <w:jc w:val="center"/>
        </w:trPr>
        <w:tc>
          <w:tcPr>
            <w:tcW w:w="2518" w:type="dxa"/>
            <w:vAlign w:val="center"/>
          </w:tcPr>
          <w:p w14:paraId="7E35FFC2">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标      项：</w:t>
            </w:r>
          </w:p>
        </w:tc>
        <w:tc>
          <w:tcPr>
            <w:tcW w:w="4536" w:type="dxa"/>
            <w:vAlign w:val="center"/>
          </w:tcPr>
          <w:p w14:paraId="5B69C31B">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（若有）                </w:t>
            </w:r>
          </w:p>
        </w:tc>
      </w:tr>
      <w:tr w14:paraId="53DA7687">
        <w:tblPrEx>
          <w:tblCellMar>
            <w:top w:w="0" w:type="dxa"/>
            <w:left w:w="108" w:type="dxa"/>
            <w:bottom w:w="0" w:type="dxa"/>
            <w:right w:w="108" w:type="dxa"/>
          </w:tblCellMar>
        </w:tblPrEx>
        <w:trPr>
          <w:trHeight w:val="397" w:hRule="atLeast"/>
          <w:jc w:val="center"/>
        </w:trPr>
        <w:tc>
          <w:tcPr>
            <w:tcW w:w="2518" w:type="dxa"/>
            <w:vAlign w:val="center"/>
          </w:tcPr>
          <w:p w14:paraId="73BBCF6C">
            <w:pPr>
              <w:spacing w:line="360" w:lineRule="auto"/>
              <w:jc w:val="distribute"/>
              <w:rPr>
                <w:rFonts w:ascii="宋体" w:hAnsi="宋体" w:cs="宋体"/>
                <w:color w:val="000000" w:themeColor="text1"/>
                <w:sz w:val="24"/>
                <w:highlight w:val="none"/>
                <w14:textFill>
                  <w14:solidFill>
                    <w14:schemeClr w14:val="tx1"/>
                  </w14:solidFill>
                </w14:textFill>
              </w:rPr>
            </w:pPr>
          </w:p>
        </w:tc>
        <w:tc>
          <w:tcPr>
            <w:tcW w:w="4536" w:type="dxa"/>
            <w:vAlign w:val="center"/>
          </w:tcPr>
          <w:p w14:paraId="718A8466">
            <w:pPr>
              <w:spacing w:line="360" w:lineRule="auto"/>
              <w:jc w:val="left"/>
              <w:rPr>
                <w:rFonts w:ascii="宋体" w:hAnsi="宋体" w:cs="宋体"/>
                <w:color w:val="000000" w:themeColor="text1"/>
                <w:sz w:val="24"/>
                <w:highlight w:val="none"/>
                <w14:textFill>
                  <w14:solidFill>
                    <w14:schemeClr w14:val="tx1"/>
                  </w14:solidFill>
                </w14:textFill>
              </w:rPr>
            </w:pPr>
          </w:p>
        </w:tc>
      </w:tr>
      <w:tr w14:paraId="150E7A4F">
        <w:tblPrEx>
          <w:tblCellMar>
            <w:top w:w="0" w:type="dxa"/>
            <w:left w:w="108" w:type="dxa"/>
            <w:bottom w:w="0" w:type="dxa"/>
            <w:right w:w="108" w:type="dxa"/>
          </w:tblCellMar>
        </w:tblPrEx>
        <w:trPr>
          <w:trHeight w:val="481" w:hRule="atLeast"/>
          <w:jc w:val="center"/>
        </w:trPr>
        <w:tc>
          <w:tcPr>
            <w:tcW w:w="2518" w:type="dxa"/>
            <w:vAlign w:val="center"/>
          </w:tcPr>
          <w:p w14:paraId="710FA1D6">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供应商全称（盖章）：</w:t>
            </w:r>
          </w:p>
        </w:tc>
        <w:tc>
          <w:tcPr>
            <w:tcW w:w="4536" w:type="dxa"/>
            <w:vAlign w:val="center"/>
          </w:tcPr>
          <w:p w14:paraId="5D3C3738">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7330B105">
        <w:tblPrEx>
          <w:tblCellMar>
            <w:top w:w="0" w:type="dxa"/>
            <w:left w:w="108" w:type="dxa"/>
            <w:bottom w:w="0" w:type="dxa"/>
            <w:right w:w="108" w:type="dxa"/>
          </w:tblCellMar>
        </w:tblPrEx>
        <w:trPr>
          <w:trHeight w:val="556" w:hRule="atLeast"/>
          <w:jc w:val="center"/>
        </w:trPr>
        <w:tc>
          <w:tcPr>
            <w:tcW w:w="2518" w:type="dxa"/>
            <w:vAlign w:val="center"/>
          </w:tcPr>
          <w:p w14:paraId="2CA1F2C6">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供应商地址：</w:t>
            </w:r>
          </w:p>
        </w:tc>
        <w:tc>
          <w:tcPr>
            <w:tcW w:w="4536" w:type="dxa"/>
            <w:vAlign w:val="center"/>
          </w:tcPr>
          <w:p w14:paraId="4F99C2F7">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721BDE06">
        <w:tblPrEx>
          <w:tblCellMar>
            <w:top w:w="0" w:type="dxa"/>
            <w:left w:w="108" w:type="dxa"/>
            <w:bottom w:w="0" w:type="dxa"/>
            <w:right w:w="108" w:type="dxa"/>
          </w:tblCellMar>
        </w:tblPrEx>
        <w:trPr>
          <w:trHeight w:val="397" w:hRule="atLeast"/>
          <w:jc w:val="center"/>
        </w:trPr>
        <w:tc>
          <w:tcPr>
            <w:tcW w:w="7054" w:type="dxa"/>
            <w:gridSpan w:val="2"/>
            <w:vAlign w:val="center"/>
          </w:tcPr>
          <w:p w14:paraId="3B1FBD63">
            <w:pPr>
              <w:spacing w:line="360" w:lineRule="auto"/>
              <w:jc w:val="left"/>
              <w:rPr>
                <w:rFonts w:ascii="宋体" w:hAnsi="宋体" w:cs="宋体"/>
                <w:color w:val="000000" w:themeColor="text1"/>
                <w:sz w:val="24"/>
                <w:highlight w:val="none"/>
                <w:u w:val="single"/>
                <w14:textFill>
                  <w14:solidFill>
                    <w14:schemeClr w14:val="tx1"/>
                  </w14:solidFill>
                </w14:textFill>
              </w:rPr>
            </w:pPr>
          </w:p>
        </w:tc>
      </w:tr>
      <w:tr w14:paraId="6263ACFB">
        <w:tblPrEx>
          <w:tblCellMar>
            <w:top w:w="0" w:type="dxa"/>
            <w:left w:w="108" w:type="dxa"/>
            <w:bottom w:w="0" w:type="dxa"/>
            <w:right w:w="108" w:type="dxa"/>
          </w:tblCellMar>
        </w:tblPrEx>
        <w:trPr>
          <w:trHeight w:val="397" w:hRule="atLeast"/>
          <w:jc w:val="center"/>
        </w:trPr>
        <w:tc>
          <w:tcPr>
            <w:tcW w:w="7054" w:type="dxa"/>
            <w:gridSpan w:val="2"/>
            <w:vAlign w:val="center"/>
          </w:tcPr>
          <w:p w14:paraId="30D9E451">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年  月  日</w:t>
            </w:r>
          </w:p>
        </w:tc>
      </w:tr>
    </w:tbl>
    <w:p w14:paraId="766E7ECC">
      <w:pPr>
        <w:spacing w:line="360" w:lineRule="auto"/>
        <w:ind w:firstLine="1799" w:firstLineChars="857"/>
        <w:rPr>
          <w:color w:val="000000" w:themeColor="text1"/>
          <w:highlight w:val="none"/>
          <w:u w:val="single"/>
          <w14:textFill>
            <w14:solidFill>
              <w14:schemeClr w14:val="tx1"/>
            </w14:solidFill>
          </w14:textFill>
        </w:rPr>
      </w:pPr>
    </w:p>
    <w:p w14:paraId="54373722">
      <w:pPr>
        <w:spacing w:line="360" w:lineRule="auto"/>
        <w:jc w:val="center"/>
        <w:rPr>
          <w:rFonts w:ascii="宋体"/>
          <w:b/>
          <w:color w:val="000000" w:themeColor="text1"/>
          <w:szCs w:val="21"/>
          <w:highlight w:val="none"/>
          <w14:textFill>
            <w14:solidFill>
              <w14:schemeClr w14:val="tx1"/>
            </w14:solidFill>
          </w14:textFill>
        </w:rPr>
        <w:sectPr>
          <w:headerReference r:id="rId6" w:type="first"/>
          <w:footerReference r:id="rId8" w:type="first"/>
          <w:headerReference r:id="rId5" w:type="default"/>
          <w:footerReference r:id="rId7" w:type="default"/>
          <w:pgSz w:w="11906" w:h="16838"/>
          <w:pgMar w:top="1417" w:right="1417" w:bottom="1134" w:left="1417" w:header="851" w:footer="850" w:gutter="0"/>
          <w:cols w:space="720" w:num="1"/>
          <w:titlePg/>
          <w:docGrid w:linePitch="312" w:charSpace="0"/>
        </w:sectPr>
      </w:pPr>
    </w:p>
    <w:p w14:paraId="5D88B20E">
      <w:pPr>
        <w:jc w:val="center"/>
        <w:rPr>
          <w:b/>
          <w:color w:val="000000" w:themeColor="text1"/>
          <w:sz w:val="28"/>
          <w:szCs w:val="28"/>
          <w:highlight w:val="none"/>
          <w14:textFill>
            <w14:solidFill>
              <w14:schemeClr w14:val="tx1"/>
            </w14:solidFill>
          </w14:textFill>
        </w:rPr>
      </w:pPr>
      <w:bookmarkStart w:id="706" w:name="_Toc303756437"/>
      <w:bookmarkStart w:id="707" w:name="_Toc359934632"/>
      <w:bookmarkStart w:id="708" w:name="_Toc341259996"/>
      <w:r>
        <w:rPr>
          <w:rFonts w:hint="eastAsia"/>
          <w:b/>
          <w:color w:val="000000" w:themeColor="text1"/>
          <w:sz w:val="28"/>
          <w:szCs w:val="28"/>
          <w:highlight w:val="none"/>
          <w14:textFill>
            <w14:solidFill>
              <w14:schemeClr w14:val="tx1"/>
            </w14:solidFill>
          </w14:textFill>
        </w:rPr>
        <w:t>资信商务及技术文件目录</w:t>
      </w:r>
      <w:bookmarkEnd w:id="706"/>
      <w:bookmarkEnd w:id="707"/>
      <w:bookmarkEnd w:id="708"/>
    </w:p>
    <w:p w14:paraId="5F704EE7">
      <w:pPr>
        <w:jc w:val="center"/>
        <w:rPr>
          <w:b/>
          <w:color w:val="000000" w:themeColor="text1"/>
          <w:sz w:val="28"/>
          <w:szCs w:val="28"/>
          <w:highlight w:val="none"/>
          <w14:textFill>
            <w14:solidFill>
              <w14:schemeClr w14:val="tx1"/>
            </w14:solidFill>
          </w14:textFill>
        </w:rPr>
      </w:pPr>
    </w:p>
    <w:p w14:paraId="2048C1EA">
      <w:pPr>
        <w:jc w:val="center"/>
        <w:rPr>
          <w:b/>
          <w:color w:val="000000" w:themeColor="text1"/>
          <w:sz w:val="24"/>
          <w:highlight w:val="none"/>
          <w14:textFill>
            <w14:solidFill>
              <w14:schemeClr w14:val="tx1"/>
            </w14:solidFill>
          </w14:textFill>
        </w:rPr>
      </w:pPr>
    </w:p>
    <w:p w14:paraId="24B20A4F">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一、资信商务文件</w:t>
      </w:r>
    </w:p>
    <w:p w14:paraId="48FBEBDD">
      <w:pPr>
        <w:snapToGrid w:val="0"/>
        <w:spacing w:line="360"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（1）磋商函</w:t>
      </w:r>
    </w:p>
    <w:p w14:paraId="4897A113">
      <w:pPr>
        <w:snapToGrid w:val="0"/>
        <w:spacing w:line="360"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2</w:t>
      </w:r>
      <w:r>
        <w:rPr>
          <w:rFonts w:hint="eastAsia" w:ascii="宋体" w:hAnsi="宋体" w:cs="宋体"/>
          <w:bCs/>
          <w:color w:val="000000" w:themeColor="text1"/>
          <w:szCs w:val="21"/>
          <w:highlight w:val="none"/>
          <w14:textFill>
            <w14:solidFill>
              <w14:schemeClr w14:val="tx1"/>
            </w14:solidFill>
          </w14:textFill>
        </w:rPr>
        <w:t>）商务响应表</w:t>
      </w:r>
    </w:p>
    <w:p w14:paraId="3E3336B6">
      <w:pPr>
        <w:snapToGrid w:val="0"/>
        <w:spacing w:line="360"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3</w:t>
      </w:r>
      <w:r>
        <w:rPr>
          <w:rFonts w:hint="eastAsia" w:ascii="宋体" w:hAnsi="宋体" w:cs="宋体"/>
          <w:bCs/>
          <w:color w:val="000000" w:themeColor="text1"/>
          <w:szCs w:val="21"/>
          <w:highlight w:val="none"/>
          <w14:textFill>
            <w14:solidFill>
              <w14:schemeClr w14:val="tx1"/>
            </w14:solidFill>
          </w14:textFill>
        </w:rPr>
        <w:t>）类似业绩表</w:t>
      </w:r>
    </w:p>
    <w:p w14:paraId="4A8DF28A">
      <w:pPr>
        <w:snapToGrid w:val="0"/>
        <w:spacing w:line="360" w:lineRule="auto"/>
        <w:rPr>
          <w:rFonts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4</w:t>
      </w:r>
      <w:r>
        <w:rPr>
          <w:rFonts w:hint="eastAsia" w:ascii="宋体" w:hAnsi="宋体" w:cs="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w:t>
      </w:r>
      <w:r>
        <w:rPr>
          <w:rFonts w:hint="eastAsia" w:ascii="宋体" w:hAnsi="宋体" w:cs="宋体"/>
          <w:bCs/>
          <w:color w:val="000000" w:themeColor="text1"/>
          <w:szCs w:val="21"/>
          <w:highlight w:val="none"/>
          <w14:textFill>
            <w14:solidFill>
              <w14:schemeClr w14:val="tx1"/>
            </w14:solidFill>
          </w14:textFill>
        </w:rPr>
        <w:t>认为有利于本次磋商的其它资信商务文件</w:t>
      </w:r>
    </w:p>
    <w:p w14:paraId="1340F9DE">
      <w:pPr>
        <w:snapToGrid w:val="0"/>
        <w:spacing w:line="360" w:lineRule="auto"/>
        <w:rPr>
          <w:rFonts w:ascii="宋体" w:hAnsi="宋体" w:cs="宋体"/>
          <w:b/>
          <w:color w:val="000000" w:themeColor="text1"/>
          <w:szCs w:val="21"/>
          <w:highlight w:val="none"/>
          <w14:textFill>
            <w14:solidFill>
              <w14:schemeClr w14:val="tx1"/>
            </w14:solidFill>
          </w14:textFill>
        </w:rPr>
      </w:pPr>
      <w:bookmarkStart w:id="709" w:name="_Toc305144118"/>
      <w:bookmarkStart w:id="710" w:name="_Toc303756447"/>
      <w:bookmarkStart w:id="711" w:name="_Toc377979039"/>
      <w:bookmarkStart w:id="712" w:name="_Toc341259997"/>
      <w:bookmarkStart w:id="713" w:name="_Toc359934633"/>
      <w:bookmarkStart w:id="714" w:name="_Toc409172366"/>
      <w:bookmarkStart w:id="715" w:name="_Toc515526262"/>
      <w:r>
        <w:rPr>
          <w:rFonts w:hint="eastAsia" w:ascii="宋体" w:hAnsi="宋体" w:cs="宋体"/>
          <w:b/>
          <w:color w:val="000000" w:themeColor="text1"/>
          <w:szCs w:val="21"/>
          <w:highlight w:val="none"/>
          <w14:textFill>
            <w14:solidFill>
              <w14:schemeClr w14:val="tx1"/>
            </w14:solidFill>
          </w14:textFill>
        </w:rPr>
        <w:t>二、技术文件</w:t>
      </w:r>
    </w:p>
    <w:p w14:paraId="1C2924E0">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5</w:t>
      </w:r>
      <w:r>
        <w:rPr>
          <w:rFonts w:hint="eastAsia" w:ascii="宋体" w:hAnsi="宋体" w:cs="宋体"/>
          <w:bCs/>
          <w:color w:val="000000" w:themeColor="text1"/>
          <w:szCs w:val="21"/>
          <w:highlight w:val="none"/>
          <w:lang w:val="zh-CN"/>
          <w14:textFill>
            <w14:solidFill>
              <w14:schemeClr w14:val="tx1"/>
            </w14:solidFill>
          </w14:textFill>
        </w:rPr>
        <w:t>）现有系统了解情况</w:t>
      </w:r>
    </w:p>
    <w:p w14:paraId="5D867211">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6</w:t>
      </w:r>
      <w:r>
        <w:rPr>
          <w:rFonts w:hint="eastAsia" w:ascii="宋体" w:hAnsi="宋体" w:cs="宋体"/>
          <w:bCs/>
          <w:color w:val="000000" w:themeColor="text1"/>
          <w:szCs w:val="21"/>
          <w:highlight w:val="none"/>
          <w:lang w:val="zh-CN"/>
          <w14:textFill>
            <w14:solidFill>
              <w14:schemeClr w14:val="tx1"/>
            </w14:solidFill>
          </w14:textFill>
        </w:rPr>
        <w:t>）运维服务方案</w:t>
      </w:r>
    </w:p>
    <w:p w14:paraId="404EE6A5">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（7）项目人员配置</w:t>
      </w:r>
    </w:p>
    <w:p w14:paraId="3C2B563E">
      <w:pPr>
        <w:snapToGrid w:val="0"/>
        <w:spacing w:line="360" w:lineRule="auto"/>
        <w:rPr>
          <w:rFonts w:hint="default" w:ascii="宋体" w:hAnsi="宋体" w:cs="宋体"/>
          <w:bCs/>
          <w:color w:val="000000" w:themeColor="text1"/>
          <w:szCs w:val="21"/>
          <w:highlight w:val="none"/>
          <w:lang w:val="en-US" w:eastAsia="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（8）</w:t>
      </w:r>
      <w:r>
        <w:rPr>
          <w:rFonts w:hint="eastAsia" w:ascii="宋体" w:hAnsi="宋体" w:cs="宋体"/>
          <w:bCs/>
          <w:color w:val="000000" w:themeColor="text1"/>
          <w:szCs w:val="21"/>
          <w:highlight w:val="none"/>
          <w:lang w:val="en-US" w:eastAsia="zh-CN"/>
          <w14:textFill>
            <w14:solidFill>
              <w14:schemeClr w14:val="tx1"/>
            </w14:solidFill>
          </w14:textFill>
        </w:rPr>
        <w:t>项目设备配置</w:t>
      </w:r>
    </w:p>
    <w:p w14:paraId="3807AE38">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9</w:t>
      </w: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安全文明作业保障措施</w:t>
      </w:r>
    </w:p>
    <w:p w14:paraId="4F8DE321">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10</w:t>
      </w:r>
      <w:r>
        <w:rPr>
          <w:rFonts w:hint="eastAsia" w:ascii="宋体" w:hAnsi="宋体" w:cs="宋体"/>
          <w:bCs/>
          <w:color w:val="000000" w:themeColor="text1"/>
          <w:szCs w:val="21"/>
          <w:highlight w:val="none"/>
          <w:lang w:val="zh-CN"/>
          <w14:textFill>
            <w14:solidFill>
              <w14:schemeClr w14:val="tx1"/>
            </w14:solidFill>
          </w14:textFill>
        </w:rPr>
        <w:t>）项目质量保证方案</w:t>
      </w:r>
    </w:p>
    <w:p w14:paraId="19748022">
      <w:pPr>
        <w:snapToGrid w:val="0"/>
        <w:spacing w:line="360" w:lineRule="auto"/>
        <w:rPr>
          <w:rFonts w:hint="eastAsia" w:ascii="宋体" w:hAnsi="宋体" w:cs="宋体"/>
          <w:bCs/>
          <w:color w:val="000000" w:themeColor="text1"/>
          <w:szCs w:val="21"/>
          <w:highlight w:val="none"/>
          <w:lang w:val="zh-CN" w:eastAsia="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（1</w:t>
      </w:r>
      <w:r>
        <w:rPr>
          <w:rFonts w:hint="eastAsia" w:ascii="宋体" w:hAnsi="宋体" w:cs="宋体"/>
          <w:bCs/>
          <w:color w:val="000000" w:themeColor="text1"/>
          <w:szCs w:val="21"/>
          <w:highlight w:val="none"/>
          <w:lang w:val="en-US" w:eastAsia="zh-CN"/>
          <w14:textFill>
            <w14:solidFill>
              <w14:schemeClr w14:val="tx1"/>
            </w14:solidFill>
          </w14:textFill>
        </w:rPr>
        <w:t>1</w:t>
      </w: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应急保障措施</w:t>
      </w:r>
    </w:p>
    <w:p w14:paraId="412515DC">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eastAsia="zh-CN"/>
          <w14:textFill>
            <w14:solidFill>
              <w14:schemeClr w14:val="tx1"/>
            </w14:solidFill>
          </w14:textFill>
        </w:rPr>
        <w:t>（1</w:t>
      </w:r>
      <w:r>
        <w:rPr>
          <w:rFonts w:hint="eastAsia" w:ascii="宋体" w:hAnsi="宋体" w:cs="宋体"/>
          <w:bCs/>
          <w:color w:val="000000" w:themeColor="text1"/>
          <w:szCs w:val="21"/>
          <w:highlight w:val="none"/>
          <w:lang w:val="en-US" w:eastAsia="zh-CN"/>
          <w14:textFill>
            <w14:solidFill>
              <w14:schemeClr w14:val="tx1"/>
            </w14:solidFill>
          </w14:textFill>
        </w:rPr>
        <w:t>2</w:t>
      </w:r>
      <w:r>
        <w:rPr>
          <w:rFonts w:hint="eastAsia" w:ascii="宋体" w:hAnsi="宋体" w:cs="宋体"/>
          <w:bCs/>
          <w:color w:val="000000" w:themeColor="text1"/>
          <w:szCs w:val="21"/>
          <w:highlight w:val="none"/>
          <w:lang w:val="zh-CN" w:eastAsia="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合理化建议</w:t>
      </w:r>
    </w:p>
    <w:p w14:paraId="44018FA6">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eastAsia="zh-CN"/>
          <w14:textFill>
            <w14:solidFill>
              <w14:schemeClr w14:val="tx1"/>
            </w14:solidFill>
          </w14:textFill>
        </w:rPr>
        <w:t>（1</w:t>
      </w:r>
      <w:r>
        <w:rPr>
          <w:rFonts w:hint="eastAsia" w:ascii="宋体" w:hAnsi="宋体" w:cs="宋体"/>
          <w:bCs/>
          <w:color w:val="000000" w:themeColor="text1"/>
          <w:szCs w:val="21"/>
          <w:highlight w:val="none"/>
          <w:lang w:val="en-US" w:eastAsia="zh-CN"/>
          <w14:textFill>
            <w14:solidFill>
              <w14:schemeClr w14:val="tx1"/>
            </w14:solidFill>
          </w14:textFill>
        </w:rPr>
        <w:t>3</w:t>
      </w:r>
      <w:r>
        <w:rPr>
          <w:rFonts w:hint="eastAsia" w:ascii="宋体" w:hAnsi="宋体" w:cs="宋体"/>
          <w:bCs/>
          <w:color w:val="000000" w:themeColor="text1"/>
          <w:szCs w:val="21"/>
          <w:highlight w:val="none"/>
          <w:lang w:val="zh-CN" w:eastAsia="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服务方案</w:t>
      </w:r>
    </w:p>
    <w:p w14:paraId="04107BCA">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（1</w:t>
      </w:r>
      <w:r>
        <w:rPr>
          <w:rFonts w:hint="eastAsia" w:ascii="宋体" w:hAnsi="宋体" w:cs="宋体"/>
          <w:bCs/>
          <w:color w:val="000000" w:themeColor="text1"/>
          <w:szCs w:val="21"/>
          <w:highlight w:val="none"/>
          <w:lang w:val="en-US" w:eastAsia="zh-CN"/>
          <w14:textFill>
            <w14:solidFill>
              <w14:schemeClr w14:val="tx1"/>
            </w14:solidFill>
          </w14:textFill>
        </w:rPr>
        <w:t>4</w:t>
      </w:r>
      <w:r>
        <w:rPr>
          <w:rFonts w:hint="eastAsia" w:ascii="宋体" w:hAnsi="宋体" w:cs="宋体"/>
          <w:bCs/>
          <w:color w:val="000000" w:themeColor="text1"/>
          <w:szCs w:val="21"/>
          <w:highlight w:val="none"/>
          <w:lang w:val="zh-CN"/>
          <w14:textFill>
            <w14:solidFill>
              <w14:schemeClr w14:val="tx1"/>
            </w14:solidFill>
          </w14:textFill>
        </w:rPr>
        <w:t>）公路治超非现场执法系统软件维护能力</w:t>
      </w:r>
    </w:p>
    <w:p w14:paraId="2B118C58">
      <w:pPr>
        <w:snapToGrid w:val="0"/>
        <w:spacing w:line="360" w:lineRule="auto"/>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en-US" w:eastAsia="zh-CN"/>
          <w14:textFill>
            <w14:solidFill>
              <w14:schemeClr w14:val="tx1"/>
            </w14:solidFill>
          </w14:textFill>
        </w:rPr>
        <w:t>15</w:t>
      </w:r>
      <w:r>
        <w:rPr>
          <w:rFonts w:hint="eastAsia" w:ascii="宋体" w:hAnsi="宋体" w:cs="宋体"/>
          <w:bCs/>
          <w:color w:val="000000" w:themeColor="text1"/>
          <w:szCs w:val="21"/>
          <w:highlight w:val="none"/>
          <w:lang w:val="zh-CN"/>
          <w14:textFill>
            <w14:solidFill>
              <w14:schemeClr w14:val="tx1"/>
            </w14:solidFill>
          </w14:textFill>
        </w:rPr>
        <w:t>）供应商认为有利于本次磋商的其它技术文件</w:t>
      </w:r>
    </w:p>
    <w:p w14:paraId="44FA0615">
      <w:pPr>
        <w:snapToGrid w:val="0"/>
        <w:spacing w:line="360" w:lineRule="auto"/>
        <w:rPr>
          <w:rFonts w:ascii="宋体" w:hAnsi="宋体" w:cs="宋体"/>
          <w:bCs/>
          <w:color w:val="000000" w:themeColor="text1"/>
          <w:szCs w:val="21"/>
          <w:highlight w:val="none"/>
          <w14:textFill>
            <w14:solidFill>
              <w14:schemeClr w14:val="tx1"/>
            </w14:solidFill>
          </w14:textFill>
        </w:rPr>
      </w:pPr>
    </w:p>
    <w:p w14:paraId="6BF205D6">
      <w:pPr>
        <w:snapToGrid w:val="0"/>
        <w:spacing w:line="360" w:lineRule="auto"/>
        <w:rPr>
          <w:rFonts w:ascii="宋体" w:hAnsi="宋体" w:cs="宋体"/>
          <w:bCs/>
          <w:color w:val="000000" w:themeColor="text1"/>
          <w:szCs w:val="21"/>
          <w:highlight w:val="none"/>
          <w14:textFill>
            <w14:solidFill>
              <w14:schemeClr w14:val="tx1"/>
            </w14:solidFill>
          </w14:textFill>
        </w:rPr>
      </w:pPr>
    </w:p>
    <w:p w14:paraId="49765489">
      <w:pPr>
        <w:jc w:val="center"/>
        <w:rPr>
          <w:rFonts w:ascii="宋体" w:hAnsi="宋体" w:cs="宋体"/>
          <w:b/>
          <w:color w:val="000000" w:themeColor="text1"/>
          <w:sz w:val="28"/>
          <w:szCs w:val="28"/>
          <w:highlight w:val="none"/>
          <w14:textFill>
            <w14:solidFill>
              <w14:schemeClr w14:val="tx1"/>
            </w14:solidFill>
          </w14:textFill>
        </w:rPr>
      </w:pPr>
    </w:p>
    <w:p w14:paraId="38F6154C">
      <w:pPr>
        <w:jc w:val="center"/>
        <w:rPr>
          <w:rFonts w:ascii="宋体" w:hAnsi="宋体" w:cs="宋体"/>
          <w:b/>
          <w:color w:val="000000" w:themeColor="text1"/>
          <w:sz w:val="28"/>
          <w:szCs w:val="28"/>
          <w:highlight w:val="none"/>
          <w14:textFill>
            <w14:solidFill>
              <w14:schemeClr w14:val="tx1"/>
            </w14:solidFill>
          </w14:textFill>
        </w:rPr>
      </w:pPr>
    </w:p>
    <w:p w14:paraId="1100D11A">
      <w:pPr>
        <w:jc w:val="center"/>
        <w:rPr>
          <w:rFonts w:ascii="宋体" w:hAnsi="宋体" w:cs="宋体"/>
          <w:b/>
          <w:color w:val="000000" w:themeColor="text1"/>
          <w:sz w:val="28"/>
          <w:szCs w:val="28"/>
          <w:highlight w:val="none"/>
          <w14:textFill>
            <w14:solidFill>
              <w14:schemeClr w14:val="tx1"/>
            </w14:solidFill>
          </w14:textFill>
        </w:rPr>
      </w:pPr>
    </w:p>
    <w:p w14:paraId="267338B2">
      <w:pPr>
        <w:jc w:val="center"/>
        <w:rPr>
          <w:rFonts w:ascii="宋体" w:hAnsi="宋体" w:cs="宋体"/>
          <w:b/>
          <w:color w:val="000000" w:themeColor="text1"/>
          <w:sz w:val="28"/>
          <w:szCs w:val="28"/>
          <w:highlight w:val="none"/>
          <w14:textFill>
            <w14:solidFill>
              <w14:schemeClr w14:val="tx1"/>
            </w14:solidFill>
          </w14:textFill>
        </w:rPr>
      </w:pPr>
    </w:p>
    <w:p w14:paraId="77F0A407">
      <w:pPr>
        <w:jc w:val="center"/>
        <w:rPr>
          <w:rFonts w:ascii="宋体" w:hAnsi="宋体" w:cs="宋体"/>
          <w:b/>
          <w:color w:val="000000" w:themeColor="text1"/>
          <w:sz w:val="28"/>
          <w:szCs w:val="28"/>
          <w:highlight w:val="none"/>
          <w14:textFill>
            <w14:solidFill>
              <w14:schemeClr w14:val="tx1"/>
            </w14:solidFill>
          </w14:textFill>
        </w:rPr>
      </w:pPr>
    </w:p>
    <w:p w14:paraId="5A9B0A8A">
      <w:pPr>
        <w:pStyle w:val="25"/>
        <w:rPr>
          <w:rFonts w:ascii="宋体" w:hAnsi="宋体" w:cs="宋体"/>
          <w:b/>
          <w:color w:val="000000" w:themeColor="text1"/>
          <w:sz w:val="28"/>
          <w:szCs w:val="28"/>
          <w:highlight w:val="none"/>
          <w14:textFill>
            <w14:solidFill>
              <w14:schemeClr w14:val="tx1"/>
            </w14:solidFill>
          </w14:textFill>
        </w:rPr>
      </w:pPr>
    </w:p>
    <w:p w14:paraId="115BDCBD">
      <w:pPr>
        <w:rPr>
          <w:color w:val="000000" w:themeColor="text1"/>
          <w:highlight w:val="none"/>
          <w14:textFill>
            <w14:solidFill>
              <w14:schemeClr w14:val="tx1"/>
            </w14:solidFill>
          </w14:textFill>
        </w:rPr>
      </w:pPr>
    </w:p>
    <w:p w14:paraId="0A746A66">
      <w:pPr>
        <w:jc w:val="center"/>
        <w:rPr>
          <w:rFonts w:ascii="宋体" w:hAnsi="宋体" w:cs="宋体"/>
          <w:b/>
          <w:color w:val="000000" w:themeColor="text1"/>
          <w:sz w:val="28"/>
          <w:szCs w:val="28"/>
          <w:highlight w:val="none"/>
          <w14:textFill>
            <w14:solidFill>
              <w14:schemeClr w14:val="tx1"/>
            </w14:solidFill>
          </w14:textFill>
        </w:rPr>
      </w:pPr>
    </w:p>
    <w:p w14:paraId="59E9DB5B">
      <w:pPr>
        <w:jc w:val="center"/>
        <w:rPr>
          <w:rFonts w:ascii="宋体" w:hAnsi="宋体" w:cs="宋体"/>
          <w:b/>
          <w:color w:val="000000" w:themeColor="text1"/>
          <w:sz w:val="28"/>
          <w:szCs w:val="28"/>
          <w:highlight w:val="none"/>
          <w14:textFill>
            <w14:solidFill>
              <w14:schemeClr w14:val="tx1"/>
            </w14:solidFill>
          </w14:textFill>
        </w:rPr>
      </w:pPr>
    </w:p>
    <w:p w14:paraId="7C7FF863">
      <w:pPr>
        <w:jc w:val="center"/>
        <w:rPr>
          <w:rFonts w:ascii="宋体" w:hAnsi="宋体" w:cs="宋体"/>
          <w:b/>
          <w:color w:val="000000" w:themeColor="text1"/>
          <w:sz w:val="28"/>
          <w:szCs w:val="28"/>
          <w:highlight w:val="none"/>
          <w14:textFill>
            <w14:solidFill>
              <w14:schemeClr w14:val="tx1"/>
            </w14:solidFill>
          </w14:textFill>
        </w:rPr>
      </w:pPr>
    </w:p>
    <w:p w14:paraId="4741A650">
      <w:pPr>
        <w:jc w:val="both"/>
        <w:rPr>
          <w:rFonts w:ascii="宋体" w:hAnsi="宋体" w:cs="宋体"/>
          <w:b/>
          <w:color w:val="000000" w:themeColor="text1"/>
          <w:sz w:val="28"/>
          <w:szCs w:val="28"/>
          <w:highlight w:val="none"/>
          <w14:textFill>
            <w14:solidFill>
              <w14:schemeClr w14:val="tx1"/>
            </w14:solidFill>
          </w14:textFill>
        </w:rPr>
      </w:pPr>
    </w:p>
    <w:p w14:paraId="6F829227">
      <w:pPr>
        <w:jc w:val="both"/>
        <w:rPr>
          <w:rFonts w:ascii="宋体" w:hAnsi="宋体" w:cs="宋体"/>
          <w:b/>
          <w:color w:val="000000" w:themeColor="text1"/>
          <w:sz w:val="28"/>
          <w:szCs w:val="28"/>
          <w:highlight w:val="none"/>
          <w14:textFill>
            <w14:solidFill>
              <w14:schemeClr w14:val="tx1"/>
            </w14:solidFill>
          </w14:textFill>
        </w:rPr>
      </w:pPr>
    </w:p>
    <w:p w14:paraId="7C09605A">
      <w:pPr>
        <w:snapToGrid w:val="0"/>
        <w:spacing w:line="360" w:lineRule="auto"/>
        <w:rPr>
          <w:rFonts w:hint="eastAsia" w:ascii="宋体" w:hAnsi="宋体" w:cs="宋体"/>
          <w:b/>
          <w:color w:val="000000" w:themeColor="text1"/>
          <w:szCs w:val="21"/>
          <w:highlight w:val="none"/>
          <w14:textFill>
            <w14:solidFill>
              <w14:schemeClr w14:val="tx1"/>
            </w14:solidFill>
          </w14:textFill>
        </w:rPr>
      </w:pPr>
    </w:p>
    <w:p w14:paraId="5616D8B0">
      <w:pP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br w:type="page"/>
      </w:r>
    </w:p>
    <w:p w14:paraId="66869D05">
      <w:pPr>
        <w:snapToGrid w:val="0"/>
        <w:spacing w:line="360" w:lineRule="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一、资信商务文件</w:t>
      </w:r>
    </w:p>
    <w:p w14:paraId="1C2B982B">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1</w:t>
      </w:r>
      <w:r>
        <w:rPr>
          <w:rFonts w:hint="eastAsia" w:ascii="宋体" w:hAnsi="宋体" w:cs="宋体"/>
          <w:b/>
          <w:color w:val="000000" w:themeColor="text1"/>
          <w:sz w:val="28"/>
          <w:szCs w:val="28"/>
          <w:highlight w:val="none"/>
          <w:lang w:val="en-US" w:eastAsia="zh-CN"/>
          <w14:textFill>
            <w14:solidFill>
              <w14:schemeClr w14:val="tx1"/>
            </w14:solidFill>
          </w14:textFill>
        </w:rPr>
        <w:t>.</w:t>
      </w:r>
      <w:r>
        <w:rPr>
          <w:rFonts w:hint="eastAsia" w:ascii="宋体" w:hAnsi="宋体" w:cs="宋体"/>
          <w:b/>
          <w:color w:val="000000" w:themeColor="text1"/>
          <w:sz w:val="28"/>
          <w:szCs w:val="28"/>
          <w:highlight w:val="none"/>
          <w14:textFill>
            <w14:solidFill>
              <w14:schemeClr w14:val="tx1"/>
            </w14:solidFill>
          </w14:textFill>
        </w:rPr>
        <w:t>磋商函</w:t>
      </w:r>
    </w:p>
    <w:p w14:paraId="7565D9C0">
      <w:pPr>
        <w:spacing w:line="360" w:lineRule="auto"/>
        <w:rPr>
          <w:rFonts w:ascii="宋体" w:hAnsi="宋体" w:cs="宋体"/>
          <w:color w:val="000000" w:themeColor="text1"/>
          <w:sz w:val="22"/>
          <w:szCs w:val="22"/>
          <w:highlight w:val="none"/>
          <w14:textFill>
            <w14:solidFill>
              <w14:schemeClr w14:val="tx1"/>
            </w14:solidFill>
          </w14:textFill>
        </w:rPr>
      </w:pPr>
    </w:p>
    <w:p w14:paraId="48844FEE">
      <w:pPr>
        <w:pStyle w:val="25"/>
        <w:spacing w:before="0" w:beforeLines="0" w:after="0" w:afterLines="0" w:line="360" w:lineRule="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致：</w:t>
      </w:r>
      <w:r>
        <w:rPr>
          <w:rFonts w:hint="eastAsia" w:hAnsi="宋体" w:cs="宋体"/>
          <w:color w:val="000000" w:themeColor="text1"/>
          <w:sz w:val="21"/>
          <w:szCs w:val="21"/>
          <w:highlight w:val="none"/>
          <w:u w:val="single"/>
          <w14:textFill>
            <w14:solidFill>
              <w14:schemeClr w14:val="tx1"/>
            </w14:solidFill>
          </w14:textFill>
        </w:rPr>
        <w:t xml:space="preserve">          （采购人名称）</w:t>
      </w:r>
    </w:p>
    <w:p w14:paraId="0898C185">
      <w:pPr>
        <w:pStyle w:val="25"/>
        <w:spacing w:before="0" w:beforeLines="0" w:after="0" w:afterLines="0" w:line="360" w:lineRule="auto"/>
        <w:ind w:firstLine="482"/>
        <w:rPr>
          <w:rFonts w:hAnsi="宋体" w:cs="宋体"/>
          <w:color w:val="000000" w:themeColor="text1"/>
          <w:sz w:val="21"/>
          <w:szCs w:val="21"/>
          <w:highlight w:val="none"/>
          <w14:textFill>
            <w14:solidFill>
              <w14:schemeClr w14:val="tx1"/>
            </w14:solidFill>
          </w14:textFill>
        </w:rPr>
      </w:pPr>
    </w:p>
    <w:p w14:paraId="6B36F23C">
      <w:pPr>
        <w:pStyle w:val="25"/>
        <w:spacing w:before="0" w:beforeLines="0" w:after="0" w:afterLines="0" w:line="360" w:lineRule="auto"/>
        <w:ind w:firstLine="420" w:firstLineChars="20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1.根据贵方</w:t>
      </w:r>
      <w:r>
        <w:rPr>
          <w:rFonts w:hint="eastAsia" w:hAnsi="宋体" w:cs="宋体"/>
          <w:color w:val="000000" w:themeColor="text1"/>
          <w:sz w:val="21"/>
          <w:szCs w:val="21"/>
          <w:highlight w:val="none"/>
          <w:u w:val="single"/>
          <w14:textFill>
            <w14:solidFill>
              <w14:schemeClr w14:val="tx1"/>
            </w14:solidFill>
          </w14:textFill>
        </w:rPr>
        <w:t xml:space="preserve">            （项目名称）</w:t>
      </w:r>
      <w:r>
        <w:rPr>
          <w:rFonts w:hint="eastAsia" w:hAnsi="宋体" w:cs="宋体"/>
          <w:color w:val="000000" w:themeColor="text1"/>
          <w:sz w:val="21"/>
          <w:szCs w:val="21"/>
          <w:highlight w:val="none"/>
          <w14:textFill>
            <w14:solidFill>
              <w14:schemeClr w14:val="tx1"/>
            </w14:solidFill>
          </w14:textFill>
        </w:rPr>
        <w:t>项目（采购编号：</w:t>
      </w:r>
      <w:r>
        <w:rPr>
          <w:rFonts w:hint="eastAsia" w:hAnsi="宋体" w:cs="宋体"/>
          <w:color w:val="000000" w:themeColor="text1"/>
          <w:sz w:val="21"/>
          <w:szCs w:val="21"/>
          <w:highlight w:val="none"/>
          <w:u w:val="single"/>
          <w14:textFill>
            <w14:solidFill>
              <w14:schemeClr w14:val="tx1"/>
            </w14:solidFill>
          </w14:textFill>
        </w:rPr>
        <w:t xml:space="preserve">        </w:t>
      </w:r>
      <w:r>
        <w:rPr>
          <w:rFonts w:hint="eastAsia" w:hAnsi="宋体" w:cs="宋体"/>
          <w:color w:val="000000" w:themeColor="text1"/>
          <w:sz w:val="21"/>
          <w:szCs w:val="21"/>
          <w:highlight w:val="none"/>
          <w14:textFill>
            <w14:solidFill>
              <w14:schemeClr w14:val="tx1"/>
            </w14:solidFill>
          </w14:textFill>
        </w:rPr>
        <w:t>）的竞争性磋商文件要求，正式授权下述签字人</w:t>
      </w:r>
      <w:r>
        <w:rPr>
          <w:rFonts w:hint="eastAsia" w:hAnsi="宋体" w:cs="宋体"/>
          <w:color w:val="000000" w:themeColor="text1"/>
          <w:sz w:val="21"/>
          <w:szCs w:val="21"/>
          <w:highlight w:val="none"/>
          <w:u w:val="single"/>
          <w14:textFill>
            <w14:solidFill>
              <w14:schemeClr w14:val="tx1"/>
            </w14:solidFill>
          </w14:textFill>
        </w:rPr>
        <w:t xml:space="preserve">          （姓名和职务）</w:t>
      </w:r>
      <w:r>
        <w:rPr>
          <w:rFonts w:hint="eastAsia" w:hAnsi="宋体" w:cs="宋体"/>
          <w:color w:val="000000" w:themeColor="text1"/>
          <w:sz w:val="21"/>
          <w:szCs w:val="21"/>
          <w:highlight w:val="none"/>
          <w14:textFill>
            <w14:solidFill>
              <w14:schemeClr w14:val="tx1"/>
            </w14:solidFill>
          </w14:textFill>
        </w:rPr>
        <w:t>全权代表供应商</w:t>
      </w:r>
      <w:r>
        <w:rPr>
          <w:rFonts w:hint="eastAsia" w:hAnsi="宋体" w:cs="宋体"/>
          <w:color w:val="000000" w:themeColor="text1"/>
          <w:sz w:val="21"/>
          <w:szCs w:val="21"/>
          <w:highlight w:val="none"/>
          <w:u w:val="single"/>
          <w14:textFill>
            <w14:solidFill>
              <w14:schemeClr w14:val="tx1"/>
            </w14:solidFill>
          </w14:textFill>
        </w:rPr>
        <w:t xml:space="preserve">           （供应商全称）</w:t>
      </w:r>
      <w:r>
        <w:rPr>
          <w:rFonts w:hint="eastAsia" w:hAnsi="宋体" w:cs="宋体"/>
          <w:color w:val="000000" w:themeColor="text1"/>
          <w:sz w:val="21"/>
          <w:szCs w:val="21"/>
          <w:highlight w:val="none"/>
          <w14:textFill>
            <w14:solidFill>
              <w14:schemeClr w14:val="tx1"/>
            </w14:solidFill>
          </w14:textFill>
        </w:rPr>
        <w:t>参加贵方组织的有关采购活动，并提交电子响应文件：</w:t>
      </w:r>
    </w:p>
    <w:p w14:paraId="2BF8E14F">
      <w:pPr>
        <w:pStyle w:val="25"/>
        <w:spacing w:before="0" w:beforeLines="0" w:after="0" w:afterLines="0" w:line="360" w:lineRule="auto"/>
        <w:ind w:firstLine="420" w:firstLineChars="20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政府采购云系统提交电子加密响应文件</w:t>
      </w:r>
      <w:r>
        <w:rPr>
          <w:rFonts w:hint="eastAsia" w:hAnsi="宋体" w:cs="宋体"/>
          <w:color w:val="000000" w:themeColor="text1"/>
          <w:sz w:val="21"/>
          <w:szCs w:val="21"/>
          <w:highlight w:val="none"/>
          <w:u w:val="single"/>
          <w14:textFill>
            <w14:solidFill>
              <w14:schemeClr w14:val="tx1"/>
            </w14:solidFill>
          </w14:textFill>
        </w:rPr>
        <w:t xml:space="preserve">    </w:t>
      </w:r>
      <w:r>
        <w:rPr>
          <w:rFonts w:hint="eastAsia" w:hAnsi="宋体" w:cs="宋体"/>
          <w:color w:val="000000" w:themeColor="text1"/>
          <w:sz w:val="21"/>
          <w:szCs w:val="21"/>
          <w:highlight w:val="none"/>
          <w14:textFill>
            <w14:solidFill>
              <w14:schemeClr w14:val="tx1"/>
            </w14:solidFill>
          </w14:textFill>
        </w:rPr>
        <w:t>份；</w:t>
      </w:r>
    </w:p>
    <w:p w14:paraId="04ADC94A">
      <w:pPr>
        <w:pStyle w:val="25"/>
        <w:spacing w:before="0" w:beforeLines="0" w:after="0" w:afterLines="0" w:line="360" w:lineRule="auto"/>
        <w:ind w:firstLine="420" w:firstLineChars="20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通过电子邮件提交备份电子响应文件（打包压缩加密）</w:t>
      </w:r>
      <w:r>
        <w:rPr>
          <w:rFonts w:hint="eastAsia" w:hAnsi="宋体" w:cs="宋体"/>
          <w:color w:val="000000" w:themeColor="text1"/>
          <w:sz w:val="21"/>
          <w:szCs w:val="21"/>
          <w:highlight w:val="none"/>
          <w:u w:val="single"/>
          <w14:textFill>
            <w14:solidFill>
              <w14:schemeClr w14:val="tx1"/>
            </w14:solidFill>
          </w14:textFill>
        </w:rPr>
        <w:t xml:space="preserve">    </w:t>
      </w:r>
      <w:r>
        <w:rPr>
          <w:rFonts w:hint="eastAsia" w:hAnsi="宋体" w:cs="宋体"/>
          <w:color w:val="000000" w:themeColor="text1"/>
          <w:sz w:val="21"/>
          <w:szCs w:val="21"/>
          <w:highlight w:val="none"/>
          <w14:textFill>
            <w14:solidFill>
              <w14:schemeClr w14:val="tx1"/>
            </w14:solidFill>
          </w14:textFill>
        </w:rPr>
        <w:t>份；</w:t>
      </w:r>
    </w:p>
    <w:p w14:paraId="01A71559">
      <w:pPr>
        <w:pStyle w:val="25"/>
        <w:spacing w:before="0" w:beforeLines="0" w:after="0" w:afterLines="0" w:line="360" w:lineRule="auto"/>
        <w:ind w:firstLine="420" w:firstLineChars="20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2.据此函，签字人兹宣布同意如下：</w:t>
      </w:r>
    </w:p>
    <w:p w14:paraId="328B3FF9">
      <w:pPr>
        <w:pStyle w:val="25"/>
        <w:spacing w:before="0" w:beforeLines="0" w:after="0" w:afterLines="0" w:line="360" w:lineRule="auto"/>
        <w:ind w:firstLine="315" w:firstLineChars="15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（1）我们承担根据竞争性磋商文件的规定，完成合同的责任和义务。</w:t>
      </w:r>
    </w:p>
    <w:p w14:paraId="7540D417">
      <w:pPr>
        <w:pStyle w:val="25"/>
        <w:spacing w:before="0" w:beforeLines="0" w:after="0" w:afterLines="0" w:line="360" w:lineRule="auto"/>
        <w:ind w:firstLine="315" w:firstLineChars="15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（2）我们已详细审核全部竞争性磋商文件、参考资料及有关附件，我们知道必须放弃提出含糊不清或误解问题的权利。</w:t>
      </w:r>
    </w:p>
    <w:p w14:paraId="073846E6">
      <w:pPr>
        <w:pStyle w:val="25"/>
        <w:spacing w:before="0" w:beforeLines="0" w:after="0" w:afterLines="0" w:line="360" w:lineRule="auto"/>
        <w:ind w:firstLine="315" w:firstLineChars="15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（3）我们同意在供应商须知规定的磋商日期起遵循本响应文件，并在供应商须知规定的磋商有效期满之前均具有约束力，并有可能成交。</w:t>
      </w:r>
    </w:p>
    <w:p w14:paraId="254DB0D9">
      <w:pPr>
        <w:pStyle w:val="25"/>
        <w:spacing w:before="0" w:beforeLines="0" w:after="0" w:afterLines="0" w:line="360" w:lineRule="auto"/>
        <w:ind w:firstLine="315" w:firstLineChars="15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（4）如果在磋商规定的磋商有效期内撤回响应文件或者有其他违约行为，贵方有权上报财政部门，建议财政部门将本公司列入不良行为记录名单，在一至三年内禁止本公司参加政府采购活动并予以通报。</w:t>
      </w:r>
    </w:p>
    <w:p w14:paraId="12A27ACB">
      <w:pPr>
        <w:pStyle w:val="25"/>
        <w:spacing w:before="0" w:beforeLines="0" w:after="0" w:afterLines="0" w:line="360" w:lineRule="auto"/>
        <w:ind w:firstLine="315" w:firstLineChars="15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（5）同意向贵方提供贵方可能要求的与本磋商有关的任何数据或资料。</w:t>
      </w:r>
    </w:p>
    <w:p w14:paraId="249FBE06">
      <w:pPr>
        <w:pStyle w:val="25"/>
        <w:spacing w:before="0" w:beforeLines="0" w:after="0" w:afterLines="0" w:line="360" w:lineRule="auto"/>
        <w:ind w:firstLine="315" w:firstLineChars="15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（6）我们完全理解贵方不一定要接受最低报价或收到的任何磋商。</w:t>
      </w:r>
    </w:p>
    <w:p w14:paraId="626E3B2E">
      <w:pPr>
        <w:pStyle w:val="25"/>
        <w:spacing w:before="0" w:beforeLines="0" w:after="0" w:afterLines="0" w:line="360" w:lineRule="auto"/>
        <w:ind w:firstLine="420"/>
        <w:rPr>
          <w:rFonts w:hAnsi="宋体" w:cs="宋体"/>
          <w:b/>
          <w:color w:val="000000" w:themeColor="text1"/>
          <w:sz w:val="21"/>
          <w:szCs w:val="21"/>
          <w:highlight w:val="none"/>
          <w14:textFill>
            <w14:solidFill>
              <w14:schemeClr w14:val="tx1"/>
            </w14:solidFill>
          </w14:textFill>
        </w:rPr>
      </w:pPr>
    </w:p>
    <w:p w14:paraId="0FF9BD7B">
      <w:pPr>
        <w:pStyle w:val="25"/>
        <w:spacing w:before="0" w:beforeLines="0" w:after="0" w:afterLines="0" w:line="360" w:lineRule="auto"/>
        <w:ind w:firstLine="420"/>
        <w:rPr>
          <w:rFonts w:hAnsi="宋体" w:cs="宋体"/>
          <w:b/>
          <w:color w:val="000000" w:themeColor="text1"/>
          <w:sz w:val="21"/>
          <w:szCs w:val="21"/>
          <w:highlight w:val="none"/>
          <w14:textFill>
            <w14:solidFill>
              <w14:schemeClr w14:val="tx1"/>
            </w14:solidFill>
          </w14:textFill>
        </w:rPr>
      </w:pPr>
      <w:r>
        <w:rPr>
          <w:rFonts w:hint="eastAsia" w:hAnsi="宋体" w:cs="宋体"/>
          <w:b/>
          <w:color w:val="000000" w:themeColor="text1"/>
          <w:sz w:val="21"/>
          <w:szCs w:val="21"/>
          <w:highlight w:val="none"/>
          <w14:textFill>
            <w14:solidFill>
              <w14:schemeClr w14:val="tx1"/>
            </w14:solidFill>
          </w14:textFill>
        </w:rPr>
        <w:t>与本磋商有关的正式通讯地址为：</w:t>
      </w:r>
    </w:p>
    <w:p w14:paraId="5C9CEFFD">
      <w:pPr>
        <w:pStyle w:val="25"/>
        <w:spacing w:before="0" w:beforeLines="0" w:after="0" w:afterLines="0" w:line="360" w:lineRule="auto"/>
        <w:ind w:firstLine="42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地址：</w:t>
      </w:r>
      <w:r>
        <w:rPr>
          <w:rFonts w:hint="eastAsia" w:hAnsi="宋体" w:cs="宋体"/>
          <w:color w:val="000000" w:themeColor="text1"/>
          <w:sz w:val="21"/>
          <w:szCs w:val="21"/>
          <w:highlight w:val="none"/>
          <w:u w:val="single"/>
          <w14:textFill>
            <w14:solidFill>
              <w14:schemeClr w14:val="tx1"/>
            </w14:solidFill>
          </w14:textFill>
        </w:rPr>
        <w:t xml:space="preserve">                      </w:t>
      </w:r>
      <w:r>
        <w:rPr>
          <w:rFonts w:hint="eastAsia" w:hAnsi="宋体" w:cs="宋体"/>
          <w:color w:val="000000" w:themeColor="text1"/>
          <w:sz w:val="21"/>
          <w:szCs w:val="21"/>
          <w:highlight w:val="none"/>
          <w14:textFill>
            <w14:solidFill>
              <w14:schemeClr w14:val="tx1"/>
            </w14:solidFill>
          </w14:textFill>
        </w:rPr>
        <w:t xml:space="preserve">  邮政编码：</w:t>
      </w:r>
      <w:r>
        <w:rPr>
          <w:rFonts w:hint="eastAsia" w:hAnsi="宋体" w:cs="宋体"/>
          <w:color w:val="000000" w:themeColor="text1"/>
          <w:sz w:val="21"/>
          <w:szCs w:val="21"/>
          <w:highlight w:val="none"/>
          <w:u w:val="single"/>
          <w14:textFill>
            <w14:solidFill>
              <w14:schemeClr w14:val="tx1"/>
            </w14:solidFill>
          </w14:textFill>
        </w:rPr>
        <w:t xml:space="preserve">                   </w:t>
      </w:r>
    </w:p>
    <w:p w14:paraId="5DD1D723">
      <w:pPr>
        <w:pStyle w:val="25"/>
        <w:spacing w:before="0" w:beforeLines="0" w:after="0" w:afterLines="0" w:line="360" w:lineRule="auto"/>
        <w:ind w:firstLine="42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电话、传真：</w:t>
      </w:r>
      <w:r>
        <w:rPr>
          <w:rFonts w:hint="eastAsia" w:hAnsi="宋体" w:cs="宋体"/>
          <w:color w:val="000000" w:themeColor="text1"/>
          <w:sz w:val="21"/>
          <w:szCs w:val="21"/>
          <w:highlight w:val="none"/>
          <w:u w:val="single"/>
          <w14:textFill>
            <w14:solidFill>
              <w14:schemeClr w14:val="tx1"/>
            </w14:solidFill>
          </w14:textFill>
        </w:rPr>
        <w:t xml:space="preserve">                                               </w:t>
      </w:r>
    </w:p>
    <w:p w14:paraId="7C230407">
      <w:pPr>
        <w:pStyle w:val="25"/>
        <w:spacing w:before="0" w:beforeLines="0" w:after="0" w:afterLines="0" w:line="360" w:lineRule="auto"/>
        <w:ind w:firstLine="42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电子邮件：</w:t>
      </w:r>
      <w:r>
        <w:rPr>
          <w:rFonts w:hint="eastAsia" w:hAnsi="宋体" w:cs="宋体"/>
          <w:color w:val="000000" w:themeColor="text1"/>
          <w:sz w:val="21"/>
          <w:szCs w:val="21"/>
          <w:highlight w:val="none"/>
          <w:u w:val="single"/>
          <w14:textFill>
            <w14:solidFill>
              <w14:schemeClr w14:val="tx1"/>
            </w14:solidFill>
          </w14:textFill>
        </w:rPr>
        <w:t xml:space="preserve">                                                 </w:t>
      </w:r>
    </w:p>
    <w:p w14:paraId="278E1F72">
      <w:pPr>
        <w:pStyle w:val="25"/>
        <w:spacing w:before="0" w:beforeLines="0" w:after="0" w:afterLines="0" w:line="360" w:lineRule="auto"/>
        <w:rPr>
          <w:rFonts w:hAnsi="宋体" w:cs="宋体"/>
          <w:color w:val="000000" w:themeColor="text1"/>
          <w:sz w:val="21"/>
          <w:szCs w:val="21"/>
          <w:highlight w:val="none"/>
          <w14:textFill>
            <w14:solidFill>
              <w14:schemeClr w14:val="tx1"/>
            </w14:solidFill>
          </w14:textFill>
        </w:rPr>
      </w:pPr>
    </w:p>
    <w:p w14:paraId="44840F02">
      <w:pPr>
        <w:pStyle w:val="25"/>
        <w:spacing w:before="120" w:after="120" w:line="360" w:lineRule="auto"/>
        <w:ind w:firstLine="1500" w:firstLineChars="600"/>
        <w:rPr>
          <w:rFonts w:hAnsi="宋体" w:cs="宋体"/>
          <w:color w:val="000000" w:themeColor="text1"/>
          <w:spacing w:val="20"/>
          <w:sz w:val="21"/>
          <w:szCs w:val="21"/>
          <w:highlight w:val="non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 xml:space="preserve"> </w:t>
      </w:r>
    </w:p>
    <w:p w14:paraId="07C7DA27">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50CF2DAC">
      <w:pPr>
        <w:spacing w:line="360" w:lineRule="auto"/>
        <w:ind w:firstLine="4750" w:firstLineChars="1900"/>
        <w:rPr>
          <w:rFonts w:ascii="宋体" w:hAnsi="宋体" w:cs="宋体"/>
          <w:b/>
          <w:bCs/>
          <w:color w:val="000000" w:themeColor="text1"/>
          <w:sz w:val="21"/>
          <w:szCs w:val="21"/>
          <w:highlight w:val="none"/>
          <w14:textFill>
            <w14:solidFill>
              <w14:schemeClr w14:val="tx1"/>
            </w14:solidFill>
          </w14:textFill>
        </w:rPr>
      </w:pPr>
      <w:r>
        <w:rPr>
          <w:rFonts w:hint="eastAsia" w:ascii="宋体" w:hAnsi="宋体" w:cs="宋体"/>
          <w:color w:val="000000" w:themeColor="text1"/>
          <w:spacing w:val="20"/>
          <w:sz w:val="21"/>
          <w:szCs w:val="21"/>
          <w:highlight w:val="none"/>
          <w14:textFill>
            <w14:solidFill>
              <w14:schemeClr w14:val="tx1"/>
            </w14:solidFill>
          </w14:textFill>
        </w:rPr>
        <w:t>日     期：</w:t>
      </w:r>
      <w:r>
        <w:rPr>
          <w:rFonts w:hint="eastAsia" w:ascii="宋体" w:hAnsi="宋体" w:cs="宋体"/>
          <w:color w:val="000000" w:themeColor="text1"/>
          <w:spacing w:val="20"/>
          <w:sz w:val="21"/>
          <w:szCs w:val="21"/>
          <w:highlight w:val="none"/>
          <w:u w:val="single"/>
          <w14:textFill>
            <w14:solidFill>
              <w14:schemeClr w14:val="tx1"/>
            </w14:solidFill>
          </w14:textFill>
        </w:rPr>
        <w:t xml:space="preserve">            </w:t>
      </w:r>
    </w:p>
    <w:p w14:paraId="5A83EF36">
      <w:pPr>
        <w:spacing w:line="360" w:lineRule="auto"/>
        <w:jc w:val="center"/>
        <w:rPr>
          <w:rFonts w:ascii="宋体" w:hAnsi="宋体" w:cs="宋体"/>
          <w:color w:val="000000" w:themeColor="text1"/>
          <w:szCs w:val="21"/>
          <w:highlight w:val="none"/>
          <w14:textFill>
            <w14:solidFill>
              <w14:schemeClr w14:val="tx1"/>
            </w14:solidFill>
          </w14:textFill>
        </w:rPr>
      </w:pPr>
    </w:p>
    <w:p w14:paraId="217346D5">
      <w:pPr>
        <w:spacing w:line="360" w:lineRule="auto"/>
        <w:jc w:val="center"/>
        <w:rPr>
          <w:rFonts w:ascii="宋体" w:hAnsi="宋体" w:cs="宋体"/>
          <w:color w:val="000000" w:themeColor="text1"/>
          <w:szCs w:val="21"/>
          <w:highlight w:val="none"/>
          <w14:textFill>
            <w14:solidFill>
              <w14:schemeClr w14:val="tx1"/>
            </w14:solidFill>
          </w14:textFill>
        </w:rPr>
        <w:sectPr>
          <w:pgSz w:w="11906" w:h="16838"/>
          <w:pgMar w:top="1417" w:right="1417" w:bottom="1134" w:left="1417" w:header="851" w:footer="850" w:gutter="0"/>
          <w:cols w:space="720" w:num="1"/>
          <w:titlePg/>
          <w:docGrid w:linePitch="312" w:charSpace="0"/>
        </w:sectPr>
      </w:pPr>
    </w:p>
    <w:p w14:paraId="2BF7F486">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2.</w:t>
      </w:r>
      <w:r>
        <w:rPr>
          <w:rFonts w:hint="eastAsia" w:ascii="宋体" w:hAnsi="宋体" w:cs="宋体"/>
          <w:b/>
          <w:color w:val="000000" w:themeColor="text1"/>
          <w:sz w:val="28"/>
          <w:szCs w:val="28"/>
          <w:highlight w:val="none"/>
          <w14:textFill>
            <w14:solidFill>
              <w14:schemeClr w14:val="tx1"/>
            </w14:solidFill>
          </w14:textFill>
        </w:rPr>
        <w:t>商务响应表</w:t>
      </w:r>
    </w:p>
    <w:p w14:paraId="2E179984">
      <w:pPr>
        <w:jc w:val="center"/>
        <w:rPr>
          <w:rFonts w:ascii="宋体" w:hAnsi="宋体" w:cs="宋体"/>
          <w:b/>
          <w:color w:val="000000" w:themeColor="text1"/>
          <w:sz w:val="24"/>
          <w:highlight w:val="none"/>
          <w14:textFill>
            <w14:solidFill>
              <w14:schemeClr w14:val="tx1"/>
            </w14:solidFill>
          </w14:textFill>
        </w:rPr>
      </w:pPr>
    </w:p>
    <w:tbl>
      <w:tblPr>
        <w:tblStyle w:val="4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52"/>
        <w:gridCol w:w="2196"/>
        <w:gridCol w:w="1260"/>
        <w:gridCol w:w="3020"/>
      </w:tblGrid>
      <w:tr w14:paraId="20127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tcPr>
          <w:p w14:paraId="6CA0E2A7">
            <w:pPr>
              <w:snapToGrid w:val="0"/>
              <w:spacing w:before="120" w:beforeLines="50"/>
              <w:jc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项目</w:t>
            </w:r>
          </w:p>
        </w:tc>
        <w:tc>
          <w:tcPr>
            <w:tcW w:w="2196" w:type="dxa"/>
            <w:tcBorders>
              <w:top w:val="single" w:color="auto" w:sz="4" w:space="0"/>
              <w:left w:val="single" w:color="auto" w:sz="4" w:space="0"/>
              <w:bottom w:val="single" w:color="auto" w:sz="4" w:space="0"/>
              <w:right w:val="single" w:color="auto" w:sz="4" w:space="0"/>
            </w:tcBorders>
          </w:tcPr>
          <w:p w14:paraId="1ACFBF8D">
            <w:pPr>
              <w:snapToGrid w:val="0"/>
              <w:spacing w:before="120" w:beforeLines="50"/>
              <w:jc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竞争性磋商文件要求</w:t>
            </w:r>
          </w:p>
        </w:tc>
        <w:tc>
          <w:tcPr>
            <w:tcW w:w="1260" w:type="dxa"/>
            <w:tcBorders>
              <w:top w:val="single" w:color="auto" w:sz="4" w:space="0"/>
              <w:left w:val="single" w:color="auto" w:sz="4" w:space="0"/>
              <w:bottom w:val="single" w:color="auto" w:sz="4" w:space="0"/>
              <w:right w:val="single" w:color="auto" w:sz="4" w:space="0"/>
            </w:tcBorders>
          </w:tcPr>
          <w:p w14:paraId="4EB9B7BF">
            <w:pPr>
              <w:snapToGrid w:val="0"/>
              <w:spacing w:before="120" w:beforeLines="50"/>
              <w:jc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是否响应</w:t>
            </w:r>
          </w:p>
        </w:tc>
        <w:tc>
          <w:tcPr>
            <w:tcW w:w="3020" w:type="dxa"/>
            <w:tcBorders>
              <w:top w:val="single" w:color="auto" w:sz="4" w:space="0"/>
              <w:left w:val="single" w:color="auto" w:sz="4" w:space="0"/>
              <w:bottom w:val="single" w:color="auto" w:sz="4" w:space="0"/>
              <w:right w:val="single" w:color="auto" w:sz="4" w:space="0"/>
            </w:tcBorders>
          </w:tcPr>
          <w:p w14:paraId="097F5280">
            <w:pPr>
              <w:snapToGrid w:val="0"/>
              <w:spacing w:before="120" w:beforeLines="50"/>
              <w:jc w:val="center"/>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供应商的承诺或说明</w:t>
            </w:r>
          </w:p>
        </w:tc>
      </w:tr>
      <w:tr w14:paraId="57DE0D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2052" w:type="dxa"/>
            <w:tcBorders>
              <w:top w:val="single" w:color="auto" w:sz="4" w:space="0"/>
              <w:left w:val="single" w:color="auto" w:sz="4" w:space="0"/>
              <w:bottom w:val="single" w:color="auto" w:sz="4" w:space="0"/>
              <w:right w:val="single" w:color="auto" w:sz="4" w:space="0"/>
            </w:tcBorders>
            <w:vAlign w:val="top"/>
          </w:tcPr>
          <w:p w14:paraId="04981ADD">
            <w:pPr>
              <w:snapToGrid w:val="0"/>
              <w:spacing w:before="120" w:beforeLines="50"/>
              <w:jc w:val="center"/>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szCs w:val="21"/>
                <w:highlight w:val="none"/>
              </w:rPr>
              <w:t>服务内容</w:t>
            </w:r>
          </w:p>
        </w:tc>
        <w:tc>
          <w:tcPr>
            <w:tcW w:w="2196" w:type="dxa"/>
            <w:tcBorders>
              <w:top w:val="single" w:color="auto" w:sz="4" w:space="0"/>
              <w:left w:val="single" w:color="auto" w:sz="4" w:space="0"/>
              <w:bottom w:val="single" w:color="auto" w:sz="4" w:space="0"/>
              <w:right w:val="single" w:color="auto" w:sz="4" w:space="0"/>
            </w:tcBorders>
          </w:tcPr>
          <w:p w14:paraId="20110A1F">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38CF505A">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26811D53">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2E5C5C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jc w:val="center"/>
        </w:trPr>
        <w:tc>
          <w:tcPr>
            <w:tcW w:w="2052" w:type="dxa"/>
            <w:tcBorders>
              <w:top w:val="single" w:color="auto" w:sz="4" w:space="0"/>
              <w:left w:val="single" w:color="auto" w:sz="4" w:space="0"/>
              <w:bottom w:val="single" w:color="auto" w:sz="4" w:space="0"/>
              <w:right w:val="single" w:color="auto" w:sz="4" w:space="0"/>
            </w:tcBorders>
            <w:vAlign w:val="top"/>
          </w:tcPr>
          <w:p w14:paraId="49C27E58">
            <w:pPr>
              <w:snapToGrid w:val="0"/>
              <w:spacing w:before="120" w:beforeLines="50"/>
              <w:jc w:val="center"/>
              <w:rPr>
                <w:rFonts w:ascii="宋体" w:hAnsi="宋体" w:cs="宋体"/>
                <w:color w:val="000000" w:themeColor="text1"/>
                <w:szCs w:val="21"/>
                <w:highlight w:val="none"/>
                <w14:textFill>
                  <w14:solidFill>
                    <w14:schemeClr w14:val="tx1"/>
                  </w14:solidFill>
                </w14:textFill>
              </w:rPr>
            </w:pPr>
            <w:r>
              <w:rPr>
                <w:rFonts w:hint="eastAsia" w:ascii="宋体" w:hAnsi="宋体" w:eastAsia="宋体" w:cs="宋体"/>
                <w:color w:val="000000"/>
                <w:szCs w:val="21"/>
                <w:highlight w:val="none"/>
              </w:rPr>
              <w:t>服务期限</w:t>
            </w:r>
          </w:p>
        </w:tc>
        <w:tc>
          <w:tcPr>
            <w:tcW w:w="2196" w:type="dxa"/>
            <w:tcBorders>
              <w:top w:val="single" w:color="auto" w:sz="4" w:space="0"/>
              <w:left w:val="single" w:color="auto" w:sz="4" w:space="0"/>
              <w:bottom w:val="single" w:color="auto" w:sz="4" w:space="0"/>
              <w:right w:val="single" w:color="auto" w:sz="4" w:space="0"/>
            </w:tcBorders>
          </w:tcPr>
          <w:p w14:paraId="4F175628">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B50D90A">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04E4C37C">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7AB44F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2052" w:type="dxa"/>
            <w:tcBorders>
              <w:top w:val="single" w:color="auto" w:sz="4" w:space="0"/>
              <w:left w:val="single" w:color="auto" w:sz="4" w:space="0"/>
              <w:bottom w:val="single" w:color="auto" w:sz="4" w:space="0"/>
              <w:right w:val="single" w:color="auto" w:sz="4" w:space="0"/>
            </w:tcBorders>
          </w:tcPr>
          <w:p w14:paraId="49C77894">
            <w:pPr>
              <w:snapToGrid w:val="0"/>
              <w:spacing w:before="120" w:beforeLines="50"/>
              <w:jc w:val="center"/>
              <w:rPr>
                <w:rFonts w:ascii="宋体" w:hAnsi="宋体" w:cs="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6603760F">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18D74BB1">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569FEC2B">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276BE7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tcPr>
          <w:p w14:paraId="622B5529">
            <w:pPr>
              <w:snapToGrid w:val="0"/>
              <w:spacing w:before="120" w:beforeLine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w:t>
            </w:r>
          </w:p>
        </w:tc>
        <w:tc>
          <w:tcPr>
            <w:tcW w:w="2196" w:type="dxa"/>
            <w:tcBorders>
              <w:top w:val="single" w:color="auto" w:sz="4" w:space="0"/>
              <w:left w:val="single" w:color="auto" w:sz="4" w:space="0"/>
              <w:bottom w:val="single" w:color="auto" w:sz="4" w:space="0"/>
              <w:right w:val="single" w:color="auto" w:sz="4" w:space="0"/>
            </w:tcBorders>
          </w:tcPr>
          <w:p w14:paraId="1DA8662C">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7493EA8F">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73B115EA">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067430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tcPr>
          <w:p w14:paraId="50F2EF7E">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4CDB0AF4">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34EA8DEB">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1CEBA23E">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66794C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tcPr>
          <w:p w14:paraId="286691F2">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0F15E589">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233AFA1C">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045CD4A2">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7B45D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vAlign w:val="center"/>
          </w:tcPr>
          <w:p w14:paraId="13618680">
            <w:pPr>
              <w:snapToGrid w:val="0"/>
              <w:spacing w:before="120" w:beforeLines="50"/>
              <w:jc w:val="center"/>
              <w:rPr>
                <w:rFonts w:ascii="宋体" w:hAnsi="宋体" w:cs="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1E448CB5">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3DFB6BC5">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159F9501">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005D3A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vAlign w:val="center"/>
          </w:tcPr>
          <w:p w14:paraId="51ED3C30">
            <w:pPr>
              <w:snapToGrid w:val="0"/>
              <w:spacing w:before="120" w:beforeLines="50"/>
              <w:jc w:val="center"/>
              <w:rPr>
                <w:rFonts w:ascii="宋体" w:hAnsi="宋体" w:cs="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04FB893A">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458B103A">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0A622079">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74268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vAlign w:val="center"/>
          </w:tcPr>
          <w:p w14:paraId="6B5DFFD1">
            <w:pPr>
              <w:snapToGrid w:val="0"/>
              <w:spacing w:before="120" w:beforeLines="50"/>
              <w:jc w:val="center"/>
              <w:rPr>
                <w:rFonts w:ascii="宋体" w:hAnsi="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00FB0E02">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24C12975">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261C9DB3">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14F5DE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left w:val="single" w:color="auto" w:sz="4" w:space="0"/>
              <w:bottom w:val="single" w:color="auto" w:sz="4" w:space="0"/>
              <w:right w:val="single" w:color="auto" w:sz="4" w:space="0"/>
            </w:tcBorders>
            <w:vAlign w:val="center"/>
          </w:tcPr>
          <w:p w14:paraId="56C826E6">
            <w:pPr>
              <w:snapToGrid w:val="0"/>
              <w:spacing w:before="120" w:beforeLines="50"/>
              <w:jc w:val="center"/>
              <w:rPr>
                <w:rFonts w:ascii="宋体" w:hAnsi="宋体"/>
                <w:color w:val="000000" w:themeColor="text1"/>
                <w:szCs w:val="21"/>
                <w:highlight w:val="none"/>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218ED598">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31EC108">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bottom w:val="single" w:color="auto" w:sz="4" w:space="0"/>
              <w:right w:val="single" w:color="auto" w:sz="4" w:space="0"/>
            </w:tcBorders>
          </w:tcPr>
          <w:p w14:paraId="31680ADF">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7A7C6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bottom w:val="single" w:color="auto" w:sz="4" w:space="0"/>
              <w:right w:val="single" w:color="auto" w:sz="4" w:space="0"/>
            </w:tcBorders>
            <w:vAlign w:val="center"/>
          </w:tcPr>
          <w:p w14:paraId="707950B1">
            <w:pPr>
              <w:snapToGrid w:val="0"/>
              <w:spacing w:before="120" w:beforeLines="50"/>
              <w:jc w:val="center"/>
              <w:rPr>
                <w:rFonts w:ascii="宋体" w:hAnsi="宋体"/>
                <w:color w:val="000000" w:themeColor="text1"/>
                <w:szCs w:val="21"/>
                <w:highlight w:val="none"/>
                <w14:textFill>
                  <w14:solidFill>
                    <w14:schemeClr w14:val="tx1"/>
                  </w14:solidFill>
                </w14:textFill>
              </w:rPr>
            </w:pPr>
          </w:p>
        </w:tc>
        <w:tc>
          <w:tcPr>
            <w:tcW w:w="2196" w:type="dxa"/>
            <w:tcBorders>
              <w:left w:val="single" w:color="auto" w:sz="4" w:space="0"/>
              <w:bottom w:val="single" w:color="auto" w:sz="4" w:space="0"/>
              <w:right w:val="single" w:color="auto" w:sz="4" w:space="0"/>
            </w:tcBorders>
          </w:tcPr>
          <w:p w14:paraId="14BB208A">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left w:val="single" w:color="auto" w:sz="4" w:space="0"/>
              <w:bottom w:val="single" w:color="auto" w:sz="4" w:space="0"/>
              <w:right w:val="single" w:color="auto" w:sz="4" w:space="0"/>
            </w:tcBorders>
          </w:tcPr>
          <w:p w14:paraId="0DD632AA">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left w:val="single" w:color="auto" w:sz="4" w:space="0"/>
              <w:bottom w:val="single" w:color="auto" w:sz="4" w:space="0"/>
            </w:tcBorders>
          </w:tcPr>
          <w:p w14:paraId="153112D9">
            <w:pPr>
              <w:snapToGrid w:val="0"/>
              <w:spacing w:before="120" w:beforeLines="50"/>
              <w:rPr>
                <w:rFonts w:ascii="宋体" w:hAnsi="宋体" w:cs="宋体"/>
                <w:color w:val="000000" w:themeColor="text1"/>
                <w:szCs w:val="21"/>
                <w:highlight w:val="none"/>
                <w14:textFill>
                  <w14:solidFill>
                    <w14:schemeClr w14:val="tx1"/>
                  </w14:solidFill>
                </w14:textFill>
              </w:rPr>
            </w:pPr>
          </w:p>
        </w:tc>
      </w:tr>
      <w:tr w14:paraId="18A312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052" w:type="dxa"/>
            <w:tcBorders>
              <w:top w:val="single" w:color="auto" w:sz="4" w:space="0"/>
              <w:right w:val="single" w:color="auto" w:sz="4" w:space="0"/>
            </w:tcBorders>
            <w:vAlign w:val="center"/>
          </w:tcPr>
          <w:p w14:paraId="57F0F730">
            <w:pPr>
              <w:snapToGrid w:val="0"/>
              <w:spacing w:before="120" w:beforeLines="50"/>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p>
        </w:tc>
        <w:tc>
          <w:tcPr>
            <w:tcW w:w="2196" w:type="dxa"/>
            <w:tcBorders>
              <w:top w:val="single" w:color="auto" w:sz="4" w:space="0"/>
              <w:left w:val="single" w:color="auto" w:sz="4" w:space="0"/>
              <w:right w:val="single" w:color="auto" w:sz="4" w:space="0"/>
            </w:tcBorders>
          </w:tcPr>
          <w:p w14:paraId="6548608B">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1260" w:type="dxa"/>
            <w:tcBorders>
              <w:top w:val="single" w:color="auto" w:sz="4" w:space="0"/>
              <w:left w:val="single" w:color="auto" w:sz="4" w:space="0"/>
              <w:right w:val="single" w:color="auto" w:sz="4" w:space="0"/>
            </w:tcBorders>
          </w:tcPr>
          <w:p w14:paraId="001713A1">
            <w:pPr>
              <w:snapToGrid w:val="0"/>
              <w:spacing w:before="120" w:beforeLines="50"/>
              <w:rPr>
                <w:rFonts w:ascii="宋体" w:hAnsi="宋体" w:cs="宋体"/>
                <w:color w:val="000000" w:themeColor="text1"/>
                <w:szCs w:val="21"/>
                <w:highlight w:val="none"/>
                <w14:textFill>
                  <w14:solidFill>
                    <w14:schemeClr w14:val="tx1"/>
                  </w14:solidFill>
                </w14:textFill>
              </w:rPr>
            </w:pPr>
          </w:p>
        </w:tc>
        <w:tc>
          <w:tcPr>
            <w:tcW w:w="3020" w:type="dxa"/>
            <w:tcBorders>
              <w:top w:val="single" w:color="auto" w:sz="4" w:space="0"/>
              <w:left w:val="single" w:color="auto" w:sz="4" w:space="0"/>
            </w:tcBorders>
          </w:tcPr>
          <w:p w14:paraId="0D978BD7">
            <w:pPr>
              <w:snapToGrid w:val="0"/>
              <w:spacing w:before="120" w:beforeLines="50"/>
              <w:rPr>
                <w:rFonts w:ascii="宋体" w:hAnsi="宋体" w:cs="宋体"/>
                <w:color w:val="000000" w:themeColor="text1"/>
                <w:szCs w:val="21"/>
                <w:highlight w:val="none"/>
                <w14:textFill>
                  <w14:solidFill>
                    <w14:schemeClr w14:val="tx1"/>
                  </w14:solidFill>
                </w14:textFill>
              </w:rPr>
            </w:pPr>
          </w:p>
        </w:tc>
      </w:tr>
    </w:tbl>
    <w:p w14:paraId="1BB4B521">
      <w:pPr>
        <w:spacing w:line="400" w:lineRule="exact"/>
        <w:jc w:val="left"/>
        <w:rPr>
          <w:rFonts w:ascii="仿宋_GB2312" w:hAnsi="仿宋_GB2312" w:eastAsia="仿宋_GB2312" w:cs="仿宋_GB2312"/>
          <w:color w:val="000000" w:themeColor="text1"/>
          <w:sz w:val="22"/>
          <w:highlight w:val="none"/>
          <w:shd w:val="clear" w:color="050000" w:fill="auto"/>
          <w14:textFill>
            <w14:solidFill>
              <w14:schemeClr w14:val="tx1"/>
            </w14:solidFill>
          </w14:textFill>
        </w:rPr>
      </w:pPr>
      <w:r>
        <w:rPr>
          <w:rFonts w:hint="eastAsia" w:ascii="宋体" w:hAnsi="宋体" w:cs="宋体"/>
          <w:color w:val="000000" w:themeColor="text1"/>
          <w:sz w:val="22"/>
          <w:highlight w:val="none"/>
          <w:shd w:val="clear" w:color="050000" w:fill="auto"/>
          <w14:textFill>
            <w14:solidFill>
              <w14:schemeClr w14:val="tx1"/>
            </w14:solidFill>
          </w14:textFill>
        </w:rPr>
        <w:t>填写说明：</w:t>
      </w:r>
    </w:p>
    <w:p w14:paraId="713F80C2">
      <w:pPr>
        <w:spacing w:line="400" w:lineRule="exact"/>
        <w:ind w:firstLine="440"/>
        <w:rPr>
          <w:rFonts w:ascii="仿宋_GB2312" w:hAnsi="仿宋_GB2312" w:eastAsia="仿宋_GB2312" w:cs="仿宋_GB2312"/>
          <w:color w:val="000000" w:themeColor="text1"/>
          <w:sz w:val="22"/>
          <w:highlight w:val="none"/>
          <w:shd w:val="clear" w:color="050000" w:fill="auto"/>
          <w14:textFill>
            <w14:solidFill>
              <w14:schemeClr w14:val="tx1"/>
            </w14:solidFill>
          </w14:textFill>
        </w:rPr>
      </w:pPr>
      <w:r>
        <w:rPr>
          <w:rFonts w:hint="eastAsia" w:ascii="宋体" w:hAnsi="宋体" w:cs="仿宋_GB2312"/>
          <w:color w:val="000000" w:themeColor="text1"/>
          <w:sz w:val="22"/>
          <w:highlight w:val="none"/>
          <w:shd w:val="clear" w:color="050000" w:fill="auto"/>
          <w14:textFill>
            <w14:solidFill>
              <w14:schemeClr w14:val="tx1"/>
            </w14:solidFill>
          </w14:textFill>
        </w:rPr>
        <w:t>1.</w:t>
      </w:r>
      <w:r>
        <w:rPr>
          <w:rFonts w:hint="eastAsia" w:ascii="宋体" w:hAnsi="宋体" w:cs="宋体"/>
          <w:color w:val="000000" w:themeColor="text1"/>
          <w:highlight w:val="none"/>
          <w:shd w:val="clear" w:color="050000" w:fill="auto"/>
          <w14:textFill>
            <w14:solidFill>
              <w14:schemeClr w14:val="tx1"/>
            </w14:solidFill>
          </w14:textFill>
        </w:rPr>
        <w:t>项数不够时，可自行添加。</w:t>
      </w:r>
    </w:p>
    <w:p w14:paraId="5DD99F9D">
      <w:pPr>
        <w:spacing w:line="400" w:lineRule="exact"/>
        <w:ind w:firstLine="440"/>
        <w:rPr>
          <w:rFonts w:ascii="仿宋_GB2312" w:hAnsi="仿宋_GB2312" w:eastAsia="仿宋_GB2312" w:cs="仿宋_GB2312"/>
          <w:color w:val="000000" w:themeColor="text1"/>
          <w:sz w:val="22"/>
          <w:highlight w:val="none"/>
          <w:shd w:val="clear" w:color="050000" w:fill="auto"/>
          <w14:textFill>
            <w14:solidFill>
              <w14:schemeClr w14:val="tx1"/>
            </w14:solidFill>
          </w14:textFill>
        </w:rPr>
      </w:pPr>
      <w:r>
        <w:rPr>
          <w:rFonts w:hint="eastAsia" w:ascii="宋体" w:hAnsi="宋体" w:cs="宋体"/>
          <w:color w:val="000000" w:themeColor="text1"/>
          <w:sz w:val="22"/>
          <w:highlight w:val="none"/>
          <w:shd w:val="clear" w:color="050000" w:fill="auto"/>
          <w14:textFill>
            <w14:solidFill>
              <w14:schemeClr w14:val="tx1"/>
            </w14:solidFill>
          </w14:textFill>
        </w:rPr>
        <w:t>2.对照竞争性磋商文件第二章采购需求进行响应，如有偏离的，</w:t>
      </w:r>
      <w:r>
        <w:rPr>
          <w:rFonts w:hint="eastAsia" w:ascii="宋体" w:hAnsi="宋体" w:cs="宋体"/>
          <w:color w:val="000000" w:themeColor="text1"/>
          <w:sz w:val="22"/>
          <w:szCs w:val="22"/>
          <w:highlight w:val="none"/>
          <w14:textFill>
            <w14:solidFill>
              <w14:schemeClr w14:val="tx1"/>
            </w14:solidFill>
          </w14:textFill>
        </w:rPr>
        <w:t>供应商</w:t>
      </w:r>
      <w:r>
        <w:rPr>
          <w:rFonts w:hint="eastAsia" w:ascii="宋体" w:hAnsi="宋体" w:cs="宋体"/>
          <w:color w:val="000000" w:themeColor="text1"/>
          <w:sz w:val="22"/>
          <w:highlight w:val="none"/>
          <w:shd w:val="clear" w:color="050000" w:fill="auto"/>
          <w14:textFill>
            <w14:solidFill>
              <w14:schemeClr w14:val="tx1"/>
            </w14:solidFill>
          </w14:textFill>
        </w:rPr>
        <w:t>必须据实填写，不得虚假响应，否则将作无效磋商处理。</w:t>
      </w:r>
    </w:p>
    <w:p w14:paraId="539DD54C">
      <w:pPr>
        <w:spacing w:line="400" w:lineRule="exact"/>
        <w:ind w:firstLine="440"/>
        <w:rPr>
          <w:rFonts w:ascii="仿宋_GB2312" w:hAnsi="仿宋_GB2312" w:eastAsia="仿宋_GB2312" w:cs="仿宋_GB2312"/>
          <w:color w:val="000000" w:themeColor="text1"/>
          <w:sz w:val="22"/>
          <w:highlight w:val="none"/>
          <w:shd w:val="clear" w:color="050000" w:fill="auto"/>
          <w14:textFill>
            <w14:solidFill>
              <w14:schemeClr w14:val="tx1"/>
            </w14:solidFill>
          </w14:textFill>
        </w:rPr>
      </w:pPr>
      <w:r>
        <w:rPr>
          <w:rFonts w:hint="eastAsia" w:ascii="宋体" w:hAnsi="宋体" w:cs="仿宋_GB2312"/>
          <w:b/>
          <w:color w:val="000000" w:themeColor="text1"/>
          <w:sz w:val="22"/>
          <w:highlight w:val="none"/>
          <w:shd w:val="clear" w:color="060000" w:fill="auto"/>
          <w14:textFill>
            <w14:solidFill>
              <w14:schemeClr w14:val="tx1"/>
            </w14:solidFill>
          </w14:textFill>
        </w:rPr>
        <w:t>3.</w:t>
      </w:r>
      <w:r>
        <w:rPr>
          <w:rFonts w:hint="eastAsia" w:ascii="宋体" w:hAnsi="宋体" w:cs="宋体"/>
          <w:b/>
          <w:color w:val="000000" w:themeColor="text1"/>
          <w:sz w:val="22"/>
          <w:highlight w:val="none"/>
          <w:shd w:val="clear" w:color="060000" w:fill="auto"/>
          <w14:textFill>
            <w14:solidFill>
              <w14:schemeClr w14:val="tx1"/>
            </w14:solidFill>
          </w14:textFill>
        </w:rPr>
        <w:t>未在上表列出或不填写此表的，则视为完全响应竞争性磋商文件要求</w:t>
      </w:r>
      <w:r>
        <w:rPr>
          <w:rFonts w:hint="eastAsia" w:ascii="宋体" w:hAnsi="宋体" w:cs="宋体"/>
          <w:color w:val="000000" w:themeColor="text1"/>
          <w:sz w:val="22"/>
          <w:highlight w:val="none"/>
          <w:shd w:val="clear" w:color="050000" w:fill="auto"/>
          <w14:textFill>
            <w14:solidFill>
              <w14:schemeClr w14:val="tx1"/>
            </w14:solidFill>
          </w14:textFill>
        </w:rPr>
        <w:t>。</w:t>
      </w:r>
    </w:p>
    <w:p w14:paraId="730F69E9">
      <w:pPr>
        <w:jc w:val="center"/>
        <w:rPr>
          <w:rFonts w:ascii="宋体" w:hAnsi="宋体" w:cs="宋体"/>
          <w:b/>
          <w:color w:val="000000" w:themeColor="text1"/>
          <w:sz w:val="24"/>
          <w:highlight w:val="none"/>
          <w14:textFill>
            <w14:solidFill>
              <w14:schemeClr w14:val="tx1"/>
            </w14:solidFill>
          </w14:textFill>
        </w:rPr>
      </w:pPr>
    </w:p>
    <w:p w14:paraId="3A757A46">
      <w:pPr>
        <w:jc w:val="center"/>
        <w:rPr>
          <w:rFonts w:ascii="宋体" w:hAnsi="宋体" w:cs="宋体"/>
          <w:b/>
          <w:color w:val="000000" w:themeColor="text1"/>
          <w:sz w:val="24"/>
          <w:highlight w:val="none"/>
          <w14:textFill>
            <w14:solidFill>
              <w14:schemeClr w14:val="tx1"/>
            </w14:solidFill>
          </w14:textFill>
        </w:rPr>
      </w:pPr>
    </w:p>
    <w:p w14:paraId="3B672EBD">
      <w:pPr>
        <w:jc w:val="center"/>
        <w:rPr>
          <w:rFonts w:ascii="宋体" w:hAnsi="宋体" w:cs="宋体"/>
          <w:b/>
          <w:color w:val="000000" w:themeColor="text1"/>
          <w:sz w:val="24"/>
          <w:highlight w:val="none"/>
          <w14:textFill>
            <w14:solidFill>
              <w14:schemeClr w14:val="tx1"/>
            </w14:solidFill>
          </w14:textFill>
        </w:rPr>
      </w:pPr>
    </w:p>
    <w:p w14:paraId="57F470A3">
      <w:pPr>
        <w:jc w:val="center"/>
        <w:rPr>
          <w:rFonts w:ascii="宋体" w:hAnsi="宋体" w:cs="宋体"/>
          <w:b/>
          <w:color w:val="000000" w:themeColor="text1"/>
          <w:sz w:val="24"/>
          <w:highlight w:val="none"/>
          <w14:textFill>
            <w14:solidFill>
              <w14:schemeClr w14:val="tx1"/>
            </w14:solidFill>
          </w14:textFill>
        </w:rPr>
      </w:pPr>
    </w:p>
    <w:p w14:paraId="769CDD02">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67B2FEFD">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544578A7">
      <w:pPr>
        <w:pStyle w:val="25"/>
        <w:spacing w:before="0" w:beforeLines="0" w:after="0" w:afterLines="0" w:line="360" w:lineRule="auto"/>
        <w:ind w:firstLine="420"/>
        <w:rPr>
          <w:rFonts w:hAnsi="宋体" w:cs="宋体"/>
          <w:color w:val="000000" w:themeColor="text1"/>
          <w:sz w:val="22"/>
          <w:szCs w:val="22"/>
          <w:highlight w:val="none"/>
          <w14:textFill>
            <w14:solidFill>
              <w14:schemeClr w14:val="tx1"/>
            </w14:solidFill>
          </w14:textFill>
        </w:rPr>
      </w:pPr>
      <w:r>
        <w:rPr>
          <w:rFonts w:hint="eastAsia" w:hAnsi="宋体" w:cs="宋体"/>
          <w:color w:val="000000" w:themeColor="text1"/>
          <w:sz w:val="22"/>
          <w:szCs w:val="22"/>
          <w:highlight w:val="none"/>
          <w14:textFill>
            <w14:solidFill>
              <w14:schemeClr w14:val="tx1"/>
            </w14:solidFill>
          </w14:textFill>
        </w:rPr>
        <w:t xml:space="preserve"> </w:t>
      </w:r>
    </w:p>
    <w:p w14:paraId="6F570871">
      <w:pPr>
        <w:jc w:val="center"/>
        <w:rPr>
          <w:rFonts w:ascii="宋体" w:hAnsi="宋体" w:cs="宋体"/>
          <w:b/>
          <w:color w:val="000000" w:themeColor="text1"/>
          <w:sz w:val="28"/>
          <w:szCs w:val="28"/>
          <w:highlight w:val="none"/>
          <w14:textFill>
            <w14:solidFill>
              <w14:schemeClr w14:val="tx1"/>
            </w14:solidFill>
          </w14:textFill>
        </w:rPr>
      </w:pPr>
      <w:bookmarkStart w:id="716" w:name="_Toc303756428"/>
    </w:p>
    <w:p w14:paraId="23AE3673">
      <w:pPr>
        <w:rPr>
          <w:rFonts w:ascii="宋体" w:hAnsi="宋体" w:cs="宋体"/>
          <w:b/>
          <w:color w:val="000000" w:themeColor="text1"/>
          <w:sz w:val="28"/>
          <w:szCs w:val="28"/>
          <w:highlight w:val="none"/>
          <w14:textFill>
            <w14:solidFill>
              <w14:schemeClr w14:val="tx1"/>
            </w14:solidFill>
          </w14:textFill>
        </w:rPr>
      </w:pPr>
    </w:p>
    <w:p w14:paraId="01133C43">
      <w:pPr>
        <w:jc w:val="center"/>
        <w:rPr>
          <w:rFonts w:ascii="宋体" w:hAnsi="宋体" w:cs="宋体"/>
          <w:b/>
          <w:color w:val="000000" w:themeColor="text1"/>
          <w:sz w:val="28"/>
          <w:szCs w:val="28"/>
          <w:highlight w:val="none"/>
          <w14:textFill>
            <w14:solidFill>
              <w14:schemeClr w14:val="tx1"/>
            </w14:solidFill>
          </w14:textFill>
        </w:rPr>
      </w:pPr>
    </w:p>
    <w:p w14:paraId="27BFC236">
      <w:pPr>
        <w:jc w:val="center"/>
        <w:rPr>
          <w:rFonts w:ascii="宋体" w:hAnsi="宋体" w:cs="宋体"/>
          <w:b/>
          <w:color w:val="000000" w:themeColor="text1"/>
          <w:sz w:val="28"/>
          <w:szCs w:val="28"/>
          <w:highlight w:val="none"/>
          <w14:textFill>
            <w14:solidFill>
              <w14:schemeClr w14:val="tx1"/>
            </w14:solidFill>
          </w14:textFill>
        </w:rPr>
      </w:pPr>
    </w:p>
    <w:bookmarkEnd w:id="716"/>
    <w:p w14:paraId="0271D3D6">
      <w:pPr>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3.</w:t>
      </w:r>
      <w:r>
        <w:rPr>
          <w:rFonts w:hint="eastAsia" w:ascii="宋体" w:hAnsi="宋体" w:cs="宋体"/>
          <w:b/>
          <w:color w:val="000000" w:themeColor="text1"/>
          <w:sz w:val="28"/>
          <w:szCs w:val="28"/>
          <w:highlight w:val="none"/>
          <w14:textFill>
            <w14:solidFill>
              <w14:schemeClr w14:val="tx1"/>
            </w14:solidFill>
          </w14:textFill>
        </w:rPr>
        <w:t>类似业绩表</w:t>
      </w:r>
    </w:p>
    <w:p w14:paraId="1CC79CAC">
      <w:pPr>
        <w:pStyle w:val="34"/>
        <w:snapToGrid w:val="0"/>
        <w:ind w:left="420" w:hanging="420"/>
        <w:jc w:val="center"/>
        <w:rPr>
          <w:rFonts w:ascii="宋体" w:hAnsi="宋体"/>
          <w:color w:val="000000" w:themeColor="text1"/>
          <w:szCs w:val="21"/>
          <w:highlight w:val="none"/>
          <w14:textFill>
            <w14:solidFill>
              <w14:schemeClr w14:val="tx1"/>
            </w14:solidFill>
          </w14:textFill>
        </w:rPr>
      </w:pPr>
    </w:p>
    <w:p w14:paraId="12B52685">
      <w:pPr>
        <w:pStyle w:val="34"/>
        <w:snapToGrid w:val="0"/>
        <w:ind w:left="440" w:hanging="440"/>
        <w:jc w:val="center"/>
        <w:rPr>
          <w:rFonts w:ascii="宋体" w:hAnsi="宋体"/>
          <w:color w:val="000000" w:themeColor="text1"/>
          <w:szCs w:val="21"/>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w:t>
      </w:r>
      <w:r>
        <w:rPr>
          <w:rFonts w:ascii="宋体" w:hAnsi="宋体"/>
          <w:color w:val="000000" w:themeColor="text1"/>
          <w:szCs w:val="21"/>
          <w:highlight w:val="none"/>
          <w14:textFill>
            <w14:solidFill>
              <w14:schemeClr w14:val="tx1"/>
            </w14:solidFill>
          </w14:textFill>
        </w:rPr>
        <w:t>同类项目实施情况一览表</w:t>
      </w:r>
    </w:p>
    <w:p w14:paraId="4D821E0A">
      <w:pPr>
        <w:pStyle w:val="34"/>
        <w:snapToGrid w:val="0"/>
        <w:ind w:left="420" w:hanging="420"/>
        <w:jc w:val="center"/>
        <w:rPr>
          <w:rFonts w:ascii="宋体" w:hAnsi="宋体" w:cs="宋体"/>
          <w:color w:val="000000" w:themeColor="text1"/>
          <w:szCs w:val="21"/>
          <w:highlight w:val="none"/>
          <w14:textFill>
            <w14:solidFill>
              <w14:schemeClr w14:val="tx1"/>
            </w14:solidFill>
          </w14:textFill>
        </w:rPr>
      </w:pP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2617"/>
        <w:gridCol w:w="1373"/>
        <w:gridCol w:w="1260"/>
        <w:gridCol w:w="945"/>
        <w:gridCol w:w="1134"/>
        <w:gridCol w:w="1386"/>
      </w:tblGrid>
      <w:tr w14:paraId="59A73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055520C4">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序号</w:t>
            </w:r>
          </w:p>
        </w:tc>
        <w:tc>
          <w:tcPr>
            <w:tcW w:w="2617" w:type="dxa"/>
            <w:vAlign w:val="center"/>
          </w:tcPr>
          <w:p w14:paraId="66744873">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项目名称</w:t>
            </w:r>
          </w:p>
        </w:tc>
        <w:tc>
          <w:tcPr>
            <w:tcW w:w="1373" w:type="dxa"/>
            <w:vAlign w:val="center"/>
          </w:tcPr>
          <w:p w14:paraId="03E98702">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服务内容</w:t>
            </w:r>
          </w:p>
        </w:tc>
        <w:tc>
          <w:tcPr>
            <w:tcW w:w="1260" w:type="dxa"/>
            <w:vAlign w:val="center"/>
          </w:tcPr>
          <w:p w14:paraId="28357806">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委托单位</w:t>
            </w:r>
          </w:p>
        </w:tc>
        <w:tc>
          <w:tcPr>
            <w:tcW w:w="945" w:type="dxa"/>
            <w:vAlign w:val="center"/>
          </w:tcPr>
          <w:p w14:paraId="60657ECF">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合同金额</w:t>
            </w:r>
          </w:p>
        </w:tc>
        <w:tc>
          <w:tcPr>
            <w:tcW w:w="1134" w:type="dxa"/>
            <w:vAlign w:val="center"/>
          </w:tcPr>
          <w:p w14:paraId="2150AB85">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合同签订日期</w:t>
            </w:r>
          </w:p>
        </w:tc>
        <w:tc>
          <w:tcPr>
            <w:tcW w:w="1386" w:type="dxa"/>
            <w:vAlign w:val="center"/>
          </w:tcPr>
          <w:p w14:paraId="1AE82D5E">
            <w:pPr>
              <w:spacing w:line="380" w:lineRule="exact"/>
              <w:jc w:val="center"/>
              <w:rPr>
                <w:rFonts w:ascii="宋体" w:hAnsi="宋体" w:cs="宋体"/>
                <w:iCs/>
                <w:color w:val="000000" w:themeColor="text1"/>
                <w:spacing w:val="20"/>
                <w:szCs w:val="21"/>
                <w:highlight w:val="none"/>
                <w14:textFill>
                  <w14:solidFill>
                    <w14:schemeClr w14:val="tx1"/>
                  </w14:solidFill>
                </w14:textFill>
              </w:rPr>
            </w:pPr>
            <w:r>
              <w:rPr>
                <w:rFonts w:hint="eastAsia" w:ascii="宋体" w:hAnsi="宋体" w:cs="宋体"/>
                <w:iCs/>
                <w:color w:val="000000" w:themeColor="text1"/>
                <w:spacing w:val="20"/>
                <w:szCs w:val="21"/>
                <w:highlight w:val="none"/>
                <w14:textFill>
                  <w14:solidFill>
                    <w14:schemeClr w14:val="tx1"/>
                  </w14:solidFill>
                </w14:textFill>
              </w:rPr>
              <w:t>联系方式</w:t>
            </w:r>
          </w:p>
        </w:tc>
      </w:tr>
      <w:tr w14:paraId="45D84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50C2DFB0">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40D091F3">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1D18B782">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774D0AC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23E7589D">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5C1E54FE">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4B6BC4C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2E067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7BB34BC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17D0F9DD">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4F2F8A15">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3F93A182">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5AEA53EE">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49EEC5DB">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5A992FBB">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0183F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426CE3E0">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0E049830">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3EE5210D">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03C89854">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25A7E586">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59BD3DB8">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53511189">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74712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24B9FF39">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1AFC3B28">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2F6843F0">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398C9F73">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5F58A9BE">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0ABBA548">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0899B75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04758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4AD684F1">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4555F9B6">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7C8E5C73">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128AFA65">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3786136A">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048D5D7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26E1C4AE">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48458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1E67F3FE">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15B343D1">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763522E0">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16AF3D4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1D37793D">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219F0E0D">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6D8511B0">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05EDA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56BBF197">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380D29C4">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00278D46">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6E387204">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523FCA06">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64CB1566">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2DDF3D87">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3A6A9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5C38F5B4">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7F050AB9">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3F06349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0EBB4BB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04A30128">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00D9B8F7">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1504954D">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r w14:paraId="309B4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28" w:type="dxa"/>
            <w:vAlign w:val="center"/>
          </w:tcPr>
          <w:p w14:paraId="4195388F">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2617" w:type="dxa"/>
            <w:vAlign w:val="center"/>
          </w:tcPr>
          <w:p w14:paraId="2BEABEBF">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73" w:type="dxa"/>
            <w:vAlign w:val="center"/>
          </w:tcPr>
          <w:p w14:paraId="66D52C78">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260" w:type="dxa"/>
            <w:vAlign w:val="center"/>
          </w:tcPr>
          <w:p w14:paraId="26B1BA9C">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945" w:type="dxa"/>
            <w:vAlign w:val="center"/>
          </w:tcPr>
          <w:p w14:paraId="65322275">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134" w:type="dxa"/>
            <w:vAlign w:val="center"/>
          </w:tcPr>
          <w:p w14:paraId="7B0FB4AA">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c>
          <w:tcPr>
            <w:tcW w:w="1386" w:type="dxa"/>
            <w:vAlign w:val="center"/>
          </w:tcPr>
          <w:p w14:paraId="76CCD513">
            <w:pPr>
              <w:spacing w:line="380" w:lineRule="exact"/>
              <w:jc w:val="center"/>
              <w:rPr>
                <w:rFonts w:ascii="宋体" w:hAnsi="宋体" w:cs="宋体"/>
                <w:iCs/>
                <w:color w:val="000000" w:themeColor="text1"/>
                <w:spacing w:val="20"/>
                <w:szCs w:val="21"/>
                <w:highlight w:val="none"/>
                <w14:textFill>
                  <w14:solidFill>
                    <w14:schemeClr w14:val="tx1"/>
                  </w14:solidFill>
                </w14:textFill>
              </w:rPr>
            </w:pPr>
          </w:p>
        </w:tc>
      </w:tr>
    </w:tbl>
    <w:p w14:paraId="429B2787">
      <w:pPr>
        <w:pStyle w:val="14"/>
        <w:snapToGrid w:val="0"/>
        <w:spacing w:line="360" w:lineRule="auto"/>
        <w:rPr>
          <w:rFonts w:ascii="宋体" w:hAnsi="宋体" w:eastAsia="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2"/>
          <w:szCs w:val="22"/>
          <w:highlight w:val="none"/>
          <w14:textFill>
            <w14:solidFill>
              <w14:schemeClr w14:val="tx1"/>
            </w14:solidFill>
          </w14:textFill>
        </w:rPr>
        <w:t>注：</w:t>
      </w:r>
      <w:r>
        <w:rPr>
          <w:rFonts w:hint="eastAsia" w:ascii="宋体" w:hAnsi="宋体" w:eastAsia="宋体" w:cs="宋体"/>
          <w:b/>
          <w:color w:val="000000" w:themeColor="text1"/>
          <w:sz w:val="22"/>
          <w:szCs w:val="22"/>
          <w:highlight w:val="none"/>
          <w14:textFill>
            <w14:solidFill>
              <w14:schemeClr w14:val="tx1"/>
            </w14:solidFill>
          </w14:textFill>
        </w:rPr>
        <w:t>合同等相应资料复印件附后。</w:t>
      </w:r>
    </w:p>
    <w:p w14:paraId="35A26EE8">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bookmarkStart w:id="717" w:name="_Toc303756448"/>
      <w:bookmarkStart w:id="718" w:name="_Toc305144119"/>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3F0ED668">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6EBD8DAD">
      <w:pPr>
        <w:rPr>
          <w:rFonts w:ascii="宋体" w:hAnsi="宋体" w:cs="宋体"/>
          <w:color w:val="000000" w:themeColor="text1"/>
          <w:highlight w:val="none"/>
          <w14:textFill>
            <w14:solidFill>
              <w14:schemeClr w14:val="tx1"/>
            </w14:solidFill>
          </w14:textFill>
        </w:rPr>
      </w:pPr>
    </w:p>
    <w:p w14:paraId="1CFE979B">
      <w:pPr>
        <w:rPr>
          <w:rFonts w:ascii="宋体" w:hAnsi="宋体" w:cs="宋体"/>
          <w:color w:val="000000" w:themeColor="text1"/>
          <w:highlight w:val="none"/>
          <w14:textFill>
            <w14:solidFill>
              <w14:schemeClr w14:val="tx1"/>
            </w14:solidFill>
          </w14:textFill>
        </w:rPr>
      </w:pPr>
    </w:p>
    <w:p w14:paraId="1A27558E">
      <w:pPr>
        <w:rPr>
          <w:rFonts w:ascii="宋体" w:hAnsi="宋体" w:cs="宋体"/>
          <w:color w:val="000000" w:themeColor="text1"/>
          <w:highlight w:val="none"/>
          <w14:textFill>
            <w14:solidFill>
              <w14:schemeClr w14:val="tx1"/>
            </w14:solidFill>
          </w14:textFill>
        </w:rPr>
      </w:pPr>
    </w:p>
    <w:p w14:paraId="1606BA9B">
      <w:pPr>
        <w:pStyle w:val="33"/>
        <w:rPr>
          <w:color w:val="000000" w:themeColor="text1"/>
          <w:highlight w:val="none"/>
          <w14:textFill>
            <w14:solidFill>
              <w14:schemeClr w14:val="tx1"/>
            </w14:solidFill>
          </w14:textFill>
        </w:rPr>
      </w:pPr>
    </w:p>
    <w:p w14:paraId="640437FB">
      <w:pPr>
        <w:jc w:val="center"/>
        <w:rPr>
          <w:rFonts w:ascii="宋体" w:hAnsi="宋体" w:cs="宋体"/>
          <w:b/>
          <w:color w:val="000000" w:themeColor="text1"/>
          <w:sz w:val="28"/>
          <w:szCs w:val="28"/>
          <w:highlight w:val="none"/>
          <w14:textFill>
            <w14:solidFill>
              <w14:schemeClr w14:val="tx1"/>
            </w14:solidFill>
          </w14:textFill>
        </w:rPr>
      </w:pPr>
    </w:p>
    <w:bookmarkEnd w:id="717"/>
    <w:bookmarkEnd w:id="718"/>
    <w:p w14:paraId="6D118AAB">
      <w:pPr>
        <w:jc w:val="center"/>
        <w:rPr>
          <w:rFonts w:ascii="宋体" w:hAnsi="宋体" w:cs="宋体"/>
          <w:b/>
          <w:color w:val="000000" w:themeColor="text1"/>
          <w:sz w:val="22"/>
          <w:szCs w:val="22"/>
          <w:highlight w:val="none"/>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4.</w:t>
      </w:r>
      <w:r>
        <w:rPr>
          <w:rFonts w:hint="eastAsia" w:ascii="宋体" w:hAnsi="宋体" w:cs="宋体"/>
          <w:b/>
          <w:color w:val="000000" w:themeColor="text1"/>
          <w:sz w:val="28"/>
          <w:szCs w:val="28"/>
          <w:highlight w:val="none"/>
          <w14:textFill>
            <w14:solidFill>
              <w14:schemeClr w14:val="tx1"/>
            </w14:solidFill>
          </w14:textFill>
        </w:rPr>
        <w:t>供应商认为有利于本次磋商的其它资信商务文件</w:t>
      </w:r>
    </w:p>
    <w:p w14:paraId="5A1BF9F3">
      <w:pPr>
        <w:jc w:val="center"/>
        <w:rPr>
          <w:rFonts w:ascii="宋体" w:hAnsi="宋体" w:cs="宋体"/>
          <w:color w:val="000000" w:themeColor="text1"/>
          <w:sz w:val="22"/>
          <w:szCs w:val="22"/>
          <w:highlight w:val="none"/>
          <w14:textFill>
            <w14:solidFill>
              <w14:schemeClr w14:val="tx1"/>
            </w14:solidFill>
          </w14:textFill>
        </w:rPr>
      </w:pPr>
      <w:r>
        <w:rPr>
          <w:rFonts w:hint="eastAsia" w:ascii="宋体" w:hAnsi="宋体" w:cs="宋体"/>
          <w:color w:val="000000" w:themeColor="text1"/>
          <w:sz w:val="22"/>
          <w:szCs w:val="22"/>
          <w:highlight w:val="none"/>
          <w14:textFill>
            <w14:solidFill>
              <w14:schemeClr w14:val="tx1"/>
            </w14:solidFill>
          </w14:textFill>
        </w:rPr>
        <w:t>（供应商根据自身需求及采购要求提供相关材料，无格式的由供应商自行设计）</w:t>
      </w:r>
    </w:p>
    <w:p w14:paraId="33461F63">
      <w:pPr>
        <w:jc w:val="center"/>
        <w:rPr>
          <w:rFonts w:ascii="宋体" w:hAnsi="宋体" w:cs="宋体"/>
          <w:b/>
          <w:color w:val="000000" w:themeColor="text1"/>
          <w:sz w:val="24"/>
          <w:highlight w:val="none"/>
          <w14:textFill>
            <w14:solidFill>
              <w14:schemeClr w14:val="tx1"/>
            </w14:solidFill>
          </w14:textFill>
        </w:rPr>
      </w:pPr>
    </w:p>
    <w:p w14:paraId="099BF589">
      <w:pPr>
        <w:jc w:val="center"/>
        <w:rPr>
          <w:rFonts w:ascii="宋体" w:hAnsi="宋体" w:cs="宋体"/>
          <w:color w:val="000000" w:themeColor="text1"/>
          <w:highlight w:val="none"/>
          <w14:textFill>
            <w14:solidFill>
              <w14:schemeClr w14:val="tx1"/>
            </w14:solidFill>
          </w14:textFill>
        </w:rPr>
      </w:pPr>
    </w:p>
    <w:p w14:paraId="57EB0C23">
      <w:pPr>
        <w:snapToGrid w:val="0"/>
        <w:spacing w:line="360" w:lineRule="auto"/>
        <w:rPr>
          <w:rFonts w:ascii="宋体" w:hAnsi="宋体" w:cs="宋体"/>
          <w:b/>
          <w:color w:val="000000" w:themeColor="text1"/>
          <w:szCs w:val="21"/>
          <w:highlight w:val="none"/>
          <w14:textFill>
            <w14:solidFill>
              <w14:schemeClr w14:val="tx1"/>
            </w14:solidFill>
          </w14:textFill>
        </w:rPr>
      </w:pPr>
    </w:p>
    <w:p w14:paraId="415ED759">
      <w:pPr>
        <w:snapToGrid w:val="0"/>
        <w:spacing w:line="360" w:lineRule="auto"/>
        <w:rPr>
          <w:rFonts w:ascii="宋体" w:hAnsi="宋体" w:cs="宋体"/>
          <w:b/>
          <w:color w:val="000000" w:themeColor="text1"/>
          <w:szCs w:val="21"/>
          <w:highlight w:val="none"/>
          <w14:textFill>
            <w14:solidFill>
              <w14:schemeClr w14:val="tx1"/>
            </w14:solidFill>
          </w14:textFill>
        </w:rPr>
      </w:pPr>
    </w:p>
    <w:p w14:paraId="11D78C10">
      <w:pPr>
        <w:snapToGrid w:val="0"/>
        <w:spacing w:line="360" w:lineRule="auto"/>
        <w:rPr>
          <w:rFonts w:ascii="宋体" w:hAnsi="宋体" w:cs="宋体"/>
          <w:b/>
          <w:color w:val="000000" w:themeColor="text1"/>
          <w:szCs w:val="21"/>
          <w:highlight w:val="none"/>
          <w14:textFill>
            <w14:solidFill>
              <w14:schemeClr w14:val="tx1"/>
            </w14:solidFill>
          </w14:textFill>
        </w:rPr>
      </w:pPr>
    </w:p>
    <w:p w14:paraId="1DE12326">
      <w:pPr>
        <w:snapToGrid w:val="0"/>
        <w:spacing w:line="360" w:lineRule="auto"/>
        <w:rPr>
          <w:rFonts w:hint="eastAsia" w:ascii="宋体" w:hAnsi="宋体" w:cs="宋体"/>
          <w:b/>
          <w:color w:val="000000" w:themeColor="text1"/>
          <w:szCs w:val="21"/>
          <w:highlight w:val="none"/>
          <w14:textFill>
            <w14:solidFill>
              <w14:schemeClr w14:val="tx1"/>
            </w14:solidFill>
          </w14:textFill>
        </w:rPr>
      </w:pPr>
    </w:p>
    <w:p w14:paraId="4E34A99E">
      <w:pPr>
        <w:snapToGrid w:val="0"/>
        <w:spacing w:line="360" w:lineRule="auto"/>
        <w:rPr>
          <w:rFonts w:ascii="宋体" w:hAnsi="宋体" w:cs="宋体"/>
          <w:b/>
          <w:color w:val="000000" w:themeColor="text1"/>
          <w:sz w:val="28"/>
          <w:szCs w:val="28"/>
          <w:highlight w:val="none"/>
          <w:u w:val="singl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二、技术文件</w:t>
      </w:r>
      <w:bookmarkEnd w:id="709"/>
      <w:bookmarkEnd w:id="710"/>
      <w:bookmarkEnd w:id="711"/>
      <w:bookmarkEnd w:id="712"/>
      <w:bookmarkEnd w:id="713"/>
      <w:bookmarkEnd w:id="714"/>
      <w:bookmarkEnd w:id="715"/>
    </w:p>
    <w:p w14:paraId="48F9C9AA">
      <w:pPr>
        <w:jc w:val="center"/>
        <w:rPr>
          <w:rFonts w:hint="eastAsia" w:ascii="宋体" w:hAnsi="宋体" w:eastAsia="宋体" w:cs="宋体"/>
          <w:b/>
          <w:color w:val="000000"/>
          <w:sz w:val="28"/>
          <w:szCs w:val="28"/>
          <w:highlight w:val="none"/>
          <w:lang w:val="en-US" w:eastAsia="zh-CN"/>
        </w:rPr>
      </w:pPr>
      <w:bookmarkStart w:id="719" w:name="_Toc409172372"/>
      <w:bookmarkStart w:id="720" w:name="_Toc303756453"/>
      <w:bookmarkStart w:id="721" w:name="_Toc359934639"/>
      <w:bookmarkStart w:id="722" w:name="_Toc341260003"/>
      <w:bookmarkStart w:id="723" w:name="_Toc305144124"/>
      <w:bookmarkStart w:id="724" w:name="_Toc515526268"/>
      <w:bookmarkStart w:id="725" w:name="_Toc377979045"/>
    </w:p>
    <w:p w14:paraId="79590511">
      <w:pPr>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val="en-US" w:eastAsia="zh-CN"/>
        </w:rPr>
        <w:t>5.</w:t>
      </w:r>
      <w:r>
        <w:rPr>
          <w:rFonts w:hint="eastAsia" w:ascii="宋体" w:hAnsi="宋体" w:eastAsia="宋体" w:cs="宋体"/>
          <w:b/>
          <w:color w:val="000000"/>
          <w:sz w:val="28"/>
          <w:szCs w:val="28"/>
          <w:highlight w:val="none"/>
        </w:rPr>
        <w:t>现有系统了解情况</w:t>
      </w:r>
    </w:p>
    <w:p w14:paraId="2834283F">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13824D01">
      <w:pPr>
        <w:pStyle w:val="20"/>
        <w:ind w:firstLine="0" w:firstLineChars="0"/>
        <w:rPr>
          <w:rFonts w:hint="eastAsia" w:ascii="宋体" w:hAnsi="宋体" w:eastAsia="宋体" w:cs="宋体"/>
          <w:color w:val="000000"/>
          <w:highlight w:val="none"/>
        </w:rPr>
      </w:pPr>
    </w:p>
    <w:p w14:paraId="416C0779">
      <w:pPr>
        <w:pStyle w:val="20"/>
        <w:ind w:firstLine="0" w:firstLineChars="0"/>
        <w:rPr>
          <w:rFonts w:hint="eastAsia" w:ascii="宋体" w:hAnsi="宋体" w:eastAsia="宋体" w:cs="宋体"/>
          <w:color w:val="000000"/>
          <w:highlight w:val="none"/>
        </w:rPr>
      </w:pPr>
    </w:p>
    <w:p w14:paraId="29FD9B06">
      <w:pPr>
        <w:pStyle w:val="20"/>
        <w:ind w:firstLine="0" w:firstLineChars="0"/>
        <w:rPr>
          <w:rFonts w:hint="eastAsia" w:ascii="宋体" w:hAnsi="宋体" w:eastAsia="宋体" w:cs="宋体"/>
          <w:color w:val="000000"/>
          <w:highlight w:val="none"/>
        </w:rPr>
      </w:pPr>
    </w:p>
    <w:p w14:paraId="06230907">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val="en-US" w:eastAsia="zh-CN"/>
        </w:rPr>
        <w:t>6.</w:t>
      </w:r>
      <w:r>
        <w:rPr>
          <w:rFonts w:hint="eastAsia" w:ascii="宋体" w:hAnsi="宋体" w:eastAsia="宋体" w:cs="宋体"/>
          <w:b/>
          <w:color w:val="000000"/>
          <w:sz w:val="28"/>
          <w:szCs w:val="28"/>
          <w:highlight w:val="none"/>
        </w:rPr>
        <w:t>运维服务方案</w:t>
      </w:r>
    </w:p>
    <w:p w14:paraId="2E494277">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6D29D863">
      <w:pPr>
        <w:pStyle w:val="20"/>
        <w:ind w:firstLine="0" w:firstLineChars="0"/>
        <w:rPr>
          <w:rFonts w:hint="eastAsia" w:ascii="宋体" w:hAnsi="宋体" w:eastAsia="宋体" w:cs="宋体"/>
          <w:color w:val="000000"/>
          <w:highlight w:val="none"/>
        </w:rPr>
      </w:pPr>
    </w:p>
    <w:p w14:paraId="4E3B4C03">
      <w:pPr>
        <w:pStyle w:val="20"/>
        <w:ind w:firstLine="0" w:firstLineChars="0"/>
        <w:rPr>
          <w:rFonts w:hint="eastAsia" w:ascii="宋体" w:hAnsi="宋体" w:eastAsia="宋体" w:cs="宋体"/>
          <w:color w:val="000000"/>
          <w:highlight w:val="none"/>
        </w:rPr>
      </w:pPr>
    </w:p>
    <w:p w14:paraId="45F1C008">
      <w:pPr>
        <w:pStyle w:val="20"/>
        <w:ind w:firstLine="0" w:firstLineChars="0"/>
        <w:rPr>
          <w:rFonts w:hint="eastAsia" w:ascii="宋体" w:hAnsi="宋体" w:eastAsia="宋体" w:cs="宋体"/>
          <w:color w:val="000000"/>
          <w:highlight w:val="none"/>
        </w:rPr>
      </w:pPr>
    </w:p>
    <w:p w14:paraId="3BD22E61">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val="en-US" w:eastAsia="zh-CN"/>
        </w:rPr>
        <w:t>7.</w:t>
      </w:r>
      <w:r>
        <w:rPr>
          <w:rFonts w:hint="eastAsia" w:ascii="宋体" w:hAnsi="宋体" w:eastAsia="宋体" w:cs="宋体"/>
          <w:b/>
          <w:color w:val="000000"/>
          <w:sz w:val="28"/>
          <w:szCs w:val="28"/>
          <w:highlight w:val="none"/>
        </w:rPr>
        <w:t>项目人员配置</w:t>
      </w:r>
    </w:p>
    <w:p w14:paraId="0D1A8471">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30A78090">
      <w:pPr>
        <w:pStyle w:val="20"/>
        <w:ind w:firstLine="0" w:firstLineChars="0"/>
        <w:rPr>
          <w:rFonts w:hint="eastAsia" w:ascii="宋体" w:hAnsi="宋体" w:eastAsia="宋体" w:cs="宋体"/>
          <w:color w:val="000000"/>
          <w:highlight w:val="none"/>
        </w:rPr>
      </w:pPr>
    </w:p>
    <w:p w14:paraId="32CAE7C8">
      <w:pPr>
        <w:pStyle w:val="20"/>
        <w:ind w:firstLine="0" w:firstLineChars="0"/>
        <w:rPr>
          <w:rFonts w:hint="eastAsia" w:ascii="宋体" w:hAnsi="宋体" w:eastAsia="宋体" w:cs="宋体"/>
          <w:color w:val="000000"/>
          <w:highlight w:val="none"/>
        </w:rPr>
      </w:pPr>
    </w:p>
    <w:p w14:paraId="47B610FC">
      <w:pPr>
        <w:pStyle w:val="20"/>
        <w:ind w:firstLine="0" w:firstLineChars="0"/>
        <w:rPr>
          <w:rFonts w:hint="eastAsia" w:ascii="宋体" w:hAnsi="宋体" w:eastAsia="宋体" w:cs="宋体"/>
          <w:color w:val="000000"/>
          <w:highlight w:val="none"/>
        </w:rPr>
      </w:pPr>
    </w:p>
    <w:p w14:paraId="7EDB65B6">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val="en-US" w:eastAsia="zh-CN"/>
        </w:rPr>
        <w:t>8.</w:t>
      </w:r>
      <w:r>
        <w:rPr>
          <w:rFonts w:hint="eastAsia" w:ascii="宋体" w:hAnsi="宋体" w:eastAsia="宋体" w:cs="宋体"/>
          <w:b/>
          <w:color w:val="000000"/>
          <w:sz w:val="28"/>
          <w:szCs w:val="28"/>
          <w:highlight w:val="none"/>
        </w:rPr>
        <w:t>项目设备配置</w:t>
      </w:r>
    </w:p>
    <w:p w14:paraId="78CBBC5C">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color w:val="000000"/>
          <w:highlight w:val="none"/>
        </w:rPr>
        <w:t>结合磋商评审办法并根据采购需求的情况进行编制，格式自拟。</w:t>
      </w:r>
    </w:p>
    <w:p w14:paraId="1B9398A4">
      <w:pPr>
        <w:pStyle w:val="20"/>
        <w:spacing w:line="336" w:lineRule="auto"/>
        <w:ind w:firstLine="0" w:firstLineChars="0"/>
        <w:rPr>
          <w:rFonts w:hint="eastAsia" w:ascii="宋体" w:hAnsi="宋体" w:eastAsia="宋体" w:cs="宋体"/>
          <w:b/>
          <w:color w:val="000000"/>
          <w:sz w:val="28"/>
          <w:szCs w:val="28"/>
          <w:highlight w:val="none"/>
        </w:rPr>
      </w:pPr>
    </w:p>
    <w:p w14:paraId="76B2FE27">
      <w:pPr>
        <w:pStyle w:val="20"/>
        <w:spacing w:line="336" w:lineRule="auto"/>
        <w:ind w:firstLine="0" w:firstLineChars="0"/>
        <w:rPr>
          <w:rFonts w:hint="eastAsia" w:ascii="宋体" w:hAnsi="宋体" w:eastAsia="宋体" w:cs="宋体"/>
          <w:b/>
          <w:color w:val="000000"/>
          <w:sz w:val="28"/>
          <w:szCs w:val="28"/>
          <w:highlight w:val="none"/>
        </w:rPr>
      </w:pPr>
    </w:p>
    <w:p w14:paraId="404E1CAE">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val="en-US" w:eastAsia="zh-CN"/>
        </w:rPr>
        <w:t>9.</w:t>
      </w:r>
      <w:r>
        <w:rPr>
          <w:rFonts w:hint="eastAsia" w:ascii="宋体" w:hAnsi="宋体" w:eastAsia="宋体" w:cs="宋体"/>
          <w:b/>
          <w:color w:val="000000"/>
          <w:sz w:val="28"/>
          <w:szCs w:val="28"/>
          <w:highlight w:val="none"/>
        </w:rPr>
        <w:t>安全文明作业保障措施</w:t>
      </w:r>
    </w:p>
    <w:p w14:paraId="1F063EFD">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color w:val="000000"/>
          <w:highlight w:val="none"/>
        </w:rPr>
        <w:t>结合磋商评审办法并根据采购需求的情况进行编制，格式自拟。</w:t>
      </w:r>
    </w:p>
    <w:p w14:paraId="3AF9D09D">
      <w:pPr>
        <w:pStyle w:val="2"/>
        <w:rPr>
          <w:rFonts w:hint="eastAsia" w:ascii="宋体" w:hAnsi="宋体" w:eastAsia="宋体" w:cs="宋体"/>
          <w:color w:val="000000"/>
          <w:highlight w:val="none"/>
        </w:rPr>
      </w:pPr>
    </w:p>
    <w:p w14:paraId="7D92D4DA">
      <w:pPr>
        <w:rPr>
          <w:rFonts w:hint="eastAsia" w:ascii="宋体" w:hAnsi="宋体" w:eastAsia="宋体" w:cs="宋体"/>
          <w:color w:val="000000"/>
          <w:highlight w:val="none"/>
        </w:rPr>
      </w:pPr>
    </w:p>
    <w:p w14:paraId="73A6589B">
      <w:pPr>
        <w:pStyle w:val="25"/>
        <w:rPr>
          <w:rFonts w:hint="eastAsia"/>
        </w:rPr>
      </w:pPr>
    </w:p>
    <w:p w14:paraId="2B87E9B6">
      <w:pPr>
        <w:spacing w:line="336" w:lineRule="auto"/>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lang w:val="en-US" w:eastAsia="zh-CN"/>
        </w:rPr>
        <w:t>10.</w:t>
      </w:r>
      <w:r>
        <w:rPr>
          <w:rFonts w:hint="eastAsia" w:ascii="宋体" w:hAnsi="宋体" w:eastAsia="宋体" w:cs="宋体"/>
          <w:b/>
          <w:color w:val="000000"/>
          <w:sz w:val="28"/>
          <w:szCs w:val="28"/>
          <w:highlight w:val="none"/>
        </w:rPr>
        <w:t>项目质量保证方案</w:t>
      </w:r>
    </w:p>
    <w:p w14:paraId="39BF6C37">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29F21DF4">
      <w:pPr>
        <w:spacing w:line="336" w:lineRule="auto"/>
        <w:jc w:val="center"/>
        <w:rPr>
          <w:rFonts w:hint="eastAsia" w:ascii="宋体" w:hAnsi="宋体" w:eastAsia="宋体" w:cs="宋体"/>
          <w:b/>
          <w:color w:val="000000"/>
          <w:sz w:val="28"/>
          <w:szCs w:val="28"/>
          <w:highlight w:val="none"/>
        </w:rPr>
      </w:pPr>
    </w:p>
    <w:bookmarkEnd w:id="719"/>
    <w:bookmarkEnd w:id="720"/>
    <w:bookmarkEnd w:id="721"/>
    <w:bookmarkEnd w:id="722"/>
    <w:bookmarkEnd w:id="723"/>
    <w:bookmarkEnd w:id="724"/>
    <w:bookmarkEnd w:id="725"/>
    <w:p w14:paraId="7A1AA5F0">
      <w:pPr>
        <w:jc w:val="cente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br w:type="page"/>
      </w:r>
    </w:p>
    <w:p w14:paraId="7CBBE1C9">
      <w:pPr>
        <w:jc w:val="center"/>
        <w:rPr>
          <w:rFonts w:hint="eastAsia" w:ascii="宋体" w:hAnsi="宋体" w:eastAsia="宋体" w:cs="宋体"/>
          <w:b/>
          <w:color w:val="000000"/>
          <w:sz w:val="28"/>
          <w:szCs w:val="28"/>
          <w:highlight w:val="none"/>
        </w:rPr>
      </w:pPr>
    </w:p>
    <w:p w14:paraId="5208E48F">
      <w:pPr>
        <w:jc w:val="center"/>
        <w:rPr>
          <w:rFonts w:hint="eastAsia" w:ascii="宋体" w:hAnsi="宋体" w:eastAsia="宋体" w:cs="宋体"/>
          <w:b/>
          <w:bCs/>
          <w:color w:val="000000"/>
          <w:szCs w:val="21"/>
          <w:highlight w:val="none"/>
        </w:rPr>
      </w:pPr>
      <w:r>
        <w:rPr>
          <w:rFonts w:hint="eastAsia" w:ascii="宋体" w:hAnsi="宋体" w:eastAsia="宋体" w:cs="宋体"/>
          <w:b/>
          <w:color w:val="000000"/>
          <w:sz w:val="28"/>
          <w:szCs w:val="28"/>
          <w:highlight w:val="none"/>
          <w:lang w:val="en-US" w:eastAsia="zh-CN"/>
        </w:rPr>
        <w:t>11.应急保障措施</w:t>
      </w:r>
    </w:p>
    <w:p w14:paraId="08BD4738">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72BD92BB">
      <w:pPr>
        <w:spacing w:line="336" w:lineRule="auto"/>
        <w:jc w:val="center"/>
        <w:rPr>
          <w:rFonts w:hint="eastAsia" w:ascii="宋体" w:hAnsi="宋体" w:cs="宋体"/>
          <w:b/>
          <w:color w:val="000000" w:themeColor="text1"/>
          <w:sz w:val="28"/>
          <w:szCs w:val="28"/>
          <w:highlight w:val="none"/>
          <w14:textFill>
            <w14:solidFill>
              <w14:schemeClr w14:val="tx1"/>
            </w14:solidFill>
          </w14:textFill>
        </w:rPr>
      </w:pPr>
    </w:p>
    <w:p w14:paraId="531050F9">
      <w:pPr>
        <w:pStyle w:val="2"/>
        <w:rPr>
          <w:rFonts w:hint="eastAsia"/>
        </w:rPr>
      </w:pPr>
    </w:p>
    <w:p w14:paraId="7E71DD71">
      <w:pPr>
        <w:pStyle w:val="2"/>
        <w:rPr>
          <w:rFonts w:hint="eastAsia" w:ascii="宋体" w:hAnsi="宋体" w:cs="宋体"/>
          <w:b/>
          <w:color w:val="000000" w:themeColor="text1"/>
          <w:sz w:val="28"/>
          <w:szCs w:val="28"/>
          <w:highlight w:val="none"/>
          <w14:textFill>
            <w14:solidFill>
              <w14:schemeClr w14:val="tx1"/>
            </w14:solidFill>
          </w14:textFill>
        </w:rPr>
      </w:pPr>
    </w:p>
    <w:p w14:paraId="34F5DE17">
      <w:pPr>
        <w:rPr>
          <w:rFonts w:hint="eastAsia" w:ascii="宋体" w:hAnsi="宋体" w:cs="宋体"/>
          <w:b/>
          <w:color w:val="000000" w:themeColor="text1"/>
          <w:sz w:val="28"/>
          <w:szCs w:val="28"/>
          <w:highlight w:val="none"/>
          <w14:textFill>
            <w14:solidFill>
              <w14:schemeClr w14:val="tx1"/>
            </w14:solidFill>
          </w14:textFill>
        </w:rPr>
      </w:pPr>
    </w:p>
    <w:p w14:paraId="39579262">
      <w:pPr>
        <w:jc w:val="center"/>
        <w:rPr>
          <w:rFonts w:hint="default" w:ascii="宋体" w:hAnsi="宋体" w:eastAsia="宋体" w:cs="宋体"/>
          <w:b/>
          <w:color w:val="000000"/>
          <w:sz w:val="28"/>
          <w:szCs w:val="28"/>
          <w:highlight w:val="none"/>
          <w:lang w:val="en-US" w:eastAsia="zh-CN"/>
        </w:rPr>
      </w:pPr>
      <w:r>
        <w:rPr>
          <w:rFonts w:hint="eastAsia" w:ascii="宋体" w:hAnsi="宋体" w:eastAsia="宋体" w:cs="宋体"/>
          <w:b/>
          <w:color w:val="000000"/>
          <w:sz w:val="28"/>
          <w:szCs w:val="28"/>
          <w:highlight w:val="none"/>
          <w:lang w:val="en-US" w:eastAsia="zh-CN"/>
        </w:rPr>
        <w:t>12.合理化建议</w:t>
      </w:r>
    </w:p>
    <w:p w14:paraId="11C25BCF">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706375F1">
      <w:pPr>
        <w:pStyle w:val="25"/>
        <w:rPr>
          <w:rFonts w:hint="eastAsia"/>
        </w:rPr>
      </w:pPr>
    </w:p>
    <w:p w14:paraId="1D2E8785">
      <w:pPr>
        <w:rPr>
          <w:rFonts w:hint="eastAsia"/>
        </w:rPr>
      </w:pPr>
    </w:p>
    <w:p w14:paraId="575D170C">
      <w:pPr>
        <w:pStyle w:val="2"/>
        <w:rPr>
          <w:rFonts w:hint="eastAsia"/>
        </w:rPr>
      </w:pPr>
    </w:p>
    <w:p w14:paraId="0CAC204D">
      <w:pPr>
        <w:pStyle w:val="2"/>
        <w:rPr>
          <w:rFonts w:hint="eastAsia"/>
        </w:rPr>
      </w:pPr>
    </w:p>
    <w:p w14:paraId="2B5EA969">
      <w:pPr>
        <w:jc w:val="center"/>
        <w:rPr>
          <w:rFonts w:hint="eastAsia" w:ascii="宋体" w:hAnsi="宋体" w:eastAsia="宋体" w:cs="宋体"/>
          <w:b/>
          <w:color w:val="000000"/>
          <w:sz w:val="28"/>
          <w:szCs w:val="28"/>
          <w:highlight w:val="none"/>
          <w:lang w:val="en-US" w:eastAsia="zh-CN"/>
        </w:rPr>
      </w:pPr>
      <w:r>
        <w:rPr>
          <w:rFonts w:hint="eastAsia" w:ascii="宋体" w:hAnsi="宋体" w:cs="宋体"/>
          <w:b/>
          <w:color w:val="000000"/>
          <w:sz w:val="28"/>
          <w:szCs w:val="28"/>
          <w:highlight w:val="none"/>
          <w:lang w:val="en-US" w:eastAsia="zh-CN"/>
        </w:rPr>
        <w:t>13.</w:t>
      </w:r>
      <w:r>
        <w:rPr>
          <w:rFonts w:hint="eastAsia" w:ascii="宋体" w:hAnsi="宋体" w:eastAsia="宋体" w:cs="宋体"/>
          <w:b/>
          <w:color w:val="000000"/>
          <w:sz w:val="28"/>
          <w:szCs w:val="28"/>
          <w:highlight w:val="none"/>
          <w:lang w:val="en-US" w:eastAsia="zh-CN"/>
        </w:rPr>
        <w:t>服务方案</w:t>
      </w:r>
    </w:p>
    <w:p w14:paraId="629F751A">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6EE558FF">
      <w:pPr>
        <w:rPr>
          <w:rFonts w:hint="default"/>
          <w:lang w:val="en-US" w:eastAsia="zh-CN"/>
        </w:rPr>
      </w:pPr>
    </w:p>
    <w:p w14:paraId="027F8FCD">
      <w:pPr>
        <w:pStyle w:val="2"/>
        <w:rPr>
          <w:rFonts w:hint="default"/>
          <w:lang w:val="en-US" w:eastAsia="zh-CN"/>
        </w:rPr>
      </w:pPr>
    </w:p>
    <w:p w14:paraId="03AC0027">
      <w:pPr>
        <w:rPr>
          <w:rFonts w:hint="default"/>
          <w:lang w:val="en-US" w:eastAsia="zh-CN"/>
        </w:rPr>
      </w:pPr>
    </w:p>
    <w:p w14:paraId="78F38A0A">
      <w:pPr>
        <w:pStyle w:val="2"/>
        <w:rPr>
          <w:rFonts w:hint="default"/>
          <w:lang w:val="en-US" w:eastAsia="zh-CN"/>
        </w:rPr>
      </w:pPr>
    </w:p>
    <w:p w14:paraId="720829E5">
      <w:pPr>
        <w:pStyle w:val="2"/>
        <w:rPr>
          <w:rFonts w:hint="default"/>
          <w:lang w:val="en-US" w:eastAsia="zh-CN"/>
        </w:rPr>
      </w:pPr>
    </w:p>
    <w:p w14:paraId="338C04C0">
      <w:pPr>
        <w:rPr>
          <w:rFonts w:hint="default"/>
          <w:lang w:val="en-US" w:eastAsia="zh-CN"/>
        </w:rPr>
      </w:pPr>
    </w:p>
    <w:p w14:paraId="7F0142B4">
      <w:pPr>
        <w:numPr>
          <w:ilvl w:val="0"/>
          <w:numId w:val="0"/>
        </w:numPr>
        <w:jc w:val="center"/>
        <w:rPr>
          <w:rFonts w:hint="eastAsia" w:ascii="宋体" w:hAnsi="宋体" w:cs="宋体"/>
          <w:b/>
          <w:color w:val="000000"/>
          <w:sz w:val="28"/>
          <w:szCs w:val="28"/>
          <w:highlight w:val="none"/>
          <w:lang w:val="en-US" w:eastAsia="zh-CN"/>
        </w:rPr>
      </w:pPr>
      <w:r>
        <w:rPr>
          <w:rFonts w:hint="eastAsia" w:ascii="宋体" w:hAnsi="宋体" w:eastAsia="宋体" w:cs="宋体"/>
          <w:b/>
          <w:color w:val="000000"/>
          <w:kern w:val="2"/>
          <w:sz w:val="28"/>
          <w:szCs w:val="28"/>
          <w:lang w:val="en-US" w:eastAsia="zh-CN" w:bidi="ar-SA"/>
        </w:rPr>
        <w:t>14.</w:t>
      </w:r>
      <w:r>
        <w:rPr>
          <w:rFonts w:hint="eastAsia" w:ascii="宋体" w:hAnsi="宋体" w:cs="宋体"/>
          <w:b/>
          <w:color w:val="000000"/>
          <w:sz w:val="28"/>
          <w:szCs w:val="28"/>
          <w:highlight w:val="none"/>
          <w:lang w:val="en-US" w:eastAsia="zh-CN"/>
        </w:rPr>
        <w:t>公路治超非现场执法系统软件维护能力</w:t>
      </w:r>
    </w:p>
    <w:p w14:paraId="4391FCC9">
      <w:pPr>
        <w:spacing w:line="336" w:lineRule="auto"/>
        <w:jc w:val="center"/>
        <w:rPr>
          <w:rFonts w:hint="eastAsia" w:ascii="宋体" w:hAnsi="宋体" w:eastAsia="宋体" w:cs="宋体"/>
          <w:color w:val="000000"/>
          <w:highlight w:val="none"/>
        </w:rPr>
      </w:pPr>
      <w:r>
        <w:rPr>
          <w:rFonts w:hint="eastAsia" w:ascii="宋体" w:hAnsi="宋体" w:eastAsia="宋体" w:cs="宋体"/>
          <w:color w:val="000000"/>
          <w:highlight w:val="none"/>
        </w:rPr>
        <w:t>结合磋商评审办法并根据采购需求的情况进行编制，格式自拟。</w:t>
      </w:r>
    </w:p>
    <w:p w14:paraId="57278327">
      <w:pPr>
        <w:pStyle w:val="2"/>
        <w:widowControl w:val="0"/>
        <w:numPr>
          <w:ilvl w:val="0"/>
          <w:numId w:val="0"/>
        </w:numPr>
        <w:spacing w:after="120"/>
        <w:jc w:val="both"/>
        <w:rPr>
          <w:rFonts w:hint="default"/>
          <w:lang w:val="en-US" w:eastAsia="zh-CN"/>
        </w:rPr>
      </w:pPr>
    </w:p>
    <w:p w14:paraId="7CA6D885">
      <w:pPr>
        <w:rPr>
          <w:rFonts w:hint="default"/>
          <w:lang w:val="en-US" w:eastAsia="zh-CN"/>
        </w:rPr>
      </w:pPr>
    </w:p>
    <w:p w14:paraId="03AD6B51">
      <w:pPr>
        <w:pStyle w:val="2"/>
        <w:rPr>
          <w:rFonts w:hint="default"/>
          <w:lang w:val="en-US" w:eastAsia="zh-CN"/>
        </w:rPr>
      </w:pPr>
    </w:p>
    <w:p w14:paraId="0B10FC89">
      <w:pPr>
        <w:rPr>
          <w:rFonts w:hint="default"/>
          <w:lang w:val="en-US" w:eastAsia="zh-CN"/>
        </w:rPr>
      </w:pPr>
    </w:p>
    <w:p w14:paraId="647027D8">
      <w:pPr>
        <w:rPr>
          <w:rFonts w:hint="default"/>
          <w:lang w:val="en-US" w:eastAsia="zh-CN"/>
        </w:rPr>
      </w:pPr>
    </w:p>
    <w:p w14:paraId="7D65C706">
      <w:pPr>
        <w:rPr>
          <w:rFonts w:hint="default"/>
          <w:lang w:val="en-US" w:eastAsia="zh-CN"/>
        </w:rPr>
      </w:pPr>
    </w:p>
    <w:p w14:paraId="768F5315">
      <w:pPr>
        <w:spacing w:line="336" w:lineRule="auto"/>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1</w:t>
      </w:r>
      <w:r>
        <w:rPr>
          <w:rFonts w:hint="eastAsia" w:ascii="宋体" w:hAnsi="宋体" w:cs="宋体"/>
          <w:b/>
          <w:color w:val="000000" w:themeColor="text1"/>
          <w:sz w:val="28"/>
          <w:szCs w:val="28"/>
          <w:highlight w:val="none"/>
          <w:lang w:val="en-US" w:eastAsia="zh-CN"/>
          <w14:textFill>
            <w14:solidFill>
              <w14:schemeClr w14:val="tx1"/>
            </w14:solidFill>
          </w14:textFill>
        </w:rPr>
        <w:t>5.</w:t>
      </w:r>
      <w:r>
        <w:rPr>
          <w:rFonts w:hint="eastAsia" w:ascii="宋体" w:hAnsi="宋体" w:cs="宋体"/>
          <w:b/>
          <w:color w:val="000000" w:themeColor="text1"/>
          <w:sz w:val="28"/>
          <w:szCs w:val="28"/>
          <w:highlight w:val="none"/>
          <w14:textFill>
            <w14:solidFill>
              <w14:schemeClr w14:val="tx1"/>
            </w14:solidFill>
          </w14:textFill>
        </w:rPr>
        <w:t>供应商认为有利于本次磋商的其它技术文件</w:t>
      </w:r>
    </w:p>
    <w:p w14:paraId="4616A6F4">
      <w:pPr>
        <w:spacing w:line="336"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（格式自拟）</w:t>
      </w:r>
    </w:p>
    <w:p w14:paraId="62B55123">
      <w:pPr>
        <w:rPr>
          <w:rFonts w:hint="eastAsia"/>
          <w:color w:val="000000" w:themeColor="text1"/>
          <w:highlight w:val="none"/>
          <w14:textFill>
            <w14:solidFill>
              <w14:schemeClr w14:val="tx1"/>
            </w14:solidFill>
          </w14:textFill>
        </w:rPr>
      </w:pPr>
    </w:p>
    <w:p w14:paraId="38669F4A">
      <w:pPr>
        <w:pStyle w:val="54"/>
        <w:rPr>
          <w:rFonts w:hint="eastAsia"/>
          <w:color w:val="000000" w:themeColor="text1"/>
          <w:highlight w:val="none"/>
          <w14:textFill>
            <w14:solidFill>
              <w14:schemeClr w14:val="tx1"/>
            </w14:solidFill>
          </w14:textFill>
        </w:rPr>
      </w:pPr>
    </w:p>
    <w:p w14:paraId="640FABDF">
      <w:pPr>
        <w:rPr>
          <w:rFonts w:hint="eastAsia"/>
          <w:color w:val="000000" w:themeColor="text1"/>
          <w:highlight w:val="none"/>
          <w14:textFill>
            <w14:solidFill>
              <w14:schemeClr w14:val="tx1"/>
            </w14:solidFill>
          </w14:textFill>
        </w:rPr>
      </w:pPr>
    </w:p>
    <w:p w14:paraId="67A3AE43">
      <w:pPr>
        <w:rPr>
          <w:rFonts w:hint="eastAsia"/>
          <w:color w:val="000000" w:themeColor="text1"/>
          <w:highlight w:val="none"/>
          <w14:textFill>
            <w14:solidFill>
              <w14:schemeClr w14:val="tx1"/>
            </w14:solidFill>
          </w14:textFill>
        </w:rPr>
      </w:pPr>
    </w:p>
    <w:p w14:paraId="34785851">
      <w:pPr>
        <w:rPr>
          <w:rFonts w:hint="eastAsia"/>
          <w:color w:val="000000" w:themeColor="text1"/>
          <w:highlight w:val="none"/>
          <w14:textFill>
            <w14:solidFill>
              <w14:schemeClr w14:val="tx1"/>
            </w14:solidFill>
          </w14:textFill>
        </w:rPr>
      </w:pPr>
    </w:p>
    <w:p w14:paraId="55129378">
      <w:pPr>
        <w:rPr>
          <w:rFonts w:hint="eastAsia"/>
          <w:color w:val="000000" w:themeColor="text1"/>
          <w:highlight w:val="none"/>
          <w14:textFill>
            <w14:solidFill>
              <w14:schemeClr w14:val="tx1"/>
            </w14:solidFill>
          </w14:textFill>
        </w:rPr>
      </w:pPr>
    </w:p>
    <w:p w14:paraId="19543161">
      <w:pPr>
        <w:rPr>
          <w:rFonts w:hint="eastAsia" w:ascii="宋体" w:hAnsi="宋体"/>
          <w:color w:val="000000" w:themeColor="text1"/>
          <w:sz w:val="30"/>
          <w:szCs w:val="30"/>
          <w:highlight w:val="none"/>
          <w14:textFill>
            <w14:solidFill>
              <w14:schemeClr w14:val="tx1"/>
            </w14:solidFill>
          </w14:textFill>
        </w:rPr>
      </w:pPr>
      <w:r>
        <w:rPr>
          <w:rFonts w:hint="eastAsia" w:ascii="宋体" w:hAnsi="宋体"/>
          <w:color w:val="000000" w:themeColor="text1"/>
          <w:sz w:val="30"/>
          <w:szCs w:val="30"/>
          <w:highlight w:val="none"/>
          <w14:textFill>
            <w14:solidFill>
              <w14:schemeClr w14:val="tx1"/>
            </w14:solidFill>
          </w14:textFill>
        </w:rPr>
        <w:br w:type="page"/>
      </w:r>
    </w:p>
    <w:p w14:paraId="1BC5D3C6">
      <w:pPr>
        <w:pStyle w:val="6"/>
        <w:keepNext w:val="0"/>
        <w:keepLines w:val="0"/>
        <w:spacing w:line="360" w:lineRule="auto"/>
        <w:jc w:val="center"/>
        <w:rPr>
          <w:rFonts w:ascii="宋体" w:hAnsi="宋体"/>
          <w:color w:val="000000" w:themeColor="text1"/>
          <w:sz w:val="30"/>
          <w:szCs w:val="30"/>
          <w:highlight w:val="none"/>
          <w14:textFill>
            <w14:solidFill>
              <w14:schemeClr w14:val="tx1"/>
            </w14:solidFill>
          </w14:textFill>
        </w:rPr>
      </w:pPr>
      <w:bookmarkStart w:id="726" w:name="_Toc15196"/>
      <w:r>
        <w:rPr>
          <w:rFonts w:hint="eastAsia" w:ascii="宋体" w:hAnsi="宋体"/>
          <w:color w:val="000000" w:themeColor="text1"/>
          <w:sz w:val="30"/>
          <w:szCs w:val="30"/>
          <w:highlight w:val="none"/>
          <w14:textFill>
            <w14:solidFill>
              <w14:schemeClr w14:val="tx1"/>
            </w14:solidFill>
          </w14:textFill>
        </w:rPr>
        <w:t>三、报价文件格式</w:t>
      </w:r>
      <w:bookmarkEnd w:id="703"/>
      <w:bookmarkEnd w:id="704"/>
      <w:bookmarkEnd w:id="726"/>
    </w:p>
    <w:p w14:paraId="2DA60EB8">
      <w:pPr>
        <w:pStyle w:val="13"/>
        <w:snapToGrid w:val="0"/>
        <w:spacing w:before="50" w:after="120"/>
        <w:ind w:firstLine="0"/>
        <w:rPr>
          <w:rFonts w:ascii="宋体"/>
          <w:color w:val="000000" w:themeColor="text1"/>
          <w:szCs w:val="21"/>
          <w:highlight w:val="none"/>
          <w14:textFill>
            <w14:solidFill>
              <w14:schemeClr w14:val="tx1"/>
            </w14:solidFill>
          </w14:textFill>
        </w:rPr>
      </w:pPr>
    </w:p>
    <w:p w14:paraId="36F8D3BD">
      <w:pPr>
        <w:pStyle w:val="13"/>
        <w:snapToGrid w:val="0"/>
        <w:spacing w:before="50" w:after="120"/>
        <w:ind w:firstLine="0"/>
        <w:rPr>
          <w:rFonts w:ascii="宋体"/>
          <w:color w:val="000000" w:themeColor="text1"/>
          <w:szCs w:val="21"/>
          <w:highlight w:val="none"/>
          <w14:textFill>
            <w14:solidFill>
              <w14:schemeClr w14:val="tx1"/>
            </w14:solidFill>
          </w14:textFill>
        </w:rPr>
      </w:pPr>
    </w:p>
    <w:p w14:paraId="576E6637">
      <w:pPr>
        <w:jc w:val="center"/>
        <w:rPr>
          <w:b/>
          <w:color w:val="000000" w:themeColor="text1"/>
          <w:sz w:val="28"/>
          <w:szCs w:val="28"/>
          <w:highlight w:val="none"/>
          <w14:textFill>
            <w14:solidFill>
              <w14:schemeClr w14:val="tx1"/>
            </w14:solidFill>
          </w14:textFill>
        </w:rPr>
      </w:pPr>
      <w:bookmarkStart w:id="727" w:name="_Toc303756461"/>
      <w:r>
        <w:rPr>
          <w:rFonts w:hint="eastAsia"/>
          <w:b/>
          <w:color w:val="000000" w:themeColor="text1"/>
          <w:sz w:val="28"/>
          <w:szCs w:val="28"/>
          <w:highlight w:val="none"/>
          <w14:textFill>
            <w14:solidFill>
              <w14:schemeClr w14:val="tx1"/>
            </w14:solidFill>
          </w14:textFill>
        </w:rPr>
        <w:t>报价文件封面</w:t>
      </w:r>
      <w:bookmarkEnd w:id="727"/>
    </w:p>
    <w:p w14:paraId="39038D69">
      <w:pPr>
        <w:pStyle w:val="13"/>
        <w:snapToGrid w:val="0"/>
        <w:spacing w:before="50" w:after="120"/>
        <w:ind w:firstLine="0"/>
        <w:rPr>
          <w:rFonts w:ascii="宋体"/>
          <w:color w:val="000000" w:themeColor="text1"/>
          <w:szCs w:val="21"/>
          <w:highlight w:val="none"/>
          <w14:textFill>
            <w14:solidFill>
              <w14:schemeClr w14:val="tx1"/>
            </w14:solidFill>
          </w14:textFill>
        </w:rPr>
      </w:pPr>
    </w:p>
    <w:p w14:paraId="080F9D02">
      <w:pPr>
        <w:jc w:val="center"/>
        <w:rPr>
          <w:b/>
          <w:color w:val="000000" w:themeColor="text1"/>
          <w:sz w:val="28"/>
          <w:szCs w:val="28"/>
          <w:highlight w:val="none"/>
          <w14:textFill>
            <w14:solidFill>
              <w14:schemeClr w14:val="tx1"/>
            </w14:solidFill>
          </w14:textFill>
        </w:rPr>
      </w:pPr>
      <w:r>
        <w:rPr>
          <w:rFonts w:hint="eastAsia"/>
          <w:b/>
          <w:color w:val="000000" w:themeColor="text1"/>
          <w:sz w:val="28"/>
          <w:szCs w:val="28"/>
          <w:highlight w:val="none"/>
          <w14:textFill>
            <w14:solidFill>
              <w14:schemeClr w14:val="tx1"/>
            </w14:solidFill>
          </w14:textFill>
        </w:rPr>
        <w:t>响应文件</w:t>
      </w:r>
    </w:p>
    <w:p w14:paraId="444EAA67">
      <w:pPr>
        <w:pStyle w:val="20"/>
        <w:ind w:firstLine="210"/>
        <w:rPr>
          <w:color w:val="000000" w:themeColor="text1"/>
          <w:highlight w:val="none"/>
          <w14:textFill>
            <w14:solidFill>
              <w14:schemeClr w14:val="tx1"/>
            </w14:solidFill>
          </w14:textFill>
        </w:rPr>
      </w:pPr>
    </w:p>
    <w:tbl>
      <w:tblPr>
        <w:tblStyle w:val="43"/>
        <w:tblW w:w="0" w:type="auto"/>
        <w:jc w:val="center"/>
        <w:tblLayout w:type="autofit"/>
        <w:tblCellMar>
          <w:top w:w="0" w:type="dxa"/>
          <w:left w:w="108" w:type="dxa"/>
          <w:bottom w:w="0" w:type="dxa"/>
          <w:right w:w="108" w:type="dxa"/>
        </w:tblCellMar>
      </w:tblPr>
      <w:tblGrid>
        <w:gridCol w:w="2518"/>
        <w:gridCol w:w="4536"/>
      </w:tblGrid>
      <w:tr w14:paraId="2D8386A5">
        <w:tblPrEx>
          <w:tblCellMar>
            <w:top w:w="0" w:type="dxa"/>
            <w:left w:w="108" w:type="dxa"/>
            <w:bottom w:w="0" w:type="dxa"/>
            <w:right w:w="108" w:type="dxa"/>
          </w:tblCellMar>
        </w:tblPrEx>
        <w:trPr>
          <w:trHeight w:val="556" w:hRule="atLeast"/>
          <w:jc w:val="center"/>
        </w:trPr>
        <w:tc>
          <w:tcPr>
            <w:tcW w:w="2518" w:type="dxa"/>
            <w:vAlign w:val="center"/>
          </w:tcPr>
          <w:p w14:paraId="368A8EE1">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电子响应文件名称：</w:t>
            </w:r>
          </w:p>
        </w:tc>
        <w:tc>
          <w:tcPr>
            <w:tcW w:w="4536" w:type="dxa"/>
            <w:vAlign w:val="center"/>
          </w:tcPr>
          <w:p w14:paraId="379E217A">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报价文件               </w:t>
            </w:r>
          </w:p>
        </w:tc>
      </w:tr>
      <w:tr w14:paraId="6F1AA415">
        <w:tblPrEx>
          <w:tblCellMar>
            <w:top w:w="0" w:type="dxa"/>
            <w:left w:w="108" w:type="dxa"/>
            <w:bottom w:w="0" w:type="dxa"/>
            <w:right w:w="108" w:type="dxa"/>
          </w:tblCellMar>
        </w:tblPrEx>
        <w:trPr>
          <w:trHeight w:val="526" w:hRule="atLeast"/>
          <w:jc w:val="center"/>
        </w:trPr>
        <w:tc>
          <w:tcPr>
            <w:tcW w:w="2518" w:type="dxa"/>
            <w:vAlign w:val="center"/>
          </w:tcPr>
          <w:p w14:paraId="6C02C99A">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 购 编 号：</w:t>
            </w:r>
          </w:p>
        </w:tc>
        <w:tc>
          <w:tcPr>
            <w:tcW w:w="4536" w:type="dxa"/>
            <w:vAlign w:val="center"/>
          </w:tcPr>
          <w:p w14:paraId="2684CCD4">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696B0E58">
        <w:tblPrEx>
          <w:tblCellMar>
            <w:top w:w="0" w:type="dxa"/>
            <w:left w:w="108" w:type="dxa"/>
            <w:bottom w:w="0" w:type="dxa"/>
            <w:right w:w="108" w:type="dxa"/>
          </w:tblCellMar>
        </w:tblPrEx>
        <w:trPr>
          <w:trHeight w:val="556" w:hRule="atLeast"/>
          <w:jc w:val="center"/>
        </w:trPr>
        <w:tc>
          <w:tcPr>
            <w:tcW w:w="2518" w:type="dxa"/>
            <w:vAlign w:val="center"/>
          </w:tcPr>
          <w:p w14:paraId="0B5765BE">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 名 称：</w:t>
            </w:r>
          </w:p>
        </w:tc>
        <w:tc>
          <w:tcPr>
            <w:tcW w:w="4536" w:type="dxa"/>
            <w:vAlign w:val="center"/>
          </w:tcPr>
          <w:p w14:paraId="2FC7340D">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04323184">
        <w:tblPrEx>
          <w:tblCellMar>
            <w:top w:w="0" w:type="dxa"/>
            <w:left w:w="108" w:type="dxa"/>
            <w:bottom w:w="0" w:type="dxa"/>
            <w:right w:w="108" w:type="dxa"/>
          </w:tblCellMar>
        </w:tblPrEx>
        <w:trPr>
          <w:trHeight w:val="586" w:hRule="atLeast"/>
          <w:jc w:val="center"/>
        </w:trPr>
        <w:tc>
          <w:tcPr>
            <w:tcW w:w="2518" w:type="dxa"/>
            <w:vAlign w:val="center"/>
          </w:tcPr>
          <w:p w14:paraId="6B2510CF">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标      项：</w:t>
            </w:r>
          </w:p>
        </w:tc>
        <w:tc>
          <w:tcPr>
            <w:tcW w:w="4536" w:type="dxa"/>
            <w:vAlign w:val="center"/>
          </w:tcPr>
          <w:p w14:paraId="2E1B7D40">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（若有）                </w:t>
            </w:r>
          </w:p>
        </w:tc>
      </w:tr>
      <w:tr w14:paraId="0A9C06C7">
        <w:tblPrEx>
          <w:tblCellMar>
            <w:top w:w="0" w:type="dxa"/>
            <w:left w:w="108" w:type="dxa"/>
            <w:bottom w:w="0" w:type="dxa"/>
            <w:right w:w="108" w:type="dxa"/>
          </w:tblCellMar>
        </w:tblPrEx>
        <w:trPr>
          <w:trHeight w:val="397" w:hRule="atLeast"/>
          <w:jc w:val="center"/>
        </w:trPr>
        <w:tc>
          <w:tcPr>
            <w:tcW w:w="2518" w:type="dxa"/>
            <w:vAlign w:val="center"/>
          </w:tcPr>
          <w:p w14:paraId="06990C81">
            <w:pPr>
              <w:spacing w:line="360" w:lineRule="auto"/>
              <w:jc w:val="distribute"/>
              <w:rPr>
                <w:rFonts w:ascii="宋体" w:hAnsi="宋体" w:cs="宋体"/>
                <w:color w:val="000000" w:themeColor="text1"/>
                <w:sz w:val="24"/>
                <w:highlight w:val="none"/>
                <w14:textFill>
                  <w14:solidFill>
                    <w14:schemeClr w14:val="tx1"/>
                  </w14:solidFill>
                </w14:textFill>
              </w:rPr>
            </w:pPr>
          </w:p>
        </w:tc>
        <w:tc>
          <w:tcPr>
            <w:tcW w:w="4536" w:type="dxa"/>
            <w:vAlign w:val="center"/>
          </w:tcPr>
          <w:p w14:paraId="62AD722E">
            <w:pPr>
              <w:spacing w:line="360" w:lineRule="auto"/>
              <w:jc w:val="left"/>
              <w:rPr>
                <w:rFonts w:ascii="宋体" w:hAnsi="宋体" w:cs="宋体"/>
                <w:color w:val="000000" w:themeColor="text1"/>
                <w:sz w:val="24"/>
                <w:highlight w:val="none"/>
                <w14:textFill>
                  <w14:solidFill>
                    <w14:schemeClr w14:val="tx1"/>
                  </w14:solidFill>
                </w14:textFill>
              </w:rPr>
            </w:pPr>
          </w:p>
        </w:tc>
      </w:tr>
      <w:tr w14:paraId="5CE1AF7B">
        <w:tblPrEx>
          <w:tblCellMar>
            <w:top w:w="0" w:type="dxa"/>
            <w:left w:w="108" w:type="dxa"/>
            <w:bottom w:w="0" w:type="dxa"/>
            <w:right w:w="108" w:type="dxa"/>
          </w:tblCellMar>
        </w:tblPrEx>
        <w:trPr>
          <w:trHeight w:val="481" w:hRule="atLeast"/>
          <w:jc w:val="center"/>
        </w:trPr>
        <w:tc>
          <w:tcPr>
            <w:tcW w:w="2518" w:type="dxa"/>
            <w:vAlign w:val="center"/>
          </w:tcPr>
          <w:p w14:paraId="5A899879">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供应商全称（盖章）：</w:t>
            </w:r>
          </w:p>
        </w:tc>
        <w:tc>
          <w:tcPr>
            <w:tcW w:w="4536" w:type="dxa"/>
            <w:vAlign w:val="center"/>
          </w:tcPr>
          <w:p w14:paraId="435ABE80">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4FA6B3AB">
        <w:tblPrEx>
          <w:tblCellMar>
            <w:top w:w="0" w:type="dxa"/>
            <w:left w:w="108" w:type="dxa"/>
            <w:bottom w:w="0" w:type="dxa"/>
            <w:right w:w="108" w:type="dxa"/>
          </w:tblCellMar>
        </w:tblPrEx>
        <w:trPr>
          <w:trHeight w:val="556" w:hRule="atLeast"/>
          <w:jc w:val="center"/>
        </w:trPr>
        <w:tc>
          <w:tcPr>
            <w:tcW w:w="2518" w:type="dxa"/>
            <w:vAlign w:val="center"/>
          </w:tcPr>
          <w:p w14:paraId="4B4ABB56">
            <w:pPr>
              <w:spacing w:line="360" w:lineRule="auto"/>
              <w:jc w:val="distribute"/>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供应商地址：</w:t>
            </w:r>
          </w:p>
        </w:tc>
        <w:tc>
          <w:tcPr>
            <w:tcW w:w="4536" w:type="dxa"/>
            <w:vAlign w:val="center"/>
          </w:tcPr>
          <w:p w14:paraId="3543B015">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p>
        </w:tc>
      </w:tr>
      <w:tr w14:paraId="59488DB4">
        <w:tblPrEx>
          <w:tblCellMar>
            <w:top w:w="0" w:type="dxa"/>
            <w:left w:w="108" w:type="dxa"/>
            <w:bottom w:w="0" w:type="dxa"/>
            <w:right w:w="108" w:type="dxa"/>
          </w:tblCellMar>
        </w:tblPrEx>
        <w:trPr>
          <w:trHeight w:val="397" w:hRule="atLeast"/>
          <w:jc w:val="center"/>
        </w:trPr>
        <w:tc>
          <w:tcPr>
            <w:tcW w:w="7054" w:type="dxa"/>
            <w:gridSpan w:val="2"/>
            <w:vAlign w:val="center"/>
          </w:tcPr>
          <w:p w14:paraId="1A72EFA9">
            <w:pPr>
              <w:spacing w:line="360" w:lineRule="auto"/>
              <w:jc w:val="left"/>
              <w:rPr>
                <w:rFonts w:ascii="宋体" w:hAnsi="宋体" w:cs="宋体"/>
                <w:color w:val="000000" w:themeColor="text1"/>
                <w:sz w:val="24"/>
                <w:highlight w:val="none"/>
                <w:u w:val="single"/>
                <w14:textFill>
                  <w14:solidFill>
                    <w14:schemeClr w14:val="tx1"/>
                  </w14:solidFill>
                </w14:textFill>
              </w:rPr>
            </w:pPr>
          </w:p>
        </w:tc>
      </w:tr>
      <w:tr w14:paraId="6EF38006">
        <w:tblPrEx>
          <w:tblCellMar>
            <w:top w:w="0" w:type="dxa"/>
            <w:left w:w="108" w:type="dxa"/>
            <w:bottom w:w="0" w:type="dxa"/>
            <w:right w:w="108" w:type="dxa"/>
          </w:tblCellMar>
        </w:tblPrEx>
        <w:trPr>
          <w:trHeight w:val="397" w:hRule="atLeast"/>
          <w:jc w:val="center"/>
        </w:trPr>
        <w:tc>
          <w:tcPr>
            <w:tcW w:w="7054" w:type="dxa"/>
            <w:gridSpan w:val="2"/>
            <w:vAlign w:val="center"/>
          </w:tcPr>
          <w:p w14:paraId="6A012F5A">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年  月  日</w:t>
            </w:r>
          </w:p>
        </w:tc>
      </w:tr>
    </w:tbl>
    <w:p w14:paraId="0295B243">
      <w:pPr>
        <w:spacing w:line="360" w:lineRule="auto"/>
        <w:jc w:val="center"/>
        <w:rPr>
          <w:rFonts w:ascii="宋体"/>
          <w:b/>
          <w:color w:val="000000" w:themeColor="text1"/>
          <w:szCs w:val="21"/>
          <w:highlight w:val="none"/>
          <w14:textFill>
            <w14:solidFill>
              <w14:schemeClr w14:val="tx1"/>
            </w14:solidFill>
          </w14:textFill>
        </w:rPr>
        <w:sectPr>
          <w:pgSz w:w="11906" w:h="16838"/>
          <w:pgMar w:top="1417" w:right="1417" w:bottom="1134" w:left="1417" w:header="851" w:footer="850" w:gutter="0"/>
          <w:cols w:space="720" w:num="1"/>
          <w:titlePg/>
          <w:docGrid w:linePitch="312" w:charSpace="0"/>
        </w:sectPr>
      </w:pPr>
    </w:p>
    <w:p w14:paraId="6B0A6482">
      <w:pPr>
        <w:jc w:val="center"/>
        <w:rPr>
          <w:b/>
          <w:color w:val="000000" w:themeColor="text1"/>
          <w:sz w:val="28"/>
          <w:szCs w:val="28"/>
          <w:highlight w:val="none"/>
          <w14:textFill>
            <w14:solidFill>
              <w14:schemeClr w14:val="tx1"/>
            </w14:solidFill>
          </w14:textFill>
        </w:rPr>
      </w:pPr>
      <w:bookmarkStart w:id="728" w:name="_Toc303756462"/>
      <w:r>
        <w:rPr>
          <w:rFonts w:hint="eastAsia"/>
          <w:b/>
          <w:color w:val="000000" w:themeColor="text1"/>
          <w:sz w:val="28"/>
          <w:szCs w:val="28"/>
          <w:highlight w:val="none"/>
          <w14:textFill>
            <w14:solidFill>
              <w14:schemeClr w14:val="tx1"/>
            </w14:solidFill>
          </w14:textFill>
        </w:rPr>
        <w:t>报价文件目录</w:t>
      </w:r>
      <w:bookmarkEnd w:id="728"/>
    </w:p>
    <w:p w14:paraId="78221230">
      <w:pPr>
        <w:spacing w:line="360" w:lineRule="auto"/>
        <w:rPr>
          <w:rFonts w:ascii="宋体"/>
          <w:color w:val="000000" w:themeColor="text1"/>
          <w:szCs w:val="21"/>
          <w:highlight w:val="none"/>
          <w14:textFill>
            <w14:solidFill>
              <w14:schemeClr w14:val="tx1"/>
            </w14:solidFill>
          </w14:textFill>
        </w:rPr>
      </w:pPr>
    </w:p>
    <w:p w14:paraId="4A6CBB59">
      <w:pPr>
        <w:spacing w:line="360" w:lineRule="auto"/>
        <w:rPr>
          <w:rFonts w:ascii="宋体"/>
          <w:color w:val="000000" w:themeColor="text1"/>
          <w:szCs w:val="21"/>
          <w:highlight w:val="none"/>
          <w14:textFill>
            <w14:solidFill>
              <w14:schemeClr w14:val="tx1"/>
            </w14:solidFill>
          </w14:textFill>
        </w:rPr>
      </w:pPr>
    </w:p>
    <w:p w14:paraId="5D7D3034">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（1）磋商一览表</w:t>
      </w:r>
    </w:p>
    <w:p w14:paraId="5AC2F14B">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（2）报价明细表</w:t>
      </w:r>
    </w:p>
    <w:p w14:paraId="75D4EBD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hint="eastAsia" w:ascii="宋体" w:hAnsi="宋体" w:cs="宋体"/>
          <w:bCs/>
          <w:color w:val="000000" w:themeColor="text1"/>
          <w:szCs w:val="21"/>
          <w:highlight w:val="none"/>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针对报价需要说明的其他文件和说明</w:t>
      </w:r>
    </w:p>
    <w:p w14:paraId="2FE7274D">
      <w:pPr>
        <w:spacing w:line="360" w:lineRule="auto"/>
        <w:rPr>
          <w:rFonts w:ascii="宋体" w:hAnsi="宋体" w:cs="宋体"/>
          <w:color w:val="000000" w:themeColor="text1"/>
          <w:szCs w:val="21"/>
          <w:highlight w:val="none"/>
          <w14:textFill>
            <w14:solidFill>
              <w14:schemeClr w14:val="tx1"/>
            </w14:solidFill>
          </w14:textFill>
        </w:rPr>
        <w:sectPr>
          <w:pgSz w:w="11906" w:h="16838"/>
          <w:pgMar w:top="1417" w:right="1417" w:bottom="1134" w:left="1417" w:header="851" w:footer="850" w:gutter="0"/>
          <w:cols w:space="720" w:num="1"/>
          <w:titlePg/>
          <w:docGrid w:linePitch="312" w:charSpace="0"/>
        </w:sectPr>
      </w:pPr>
    </w:p>
    <w:p w14:paraId="04B55483">
      <w:pPr>
        <w:jc w:val="center"/>
        <w:rPr>
          <w:b/>
          <w:color w:val="000000" w:themeColor="text1"/>
          <w:sz w:val="28"/>
          <w:szCs w:val="28"/>
          <w:highlight w:val="none"/>
          <w14:textFill>
            <w14:solidFill>
              <w14:schemeClr w14:val="tx1"/>
            </w14:solidFill>
          </w14:textFill>
        </w:rPr>
      </w:pPr>
      <w:r>
        <w:rPr>
          <w:rFonts w:hint="eastAsia"/>
          <w:b/>
          <w:color w:val="000000" w:themeColor="text1"/>
          <w:sz w:val="28"/>
          <w:szCs w:val="28"/>
          <w:highlight w:val="none"/>
          <w:lang w:val="en-US" w:eastAsia="zh-CN"/>
          <w14:textFill>
            <w14:solidFill>
              <w14:schemeClr w14:val="tx1"/>
            </w14:solidFill>
          </w14:textFill>
        </w:rPr>
        <w:t>1.</w:t>
      </w:r>
      <w:r>
        <w:rPr>
          <w:rFonts w:hint="eastAsia"/>
          <w:b/>
          <w:color w:val="000000" w:themeColor="text1"/>
          <w:sz w:val="28"/>
          <w:szCs w:val="28"/>
          <w:highlight w:val="none"/>
          <w14:textFill>
            <w14:solidFill>
              <w14:schemeClr w14:val="tx1"/>
            </w14:solidFill>
          </w14:textFill>
        </w:rPr>
        <w:t>磋商一览表</w:t>
      </w:r>
    </w:p>
    <w:p w14:paraId="52BAF471">
      <w:pPr>
        <w:rPr>
          <w:b/>
          <w:color w:val="000000" w:themeColor="text1"/>
          <w:sz w:val="28"/>
          <w:szCs w:val="28"/>
          <w:highlight w:val="none"/>
          <w14:textFill>
            <w14:solidFill>
              <w14:schemeClr w14:val="tx1"/>
            </w14:solidFill>
          </w14:textFill>
        </w:rPr>
      </w:pPr>
    </w:p>
    <w:tbl>
      <w:tblPr>
        <w:tblStyle w:val="43"/>
        <w:tblW w:w="0" w:type="auto"/>
        <w:tblInd w:w="2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1"/>
        <w:gridCol w:w="1024"/>
        <w:gridCol w:w="5923"/>
      </w:tblGrid>
      <w:tr w14:paraId="39299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1931" w:type="dxa"/>
            <w:vAlign w:val="center"/>
          </w:tcPr>
          <w:p w14:paraId="49C5B35D">
            <w:pPr>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项目名称</w:t>
            </w:r>
          </w:p>
        </w:tc>
        <w:tc>
          <w:tcPr>
            <w:tcW w:w="6947" w:type="dxa"/>
            <w:gridSpan w:val="2"/>
            <w:vAlign w:val="center"/>
          </w:tcPr>
          <w:p w14:paraId="2B1BDF9B">
            <w:pPr>
              <w:rPr>
                <w:rFonts w:ascii="宋体" w:hAnsi="宋体"/>
                <w:bCs/>
                <w:color w:val="000000" w:themeColor="text1"/>
                <w:szCs w:val="21"/>
                <w:highlight w:val="none"/>
                <w14:textFill>
                  <w14:solidFill>
                    <w14:schemeClr w14:val="tx1"/>
                  </w14:solidFill>
                </w14:textFill>
              </w:rPr>
            </w:pPr>
          </w:p>
        </w:tc>
      </w:tr>
      <w:tr w14:paraId="01E7D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1931" w:type="dxa"/>
            <w:vAlign w:val="center"/>
          </w:tcPr>
          <w:p w14:paraId="1525F1A5">
            <w:pPr>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采购编号</w:t>
            </w:r>
          </w:p>
        </w:tc>
        <w:tc>
          <w:tcPr>
            <w:tcW w:w="6947" w:type="dxa"/>
            <w:gridSpan w:val="2"/>
            <w:vAlign w:val="center"/>
          </w:tcPr>
          <w:p w14:paraId="002366D3">
            <w:pPr>
              <w:rPr>
                <w:rFonts w:ascii="宋体" w:hAnsi="宋体"/>
                <w:bCs/>
                <w:color w:val="000000" w:themeColor="text1"/>
                <w:szCs w:val="21"/>
                <w:highlight w:val="none"/>
                <w14:textFill>
                  <w14:solidFill>
                    <w14:schemeClr w14:val="tx1"/>
                  </w14:solidFill>
                </w14:textFill>
              </w:rPr>
            </w:pPr>
          </w:p>
        </w:tc>
      </w:tr>
      <w:tr w14:paraId="6F8DF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1931" w:type="dxa"/>
            <w:vAlign w:val="center"/>
          </w:tcPr>
          <w:p w14:paraId="12B1ED35">
            <w:pPr>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采购人名称</w:t>
            </w:r>
          </w:p>
        </w:tc>
        <w:tc>
          <w:tcPr>
            <w:tcW w:w="6947" w:type="dxa"/>
            <w:gridSpan w:val="2"/>
            <w:vAlign w:val="center"/>
          </w:tcPr>
          <w:p w14:paraId="45210E83">
            <w:pPr>
              <w:rPr>
                <w:rFonts w:ascii="宋体" w:hAnsi="宋体"/>
                <w:bCs/>
                <w:color w:val="000000" w:themeColor="text1"/>
                <w:szCs w:val="21"/>
                <w:highlight w:val="none"/>
                <w14:textFill>
                  <w14:solidFill>
                    <w14:schemeClr w14:val="tx1"/>
                  </w14:solidFill>
                </w14:textFill>
              </w:rPr>
            </w:pPr>
          </w:p>
        </w:tc>
      </w:tr>
      <w:tr w14:paraId="122B9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1931" w:type="dxa"/>
            <w:vAlign w:val="center"/>
          </w:tcPr>
          <w:p w14:paraId="5E10ABDE">
            <w:pPr>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供应商名称</w:t>
            </w:r>
          </w:p>
        </w:tc>
        <w:tc>
          <w:tcPr>
            <w:tcW w:w="6947" w:type="dxa"/>
            <w:gridSpan w:val="2"/>
            <w:vAlign w:val="center"/>
          </w:tcPr>
          <w:p w14:paraId="55D8170E">
            <w:pPr>
              <w:rPr>
                <w:rFonts w:ascii="宋体" w:hAnsi="宋体"/>
                <w:bCs/>
                <w:color w:val="000000" w:themeColor="text1"/>
                <w:szCs w:val="21"/>
                <w:highlight w:val="none"/>
                <w14:textFill>
                  <w14:solidFill>
                    <w14:schemeClr w14:val="tx1"/>
                  </w14:solidFill>
                </w14:textFill>
              </w:rPr>
            </w:pPr>
          </w:p>
        </w:tc>
      </w:tr>
      <w:tr w14:paraId="0A867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8" w:hRule="atLeast"/>
        </w:trPr>
        <w:tc>
          <w:tcPr>
            <w:tcW w:w="1931" w:type="dxa"/>
            <w:vMerge w:val="restart"/>
            <w:vAlign w:val="center"/>
          </w:tcPr>
          <w:p w14:paraId="5C038756">
            <w:pPr>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总报价</w:t>
            </w:r>
          </w:p>
        </w:tc>
        <w:tc>
          <w:tcPr>
            <w:tcW w:w="1024" w:type="dxa"/>
            <w:vAlign w:val="center"/>
          </w:tcPr>
          <w:p w14:paraId="692530C0">
            <w:pPr>
              <w:jc w:val="center"/>
              <w:rPr>
                <w:rFonts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小写</w:t>
            </w:r>
          </w:p>
        </w:tc>
        <w:tc>
          <w:tcPr>
            <w:tcW w:w="5923" w:type="dxa"/>
            <w:vAlign w:val="center"/>
          </w:tcPr>
          <w:p w14:paraId="60C23F13">
            <w:pPr>
              <w:rPr>
                <w:rFonts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 xml:space="preserve">￥：       </w:t>
            </w:r>
          </w:p>
        </w:tc>
      </w:tr>
      <w:tr w14:paraId="76DFA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trPr>
        <w:tc>
          <w:tcPr>
            <w:tcW w:w="1931" w:type="dxa"/>
            <w:vMerge w:val="continue"/>
            <w:vAlign w:val="center"/>
          </w:tcPr>
          <w:p w14:paraId="402EE56D">
            <w:pPr>
              <w:rPr>
                <w:rFonts w:ascii="宋体" w:hAnsi="宋体"/>
                <w:bCs/>
                <w:color w:val="000000" w:themeColor="text1"/>
                <w:szCs w:val="21"/>
                <w:highlight w:val="none"/>
                <w14:textFill>
                  <w14:solidFill>
                    <w14:schemeClr w14:val="tx1"/>
                  </w14:solidFill>
                </w14:textFill>
              </w:rPr>
            </w:pPr>
          </w:p>
        </w:tc>
        <w:tc>
          <w:tcPr>
            <w:tcW w:w="1024" w:type="dxa"/>
            <w:vAlign w:val="center"/>
          </w:tcPr>
          <w:p w14:paraId="225CAF13">
            <w:pPr>
              <w:jc w:val="center"/>
              <w:rPr>
                <w:rFonts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大写</w:t>
            </w:r>
          </w:p>
        </w:tc>
        <w:tc>
          <w:tcPr>
            <w:tcW w:w="5923" w:type="dxa"/>
            <w:vAlign w:val="center"/>
          </w:tcPr>
          <w:p w14:paraId="37F8E4AD">
            <w:pPr>
              <w:rPr>
                <w:rFonts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 xml:space="preserve">                             </w:t>
            </w:r>
          </w:p>
        </w:tc>
      </w:tr>
    </w:tbl>
    <w:p w14:paraId="5A572812">
      <w:pP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注：</w:t>
      </w:r>
    </w:p>
    <w:p w14:paraId="26CA9766">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w:t>
      </w:r>
      <w:r>
        <w:rPr>
          <w:rFonts w:hint="eastAsia" w:ascii="宋体" w:hAnsi="宋体" w:cs="宋体"/>
          <w:bCs/>
          <w:color w:val="000000" w:themeColor="text1"/>
          <w:szCs w:val="21"/>
          <w:highlight w:val="none"/>
          <w:lang w:val="en-US" w:eastAsia="zh-CN"/>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供应商报价明显低于其他通过符合性审查供应商的报价，有可能影响产品质量或者不能诚信履约的，未在磋商现场合理的时间内通过政采云平台交换数据电文提供说明及证明材料来证明其报价合理性的，磋商小组有权将其响应文件作无效报价处理。</w:t>
      </w:r>
    </w:p>
    <w:p w14:paraId="01DC9301">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w:t>
      </w:r>
      <w:r>
        <w:rPr>
          <w:rFonts w:hint="eastAsia" w:ascii="宋体" w:hAnsi="宋体" w:cs="宋体"/>
          <w:bCs/>
          <w:color w:val="000000" w:themeColor="text1"/>
          <w:szCs w:val="21"/>
          <w:highlight w:val="none"/>
          <w:lang w:val="en-US" w:eastAsia="zh-CN"/>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报价一经涂改，应在涂改处加盖单位公章或者由法定代表人（负责人）或授权委托人签字或盖章，否则其磋商作无效标处理。</w:t>
      </w:r>
    </w:p>
    <w:p w14:paraId="462EB991">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w:t>
      </w:r>
      <w:r>
        <w:rPr>
          <w:rFonts w:hint="eastAsia" w:ascii="宋体" w:hAnsi="宋体" w:cs="宋体"/>
          <w:bCs/>
          <w:color w:val="000000" w:themeColor="text1"/>
          <w:szCs w:val="21"/>
          <w:highlight w:val="none"/>
          <w:lang w:val="en-US" w:eastAsia="zh-CN"/>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不接受有选择性的报价，不提供该报价表的报价文件视为未实质性响应竞争性磋商文件。</w:t>
      </w:r>
    </w:p>
    <w:p w14:paraId="2A97B692">
      <w:pPr>
        <w:pStyle w:val="122"/>
        <w:spacing w:line="440" w:lineRule="exac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p>
    <w:p w14:paraId="71849F26">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6BD86AB7">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0D5F8E5A">
      <w:pPr>
        <w:pStyle w:val="183"/>
        <w:outlineLvl w:val="2"/>
        <w:rPr>
          <w:rFonts w:ascii="宋体" w:hAnsi="宋体" w:eastAsia="宋体" w:cs="宋体"/>
          <w:color w:val="000000" w:themeColor="text1"/>
          <w:kern w:val="2"/>
          <w:sz w:val="21"/>
          <w:szCs w:val="21"/>
          <w:highlight w:val="none"/>
          <w14:textFill>
            <w14:solidFill>
              <w14:schemeClr w14:val="tx1"/>
            </w14:solidFill>
          </w14:textFill>
        </w:rPr>
        <w:sectPr>
          <w:pgSz w:w="11906" w:h="16838"/>
          <w:pgMar w:top="1417" w:right="1417" w:bottom="1134" w:left="1417" w:header="851" w:footer="850" w:gutter="0"/>
          <w:cols w:space="720" w:num="1"/>
          <w:titlePg/>
          <w:docGrid w:linePitch="312" w:charSpace="0"/>
        </w:sectPr>
      </w:pPr>
    </w:p>
    <w:p w14:paraId="754BF4EE">
      <w:pPr>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lang w:val="en-US" w:eastAsia="zh-CN"/>
          <w14:textFill>
            <w14:solidFill>
              <w14:schemeClr w14:val="tx1"/>
            </w14:solidFill>
          </w14:textFill>
        </w:rPr>
        <w:t>2.</w:t>
      </w:r>
      <w:r>
        <w:rPr>
          <w:rFonts w:hint="eastAsia" w:ascii="宋体" w:hAnsi="宋体" w:cs="宋体"/>
          <w:b/>
          <w:color w:val="000000" w:themeColor="text1"/>
          <w:sz w:val="28"/>
          <w:szCs w:val="28"/>
          <w:highlight w:val="none"/>
          <w14:textFill>
            <w14:solidFill>
              <w14:schemeClr w14:val="tx1"/>
            </w14:solidFill>
          </w14:textFill>
        </w:rPr>
        <w:t>报价明细表</w:t>
      </w:r>
    </w:p>
    <w:tbl>
      <w:tblPr>
        <w:tblStyle w:val="43"/>
        <w:tblW w:w="0" w:type="auto"/>
        <w:tblInd w:w="243"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108" w:type="dxa"/>
          <w:bottom w:w="0" w:type="dxa"/>
          <w:right w:w="108" w:type="dxa"/>
        </w:tblCellMar>
      </w:tblPr>
      <w:tblGrid>
        <w:gridCol w:w="763"/>
        <w:gridCol w:w="2461"/>
        <w:gridCol w:w="1366"/>
        <w:gridCol w:w="1158"/>
        <w:gridCol w:w="1144"/>
        <w:gridCol w:w="1784"/>
      </w:tblGrid>
      <w:tr w14:paraId="0038DEC7">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63" w:type="dxa"/>
            <w:tcBorders>
              <w:top w:val="single" w:color="000000" w:sz="12"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708AB5DC">
            <w:pPr>
              <w:autoSpaceDN w:val="0"/>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461" w:type="dxa"/>
            <w:tcBorders>
              <w:top w:val="single" w:color="000000" w:sz="12"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43E2F5A0">
            <w:pPr>
              <w:autoSpaceDN w:val="0"/>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项目名称</w:t>
            </w:r>
          </w:p>
        </w:tc>
        <w:tc>
          <w:tcPr>
            <w:tcW w:w="1366" w:type="dxa"/>
            <w:tcBorders>
              <w:top w:val="single" w:color="000000" w:sz="12"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5D596531">
            <w:pPr>
              <w:autoSpaceDN w:val="0"/>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数量</w:t>
            </w:r>
          </w:p>
        </w:tc>
        <w:tc>
          <w:tcPr>
            <w:tcW w:w="1158" w:type="dxa"/>
            <w:tcBorders>
              <w:top w:val="single" w:color="000000" w:sz="12"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16AAFD8B">
            <w:pPr>
              <w:autoSpaceDN w:val="0"/>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单价</w:t>
            </w:r>
          </w:p>
        </w:tc>
        <w:tc>
          <w:tcPr>
            <w:tcW w:w="1144" w:type="dxa"/>
            <w:tcBorders>
              <w:top w:val="single" w:color="000000" w:sz="12" w:space="0"/>
              <w:left w:val="single" w:color="auto" w:sz="4" w:space="0"/>
              <w:bottom w:val="single" w:color="000000" w:sz="6" w:space="0"/>
              <w:right w:val="single" w:color="000000" w:sz="6" w:space="0"/>
            </w:tcBorders>
            <w:vAlign w:val="center"/>
          </w:tcPr>
          <w:p w14:paraId="4E0518DF">
            <w:pPr>
              <w:autoSpaceDN w:val="0"/>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总价</w:t>
            </w:r>
          </w:p>
        </w:tc>
        <w:tc>
          <w:tcPr>
            <w:tcW w:w="1784" w:type="dxa"/>
            <w:tcBorders>
              <w:top w:val="single" w:color="000000" w:sz="12"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45BD30EA">
            <w:pPr>
              <w:autoSpaceDN w:val="0"/>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tc>
      </w:tr>
      <w:tr w14:paraId="305F424B">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0DE0C8DB">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41C8DCC7">
            <w:pPr>
              <w:spacing w:line="360" w:lineRule="auto"/>
              <w:jc w:val="center"/>
              <w:rPr>
                <w:rFonts w:ascii="宋体" w:hAnsi="宋体" w:cs="宋体"/>
                <w:caps/>
                <w:color w:val="000000" w:themeColor="text1"/>
                <w:spacing w:val="20"/>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25661C26">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358BFCAF">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1D2DFB5E">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693B571C">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0CD11635">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7F5630F5">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7BA8110D">
            <w:pPr>
              <w:spacing w:line="360" w:lineRule="auto"/>
              <w:jc w:val="center"/>
              <w:rPr>
                <w:rFonts w:ascii="宋体" w:hAnsi="宋体" w:cs="宋体"/>
                <w:caps/>
                <w:color w:val="000000" w:themeColor="text1"/>
                <w:spacing w:val="20"/>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4B95E3BF">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6AE84F69">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5B2FD448">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028C9D6D">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586D8544">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0D8F5E7D">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427FABC4">
            <w:pPr>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323CF8B0">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3FE2872D">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54687CE7">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3C77D73D">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74B55D5F">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28CBFA56">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3ECE186C">
            <w:pPr>
              <w:spacing w:line="360" w:lineRule="auto"/>
              <w:jc w:val="center"/>
              <w:rPr>
                <w:rFonts w:ascii="宋体" w:hAnsi="宋体" w:cs="宋体"/>
                <w:caps/>
                <w:color w:val="000000" w:themeColor="text1"/>
                <w:spacing w:val="20"/>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64F97526">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33FA2A52">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3B2B0E83">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666123A9">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76C8AFF5">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463452C2">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1E2F1141">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1ABE5FA3">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15A9F403">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0D28ED95">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7A782560">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76956EFA">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533BDD49">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71A51EE0">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2AD937DD">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15C666B0">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4D625AAD">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2E3E8B0B">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6CCBDB7C">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3EDBCC19">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337F7250">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37169557">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53F95E68">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3A371441">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7AF78E6B">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1ADA9F83">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1A33DBCA">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0DF9A30F">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5CEB079C">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6D3C7A87">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75FD499C">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734EFE89">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7A7729CD">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168F6CE8">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16457F6E">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5C4DDE17">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5D1ED4F0">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758E66A5">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4F7E6577">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04E639AD">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5778A10C">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0A9CC8EE">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5AA87E0F">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2F6C8145">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7A010289">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2FC49527">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2B89A24E">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70E00084">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2321DF46">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29F6638D">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222A7405">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25109762">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43D48DE7">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4CF7DF1B">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53123522">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0043BBCA">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21ECAE42">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2C490858">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563EC5AA">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63F86DB1">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1615A704">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50099A96">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59863A0B">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3DEC992D">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58" w:type="dxa"/>
            <w:tcBorders>
              <w:top w:val="single" w:color="000000" w:sz="6" w:space="0"/>
              <w:left w:val="single" w:color="000000" w:sz="6" w:space="0"/>
              <w:bottom w:val="single" w:color="000000" w:sz="6" w:space="0"/>
              <w:right w:val="single" w:color="auto" w:sz="4" w:space="0"/>
            </w:tcBorders>
            <w:tcMar>
              <w:top w:w="0" w:type="dxa"/>
              <w:left w:w="108" w:type="dxa"/>
              <w:bottom w:w="0" w:type="dxa"/>
              <w:right w:w="108" w:type="dxa"/>
            </w:tcMar>
            <w:vAlign w:val="center"/>
          </w:tcPr>
          <w:p w14:paraId="64D84B74">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144" w:type="dxa"/>
            <w:tcBorders>
              <w:top w:val="single" w:color="000000" w:sz="6" w:space="0"/>
              <w:left w:val="single" w:color="auto" w:sz="4" w:space="0"/>
              <w:bottom w:val="single" w:color="000000" w:sz="6" w:space="0"/>
              <w:right w:val="single" w:color="000000" w:sz="6" w:space="0"/>
            </w:tcBorders>
            <w:vAlign w:val="center"/>
          </w:tcPr>
          <w:p w14:paraId="0C58D4C0">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0E6BBEC4">
            <w:pPr>
              <w:autoSpaceDN w:val="0"/>
              <w:snapToGrid w:val="0"/>
              <w:jc w:val="center"/>
              <w:rPr>
                <w:rFonts w:ascii="宋体" w:hAnsi="宋体" w:cs="宋体"/>
                <w:color w:val="000000" w:themeColor="text1"/>
                <w:sz w:val="24"/>
                <w:highlight w:val="none"/>
                <w14:textFill>
                  <w14:solidFill>
                    <w14:schemeClr w14:val="tx1"/>
                  </w14:solidFill>
                </w14:textFill>
              </w:rPr>
            </w:pPr>
          </w:p>
        </w:tc>
      </w:tr>
      <w:tr w14:paraId="72BFC343">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763" w:type="dxa"/>
            <w:tcBorders>
              <w:top w:val="single" w:color="000000" w:sz="6" w:space="0"/>
              <w:left w:val="single" w:color="000000" w:sz="12" w:space="0"/>
              <w:bottom w:val="single" w:color="000000" w:sz="6" w:space="0"/>
              <w:right w:val="single" w:color="000000" w:sz="6" w:space="0"/>
            </w:tcBorders>
            <w:tcMar>
              <w:top w:w="0" w:type="dxa"/>
              <w:left w:w="108" w:type="dxa"/>
              <w:bottom w:w="0" w:type="dxa"/>
              <w:right w:w="108" w:type="dxa"/>
            </w:tcMar>
            <w:vAlign w:val="center"/>
          </w:tcPr>
          <w:p w14:paraId="6F4F847E">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2461" w:type="dxa"/>
            <w:tcBorders>
              <w:top w:val="single" w:color="000000" w:sz="6" w:space="0"/>
              <w:left w:val="single" w:color="000000" w:sz="6" w:space="0"/>
              <w:bottom w:val="single" w:color="000000" w:sz="6" w:space="0"/>
              <w:right w:val="single" w:color="000000" w:sz="4" w:space="0"/>
            </w:tcBorders>
            <w:tcMar>
              <w:top w:w="0" w:type="dxa"/>
              <w:left w:w="108" w:type="dxa"/>
              <w:bottom w:w="0" w:type="dxa"/>
              <w:right w:w="108" w:type="dxa"/>
            </w:tcMar>
            <w:vAlign w:val="center"/>
          </w:tcPr>
          <w:p w14:paraId="6E0AE111">
            <w:pPr>
              <w:autoSpaceDN w:val="0"/>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合计</w:t>
            </w:r>
          </w:p>
        </w:tc>
        <w:tc>
          <w:tcPr>
            <w:tcW w:w="1366"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14:paraId="12268D59">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2302"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3F8E1A8">
            <w:pPr>
              <w:autoSpaceDN w:val="0"/>
              <w:snapToGrid w:val="0"/>
              <w:jc w:val="center"/>
              <w:rPr>
                <w:rFonts w:ascii="宋体" w:hAnsi="宋体" w:cs="宋体"/>
                <w:color w:val="000000" w:themeColor="text1"/>
                <w:sz w:val="24"/>
                <w:highlight w:val="none"/>
                <w14:textFill>
                  <w14:solidFill>
                    <w14:schemeClr w14:val="tx1"/>
                  </w14:solidFill>
                </w14:textFill>
              </w:rPr>
            </w:pPr>
          </w:p>
        </w:tc>
        <w:tc>
          <w:tcPr>
            <w:tcW w:w="1784" w:type="dxa"/>
            <w:tcBorders>
              <w:top w:val="single" w:color="000000" w:sz="6" w:space="0"/>
              <w:left w:val="single" w:color="000000" w:sz="6" w:space="0"/>
              <w:bottom w:val="single" w:color="000000" w:sz="6" w:space="0"/>
              <w:right w:val="single" w:color="000000" w:sz="12" w:space="0"/>
            </w:tcBorders>
            <w:tcMar>
              <w:top w:w="0" w:type="dxa"/>
              <w:left w:w="108" w:type="dxa"/>
              <w:bottom w:w="0" w:type="dxa"/>
              <w:right w:w="108" w:type="dxa"/>
            </w:tcMar>
            <w:vAlign w:val="center"/>
          </w:tcPr>
          <w:p w14:paraId="034F2185">
            <w:pPr>
              <w:autoSpaceDN w:val="0"/>
              <w:snapToGrid w:val="0"/>
              <w:jc w:val="center"/>
              <w:rPr>
                <w:rFonts w:ascii="宋体" w:hAnsi="宋体" w:cs="宋体"/>
                <w:color w:val="000000" w:themeColor="text1"/>
                <w:sz w:val="24"/>
                <w:highlight w:val="none"/>
                <w14:textFill>
                  <w14:solidFill>
                    <w14:schemeClr w14:val="tx1"/>
                  </w14:solidFill>
                </w14:textFill>
              </w:rPr>
            </w:pPr>
          </w:p>
        </w:tc>
      </w:tr>
    </w:tbl>
    <w:p w14:paraId="7ED0115B">
      <w:pPr>
        <w:spacing w:line="360" w:lineRule="auto"/>
        <w:ind w:firstLine="422" w:firstLineChars="200"/>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注: </w:t>
      </w:r>
    </w:p>
    <w:p w14:paraId="3F6772C0">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1.供应商对产生的总报价进行分析并结合采购需求的情况详细分项列表说明，报价明细表中的合计应等于“磋商一览表”中的总报价。</w:t>
      </w:r>
    </w:p>
    <w:p w14:paraId="200E4B6D">
      <w:pPr>
        <w:spacing w:line="360" w:lineRule="auto"/>
        <w:ind w:firstLine="420" w:firstLineChars="200"/>
        <w:jc w:val="left"/>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2.供应商可根据实际需求自行提供报价明细表格式。</w:t>
      </w:r>
    </w:p>
    <w:p w14:paraId="3BB2CF8A">
      <w:pPr>
        <w:spacing w:line="360" w:lineRule="auto"/>
        <w:ind w:firstLine="42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lang w:val="en-US" w:eastAsia="zh-CN"/>
          <w14:textFill>
            <w14:solidFill>
              <w14:schemeClr w14:val="tx1"/>
            </w14:solidFill>
          </w14:textFill>
        </w:rPr>
        <w:t>3.</w:t>
      </w:r>
      <w:r>
        <w:rPr>
          <w:rFonts w:hint="eastAsia" w:ascii="宋体" w:hAnsi="宋体" w:eastAsia="宋体" w:cs="宋体"/>
          <w:bCs/>
          <w:color w:val="000000" w:themeColor="text1"/>
          <w:szCs w:val="21"/>
          <w:highlight w:val="none"/>
          <w14:textFill>
            <w14:solidFill>
              <w14:schemeClr w14:val="tx1"/>
            </w14:solidFill>
          </w14:textFill>
        </w:rPr>
        <w:t>如磋商时</w:t>
      </w:r>
      <w:r>
        <w:rPr>
          <w:rFonts w:hint="eastAsia" w:ascii="宋体" w:hAnsi="宋体" w:eastAsia="宋体" w:cs="宋体"/>
          <w:bCs/>
          <w:color w:val="000000" w:themeColor="text1"/>
          <w:szCs w:val="21"/>
          <w:highlight w:val="none"/>
          <w:lang w:eastAsia="zh-CN"/>
          <w14:textFill>
            <w14:solidFill>
              <w14:schemeClr w14:val="tx1"/>
            </w14:solidFill>
          </w14:textFill>
        </w:rPr>
        <w:t>最终报价</w:t>
      </w:r>
      <w:r>
        <w:rPr>
          <w:rFonts w:hint="eastAsia" w:ascii="宋体" w:hAnsi="宋体" w:eastAsia="宋体" w:cs="宋体"/>
          <w:bCs/>
          <w:color w:val="000000" w:themeColor="text1"/>
          <w:szCs w:val="21"/>
          <w:highlight w:val="none"/>
          <w14:textFill>
            <w14:solidFill>
              <w14:schemeClr w14:val="tx1"/>
            </w14:solidFill>
          </w14:textFill>
        </w:rPr>
        <w:t>只对总价进行报价的，各分项报价按总价针对前一轮报价下浮比例下浮。</w:t>
      </w:r>
    </w:p>
    <w:p w14:paraId="0282680C">
      <w:pPr>
        <w:jc w:val="center"/>
        <w:rPr>
          <w:b/>
          <w:color w:val="000000" w:themeColor="text1"/>
          <w:sz w:val="28"/>
          <w:szCs w:val="28"/>
          <w:highlight w:val="none"/>
          <w14:textFill>
            <w14:solidFill>
              <w14:schemeClr w14:val="tx1"/>
            </w14:solidFill>
          </w14:textFill>
        </w:rPr>
      </w:pPr>
    </w:p>
    <w:p w14:paraId="7A3B2AB5">
      <w:pPr>
        <w:jc w:val="center"/>
        <w:rPr>
          <w:b/>
          <w:color w:val="000000" w:themeColor="text1"/>
          <w:sz w:val="28"/>
          <w:szCs w:val="28"/>
          <w:highlight w:val="none"/>
          <w14:textFill>
            <w14:solidFill>
              <w14:schemeClr w14:val="tx1"/>
            </w14:solidFill>
          </w14:textFill>
        </w:rPr>
      </w:pPr>
    </w:p>
    <w:p w14:paraId="3D942F0D">
      <w:pPr>
        <w:pStyle w:val="25"/>
        <w:spacing w:before="120" w:after="120" w:line="360" w:lineRule="auto"/>
        <w:ind w:firstLine="4750" w:firstLineChars="1900"/>
        <w:rPr>
          <w:rFonts w:hAnsi="宋体" w:cs="宋体"/>
          <w:color w:val="000000" w:themeColor="text1"/>
          <w:spacing w:val="20"/>
          <w:sz w:val="21"/>
          <w:szCs w:val="21"/>
          <w:highlight w:val="none"/>
          <w:u w:val="single"/>
          <w14:textFill>
            <w14:solidFill>
              <w14:schemeClr w14:val="tx1"/>
            </w14:solidFill>
          </w14:textFill>
        </w:rPr>
      </w:pPr>
      <w:r>
        <w:rPr>
          <w:rFonts w:hint="eastAsia" w:hAnsi="宋体" w:cs="宋体"/>
          <w:color w:val="000000" w:themeColor="text1"/>
          <w:spacing w:val="20"/>
          <w:sz w:val="21"/>
          <w:szCs w:val="21"/>
          <w:highlight w:val="none"/>
          <w14:textFill>
            <w14:solidFill>
              <w14:schemeClr w14:val="tx1"/>
            </w14:solidFill>
          </w14:textFill>
        </w:rPr>
        <w:t>供应商盖章：</w:t>
      </w:r>
      <w:r>
        <w:rPr>
          <w:rFonts w:hint="eastAsia" w:hAnsi="宋体" w:cs="宋体"/>
          <w:color w:val="000000" w:themeColor="text1"/>
          <w:spacing w:val="20"/>
          <w:sz w:val="21"/>
          <w:szCs w:val="21"/>
          <w:highlight w:val="none"/>
          <w:u w:val="single"/>
          <w14:textFill>
            <w14:solidFill>
              <w14:schemeClr w14:val="tx1"/>
            </w14:solidFill>
          </w14:textFill>
        </w:rPr>
        <w:t xml:space="preserve">            </w:t>
      </w:r>
    </w:p>
    <w:p w14:paraId="14AA818B">
      <w:pPr>
        <w:spacing w:line="360" w:lineRule="auto"/>
        <w:ind w:firstLine="4750" w:firstLineChars="1900"/>
        <w:rPr>
          <w:rFonts w:ascii="宋体" w:hAnsi="宋体" w:cs="宋体"/>
          <w:b/>
          <w:bCs/>
          <w:color w:val="000000" w:themeColor="text1"/>
          <w:szCs w:val="21"/>
          <w:highlight w:val="none"/>
          <w14:textFill>
            <w14:solidFill>
              <w14:schemeClr w14:val="tx1"/>
            </w14:solidFill>
          </w14:textFill>
        </w:rPr>
      </w:pPr>
      <w:r>
        <w:rPr>
          <w:rFonts w:hint="eastAsia" w:ascii="宋体" w:hAnsi="宋体" w:cs="宋体"/>
          <w:color w:val="000000" w:themeColor="text1"/>
          <w:spacing w:val="20"/>
          <w:szCs w:val="21"/>
          <w:highlight w:val="none"/>
          <w14:textFill>
            <w14:solidFill>
              <w14:schemeClr w14:val="tx1"/>
            </w14:solidFill>
          </w14:textFill>
        </w:rPr>
        <w:t>日     期：</w:t>
      </w:r>
      <w:r>
        <w:rPr>
          <w:rFonts w:hint="eastAsia" w:ascii="宋体" w:hAnsi="宋体" w:cs="宋体"/>
          <w:color w:val="000000" w:themeColor="text1"/>
          <w:spacing w:val="20"/>
          <w:szCs w:val="21"/>
          <w:highlight w:val="none"/>
          <w:u w:val="single"/>
          <w14:textFill>
            <w14:solidFill>
              <w14:schemeClr w14:val="tx1"/>
            </w14:solidFill>
          </w14:textFill>
        </w:rPr>
        <w:t xml:space="preserve">            </w:t>
      </w:r>
    </w:p>
    <w:p w14:paraId="150EED24">
      <w:pPr>
        <w:jc w:val="center"/>
        <w:rPr>
          <w:b/>
          <w:color w:val="000000" w:themeColor="text1"/>
          <w:sz w:val="28"/>
          <w:szCs w:val="28"/>
          <w:highlight w:val="none"/>
          <w14:textFill>
            <w14:solidFill>
              <w14:schemeClr w14:val="tx1"/>
            </w14:solidFill>
          </w14:textFill>
        </w:rPr>
      </w:pPr>
    </w:p>
    <w:p w14:paraId="76484635">
      <w:pPr>
        <w:jc w:val="center"/>
        <w:rPr>
          <w:b/>
          <w:color w:val="000000" w:themeColor="text1"/>
          <w:sz w:val="28"/>
          <w:szCs w:val="28"/>
          <w:highlight w:val="none"/>
          <w14:textFill>
            <w14:solidFill>
              <w14:schemeClr w14:val="tx1"/>
            </w14:solidFill>
          </w14:textFill>
        </w:rPr>
      </w:pPr>
    </w:p>
    <w:p w14:paraId="60AA0426">
      <w:pPr>
        <w:jc w:val="both"/>
        <w:rPr>
          <w:b/>
          <w:color w:val="000000" w:themeColor="text1"/>
          <w:sz w:val="28"/>
          <w:szCs w:val="28"/>
          <w:highlight w:val="none"/>
          <w14:textFill>
            <w14:solidFill>
              <w14:schemeClr w14:val="tx1"/>
            </w14:solidFill>
          </w14:textFill>
        </w:rPr>
      </w:pPr>
    </w:p>
    <w:p w14:paraId="547E05E7">
      <w:pPr>
        <w:spacing w:line="360" w:lineRule="auto"/>
        <w:jc w:val="center"/>
        <w:rPr>
          <w:rFonts w:hint="eastAsia" w:ascii="宋体" w:hAnsi="宋体" w:eastAsia="宋体" w:cs="宋体"/>
          <w:b/>
          <w:color w:val="000000" w:themeColor="text1"/>
          <w:sz w:val="28"/>
          <w:szCs w:val="28"/>
          <w:highlight w:val="none"/>
          <w:lang w:val="en-US" w:eastAsia="zh-CN"/>
          <w14:textFill>
            <w14:solidFill>
              <w14:schemeClr w14:val="tx1"/>
            </w14:solidFill>
          </w14:textFill>
        </w:rPr>
      </w:pPr>
      <w:bookmarkStart w:id="729" w:name="_Toc303756469"/>
      <w:bookmarkStart w:id="730" w:name="_Toc2053"/>
    </w:p>
    <w:p w14:paraId="78D44174">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3</w:t>
      </w:r>
      <w:r>
        <w:rPr>
          <w:rFonts w:hint="eastAsia" w:ascii="宋体" w:hAnsi="宋体" w:cs="宋体"/>
          <w:b/>
          <w:color w:val="000000" w:themeColor="text1"/>
          <w:sz w:val="28"/>
          <w:szCs w:val="28"/>
          <w:highlight w:val="none"/>
          <w:lang w:val="en-US" w:eastAsia="zh-CN"/>
          <w14:textFill>
            <w14:solidFill>
              <w14:schemeClr w14:val="tx1"/>
            </w14:solidFill>
          </w14:textFill>
        </w:rPr>
        <w:t>.</w:t>
      </w:r>
      <w:r>
        <w:rPr>
          <w:rFonts w:hint="eastAsia" w:ascii="宋体" w:hAnsi="宋体" w:eastAsia="宋体" w:cs="宋体"/>
          <w:b/>
          <w:color w:val="000000" w:themeColor="text1"/>
          <w:sz w:val="28"/>
          <w:szCs w:val="28"/>
          <w:highlight w:val="none"/>
          <w14:textFill>
            <w14:solidFill>
              <w14:schemeClr w14:val="tx1"/>
            </w14:solidFill>
          </w14:textFill>
        </w:rPr>
        <w:t>供应商针对报价需要说明的其他文件和说明</w:t>
      </w:r>
    </w:p>
    <w:p w14:paraId="7ED4EAB9">
      <w:pPr>
        <w:pStyle w:val="5"/>
        <w:numPr>
          <w:ilvl w:val="0"/>
          <w:numId w:val="4"/>
        </w:numPr>
        <w:rPr>
          <w:rStyle w:val="114"/>
          <w:rFonts w:hint="eastAsia" w:ascii="宋体" w:hAnsi="宋体" w:eastAsia="宋体" w:cs="宋体"/>
          <w:b/>
          <w:bCs/>
          <w:color w:val="000000" w:themeColor="text1"/>
          <w:szCs w:val="22"/>
          <w:highlight w:val="none"/>
          <w14:textFill>
            <w14:solidFill>
              <w14:schemeClr w14:val="tx1"/>
            </w14:solidFill>
          </w14:textFill>
        </w:rPr>
      </w:pPr>
      <w:bookmarkStart w:id="731" w:name="_Toc32490"/>
      <w:r>
        <w:rPr>
          <w:rStyle w:val="114"/>
          <w:rFonts w:hint="eastAsia" w:ascii="宋体" w:hAnsi="宋体" w:eastAsia="宋体" w:cs="宋体"/>
          <w:b/>
          <w:bCs/>
          <w:color w:val="000000" w:themeColor="text1"/>
          <w:szCs w:val="22"/>
          <w:highlight w:val="none"/>
          <w14:textFill>
            <w14:solidFill>
              <w14:schemeClr w14:val="tx1"/>
            </w14:solidFill>
          </w14:textFill>
        </w:rPr>
        <w:t>磋商评审办法及评分标准</w:t>
      </w:r>
      <w:bookmarkEnd w:id="729"/>
      <w:bookmarkEnd w:id="730"/>
      <w:bookmarkEnd w:id="731"/>
    </w:p>
    <w:p w14:paraId="053CB3E5">
      <w:pPr>
        <w:widowControl/>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为公正、公平、科学地选择供应商，根据《中华人民共和国政府采购法》等有关法律法规的规定，并结合本项目的实际，制定本办法。</w:t>
      </w:r>
    </w:p>
    <w:p w14:paraId="5E79E6A9">
      <w:pPr>
        <w:widowControl/>
        <w:spacing w:line="360" w:lineRule="auto"/>
        <w:ind w:firstLine="422" w:firstLineChars="200"/>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一、总则</w:t>
      </w:r>
    </w:p>
    <w:p w14:paraId="25CD5CD5">
      <w:pPr>
        <w:keepNext w:val="0"/>
        <w:keepLines w:val="0"/>
        <w:pageBreakBefore w:val="0"/>
        <w:widowControl/>
        <w:kinsoku/>
        <w:wordWrap/>
        <w:overflowPunct/>
        <w:topLinePunct w:val="0"/>
        <w:autoSpaceDE/>
        <w:autoSpaceDN/>
        <w:bidi w:val="0"/>
        <w:spacing w:line="348" w:lineRule="auto"/>
        <w:ind w:firstLine="420" w:firstLineChars="200"/>
        <w:textAlignment w:val="auto"/>
        <w:rPr>
          <w:rFonts w:hint="eastAsia" w:ascii="宋体" w:hAnsi="宋体" w:eastAsia="宋体" w:cs="宋体"/>
          <w:color w:val="000000"/>
          <w:kern w:val="0"/>
          <w:szCs w:val="21"/>
          <w:highlight w:val="none"/>
        </w:rPr>
      </w:pPr>
      <w:r>
        <w:rPr>
          <w:rFonts w:hint="eastAsia" w:ascii="宋体" w:hAnsi="宋体" w:eastAsia="宋体" w:cs="宋体"/>
          <w:color w:val="000000"/>
          <w:kern w:val="0"/>
          <w:szCs w:val="21"/>
          <w:highlight w:val="none"/>
          <w:lang w:val="en-US" w:eastAsia="zh-CN"/>
        </w:rPr>
        <w:t>1.</w:t>
      </w:r>
      <w:r>
        <w:rPr>
          <w:rFonts w:hint="eastAsia" w:ascii="宋体" w:hAnsi="宋体" w:eastAsia="宋体" w:cs="宋体"/>
          <w:color w:val="000000"/>
          <w:kern w:val="0"/>
          <w:szCs w:val="21"/>
          <w:highlight w:val="none"/>
        </w:rPr>
        <w:t>本次采购采用综合评分法，</w:t>
      </w:r>
      <w:r>
        <w:rPr>
          <w:rFonts w:hint="eastAsia" w:ascii="宋体" w:hAnsi="宋体" w:eastAsia="宋体" w:cs="宋体"/>
          <w:b/>
          <w:bCs/>
          <w:color w:val="000000"/>
          <w:kern w:val="0"/>
          <w:szCs w:val="21"/>
          <w:highlight w:val="none"/>
        </w:rPr>
        <w:t>总分为100分，其中价格分</w:t>
      </w:r>
      <w:r>
        <w:rPr>
          <w:rFonts w:hint="eastAsia" w:ascii="宋体" w:hAnsi="宋体" w:cs="宋体"/>
          <w:b/>
          <w:bCs/>
          <w:color w:val="000000"/>
          <w:kern w:val="0"/>
          <w:szCs w:val="21"/>
          <w:highlight w:val="none"/>
          <w:lang w:val="en-US" w:eastAsia="zh-CN"/>
        </w:rPr>
        <w:t>10</w:t>
      </w:r>
      <w:r>
        <w:rPr>
          <w:rFonts w:hint="eastAsia" w:ascii="宋体" w:hAnsi="宋体" w:eastAsia="宋体" w:cs="宋体"/>
          <w:b/>
          <w:bCs/>
          <w:color w:val="000000"/>
          <w:kern w:val="0"/>
          <w:szCs w:val="21"/>
          <w:highlight w:val="none"/>
        </w:rPr>
        <w:t>分、资信商务及技术</w:t>
      </w:r>
      <w:r>
        <w:rPr>
          <w:rFonts w:hint="eastAsia" w:ascii="宋体" w:hAnsi="宋体" w:eastAsia="宋体" w:cs="宋体"/>
          <w:b/>
          <w:bCs/>
          <w:color w:val="000000"/>
          <w:kern w:val="0"/>
          <w:szCs w:val="21"/>
          <w:highlight w:val="none"/>
          <w:u w:val="none"/>
        </w:rPr>
        <w:t>分</w:t>
      </w:r>
      <w:r>
        <w:rPr>
          <w:rFonts w:hint="eastAsia" w:ascii="宋体" w:hAnsi="宋体" w:cs="宋体"/>
          <w:b/>
          <w:bCs/>
          <w:color w:val="000000"/>
          <w:kern w:val="0"/>
          <w:szCs w:val="21"/>
          <w:highlight w:val="none"/>
          <w:u w:val="none"/>
          <w:lang w:val="en-US" w:eastAsia="zh-CN"/>
        </w:rPr>
        <w:t>9</w:t>
      </w:r>
      <w:r>
        <w:rPr>
          <w:rFonts w:hint="eastAsia" w:ascii="宋体" w:hAnsi="宋体" w:eastAsia="宋体" w:cs="宋体"/>
          <w:b/>
          <w:bCs/>
          <w:color w:val="000000"/>
          <w:kern w:val="0"/>
          <w:szCs w:val="21"/>
          <w:highlight w:val="none"/>
          <w:u w:val="none"/>
          <w:lang w:val="en-US" w:eastAsia="zh-CN"/>
        </w:rPr>
        <w:t>0</w:t>
      </w:r>
      <w:r>
        <w:rPr>
          <w:rFonts w:hint="eastAsia" w:ascii="宋体" w:hAnsi="宋体" w:eastAsia="宋体" w:cs="宋体"/>
          <w:b/>
          <w:bCs/>
          <w:color w:val="000000"/>
          <w:kern w:val="0"/>
          <w:szCs w:val="21"/>
          <w:highlight w:val="none"/>
        </w:rPr>
        <w:t>分</w:t>
      </w:r>
      <w:r>
        <w:rPr>
          <w:rFonts w:hint="eastAsia" w:ascii="宋体" w:hAnsi="宋体" w:eastAsia="宋体" w:cs="宋体"/>
          <w:color w:val="000000"/>
          <w:kern w:val="0"/>
          <w:szCs w:val="21"/>
          <w:highlight w:val="none"/>
        </w:rPr>
        <w:t>。</w:t>
      </w:r>
      <w:r>
        <w:rPr>
          <w:rFonts w:hint="eastAsia" w:ascii="宋体" w:hAnsi="宋体" w:eastAsia="宋体" w:cs="宋体"/>
          <w:color w:val="000000"/>
          <w:kern w:val="0"/>
          <w:szCs w:val="21"/>
          <w:highlight w:val="none"/>
          <w:lang w:eastAsia="zh-CN"/>
        </w:rPr>
        <w:t>磋商评审小组</w:t>
      </w:r>
      <w:r>
        <w:rPr>
          <w:rFonts w:hint="eastAsia" w:ascii="宋体" w:hAnsi="宋体" w:eastAsia="宋体" w:cs="宋体"/>
          <w:color w:val="000000"/>
          <w:kern w:val="0"/>
          <w:szCs w:val="21"/>
          <w:highlight w:val="none"/>
        </w:rPr>
        <w:t>应当根据综合评分情况，按照评审得分由高到低顺序推荐</w:t>
      </w:r>
      <w:r>
        <w:rPr>
          <w:rFonts w:hint="eastAsia" w:ascii="宋体" w:hAnsi="宋体" w:eastAsia="宋体" w:cs="宋体"/>
          <w:color w:val="000000"/>
          <w:kern w:val="0"/>
          <w:szCs w:val="21"/>
          <w:highlight w:val="none"/>
          <w:lang w:val="en-US" w:eastAsia="zh-CN"/>
        </w:rPr>
        <w:t>3</w:t>
      </w:r>
      <w:r>
        <w:rPr>
          <w:rFonts w:hint="eastAsia" w:ascii="宋体" w:hAnsi="宋体" w:eastAsia="宋体" w:cs="宋体"/>
          <w:color w:val="000000"/>
          <w:kern w:val="0"/>
          <w:szCs w:val="21"/>
          <w:highlight w:val="none"/>
        </w:rPr>
        <w:t>名(市场竞争不充分的科研项目，以及需要扶持的科技成果转化项目除外)成交候选</w:t>
      </w:r>
      <w:r>
        <w:rPr>
          <w:rFonts w:hint="eastAsia" w:ascii="宋体" w:hAnsi="宋体" w:eastAsia="宋体" w:cs="宋体"/>
          <w:color w:val="000000"/>
          <w:kern w:val="0"/>
          <w:szCs w:val="21"/>
          <w:highlight w:val="none"/>
          <w:lang w:eastAsia="zh-CN"/>
        </w:rPr>
        <w:t>人</w:t>
      </w:r>
      <w:r>
        <w:rPr>
          <w:rFonts w:hint="eastAsia" w:ascii="宋体" w:hAnsi="宋体" w:eastAsia="宋体" w:cs="宋体"/>
          <w:color w:val="000000"/>
          <w:kern w:val="0"/>
          <w:szCs w:val="21"/>
          <w:highlight w:val="none"/>
        </w:rPr>
        <w:t>，并编写评审报告。评分过程中采用四舍五入法，并保留小数2位。</w:t>
      </w:r>
    </w:p>
    <w:p w14:paraId="24073757">
      <w:pPr>
        <w:keepNext w:val="0"/>
        <w:keepLines w:val="0"/>
        <w:pageBreakBefore w:val="0"/>
        <w:widowControl/>
        <w:kinsoku/>
        <w:wordWrap/>
        <w:overflowPunct/>
        <w:topLinePunct w:val="0"/>
        <w:autoSpaceDE/>
        <w:autoSpaceDN/>
        <w:bidi w:val="0"/>
        <w:spacing w:line="348" w:lineRule="auto"/>
        <w:ind w:firstLine="420" w:firstLineChars="200"/>
        <w:textAlignment w:val="auto"/>
        <w:rPr>
          <w:rFonts w:hint="default" w:ascii="宋体" w:hAnsi="宋体" w:eastAsia="宋体" w:cs="宋体"/>
          <w:color w:val="000000"/>
          <w:kern w:val="0"/>
          <w:szCs w:val="21"/>
          <w:highlight w:val="none"/>
          <w:lang w:val="en-US" w:eastAsia="zh-CN"/>
        </w:rPr>
      </w:pPr>
      <w:r>
        <w:rPr>
          <w:rFonts w:hint="eastAsia" w:ascii="宋体" w:hAnsi="宋体" w:eastAsia="宋体" w:cs="宋体"/>
          <w:color w:val="000000"/>
          <w:kern w:val="0"/>
          <w:szCs w:val="21"/>
          <w:highlight w:val="none"/>
          <w:lang w:val="en-US" w:eastAsia="zh-CN"/>
        </w:rPr>
        <w:t>2.采购人应当在收到评审报告后5个工作日内，从评审报告提出的成交候选供应商中，按照排序由高到低的原则确定成交供应商，也可以书面授权磋商小组直接确定成交供应商。</w:t>
      </w:r>
      <w:r>
        <w:rPr>
          <w:rFonts w:hint="eastAsia" w:ascii="宋体" w:hAnsi="宋体" w:eastAsia="宋体" w:cs="宋体"/>
          <w:color w:val="000000"/>
          <w:kern w:val="0"/>
          <w:szCs w:val="21"/>
          <w:highlight w:val="none"/>
        </w:rPr>
        <w:t>成交候选人资格按综合总得分由高到低顺序排列，得分相同的，按最后一轮的磋商报价由低到高顺序排列；综合得分相同且磋商报价相同的，采购人抽签选取成交候选人</w:t>
      </w:r>
      <w:r>
        <w:rPr>
          <w:rFonts w:hint="eastAsia" w:ascii="宋体" w:hAnsi="宋体" w:eastAsia="宋体" w:cs="宋体"/>
          <w:color w:val="000000"/>
          <w:kern w:val="0"/>
          <w:szCs w:val="21"/>
          <w:highlight w:val="none"/>
          <w:lang w:val="en-US" w:eastAsia="zh-CN"/>
        </w:rPr>
        <w:t>排名</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rPr>
        <w:t>排名第一的供应商为成交候选人</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采购人逾期未确定成交供应商且不提出异议的，视为确定评审报告提出的排序第一的供应商为成交供应商。</w:t>
      </w:r>
    </w:p>
    <w:p w14:paraId="0BE50DA2">
      <w:pPr>
        <w:widowControl/>
        <w:spacing w:line="360" w:lineRule="auto"/>
        <w:ind w:firstLine="632" w:firstLineChars="300"/>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综合得分=资信商务</w:t>
      </w:r>
      <w:r>
        <w:rPr>
          <w:rFonts w:hint="eastAsia" w:ascii="宋体" w:hAnsi="宋体" w:cs="宋体"/>
          <w:b/>
          <w:bCs/>
          <w:color w:val="000000" w:themeColor="text1"/>
          <w:kern w:val="0"/>
          <w:szCs w:val="21"/>
          <w:highlight w:val="none"/>
          <w:lang w:val="en-US" w:eastAsia="zh-CN"/>
          <w14:textFill>
            <w14:solidFill>
              <w14:schemeClr w14:val="tx1"/>
            </w14:solidFill>
          </w14:textFill>
        </w:rPr>
        <w:t>及</w:t>
      </w:r>
      <w:r>
        <w:rPr>
          <w:rFonts w:hint="eastAsia" w:ascii="宋体" w:hAnsi="宋体" w:cs="宋体"/>
          <w:b/>
          <w:bCs/>
          <w:color w:val="000000" w:themeColor="text1"/>
          <w:kern w:val="0"/>
          <w:szCs w:val="21"/>
          <w:highlight w:val="none"/>
          <w14:textFill>
            <w14:solidFill>
              <w14:schemeClr w14:val="tx1"/>
            </w14:solidFill>
          </w14:textFill>
        </w:rPr>
        <w:t>技术分+价格分</w:t>
      </w:r>
    </w:p>
    <w:p w14:paraId="6F54E055">
      <w:pPr>
        <w:widowControl/>
        <w:spacing w:line="360" w:lineRule="auto"/>
        <w:ind w:firstLine="422" w:firstLineChars="200"/>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二、评审内容及标准</w:t>
      </w:r>
    </w:p>
    <w:p w14:paraId="70BB5B83">
      <w:pPr>
        <w:widowControl/>
        <w:spacing w:line="360" w:lineRule="auto"/>
        <w:ind w:firstLine="422" w:firstLineChars="200"/>
        <w:rPr>
          <w:rFonts w:hint="eastAsia"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（一）资信商务及技术标</w:t>
      </w:r>
    </w:p>
    <w:tbl>
      <w:tblPr>
        <w:tblStyle w:val="43"/>
        <w:tblW w:w="9298"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705"/>
        <w:gridCol w:w="1417"/>
        <w:gridCol w:w="6353"/>
        <w:gridCol w:w="823"/>
      </w:tblGrid>
      <w:tr w14:paraId="0ED2E66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66" w:hRule="atLeast"/>
          <w:jc w:val="center"/>
        </w:trPr>
        <w:tc>
          <w:tcPr>
            <w:tcW w:w="705" w:type="dxa"/>
            <w:tcBorders>
              <w:bottom w:val="single" w:color="auto" w:sz="4" w:space="0"/>
            </w:tcBorders>
            <w:shd w:val="clear" w:color="auto" w:fill="FFFFFF"/>
            <w:noWrap w:val="0"/>
            <w:tcMar>
              <w:top w:w="0" w:type="dxa"/>
              <w:left w:w="108" w:type="dxa"/>
              <w:bottom w:w="0" w:type="dxa"/>
              <w:right w:w="108" w:type="dxa"/>
            </w:tcMar>
            <w:vAlign w:val="center"/>
          </w:tcPr>
          <w:p w14:paraId="3F386921">
            <w:pPr>
              <w:widowControl/>
              <w:spacing w:line="240" w:lineRule="auto"/>
              <w:jc w:val="center"/>
              <w:rPr>
                <w:rFonts w:hint="eastAsia" w:ascii="宋体" w:hAnsi="宋体" w:eastAsia="宋体" w:cs="宋体"/>
                <w:b/>
                <w:bCs/>
                <w:color w:val="auto"/>
                <w:kern w:val="0"/>
                <w:sz w:val="22"/>
                <w:szCs w:val="22"/>
              </w:rPr>
            </w:pPr>
            <w:r>
              <w:rPr>
                <w:rFonts w:hint="eastAsia" w:ascii="宋体" w:hAnsi="宋体" w:eastAsia="宋体" w:cs="宋体"/>
                <w:b/>
                <w:bCs/>
                <w:color w:val="auto"/>
                <w:sz w:val="22"/>
                <w:szCs w:val="22"/>
                <w:highlight w:val="none"/>
              </w:rPr>
              <w:t>序号</w:t>
            </w:r>
          </w:p>
        </w:tc>
        <w:tc>
          <w:tcPr>
            <w:tcW w:w="1417" w:type="dxa"/>
            <w:tcBorders>
              <w:bottom w:val="single" w:color="auto" w:sz="4" w:space="0"/>
            </w:tcBorders>
            <w:shd w:val="clear" w:color="auto" w:fill="FFFFFF"/>
            <w:noWrap w:val="0"/>
            <w:tcMar>
              <w:top w:w="0" w:type="dxa"/>
              <w:left w:w="108" w:type="dxa"/>
              <w:bottom w:w="0" w:type="dxa"/>
              <w:right w:w="108" w:type="dxa"/>
            </w:tcMar>
            <w:vAlign w:val="center"/>
          </w:tcPr>
          <w:p w14:paraId="423493A6">
            <w:pPr>
              <w:widowControl/>
              <w:spacing w:line="240" w:lineRule="auto"/>
              <w:jc w:val="center"/>
              <w:rPr>
                <w:rFonts w:hint="eastAsia" w:ascii="宋体" w:hAnsi="宋体" w:eastAsia="宋体" w:cs="宋体"/>
                <w:b/>
                <w:bCs/>
                <w:color w:val="auto"/>
                <w:kern w:val="0"/>
                <w:sz w:val="22"/>
                <w:szCs w:val="22"/>
              </w:rPr>
            </w:pPr>
            <w:r>
              <w:rPr>
                <w:rFonts w:hint="eastAsia" w:ascii="宋体" w:hAnsi="宋体" w:eastAsia="宋体" w:cs="宋体"/>
                <w:b/>
                <w:bCs/>
                <w:color w:val="auto"/>
                <w:sz w:val="22"/>
                <w:szCs w:val="22"/>
                <w:highlight w:val="none"/>
              </w:rPr>
              <w:t>评审内容</w:t>
            </w:r>
          </w:p>
        </w:tc>
        <w:tc>
          <w:tcPr>
            <w:tcW w:w="6353" w:type="dxa"/>
            <w:tcBorders>
              <w:bottom w:val="single" w:color="auto" w:sz="4" w:space="0"/>
            </w:tcBorders>
            <w:shd w:val="clear" w:color="auto" w:fill="FFFFFF"/>
            <w:noWrap w:val="0"/>
            <w:tcMar>
              <w:top w:w="0" w:type="dxa"/>
              <w:left w:w="108" w:type="dxa"/>
              <w:bottom w:w="0" w:type="dxa"/>
              <w:right w:w="108" w:type="dxa"/>
            </w:tcMar>
            <w:vAlign w:val="center"/>
          </w:tcPr>
          <w:p w14:paraId="491E5681">
            <w:pPr>
              <w:widowControl/>
              <w:spacing w:line="240" w:lineRule="auto"/>
              <w:jc w:val="center"/>
              <w:rPr>
                <w:rFonts w:hint="eastAsia" w:ascii="宋体" w:hAnsi="宋体" w:eastAsia="宋体" w:cs="宋体"/>
                <w:b/>
                <w:bCs/>
                <w:color w:val="auto"/>
                <w:kern w:val="0"/>
                <w:sz w:val="22"/>
                <w:szCs w:val="22"/>
              </w:rPr>
            </w:pPr>
            <w:r>
              <w:rPr>
                <w:rFonts w:hint="eastAsia" w:ascii="宋体" w:hAnsi="宋体" w:eastAsia="宋体" w:cs="宋体"/>
                <w:b/>
                <w:bCs/>
                <w:color w:val="auto"/>
                <w:sz w:val="22"/>
                <w:szCs w:val="22"/>
                <w:highlight w:val="none"/>
              </w:rPr>
              <w:t>评审标准</w:t>
            </w:r>
          </w:p>
        </w:tc>
        <w:tc>
          <w:tcPr>
            <w:tcW w:w="823" w:type="dxa"/>
            <w:tcBorders>
              <w:bottom w:val="single" w:color="auto" w:sz="4" w:space="0"/>
            </w:tcBorders>
            <w:shd w:val="clear" w:color="auto" w:fill="FFFFFF"/>
            <w:noWrap w:val="0"/>
            <w:tcMar>
              <w:top w:w="0" w:type="dxa"/>
              <w:left w:w="108" w:type="dxa"/>
              <w:bottom w:w="0" w:type="dxa"/>
              <w:right w:w="108" w:type="dxa"/>
            </w:tcMar>
            <w:vAlign w:val="center"/>
          </w:tcPr>
          <w:p w14:paraId="0EC52888">
            <w:pPr>
              <w:widowControl/>
              <w:spacing w:line="240" w:lineRule="auto"/>
              <w:jc w:val="center"/>
              <w:rPr>
                <w:rFonts w:hint="eastAsia" w:ascii="宋体" w:hAnsi="宋体" w:eastAsia="宋体" w:cs="宋体"/>
                <w:b/>
                <w:bCs/>
                <w:color w:val="auto"/>
                <w:kern w:val="0"/>
                <w:sz w:val="22"/>
                <w:szCs w:val="22"/>
              </w:rPr>
            </w:pPr>
            <w:r>
              <w:rPr>
                <w:rFonts w:hint="eastAsia" w:ascii="宋体" w:hAnsi="宋体" w:eastAsia="宋体" w:cs="宋体"/>
                <w:b/>
                <w:bCs/>
                <w:color w:val="auto"/>
                <w:sz w:val="22"/>
                <w:szCs w:val="22"/>
                <w:highlight w:val="none"/>
              </w:rPr>
              <w:t>分值</w:t>
            </w:r>
          </w:p>
        </w:tc>
      </w:tr>
      <w:tr w14:paraId="23D46CF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332" w:hRule="atLeast"/>
          <w:jc w:val="center"/>
        </w:trPr>
        <w:tc>
          <w:tcPr>
            <w:tcW w:w="705"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1BF9387">
            <w:pPr>
              <w:widowControl/>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p>
        </w:tc>
        <w:tc>
          <w:tcPr>
            <w:tcW w:w="1417"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6D2ED0E">
            <w:pPr>
              <w:pStyle w:val="219"/>
              <w:spacing w:line="240" w:lineRule="auto"/>
              <w:ind w:firstLine="46" w:firstLineChars="21"/>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snapToGrid w:val="0"/>
                <w:color w:val="auto"/>
                <w:sz w:val="22"/>
                <w:szCs w:val="22"/>
                <w:highlight w:val="none"/>
                <w:lang w:eastAsia="zh-CN"/>
              </w:rPr>
              <w:t>类似业绩</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3283F7E">
            <w:pPr>
              <w:pStyle w:val="219"/>
              <w:spacing w:line="240" w:lineRule="auto"/>
              <w:ind w:firstLine="46" w:firstLineChars="21"/>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供应商自20</w:t>
            </w:r>
            <w:r>
              <w:rPr>
                <w:rFonts w:hint="eastAsia" w:ascii="宋体" w:hAnsi="宋体" w:eastAsia="宋体" w:cs="宋体"/>
                <w:b w:val="0"/>
                <w:bCs w:val="0"/>
                <w:color w:val="auto"/>
                <w:sz w:val="22"/>
                <w:szCs w:val="22"/>
                <w:highlight w:val="none"/>
                <w:lang w:val="en-US" w:eastAsia="zh-CN"/>
              </w:rPr>
              <w:t>21</w:t>
            </w:r>
            <w:r>
              <w:rPr>
                <w:rFonts w:hint="eastAsia" w:ascii="宋体" w:hAnsi="宋体" w:eastAsia="宋体" w:cs="宋体"/>
                <w:b w:val="0"/>
                <w:bCs w:val="0"/>
                <w:color w:val="auto"/>
                <w:sz w:val="22"/>
                <w:szCs w:val="22"/>
                <w:highlight w:val="none"/>
              </w:rPr>
              <w:t>年1月1日（以合同签订时间为准）以来成功实施过</w:t>
            </w:r>
            <w:r>
              <w:rPr>
                <w:rFonts w:hint="eastAsia" w:ascii="宋体" w:hAnsi="宋体" w:eastAsia="宋体" w:cs="宋体"/>
                <w:b w:val="0"/>
                <w:bCs w:val="0"/>
                <w:color w:val="auto"/>
                <w:sz w:val="22"/>
                <w:szCs w:val="22"/>
                <w:highlight w:val="none"/>
                <w:lang w:eastAsia="zh-CN"/>
              </w:rPr>
              <w:t>同类项目案例</w:t>
            </w:r>
            <w:r>
              <w:rPr>
                <w:rFonts w:hint="eastAsia" w:ascii="宋体" w:hAnsi="宋体" w:eastAsia="宋体" w:cs="宋体"/>
                <w:b w:val="0"/>
                <w:bCs w:val="0"/>
                <w:color w:val="auto"/>
                <w:sz w:val="22"/>
                <w:szCs w:val="22"/>
                <w:highlight w:val="none"/>
              </w:rPr>
              <w:t>的得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bCs/>
                <w:color w:val="auto"/>
                <w:sz w:val="22"/>
                <w:szCs w:val="22"/>
                <w:highlight w:val="none"/>
              </w:rPr>
              <w:t>是否属于类似业绩由磋商小组根据合同的内容、特点等与本项目的类似程度进行认定</w:t>
            </w:r>
            <w:r>
              <w:rPr>
                <w:rFonts w:hint="eastAsia" w:ascii="宋体" w:hAnsi="宋体" w:eastAsia="宋体" w:cs="宋体"/>
                <w:b/>
                <w:bCs/>
                <w:color w:val="auto"/>
                <w:sz w:val="22"/>
                <w:szCs w:val="22"/>
                <w:highlight w:val="none"/>
                <w:lang w:eastAsia="zh-CN"/>
              </w:rPr>
              <w:t>。</w:t>
            </w:r>
          </w:p>
          <w:p w14:paraId="2210971C">
            <w:pPr>
              <w:pStyle w:val="219"/>
              <w:spacing w:line="240" w:lineRule="auto"/>
              <w:ind w:firstLine="46" w:firstLineChars="21"/>
              <w:rPr>
                <w:rFonts w:hint="eastAsia" w:ascii="宋体" w:hAnsi="宋体" w:eastAsia="宋体" w:cs="宋体"/>
                <w:b w:val="0"/>
                <w:bCs w:val="0"/>
                <w:color w:val="auto"/>
                <w:sz w:val="22"/>
                <w:szCs w:val="22"/>
                <w:highlight w:val="none"/>
              </w:rPr>
            </w:pPr>
            <w:r>
              <w:rPr>
                <w:rFonts w:hint="eastAsia" w:ascii="宋体" w:hAnsi="宋体" w:eastAsia="宋体" w:cs="宋体"/>
                <w:b/>
                <w:bCs/>
                <w:color w:val="auto"/>
                <w:sz w:val="22"/>
                <w:szCs w:val="22"/>
                <w:highlight w:val="none"/>
              </w:rPr>
              <w:t>响应文件内须提供合同扫描件，供应商未按要求提供或提供的材料不能体现评审要点的均不得分。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396AF9C3">
            <w:pPr>
              <w:pStyle w:val="219"/>
              <w:spacing w:line="240" w:lineRule="auto"/>
              <w:ind w:firstLine="46" w:firstLineChars="21"/>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0-</w:t>
            </w:r>
            <w:r>
              <w:rPr>
                <w:rFonts w:hint="eastAsia" w:hAnsi="宋体" w:cs="宋体"/>
                <w:b w:val="0"/>
                <w:bCs w:val="0"/>
                <w:color w:val="auto"/>
                <w:sz w:val="22"/>
                <w:szCs w:val="22"/>
                <w:highlight w:val="none"/>
                <w:lang w:val="en-US" w:eastAsia="zh-CN"/>
              </w:rPr>
              <w:t>1</w:t>
            </w:r>
          </w:p>
        </w:tc>
      </w:tr>
      <w:tr w14:paraId="1643C54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9" w:hRule="atLeast"/>
          <w:jc w:val="center"/>
        </w:trPr>
        <w:tc>
          <w:tcPr>
            <w:tcW w:w="705"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E21A383">
            <w:pPr>
              <w:widowControl/>
              <w:spacing w:line="240" w:lineRule="auto"/>
              <w:jc w:val="center"/>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2</w:t>
            </w:r>
          </w:p>
        </w:tc>
        <w:tc>
          <w:tcPr>
            <w:tcW w:w="1417"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6CE9E12">
            <w:pPr>
              <w:pStyle w:val="219"/>
              <w:spacing w:line="240" w:lineRule="auto"/>
              <w:ind w:firstLine="46" w:firstLineChars="21"/>
              <w:jc w:val="center"/>
              <w:rPr>
                <w:rFonts w:hint="eastAsia" w:ascii="宋体" w:hAnsi="宋体" w:eastAsia="宋体" w:cs="宋体"/>
                <w:b w:val="0"/>
                <w:bCs w:val="0"/>
                <w:snapToGrid w:val="0"/>
                <w:color w:val="auto"/>
                <w:sz w:val="22"/>
                <w:szCs w:val="22"/>
                <w:highlight w:val="none"/>
                <w:lang w:eastAsia="zh-CN"/>
              </w:rPr>
            </w:pPr>
            <w:r>
              <w:rPr>
                <w:rFonts w:hint="eastAsia" w:ascii="宋体" w:hAnsi="宋体" w:eastAsia="宋体" w:cs="宋体"/>
                <w:b w:val="0"/>
                <w:bCs w:val="0"/>
                <w:snapToGrid w:val="0"/>
                <w:color w:val="auto"/>
                <w:sz w:val="22"/>
                <w:szCs w:val="22"/>
                <w:highlight w:val="none"/>
                <w:lang w:eastAsia="zh-CN"/>
              </w:rPr>
              <w:t>现有系统了解情况</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0443519">
            <w:pPr>
              <w:pStyle w:val="219"/>
              <w:spacing w:line="240" w:lineRule="auto"/>
              <w:ind w:firstLine="0" w:firstLineChars="0"/>
              <w:rPr>
                <w:rFonts w:hint="eastAsia" w:ascii="宋体" w:hAnsi="宋体" w:eastAsia="宋体" w:cs="宋体"/>
                <w:b w:val="0"/>
                <w:bCs w:val="0"/>
                <w:snapToGrid w:val="0"/>
                <w:color w:val="auto"/>
                <w:sz w:val="22"/>
                <w:szCs w:val="22"/>
                <w:highlight w:val="none"/>
                <w:lang w:eastAsia="zh-CN"/>
              </w:rPr>
            </w:pPr>
            <w:r>
              <w:rPr>
                <w:rFonts w:hint="eastAsia" w:ascii="宋体" w:hAnsi="宋体" w:eastAsia="宋体" w:cs="宋体"/>
                <w:color w:val="auto"/>
                <w:sz w:val="22"/>
                <w:szCs w:val="22"/>
                <w:highlight w:val="none"/>
                <w:lang w:eastAsia="zh-CN"/>
              </w:rPr>
              <w:t>投标人对非现场执法系统，青田县的非现场执法设备现状，包括系统架构、功能模块、业务量、运行环境配置等情况的熟悉程度进行评审：分别给予0分，1.0分，</w:t>
            </w:r>
            <w:r>
              <w:rPr>
                <w:rFonts w:hint="eastAsia" w:ascii="宋体" w:hAnsi="宋体" w:eastAsia="宋体" w:cs="宋体"/>
                <w:color w:val="auto"/>
                <w:sz w:val="22"/>
                <w:szCs w:val="22"/>
                <w:highlight w:val="none"/>
                <w:lang w:val="en-US" w:eastAsia="zh-CN"/>
              </w:rPr>
              <w:t>2.0分，3</w:t>
            </w:r>
            <w:r>
              <w:rPr>
                <w:rFonts w:hint="eastAsia" w:ascii="宋体" w:hAnsi="宋体" w:eastAsia="宋体" w:cs="宋体"/>
                <w:color w:val="auto"/>
                <w:sz w:val="22"/>
                <w:szCs w:val="22"/>
                <w:highlight w:val="none"/>
                <w:lang w:eastAsia="zh-CN"/>
              </w:rPr>
              <w:t>.0分，</w:t>
            </w:r>
            <w:r>
              <w:rPr>
                <w:rFonts w:hint="eastAsia" w:ascii="宋体" w:hAnsi="宋体" w:eastAsia="宋体" w:cs="宋体"/>
                <w:color w:val="auto"/>
                <w:sz w:val="22"/>
                <w:szCs w:val="22"/>
                <w:highlight w:val="none"/>
                <w:lang w:val="en-US" w:eastAsia="zh-CN"/>
              </w:rPr>
              <w:t>4.0，5</w:t>
            </w:r>
            <w:r>
              <w:rPr>
                <w:rFonts w:hint="eastAsia" w:ascii="宋体" w:hAnsi="宋体" w:eastAsia="宋体" w:cs="宋体"/>
                <w:color w:val="auto"/>
                <w:sz w:val="22"/>
                <w:szCs w:val="22"/>
                <w:highlight w:val="none"/>
                <w:lang w:eastAsia="zh-CN"/>
              </w:rPr>
              <w:t>.0分。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86F0CC9">
            <w:pPr>
              <w:pStyle w:val="219"/>
              <w:spacing w:line="240" w:lineRule="auto"/>
              <w:ind w:firstLine="46" w:firstLineChars="21"/>
              <w:jc w:val="center"/>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0-5</w:t>
            </w:r>
          </w:p>
        </w:tc>
      </w:tr>
      <w:tr w14:paraId="4E37872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96" w:hRule="atLeast"/>
          <w:jc w:val="center"/>
        </w:trPr>
        <w:tc>
          <w:tcPr>
            <w:tcW w:w="705" w:type="dxa"/>
            <w:vMerge w:val="restart"/>
            <w:tcBorders>
              <w:top w:val="single" w:color="auto" w:sz="4" w:space="0"/>
            </w:tcBorders>
            <w:shd w:val="clear" w:color="auto" w:fill="FFFFFF"/>
            <w:noWrap w:val="0"/>
            <w:tcMar>
              <w:top w:w="0" w:type="dxa"/>
              <w:left w:w="108" w:type="dxa"/>
              <w:bottom w:w="0" w:type="dxa"/>
              <w:right w:w="108" w:type="dxa"/>
            </w:tcMar>
            <w:vAlign w:val="center"/>
          </w:tcPr>
          <w:p w14:paraId="4CC60F58">
            <w:pPr>
              <w:widowControl/>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3</w:t>
            </w:r>
          </w:p>
        </w:tc>
        <w:tc>
          <w:tcPr>
            <w:tcW w:w="1417" w:type="dxa"/>
            <w:vMerge w:val="restart"/>
            <w:tcBorders>
              <w:top w:val="single" w:color="auto" w:sz="4" w:space="0"/>
            </w:tcBorders>
            <w:shd w:val="clear" w:color="auto" w:fill="FFFFFF"/>
            <w:noWrap w:val="0"/>
            <w:tcMar>
              <w:top w:w="0" w:type="dxa"/>
              <w:left w:w="108" w:type="dxa"/>
              <w:bottom w:w="0" w:type="dxa"/>
              <w:right w:w="108" w:type="dxa"/>
            </w:tcMar>
            <w:vAlign w:val="center"/>
          </w:tcPr>
          <w:p w14:paraId="0DF3F548">
            <w:pPr>
              <w:pStyle w:val="219"/>
              <w:spacing w:line="240" w:lineRule="auto"/>
              <w:ind w:firstLine="46" w:firstLineChars="21"/>
              <w:jc w:val="center"/>
              <w:rPr>
                <w:rFonts w:hint="eastAsia" w:ascii="宋体" w:hAnsi="宋体" w:eastAsia="宋体" w:cs="宋体"/>
                <w:b w:val="0"/>
                <w:bCs w:val="0"/>
                <w:snapToGrid w:val="0"/>
                <w:color w:val="auto"/>
                <w:sz w:val="22"/>
                <w:szCs w:val="22"/>
                <w:highlight w:val="none"/>
              </w:rPr>
            </w:pPr>
            <w:r>
              <w:rPr>
                <w:rFonts w:hint="eastAsia" w:ascii="宋体" w:hAnsi="宋体" w:eastAsia="宋体" w:cs="宋体"/>
                <w:b w:val="0"/>
                <w:bCs w:val="0"/>
                <w:snapToGrid w:val="0"/>
                <w:color w:val="auto"/>
                <w:sz w:val="22"/>
                <w:szCs w:val="22"/>
                <w:highlight w:val="none"/>
              </w:rPr>
              <w:t>运维服务</w:t>
            </w:r>
            <w:r>
              <w:rPr>
                <w:rFonts w:hint="eastAsia" w:ascii="宋体" w:hAnsi="宋体" w:eastAsia="宋体" w:cs="宋体"/>
                <w:b w:val="0"/>
                <w:bCs w:val="0"/>
                <w:color w:val="auto"/>
                <w:sz w:val="22"/>
                <w:szCs w:val="22"/>
              </w:rPr>
              <w:t>方案</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D6664A2">
            <w:pPr>
              <w:pStyle w:val="219"/>
              <w:spacing w:line="240" w:lineRule="auto"/>
              <w:ind w:firstLine="0" w:firstLineChars="0"/>
              <w:rPr>
                <w:rFonts w:hint="eastAsia" w:ascii="宋体" w:hAnsi="宋体" w:eastAsia="宋体" w:cs="宋体"/>
                <w:b w:val="0"/>
                <w:bCs w:val="0"/>
                <w:color w:val="auto"/>
                <w:sz w:val="22"/>
                <w:szCs w:val="22"/>
                <w:highlight w:val="none"/>
                <w:lang w:eastAsia="zh-CN"/>
              </w:rPr>
            </w:pPr>
            <w:r>
              <w:rPr>
                <w:rFonts w:hint="eastAsia" w:ascii="宋体" w:hAnsi="宋体" w:eastAsia="宋体" w:cs="宋体"/>
                <w:color w:val="auto"/>
                <w:sz w:val="22"/>
                <w:szCs w:val="22"/>
                <w:highlight w:val="none"/>
                <w:lang w:eastAsia="zh-CN"/>
              </w:rPr>
              <w:t>根据供应商提供的</w:t>
            </w:r>
            <w:r>
              <w:rPr>
                <w:rFonts w:hint="eastAsia" w:ascii="宋体" w:hAnsi="宋体" w:eastAsia="宋体" w:cs="宋体"/>
                <w:color w:val="auto"/>
                <w:sz w:val="22"/>
                <w:szCs w:val="22"/>
                <w:highlight w:val="none"/>
              </w:rPr>
              <w:t>日常运行维护服务方案</w:t>
            </w:r>
            <w:r>
              <w:rPr>
                <w:rFonts w:hint="eastAsia" w:ascii="宋体" w:hAnsi="宋体" w:eastAsia="宋体" w:cs="宋体"/>
                <w:color w:val="auto"/>
                <w:sz w:val="22"/>
                <w:szCs w:val="22"/>
                <w:highlight w:val="none"/>
                <w:lang w:eastAsia="zh-CN"/>
              </w:rPr>
              <w:t>得内容的全面性、合理性进行评审：分别给予0分，1.0分，</w:t>
            </w:r>
            <w:r>
              <w:rPr>
                <w:rFonts w:hint="eastAsia" w:ascii="宋体" w:hAnsi="宋体" w:eastAsia="宋体" w:cs="宋体"/>
                <w:color w:val="auto"/>
                <w:sz w:val="22"/>
                <w:szCs w:val="22"/>
                <w:highlight w:val="none"/>
                <w:lang w:val="en-US" w:eastAsia="zh-CN"/>
              </w:rPr>
              <w:t>2.0分，3</w:t>
            </w:r>
            <w:r>
              <w:rPr>
                <w:rFonts w:hint="eastAsia" w:ascii="宋体" w:hAnsi="宋体" w:eastAsia="宋体" w:cs="宋体"/>
                <w:color w:val="auto"/>
                <w:sz w:val="22"/>
                <w:szCs w:val="22"/>
                <w:highlight w:val="none"/>
                <w:lang w:eastAsia="zh-CN"/>
              </w:rPr>
              <w:t>.0分，</w:t>
            </w:r>
            <w:r>
              <w:rPr>
                <w:rFonts w:hint="eastAsia" w:ascii="宋体" w:hAnsi="宋体" w:eastAsia="宋体" w:cs="宋体"/>
                <w:color w:val="auto"/>
                <w:sz w:val="22"/>
                <w:szCs w:val="22"/>
                <w:highlight w:val="none"/>
                <w:lang w:val="en-US" w:eastAsia="zh-CN"/>
              </w:rPr>
              <w:t>4.0，5</w:t>
            </w:r>
            <w:r>
              <w:rPr>
                <w:rFonts w:hint="eastAsia" w:ascii="宋体" w:hAnsi="宋体" w:eastAsia="宋体" w:cs="宋体"/>
                <w:color w:val="auto"/>
                <w:sz w:val="22"/>
                <w:szCs w:val="22"/>
                <w:highlight w:val="none"/>
                <w:lang w:eastAsia="zh-CN"/>
              </w:rPr>
              <w:t>.0分。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3984ABAA">
            <w:pPr>
              <w:pStyle w:val="219"/>
              <w:spacing w:line="240" w:lineRule="auto"/>
              <w:ind w:firstLine="46" w:firstLineChars="21"/>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0-5</w:t>
            </w:r>
          </w:p>
        </w:tc>
      </w:tr>
      <w:tr w14:paraId="7ACE1E2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26" w:hRule="atLeast"/>
          <w:jc w:val="center"/>
        </w:trPr>
        <w:tc>
          <w:tcPr>
            <w:tcW w:w="705" w:type="dxa"/>
            <w:vMerge w:val="continue"/>
            <w:shd w:val="clear" w:color="auto" w:fill="FFFFFF"/>
            <w:noWrap w:val="0"/>
            <w:tcMar>
              <w:top w:w="0" w:type="dxa"/>
              <w:left w:w="108" w:type="dxa"/>
              <w:bottom w:w="0" w:type="dxa"/>
              <w:right w:w="108" w:type="dxa"/>
            </w:tcMar>
            <w:vAlign w:val="center"/>
          </w:tcPr>
          <w:p w14:paraId="7F4EE522">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shd w:val="clear" w:color="auto" w:fill="FFFFFF"/>
            <w:noWrap w:val="0"/>
            <w:tcMar>
              <w:top w:w="0" w:type="dxa"/>
              <w:left w:w="108" w:type="dxa"/>
              <w:bottom w:w="0" w:type="dxa"/>
              <w:right w:w="108" w:type="dxa"/>
            </w:tcMar>
            <w:vAlign w:val="center"/>
          </w:tcPr>
          <w:p w14:paraId="24EC3069">
            <w:pPr>
              <w:pStyle w:val="219"/>
              <w:spacing w:line="240" w:lineRule="auto"/>
              <w:ind w:firstLine="46" w:firstLineChars="21"/>
              <w:jc w:val="center"/>
              <w:rPr>
                <w:rFonts w:hint="eastAsia" w:ascii="宋体" w:hAnsi="宋体" w:eastAsia="宋体" w:cs="宋体"/>
                <w:b w:val="0"/>
                <w:bCs w:val="0"/>
                <w:snapToGrid w:val="0"/>
                <w:color w:val="auto"/>
                <w:sz w:val="22"/>
                <w:szCs w:val="22"/>
                <w:highlight w:val="none"/>
              </w:rPr>
            </w:pP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2B089F1">
            <w:pPr>
              <w:pStyle w:val="219"/>
              <w:spacing w:line="240" w:lineRule="auto"/>
              <w:ind w:firstLine="0" w:firstLineChars="0"/>
              <w:rPr>
                <w:rFonts w:hint="eastAsia" w:ascii="宋体" w:hAnsi="宋体" w:eastAsia="宋体" w:cs="宋体"/>
                <w:b w:val="0"/>
                <w:bCs w:val="0"/>
                <w:color w:val="auto"/>
                <w:sz w:val="22"/>
                <w:szCs w:val="22"/>
                <w:highlight w:val="none"/>
                <w:lang w:eastAsia="zh-CN"/>
              </w:rPr>
            </w:pPr>
            <w:r>
              <w:rPr>
                <w:rFonts w:hint="eastAsia" w:ascii="宋体" w:hAnsi="宋体" w:eastAsia="宋体" w:cs="宋体"/>
                <w:color w:val="auto"/>
                <w:sz w:val="22"/>
                <w:szCs w:val="22"/>
                <w:highlight w:val="none"/>
                <w:lang w:eastAsia="zh-CN"/>
              </w:rPr>
              <w:t>根据供应商提供的</w:t>
            </w:r>
            <w:r>
              <w:rPr>
                <w:rFonts w:hint="eastAsia" w:ascii="宋体" w:hAnsi="宋体" w:eastAsia="宋体" w:cs="宋体"/>
                <w:color w:val="auto"/>
                <w:sz w:val="22"/>
                <w:szCs w:val="22"/>
                <w:highlight w:val="none"/>
              </w:rPr>
              <w:t>信息化设备维护及技术服务方案</w:t>
            </w:r>
            <w:r>
              <w:rPr>
                <w:rFonts w:hint="eastAsia" w:ascii="宋体" w:hAnsi="宋体" w:eastAsia="宋体" w:cs="宋体"/>
                <w:b w:val="0"/>
                <w:bCs w:val="0"/>
                <w:color w:val="auto"/>
                <w:sz w:val="22"/>
                <w:szCs w:val="22"/>
                <w:highlight w:val="none"/>
                <w:lang w:eastAsia="zh-CN"/>
              </w:rPr>
              <w:t>是否</w:t>
            </w:r>
            <w:r>
              <w:rPr>
                <w:rFonts w:hint="eastAsia" w:ascii="宋体" w:hAnsi="宋体" w:eastAsia="宋体" w:cs="宋体"/>
                <w:b w:val="0"/>
                <w:bCs w:val="0"/>
                <w:color w:val="auto"/>
                <w:sz w:val="22"/>
                <w:szCs w:val="22"/>
                <w:highlight w:val="none"/>
              </w:rPr>
              <w:t>满足项目实施要求</w:t>
            </w:r>
            <w:r>
              <w:rPr>
                <w:rFonts w:hint="eastAsia" w:ascii="宋体" w:hAnsi="宋体" w:eastAsia="宋体" w:cs="宋体"/>
                <w:b w:val="0"/>
                <w:bCs w:val="0"/>
                <w:color w:val="auto"/>
                <w:sz w:val="22"/>
                <w:szCs w:val="22"/>
                <w:highlight w:val="none"/>
                <w:lang w:eastAsia="zh-CN"/>
              </w:rPr>
              <w:t>以及</w:t>
            </w:r>
            <w:r>
              <w:rPr>
                <w:rFonts w:hint="eastAsia" w:ascii="宋体" w:hAnsi="宋体" w:eastAsia="宋体" w:cs="宋体"/>
                <w:b w:val="0"/>
                <w:bCs w:val="0"/>
                <w:color w:val="auto"/>
                <w:sz w:val="22"/>
                <w:szCs w:val="22"/>
                <w:highlight w:val="none"/>
              </w:rPr>
              <w:t>内容全面、合理</w:t>
            </w:r>
            <w:r>
              <w:rPr>
                <w:rFonts w:hint="eastAsia" w:ascii="宋体" w:hAnsi="宋体" w:eastAsia="宋体" w:cs="宋体"/>
                <w:b w:val="0"/>
                <w:bCs w:val="0"/>
                <w:color w:val="auto"/>
                <w:sz w:val="22"/>
                <w:szCs w:val="22"/>
                <w:highlight w:val="none"/>
                <w:lang w:eastAsia="zh-CN"/>
              </w:rPr>
              <w:t>性进行评审</w:t>
            </w:r>
            <w:r>
              <w:rPr>
                <w:rFonts w:hint="eastAsia" w:ascii="宋体" w:hAnsi="宋体" w:eastAsia="宋体" w:cs="宋体"/>
                <w:color w:val="auto"/>
                <w:sz w:val="22"/>
                <w:szCs w:val="22"/>
                <w:highlight w:val="none"/>
                <w:lang w:eastAsia="zh-CN"/>
              </w:rPr>
              <w:t>：分别给予0分，1.0分，</w:t>
            </w:r>
            <w:r>
              <w:rPr>
                <w:rFonts w:hint="eastAsia" w:ascii="宋体" w:hAnsi="宋体" w:eastAsia="宋体" w:cs="宋体"/>
                <w:color w:val="auto"/>
                <w:sz w:val="22"/>
                <w:szCs w:val="22"/>
                <w:highlight w:val="none"/>
                <w:lang w:val="en-US" w:eastAsia="zh-CN"/>
              </w:rPr>
              <w:t>2.0分，3</w:t>
            </w:r>
            <w:r>
              <w:rPr>
                <w:rFonts w:hint="eastAsia" w:ascii="宋体" w:hAnsi="宋体" w:eastAsia="宋体" w:cs="宋体"/>
                <w:color w:val="auto"/>
                <w:sz w:val="22"/>
                <w:szCs w:val="22"/>
                <w:highlight w:val="none"/>
                <w:lang w:eastAsia="zh-CN"/>
              </w:rPr>
              <w:t>.0分，</w:t>
            </w:r>
            <w:r>
              <w:rPr>
                <w:rFonts w:hint="eastAsia" w:ascii="宋体" w:hAnsi="宋体" w:eastAsia="宋体" w:cs="宋体"/>
                <w:color w:val="auto"/>
                <w:sz w:val="22"/>
                <w:szCs w:val="22"/>
                <w:highlight w:val="none"/>
                <w:lang w:val="en-US" w:eastAsia="zh-CN"/>
              </w:rPr>
              <w:t>4.0，5</w:t>
            </w:r>
            <w:r>
              <w:rPr>
                <w:rFonts w:hint="eastAsia" w:ascii="宋体" w:hAnsi="宋体" w:eastAsia="宋体" w:cs="宋体"/>
                <w:color w:val="auto"/>
                <w:sz w:val="22"/>
                <w:szCs w:val="22"/>
                <w:highlight w:val="none"/>
                <w:lang w:eastAsia="zh-CN"/>
              </w:rPr>
              <w:t>.0分。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F383E0F">
            <w:pPr>
              <w:spacing w:line="240" w:lineRule="auto"/>
              <w:ind w:firstLine="46" w:firstLineChars="21"/>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0-5</w:t>
            </w:r>
          </w:p>
        </w:tc>
      </w:tr>
      <w:tr w14:paraId="726CD9E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50" w:hRule="atLeast"/>
          <w:jc w:val="center"/>
        </w:trPr>
        <w:tc>
          <w:tcPr>
            <w:tcW w:w="705" w:type="dxa"/>
            <w:vMerge w:val="continue"/>
            <w:shd w:val="clear" w:color="auto" w:fill="FFFFFF"/>
            <w:noWrap w:val="0"/>
            <w:tcMar>
              <w:top w:w="0" w:type="dxa"/>
              <w:left w:w="108" w:type="dxa"/>
              <w:bottom w:w="0" w:type="dxa"/>
              <w:right w:w="108" w:type="dxa"/>
            </w:tcMar>
            <w:vAlign w:val="center"/>
          </w:tcPr>
          <w:p w14:paraId="1319C57D">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shd w:val="clear" w:color="auto" w:fill="FFFFFF"/>
            <w:noWrap w:val="0"/>
            <w:tcMar>
              <w:top w:w="0" w:type="dxa"/>
              <w:left w:w="108" w:type="dxa"/>
              <w:bottom w:w="0" w:type="dxa"/>
              <w:right w:w="108" w:type="dxa"/>
            </w:tcMar>
            <w:vAlign w:val="center"/>
          </w:tcPr>
          <w:p w14:paraId="4BB3C73D">
            <w:pPr>
              <w:pStyle w:val="219"/>
              <w:spacing w:line="240" w:lineRule="auto"/>
              <w:ind w:firstLine="46" w:firstLineChars="21"/>
              <w:jc w:val="center"/>
              <w:rPr>
                <w:rFonts w:hint="eastAsia" w:ascii="宋体" w:hAnsi="宋体" w:eastAsia="宋体" w:cs="宋体"/>
                <w:b w:val="0"/>
                <w:bCs w:val="0"/>
                <w:snapToGrid w:val="0"/>
                <w:color w:val="auto"/>
                <w:sz w:val="22"/>
                <w:szCs w:val="22"/>
                <w:highlight w:val="none"/>
              </w:rPr>
            </w:pP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6A4BDF0">
            <w:pPr>
              <w:pStyle w:val="219"/>
              <w:spacing w:line="240" w:lineRule="auto"/>
              <w:ind w:firstLine="0" w:firstLineChars="0"/>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lang w:eastAsia="zh-CN"/>
              </w:rPr>
              <w:t>根据供应商提供的</w:t>
            </w:r>
            <w:r>
              <w:rPr>
                <w:rFonts w:hint="eastAsia" w:ascii="宋体" w:hAnsi="宋体" w:eastAsia="宋体" w:cs="宋体"/>
                <w:color w:val="auto"/>
                <w:sz w:val="22"/>
                <w:szCs w:val="22"/>
                <w:highlight w:val="none"/>
              </w:rPr>
              <w:t>安全设备维护及技术服务方案</w:t>
            </w:r>
            <w:r>
              <w:rPr>
                <w:rFonts w:hint="eastAsia" w:ascii="宋体" w:hAnsi="宋体" w:eastAsia="宋体" w:cs="宋体"/>
                <w:b w:val="0"/>
                <w:bCs w:val="0"/>
                <w:color w:val="auto"/>
                <w:sz w:val="22"/>
                <w:szCs w:val="22"/>
                <w:highlight w:val="none"/>
                <w:lang w:eastAsia="zh-CN"/>
              </w:rPr>
              <w:t>是否</w:t>
            </w:r>
            <w:r>
              <w:rPr>
                <w:rFonts w:hint="eastAsia" w:ascii="宋体" w:hAnsi="宋体" w:eastAsia="宋体" w:cs="宋体"/>
                <w:b w:val="0"/>
                <w:bCs w:val="0"/>
                <w:color w:val="auto"/>
                <w:sz w:val="22"/>
                <w:szCs w:val="22"/>
                <w:highlight w:val="none"/>
              </w:rPr>
              <w:t>满足项目实施要求，</w:t>
            </w:r>
            <w:r>
              <w:rPr>
                <w:rFonts w:hint="eastAsia" w:ascii="宋体" w:hAnsi="宋体" w:eastAsia="宋体" w:cs="宋体"/>
                <w:b w:val="0"/>
                <w:bCs w:val="0"/>
                <w:color w:val="auto"/>
                <w:sz w:val="22"/>
                <w:szCs w:val="22"/>
                <w:highlight w:val="none"/>
                <w:lang w:eastAsia="zh-CN"/>
              </w:rPr>
              <w:t>以及</w:t>
            </w:r>
            <w:r>
              <w:rPr>
                <w:rFonts w:hint="eastAsia" w:ascii="宋体" w:hAnsi="宋体" w:eastAsia="宋体" w:cs="宋体"/>
                <w:b w:val="0"/>
                <w:bCs w:val="0"/>
                <w:color w:val="auto"/>
                <w:sz w:val="22"/>
                <w:szCs w:val="22"/>
                <w:highlight w:val="none"/>
              </w:rPr>
              <w:t>内容全面、</w:t>
            </w:r>
            <w:r>
              <w:rPr>
                <w:rFonts w:hint="eastAsia" w:ascii="宋体" w:hAnsi="宋体" w:eastAsia="宋体" w:cs="宋体"/>
                <w:b w:val="0"/>
                <w:bCs w:val="0"/>
                <w:color w:val="auto"/>
                <w:sz w:val="22"/>
                <w:szCs w:val="22"/>
                <w:highlight w:val="none"/>
                <w:lang w:eastAsia="zh-CN"/>
              </w:rPr>
              <w:t>可操作性进行评审</w:t>
            </w:r>
            <w:r>
              <w:rPr>
                <w:rFonts w:hint="eastAsia" w:ascii="宋体" w:hAnsi="宋体" w:eastAsia="宋体" w:cs="宋体"/>
                <w:color w:val="auto"/>
                <w:sz w:val="22"/>
                <w:szCs w:val="22"/>
                <w:highlight w:val="none"/>
                <w:lang w:eastAsia="zh-CN"/>
              </w:rPr>
              <w:t>：分别给予0分，1.0分，</w:t>
            </w:r>
            <w:r>
              <w:rPr>
                <w:rFonts w:hint="eastAsia" w:ascii="宋体" w:hAnsi="宋体" w:eastAsia="宋体" w:cs="宋体"/>
                <w:color w:val="auto"/>
                <w:sz w:val="22"/>
                <w:szCs w:val="22"/>
                <w:highlight w:val="none"/>
                <w:lang w:val="en-US" w:eastAsia="zh-CN"/>
              </w:rPr>
              <w:t>2.0分，3</w:t>
            </w:r>
            <w:r>
              <w:rPr>
                <w:rFonts w:hint="eastAsia" w:ascii="宋体" w:hAnsi="宋体" w:eastAsia="宋体" w:cs="宋体"/>
                <w:color w:val="auto"/>
                <w:sz w:val="22"/>
                <w:szCs w:val="22"/>
                <w:highlight w:val="none"/>
                <w:lang w:eastAsia="zh-CN"/>
              </w:rPr>
              <w:t>.0分，</w:t>
            </w:r>
            <w:r>
              <w:rPr>
                <w:rFonts w:hint="eastAsia" w:ascii="宋体" w:hAnsi="宋体" w:eastAsia="宋体" w:cs="宋体"/>
                <w:color w:val="auto"/>
                <w:sz w:val="22"/>
                <w:szCs w:val="22"/>
                <w:highlight w:val="none"/>
                <w:lang w:val="en-US" w:eastAsia="zh-CN"/>
              </w:rPr>
              <w:t>4.0，5</w:t>
            </w:r>
            <w:r>
              <w:rPr>
                <w:rFonts w:hint="eastAsia" w:ascii="宋体" w:hAnsi="宋体" w:eastAsia="宋体" w:cs="宋体"/>
                <w:color w:val="auto"/>
                <w:sz w:val="22"/>
                <w:szCs w:val="22"/>
                <w:highlight w:val="none"/>
                <w:lang w:eastAsia="zh-CN"/>
              </w:rPr>
              <w:t>.0分。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E811844">
            <w:pPr>
              <w:spacing w:line="240" w:lineRule="auto"/>
              <w:ind w:firstLine="46" w:firstLineChars="21"/>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0-5</w:t>
            </w:r>
          </w:p>
        </w:tc>
      </w:tr>
      <w:tr w14:paraId="65ABB9D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50" w:hRule="atLeast"/>
          <w:jc w:val="center"/>
        </w:trPr>
        <w:tc>
          <w:tcPr>
            <w:tcW w:w="705" w:type="dxa"/>
            <w:vMerge w:val="continue"/>
            <w:shd w:val="clear" w:color="auto" w:fill="FFFFFF"/>
            <w:noWrap w:val="0"/>
            <w:tcMar>
              <w:top w:w="0" w:type="dxa"/>
              <w:left w:w="108" w:type="dxa"/>
              <w:bottom w:w="0" w:type="dxa"/>
              <w:right w:w="108" w:type="dxa"/>
            </w:tcMar>
            <w:vAlign w:val="center"/>
          </w:tcPr>
          <w:p w14:paraId="528FC1A3">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shd w:val="clear" w:color="auto" w:fill="FFFFFF"/>
            <w:noWrap w:val="0"/>
            <w:tcMar>
              <w:top w:w="0" w:type="dxa"/>
              <w:left w:w="108" w:type="dxa"/>
              <w:bottom w:w="0" w:type="dxa"/>
              <w:right w:w="108" w:type="dxa"/>
            </w:tcMar>
            <w:vAlign w:val="center"/>
          </w:tcPr>
          <w:p w14:paraId="0AB102A3">
            <w:pPr>
              <w:pStyle w:val="219"/>
              <w:spacing w:line="240" w:lineRule="auto"/>
              <w:ind w:firstLine="46" w:firstLineChars="21"/>
              <w:jc w:val="center"/>
              <w:rPr>
                <w:rFonts w:hint="eastAsia" w:ascii="宋体" w:hAnsi="宋体" w:eastAsia="宋体" w:cs="宋体"/>
                <w:b w:val="0"/>
                <w:bCs w:val="0"/>
                <w:snapToGrid w:val="0"/>
                <w:color w:val="auto"/>
                <w:sz w:val="22"/>
                <w:szCs w:val="22"/>
                <w:highlight w:val="none"/>
              </w:rPr>
            </w:pP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B19D476">
            <w:pPr>
              <w:pStyle w:val="219"/>
              <w:spacing w:line="240" w:lineRule="auto"/>
              <w:ind w:firstLine="0" w:firstLineChars="0"/>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lang w:eastAsia="zh-CN"/>
              </w:rPr>
              <w:t>根据供应商提供的</w:t>
            </w:r>
            <w:r>
              <w:rPr>
                <w:rFonts w:hint="eastAsia" w:ascii="宋体" w:hAnsi="宋体" w:eastAsia="宋体" w:cs="宋体"/>
                <w:color w:val="auto"/>
                <w:sz w:val="22"/>
                <w:szCs w:val="22"/>
                <w:highlight w:val="none"/>
              </w:rPr>
              <w:t>软件及其他设备升级方案</w:t>
            </w:r>
            <w:r>
              <w:rPr>
                <w:rFonts w:hint="eastAsia" w:ascii="宋体" w:hAnsi="宋体" w:eastAsia="宋体" w:cs="宋体"/>
                <w:b w:val="0"/>
                <w:bCs w:val="0"/>
                <w:color w:val="auto"/>
                <w:sz w:val="22"/>
                <w:szCs w:val="22"/>
                <w:highlight w:val="none"/>
                <w:lang w:eastAsia="zh-CN"/>
              </w:rPr>
              <w:t>是否</w:t>
            </w:r>
            <w:r>
              <w:rPr>
                <w:rFonts w:hint="eastAsia" w:ascii="宋体" w:hAnsi="宋体" w:eastAsia="宋体" w:cs="宋体"/>
                <w:b w:val="0"/>
                <w:bCs w:val="0"/>
                <w:color w:val="auto"/>
                <w:sz w:val="22"/>
                <w:szCs w:val="22"/>
                <w:highlight w:val="none"/>
              </w:rPr>
              <w:t>满足项目实施要求，</w:t>
            </w:r>
            <w:r>
              <w:rPr>
                <w:rFonts w:hint="eastAsia" w:ascii="宋体" w:hAnsi="宋体" w:eastAsia="宋体" w:cs="宋体"/>
                <w:b w:val="0"/>
                <w:bCs w:val="0"/>
                <w:color w:val="auto"/>
                <w:sz w:val="22"/>
                <w:szCs w:val="22"/>
                <w:highlight w:val="none"/>
                <w:lang w:eastAsia="zh-CN"/>
              </w:rPr>
              <w:t>以及</w:t>
            </w:r>
            <w:r>
              <w:rPr>
                <w:rFonts w:hint="eastAsia" w:ascii="宋体" w:hAnsi="宋体" w:eastAsia="宋体" w:cs="宋体"/>
                <w:b w:val="0"/>
                <w:bCs w:val="0"/>
                <w:color w:val="auto"/>
                <w:sz w:val="22"/>
                <w:szCs w:val="22"/>
                <w:highlight w:val="none"/>
              </w:rPr>
              <w:t>内容全面、</w:t>
            </w:r>
            <w:r>
              <w:rPr>
                <w:rFonts w:hint="eastAsia" w:ascii="宋体" w:hAnsi="宋体" w:eastAsia="宋体" w:cs="宋体"/>
                <w:b w:val="0"/>
                <w:bCs w:val="0"/>
                <w:color w:val="auto"/>
                <w:sz w:val="22"/>
                <w:szCs w:val="22"/>
                <w:highlight w:val="none"/>
                <w:lang w:eastAsia="zh-CN"/>
              </w:rPr>
              <w:t>可操作性进行评审</w:t>
            </w:r>
            <w:r>
              <w:rPr>
                <w:rFonts w:hint="eastAsia" w:ascii="宋体" w:hAnsi="宋体" w:eastAsia="宋体" w:cs="宋体"/>
                <w:color w:val="auto"/>
                <w:sz w:val="22"/>
                <w:szCs w:val="22"/>
                <w:highlight w:val="none"/>
                <w:lang w:eastAsia="zh-CN"/>
              </w:rPr>
              <w:t>：分别给予0分，1.0分，</w:t>
            </w:r>
            <w:r>
              <w:rPr>
                <w:rFonts w:hint="eastAsia" w:ascii="宋体" w:hAnsi="宋体" w:eastAsia="宋体" w:cs="宋体"/>
                <w:color w:val="auto"/>
                <w:sz w:val="22"/>
                <w:szCs w:val="22"/>
                <w:highlight w:val="none"/>
                <w:lang w:val="en-US" w:eastAsia="zh-CN"/>
              </w:rPr>
              <w:t>2.0分，3</w:t>
            </w:r>
            <w:r>
              <w:rPr>
                <w:rFonts w:hint="eastAsia" w:ascii="宋体" w:hAnsi="宋体" w:eastAsia="宋体" w:cs="宋体"/>
                <w:color w:val="auto"/>
                <w:sz w:val="22"/>
                <w:szCs w:val="22"/>
                <w:highlight w:val="none"/>
                <w:lang w:eastAsia="zh-CN"/>
              </w:rPr>
              <w:t>.0分，</w:t>
            </w:r>
            <w:r>
              <w:rPr>
                <w:rFonts w:hint="eastAsia" w:ascii="宋体" w:hAnsi="宋体" w:eastAsia="宋体" w:cs="宋体"/>
                <w:color w:val="auto"/>
                <w:sz w:val="22"/>
                <w:szCs w:val="22"/>
                <w:highlight w:val="none"/>
                <w:lang w:val="en-US" w:eastAsia="zh-CN"/>
              </w:rPr>
              <w:t>4.0，5</w:t>
            </w:r>
            <w:r>
              <w:rPr>
                <w:rFonts w:hint="eastAsia" w:ascii="宋体" w:hAnsi="宋体" w:eastAsia="宋体" w:cs="宋体"/>
                <w:color w:val="auto"/>
                <w:sz w:val="22"/>
                <w:szCs w:val="22"/>
                <w:highlight w:val="none"/>
                <w:lang w:eastAsia="zh-CN"/>
              </w:rPr>
              <w:t>.0分。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0751B3C">
            <w:pPr>
              <w:spacing w:line="240" w:lineRule="auto"/>
              <w:ind w:firstLine="46" w:firstLineChars="21"/>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0-5</w:t>
            </w:r>
          </w:p>
        </w:tc>
      </w:tr>
      <w:tr w14:paraId="4C9E462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14" w:hRule="atLeast"/>
          <w:jc w:val="center"/>
        </w:trPr>
        <w:tc>
          <w:tcPr>
            <w:tcW w:w="705" w:type="dxa"/>
            <w:vMerge w:val="continue"/>
            <w:shd w:val="clear" w:color="auto" w:fill="FFFFFF"/>
            <w:noWrap w:val="0"/>
            <w:tcMar>
              <w:top w:w="0" w:type="dxa"/>
              <w:left w:w="108" w:type="dxa"/>
              <w:bottom w:w="0" w:type="dxa"/>
              <w:right w:w="108" w:type="dxa"/>
            </w:tcMar>
            <w:vAlign w:val="center"/>
          </w:tcPr>
          <w:p w14:paraId="5B266EF1">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shd w:val="clear" w:color="auto" w:fill="FFFFFF"/>
            <w:noWrap w:val="0"/>
            <w:tcMar>
              <w:top w:w="0" w:type="dxa"/>
              <w:left w:w="108" w:type="dxa"/>
              <w:bottom w:w="0" w:type="dxa"/>
              <w:right w:w="108" w:type="dxa"/>
            </w:tcMar>
            <w:vAlign w:val="center"/>
          </w:tcPr>
          <w:p w14:paraId="2B09825F">
            <w:pPr>
              <w:pStyle w:val="219"/>
              <w:spacing w:line="240" w:lineRule="auto"/>
              <w:ind w:firstLine="46" w:firstLineChars="21"/>
              <w:jc w:val="center"/>
              <w:rPr>
                <w:rFonts w:hint="eastAsia" w:ascii="宋体" w:hAnsi="宋体" w:eastAsia="宋体" w:cs="宋体"/>
                <w:b w:val="0"/>
                <w:bCs w:val="0"/>
                <w:snapToGrid w:val="0"/>
                <w:color w:val="auto"/>
                <w:sz w:val="22"/>
                <w:szCs w:val="22"/>
                <w:highlight w:val="none"/>
              </w:rPr>
            </w:pP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67E3396D">
            <w:pPr>
              <w:pStyle w:val="219"/>
              <w:spacing w:line="240" w:lineRule="auto"/>
              <w:ind w:firstLine="0" w:firstLineChars="0"/>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lang w:eastAsia="zh-CN"/>
              </w:rPr>
              <w:t>根据供应商提供的</w:t>
            </w:r>
            <w:r>
              <w:rPr>
                <w:rFonts w:hint="eastAsia" w:ascii="宋体" w:hAnsi="宋体" w:eastAsia="宋体" w:cs="宋体"/>
                <w:color w:val="auto"/>
                <w:sz w:val="22"/>
                <w:szCs w:val="22"/>
                <w:highlight w:val="none"/>
              </w:rPr>
              <w:t>维护需求建立的保障制度方案</w:t>
            </w:r>
            <w:r>
              <w:rPr>
                <w:rFonts w:hint="eastAsia" w:ascii="宋体" w:hAnsi="宋体" w:eastAsia="宋体" w:cs="宋体"/>
                <w:b w:val="0"/>
                <w:bCs w:val="0"/>
                <w:color w:val="auto"/>
                <w:sz w:val="22"/>
                <w:szCs w:val="22"/>
                <w:highlight w:val="none"/>
                <w:lang w:eastAsia="zh-CN"/>
              </w:rPr>
              <w:t>是否</w:t>
            </w:r>
            <w:r>
              <w:rPr>
                <w:rFonts w:hint="eastAsia" w:ascii="宋体" w:hAnsi="宋体" w:eastAsia="宋体" w:cs="宋体"/>
                <w:b w:val="0"/>
                <w:bCs w:val="0"/>
                <w:color w:val="auto"/>
                <w:sz w:val="22"/>
                <w:szCs w:val="22"/>
                <w:highlight w:val="none"/>
              </w:rPr>
              <w:t>能满足项目实施要求，以及内容全面、合理性进行评审：分别给予0分，1.0分，2.0分，3.0分，4.0，5.0分。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0A7AAE4">
            <w:pPr>
              <w:pStyle w:val="219"/>
              <w:spacing w:line="240" w:lineRule="auto"/>
              <w:ind w:firstLine="46" w:firstLineChars="21"/>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0-5</w:t>
            </w:r>
          </w:p>
        </w:tc>
      </w:tr>
      <w:tr w14:paraId="3070A25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25" w:hRule="atLeast"/>
          <w:jc w:val="center"/>
        </w:trPr>
        <w:tc>
          <w:tcPr>
            <w:tcW w:w="705" w:type="dxa"/>
            <w:tcBorders>
              <w:top w:val="single" w:color="auto" w:sz="4" w:space="0"/>
            </w:tcBorders>
            <w:shd w:val="clear" w:color="auto" w:fill="FFFFFF"/>
            <w:noWrap w:val="0"/>
            <w:tcMar>
              <w:top w:w="0" w:type="dxa"/>
              <w:left w:w="108" w:type="dxa"/>
              <w:bottom w:w="0" w:type="dxa"/>
              <w:right w:w="108" w:type="dxa"/>
            </w:tcMar>
            <w:vAlign w:val="center"/>
          </w:tcPr>
          <w:p w14:paraId="07956161">
            <w:pPr>
              <w:widowControl/>
              <w:spacing w:line="240" w:lineRule="auto"/>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4</w:t>
            </w:r>
          </w:p>
        </w:tc>
        <w:tc>
          <w:tcPr>
            <w:tcW w:w="1417" w:type="dxa"/>
            <w:tcBorders>
              <w:top w:val="single" w:color="auto" w:sz="4" w:space="0"/>
            </w:tcBorders>
            <w:shd w:val="clear" w:color="auto" w:fill="FFFFFF"/>
            <w:noWrap w:val="0"/>
            <w:tcMar>
              <w:top w:w="0" w:type="dxa"/>
              <w:left w:w="108" w:type="dxa"/>
              <w:bottom w:w="0" w:type="dxa"/>
              <w:right w:w="108" w:type="dxa"/>
            </w:tcMar>
            <w:vAlign w:val="center"/>
          </w:tcPr>
          <w:p w14:paraId="56960D45">
            <w:pPr>
              <w:spacing w:line="240" w:lineRule="auto"/>
              <w:jc w:val="center"/>
              <w:rPr>
                <w:rFonts w:hint="eastAsia" w:ascii="宋体" w:hAnsi="宋体" w:eastAsia="宋体" w:cs="宋体"/>
                <w:b w:val="0"/>
                <w:bCs w:val="0"/>
                <w:color w:val="auto"/>
                <w:sz w:val="22"/>
                <w:szCs w:val="22"/>
                <w:lang w:eastAsia="zh-CN"/>
              </w:rPr>
            </w:pPr>
            <w:r>
              <w:rPr>
                <w:rFonts w:hint="eastAsia" w:ascii="宋体" w:hAnsi="宋体" w:eastAsia="宋体" w:cs="宋体"/>
                <w:b w:val="0"/>
                <w:bCs w:val="0"/>
                <w:color w:val="auto"/>
                <w:sz w:val="22"/>
                <w:szCs w:val="22"/>
                <w:u w:val="none"/>
                <w:lang w:eastAsia="zh-CN"/>
              </w:rPr>
              <w:t>项目</w:t>
            </w:r>
            <w:r>
              <w:rPr>
                <w:rFonts w:hint="eastAsia" w:ascii="宋体" w:hAnsi="宋体" w:eastAsia="宋体" w:cs="宋体"/>
                <w:b w:val="0"/>
                <w:bCs w:val="0"/>
                <w:color w:val="auto"/>
                <w:sz w:val="22"/>
                <w:szCs w:val="22"/>
                <w:u w:val="none"/>
              </w:rPr>
              <w:t>人员配置</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459DDE3">
            <w:pPr>
              <w:widowControl/>
              <w:spacing w:line="240" w:lineRule="auto"/>
              <w:ind w:firstLine="0" w:firstLineChars="0"/>
              <w:rPr>
                <w:rFonts w:hint="eastAsia" w:ascii="宋体" w:hAnsi="宋体" w:eastAsia="宋体" w:cs="宋体"/>
                <w:b w:val="0"/>
                <w:bCs w:val="0"/>
                <w:color w:val="auto"/>
                <w:sz w:val="22"/>
                <w:szCs w:val="22"/>
                <w:lang w:eastAsia="zh-CN"/>
              </w:rPr>
            </w:pPr>
            <w:r>
              <w:rPr>
                <w:rFonts w:hint="eastAsia" w:ascii="宋体" w:hAnsi="宋体" w:eastAsia="宋体" w:cs="宋体"/>
                <w:b w:val="0"/>
                <w:bCs w:val="0"/>
                <w:color w:val="auto"/>
                <w:sz w:val="22"/>
                <w:szCs w:val="22"/>
                <w:highlight w:val="none"/>
              </w:rPr>
              <w:t>项目</w:t>
            </w:r>
            <w:r>
              <w:rPr>
                <w:rFonts w:hint="eastAsia" w:ascii="宋体" w:hAnsi="宋体" w:eastAsia="宋体" w:cs="宋体"/>
                <w:b w:val="0"/>
                <w:bCs w:val="0"/>
                <w:color w:val="auto"/>
                <w:sz w:val="22"/>
                <w:szCs w:val="22"/>
                <w:highlight w:val="none"/>
                <w:lang w:eastAsia="zh-CN"/>
              </w:rPr>
              <w:t>组</w:t>
            </w:r>
            <w:r>
              <w:rPr>
                <w:rFonts w:hint="eastAsia" w:ascii="宋体" w:hAnsi="宋体" w:eastAsia="宋体" w:cs="宋体"/>
                <w:b w:val="0"/>
                <w:bCs w:val="0"/>
                <w:color w:val="auto"/>
                <w:sz w:val="22"/>
                <w:szCs w:val="22"/>
                <w:highlight w:val="none"/>
              </w:rPr>
              <w:t>人员配置</w:t>
            </w:r>
            <w:r>
              <w:rPr>
                <w:rFonts w:hint="eastAsia" w:ascii="宋体" w:hAnsi="宋体" w:eastAsia="宋体" w:cs="宋体"/>
                <w:b w:val="0"/>
                <w:bCs w:val="0"/>
                <w:color w:val="auto"/>
                <w:sz w:val="22"/>
                <w:szCs w:val="22"/>
                <w:highlight w:val="none"/>
                <w:lang w:eastAsia="zh-CN"/>
              </w:rPr>
              <w:t>是否</w:t>
            </w:r>
            <w:r>
              <w:rPr>
                <w:rFonts w:hint="eastAsia" w:ascii="宋体" w:hAnsi="宋体" w:eastAsia="宋体" w:cs="宋体"/>
                <w:b w:val="0"/>
                <w:bCs w:val="0"/>
                <w:color w:val="auto"/>
                <w:sz w:val="22"/>
                <w:szCs w:val="22"/>
                <w:highlight w:val="none"/>
              </w:rPr>
              <w:t>能满足项目实施要求，内容</w:t>
            </w:r>
            <w:r>
              <w:rPr>
                <w:rFonts w:hint="eastAsia" w:ascii="宋体" w:hAnsi="宋体" w:eastAsia="宋体" w:cs="宋体"/>
                <w:b w:val="0"/>
                <w:bCs w:val="0"/>
                <w:color w:val="auto"/>
                <w:sz w:val="22"/>
                <w:szCs w:val="22"/>
                <w:highlight w:val="none"/>
                <w:lang w:eastAsia="zh-CN"/>
              </w:rPr>
              <w:t>是否</w:t>
            </w:r>
            <w:r>
              <w:rPr>
                <w:rFonts w:hint="eastAsia" w:ascii="宋体" w:hAnsi="宋体" w:eastAsia="宋体" w:cs="宋体"/>
                <w:b w:val="0"/>
                <w:bCs w:val="0"/>
                <w:color w:val="auto"/>
                <w:sz w:val="22"/>
                <w:szCs w:val="22"/>
                <w:highlight w:val="none"/>
              </w:rPr>
              <w:t>合理</w:t>
            </w:r>
            <w:r>
              <w:rPr>
                <w:rFonts w:hint="eastAsia" w:ascii="宋体" w:hAnsi="宋体" w:eastAsia="宋体" w:cs="宋体"/>
                <w:b w:val="0"/>
                <w:bCs w:val="0"/>
                <w:color w:val="auto"/>
                <w:sz w:val="22"/>
                <w:szCs w:val="22"/>
                <w:highlight w:val="none"/>
                <w:lang w:eastAsia="zh-CN"/>
              </w:rPr>
              <w:t>进行评审：</w:t>
            </w:r>
            <w:r>
              <w:rPr>
                <w:rFonts w:hint="eastAsia" w:ascii="宋体" w:hAnsi="宋体" w:eastAsia="宋体" w:cs="宋体"/>
                <w:b w:val="0"/>
                <w:bCs w:val="0"/>
                <w:color w:val="auto"/>
                <w:sz w:val="22"/>
                <w:szCs w:val="22"/>
                <w:highlight w:val="none"/>
              </w:rPr>
              <w:t>分别给予0分，1.0分，2.0分，3.0分，4.0，5.0分。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B1570AB">
            <w:pPr>
              <w:spacing w:line="240" w:lineRule="auto"/>
              <w:jc w:val="center"/>
              <w:rPr>
                <w:rFonts w:hint="eastAsia"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highlight w:val="none"/>
              </w:rPr>
              <w:t>0</w:t>
            </w:r>
            <w:r>
              <w:rPr>
                <w:rFonts w:hint="eastAsia" w:ascii="宋体" w:hAnsi="宋体" w:eastAsia="宋体" w:cs="宋体"/>
                <w:b w:val="0"/>
                <w:bCs w:val="0"/>
                <w:color w:val="auto"/>
                <w:sz w:val="22"/>
                <w:szCs w:val="22"/>
                <w:highlight w:val="none"/>
                <w:shd w:val="clear" w:color="auto" w:fill="FFFFFF"/>
                <w:lang w:eastAsia="zh-CN"/>
              </w:rPr>
              <w:t>-</w:t>
            </w:r>
            <w:r>
              <w:rPr>
                <w:rFonts w:hint="eastAsia" w:ascii="宋体" w:hAnsi="宋体" w:eastAsia="宋体" w:cs="宋体"/>
                <w:b w:val="0"/>
                <w:bCs w:val="0"/>
                <w:color w:val="auto"/>
                <w:sz w:val="22"/>
                <w:szCs w:val="22"/>
                <w:highlight w:val="none"/>
                <w:lang w:val="en-US" w:eastAsia="zh-CN"/>
              </w:rPr>
              <w:t>5</w:t>
            </w:r>
          </w:p>
        </w:tc>
      </w:tr>
      <w:tr w14:paraId="0CC6D44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064" w:hRule="atLeast"/>
          <w:jc w:val="center"/>
        </w:trPr>
        <w:tc>
          <w:tcPr>
            <w:tcW w:w="705"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4E6F484">
            <w:pPr>
              <w:widowControl/>
              <w:spacing w:line="240" w:lineRule="auto"/>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5</w:t>
            </w:r>
          </w:p>
        </w:tc>
        <w:tc>
          <w:tcPr>
            <w:tcW w:w="1417"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72A8B26">
            <w:pPr>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u w:val="none"/>
                <w:lang w:val="en-US" w:eastAsia="zh-CN"/>
              </w:rPr>
              <w:t>项目</w:t>
            </w:r>
            <w:r>
              <w:rPr>
                <w:rFonts w:hint="eastAsia" w:ascii="宋体" w:hAnsi="宋体" w:eastAsia="宋体" w:cs="宋体"/>
                <w:b w:val="0"/>
                <w:bCs w:val="0"/>
                <w:color w:val="auto"/>
                <w:sz w:val="22"/>
                <w:szCs w:val="22"/>
                <w:u w:val="none"/>
                <w:lang w:eastAsia="zh-CN"/>
              </w:rPr>
              <w:t>设备</w:t>
            </w:r>
            <w:r>
              <w:rPr>
                <w:rFonts w:hint="eastAsia" w:ascii="宋体" w:hAnsi="宋体" w:eastAsia="宋体" w:cs="宋体"/>
                <w:b w:val="0"/>
                <w:bCs w:val="0"/>
                <w:color w:val="auto"/>
                <w:sz w:val="22"/>
                <w:szCs w:val="22"/>
                <w:u w:val="none"/>
              </w:rPr>
              <w:t>配置</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071F409">
            <w:pPr>
              <w:pStyle w:val="20"/>
              <w:tabs>
                <w:tab w:val="left" w:pos="208"/>
              </w:tabs>
              <w:spacing w:after="0"/>
              <w:ind w:left="0" w:leftChars="0" w:firstLine="0" w:firstLineChars="0"/>
              <w:rPr>
                <w:rFonts w:hint="eastAsia" w:ascii="宋体" w:hAnsi="宋体" w:eastAsia="宋体" w:cs="宋体"/>
                <w:b w:val="0"/>
                <w:bCs w:val="0"/>
                <w:color w:val="auto"/>
                <w:sz w:val="22"/>
                <w:szCs w:val="22"/>
                <w:u w:val="none"/>
                <w:lang w:val="en-US" w:eastAsia="zh-CN"/>
              </w:rPr>
            </w:pPr>
            <w:r>
              <w:rPr>
                <w:rFonts w:hint="eastAsia" w:ascii="宋体" w:hAnsi="宋体" w:eastAsia="宋体" w:cs="宋体"/>
                <w:b w:val="0"/>
                <w:bCs w:val="0"/>
                <w:color w:val="auto"/>
                <w:sz w:val="22"/>
                <w:szCs w:val="22"/>
                <w:u w:val="none"/>
                <w:lang w:val="en-US" w:eastAsia="zh-CN"/>
              </w:rPr>
              <w:t>投标人自有或租赁设备包含登高作业车（非加装）、电缆故障测试仪、地网接地电阻测试仪,每项得</w:t>
            </w:r>
            <w:r>
              <w:rPr>
                <w:rFonts w:hint="eastAsia" w:ascii="宋体" w:hAnsi="宋体" w:cs="宋体"/>
                <w:b w:val="0"/>
                <w:bCs w:val="0"/>
                <w:color w:val="auto"/>
                <w:sz w:val="22"/>
                <w:szCs w:val="22"/>
                <w:u w:val="none"/>
                <w:lang w:val="en-US" w:eastAsia="zh-CN"/>
              </w:rPr>
              <w:t>2</w:t>
            </w:r>
            <w:r>
              <w:rPr>
                <w:rFonts w:hint="eastAsia" w:ascii="宋体" w:hAnsi="宋体" w:eastAsia="宋体" w:cs="宋体"/>
                <w:b w:val="0"/>
                <w:bCs w:val="0"/>
                <w:color w:val="auto"/>
                <w:sz w:val="22"/>
                <w:szCs w:val="22"/>
                <w:u w:val="none"/>
                <w:lang w:val="en-US" w:eastAsia="zh-CN"/>
              </w:rPr>
              <w:t>分，最高得</w:t>
            </w:r>
            <w:r>
              <w:rPr>
                <w:rFonts w:hint="eastAsia" w:ascii="宋体" w:hAnsi="宋体" w:cs="宋体"/>
                <w:b w:val="0"/>
                <w:bCs w:val="0"/>
                <w:color w:val="auto"/>
                <w:sz w:val="22"/>
                <w:szCs w:val="22"/>
                <w:u w:val="none"/>
                <w:lang w:val="en-US" w:eastAsia="zh-CN"/>
              </w:rPr>
              <w:t>6</w:t>
            </w:r>
            <w:r>
              <w:rPr>
                <w:rFonts w:hint="eastAsia" w:ascii="宋体" w:hAnsi="宋体" w:eastAsia="宋体" w:cs="宋体"/>
                <w:b w:val="0"/>
                <w:bCs w:val="0"/>
                <w:color w:val="auto"/>
                <w:sz w:val="22"/>
                <w:szCs w:val="22"/>
                <w:u w:val="none"/>
                <w:lang w:val="en-US" w:eastAsia="zh-CN"/>
              </w:rPr>
              <w:t>分。</w:t>
            </w:r>
          </w:p>
          <w:p w14:paraId="21134232">
            <w:pPr>
              <w:pStyle w:val="20"/>
              <w:tabs>
                <w:tab w:val="left" w:pos="208"/>
              </w:tabs>
              <w:spacing w:after="0"/>
              <w:ind w:left="0" w:leftChars="0" w:firstLine="0" w:firstLineChars="0"/>
              <w:rPr>
                <w:rFonts w:hint="eastAsia" w:ascii="宋体" w:hAnsi="宋体" w:eastAsia="宋体" w:cs="宋体"/>
                <w:color w:val="auto"/>
                <w:sz w:val="22"/>
                <w:szCs w:val="22"/>
                <w:lang w:eastAsia="zh-CN"/>
              </w:rPr>
            </w:pPr>
            <w:r>
              <w:rPr>
                <w:rFonts w:hint="eastAsia" w:ascii="宋体" w:hAnsi="宋体" w:eastAsia="宋体" w:cs="宋体"/>
                <w:b w:val="0"/>
                <w:bCs w:val="0"/>
                <w:color w:val="auto"/>
                <w:sz w:val="22"/>
                <w:szCs w:val="22"/>
                <w:u w:val="none"/>
                <w:lang w:val="en-US" w:eastAsia="zh-CN"/>
              </w:rPr>
              <w:t>注：提供购买发票复印件或租赁合同复印件加盖有效公章。</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7FFAF76">
            <w:pPr>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lang w:val="en-US" w:eastAsia="zh-CN"/>
              </w:rPr>
              <w:t>0-</w:t>
            </w:r>
            <w:r>
              <w:rPr>
                <w:rFonts w:hint="eastAsia" w:ascii="宋体" w:hAnsi="宋体" w:cs="宋体"/>
                <w:b w:val="0"/>
                <w:bCs w:val="0"/>
                <w:color w:val="auto"/>
                <w:sz w:val="22"/>
                <w:szCs w:val="22"/>
                <w:lang w:val="en-US" w:eastAsia="zh-CN"/>
              </w:rPr>
              <w:t>6</w:t>
            </w:r>
          </w:p>
        </w:tc>
      </w:tr>
      <w:tr w14:paraId="425F675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6" w:hRule="atLeast"/>
          <w:jc w:val="center"/>
        </w:trPr>
        <w:tc>
          <w:tcPr>
            <w:tcW w:w="705"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A930D24">
            <w:pPr>
              <w:widowControl/>
              <w:spacing w:line="240" w:lineRule="auto"/>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6</w:t>
            </w:r>
          </w:p>
        </w:tc>
        <w:tc>
          <w:tcPr>
            <w:tcW w:w="1417"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6151FFB5">
            <w:pPr>
              <w:spacing w:line="240" w:lineRule="auto"/>
              <w:jc w:val="center"/>
              <w:rPr>
                <w:rFonts w:hint="eastAsia" w:ascii="宋体" w:hAnsi="宋体" w:eastAsia="宋体" w:cs="宋体"/>
                <w:b w:val="0"/>
                <w:bCs w:val="0"/>
                <w:color w:val="auto"/>
                <w:sz w:val="22"/>
                <w:szCs w:val="22"/>
                <w:u w:val="none"/>
                <w:lang w:eastAsia="zh-CN"/>
              </w:rPr>
            </w:pPr>
            <w:r>
              <w:rPr>
                <w:rFonts w:hint="eastAsia" w:ascii="宋体" w:hAnsi="宋体" w:eastAsia="宋体" w:cs="宋体"/>
                <w:b w:val="0"/>
                <w:bCs w:val="0"/>
                <w:color w:val="auto"/>
                <w:sz w:val="22"/>
                <w:szCs w:val="22"/>
                <w:u w:val="none"/>
              </w:rPr>
              <w:t>安全文明作业保障措施</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C513029">
            <w:pPr>
              <w:pStyle w:val="20"/>
              <w:tabs>
                <w:tab w:val="left" w:pos="208"/>
              </w:tabs>
              <w:spacing w:after="0"/>
              <w:ind w:left="0" w:leftChars="0" w:firstLine="0" w:firstLineChars="0"/>
              <w:rPr>
                <w:rFonts w:hint="eastAsia" w:ascii="宋体" w:hAnsi="宋体" w:eastAsia="宋体" w:cs="宋体"/>
                <w:color w:val="auto"/>
                <w:sz w:val="22"/>
                <w:szCs w:val="22"/>
                <w:lang w:eastAsia="zh-CN"/>
              </w:rPr>
            </w:pPr>
            <w:r>
              <w:rPr>
                <w:rFonts w:hint="eastAsia" w:ascii="宋体" w:hAnsi="宋体" w:eastAsia="宋体" w:cs="宋体"/>
                <w:color w:val="auto"/>
                <w:sz w:val="22"/>
                <w:szCs w:val="22"/>
                <w:highlight w:val="none"/>
                <w:lang w:eastAsia="zh-CN"/>
              </w:rPr>
              <w:t>根据供应商提供的</w:t>
            </w:r>
            <w:r>
              <w:rPr>
                <w:rFonts w:hint="eastAsia" w:ascii="宋体" w:hAnsi="宋体" w:eastAsia="宋体" w:cs="宋体"/>
                <w:b w:val="0"/>
                <w:bCs w:val="0"/>
                <w:color w:val="auto"/>
                <w:sz w:val="22"/>
                <w:szCs w:val="22"/>
                <w:u w:val="none"/>
              </w:rPr>
              <w:t>安全文明作业保障措施是否完备周全，是否具有可操作性等进行</w:t>
            </w:r>
            <w:r>
              <w:rPr>
                <w:rFonts w:hint="eastAsia" w:ascii="宋体" w:hAnsi="宋体" w:eastAsia="宋体" w:cs="宋体"/>
                <w:b w:val="0"/>
                <w:bCs w:val="0"/>
                <w:color w:val="auto"/>
                <w:sz w:val="22"/>
                <w:szCs w:val="22"/>
                <w:u w:val="none"/>
                <w:lang w:eastAsia="zh-CN"/>
              </w:rPr>
              <w:t>评审：</w:t>
            </w:r>
            <w:r>
              <w:rPr>
                <w:rFonts w:hint="eastAsia" w:ascii="宋体" w:hAnsi="宋体" w:eastAsia="宋体" w:cs="宋体"/>
                <w:b w:val="0"/>
                <w:bCs w:val="0"/>
                <w:color w:val="auto"/>
                <w:sz w:val="22"/>
                <w:szCs w:val="22"/>
                <w:highlight w:val="none"/>
              </w:rPr>
              <w:t>分别给予0分，1.0分，2.0分，3.0分，4.0，5.0分。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3084B26F">
            <w:pPr>
              <w:widowControl/>
              <w:spacing w:line="240" w:lineRule="auto"/>
              <w:jc w:val="center"/>
              <w:rPr>
                <w:rFonts w:hint="eastAsia"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0-5</w:t>
            </w:r>
          </w:p>
        </w:tc>
      </w:tr>
      <w:tr w14:paraId="72DF544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214" w:hRule="atLeast"/>
          <w:jc w:val="center"/>
        </w:trPr>
        <w:tc>
          <w:tcPr>
            <w:tcW w:w="705" w:type="dxa"/>
            <w:tcBorders>
              <w:top w:val="single" w:color="auto" w:sz="4" w:space="0"/>
            </w:tcBorders>
            <w:shd w:val="clear" w:color="auto" w:fill="FFFFFF"/>
            <w:noWrap w:val="0"/>
            <w:tcMar>
              <w:top w:w="0" w:type="dxa"/>
              <w:left w:w="108" w:type="dxa"/>
              <w:bottom w:w="0" w:type="dxa"/>
              <w:right w:w="108" w:type="dxa"/>
            </w:tcMar>
            <w:vAlign w:val="center"/>
          </w:tcPr>
          <w:p w14:paraId="48BE470F">
            <w:pPr>
              <w:widowControl/>
              <w:spacing w:line="240" w:lineRule="auto"/>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7</w:t>
            </w:r>
          </w:p>
        </w:tc>
        <w:tc>
          <w:tcPr>
            <w:tcW w:w="1417" w:type="dxa"/>
            <w:tcBorders>
              <w:top w:val="single" w:color="auto" w:sz="4" w:space="0"/>
            </w:tcBorders>
            <w:shd w:val="clear" w:color="auto" w:fill="FFFFFF"/>
            <w:noWrap w:val="0"/>
            <w:tcMar>
              <w:top w:w="0" w:type="dxa"/>
              <w:left w:w="108" w:type="dxa"/>
              <w:bottom w:w="0" w:type="dxa"/>
              <w:right w:w="108" w:type="dxa"/>
            </w:tcMar>
            <w:vAlign w:val="center"/>
          </w:tcPr>
          <w:p w14:paraId="51101DC0">
            <w:pPr>
              <w:widowControl/>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lang w:val="en-US" w:eastAsia="zh-CN"/>
              </w:rPr>
              <w:t>项目</w:t>
            </w:r>
            <w:r>
              <w:rPr>
                <w:rFonts w:hint="eastAsia" w:ascii="宋体" w:hAnsi="宋体" w:eastAsia="宋体" w:cs="宋体"/>
                <w:b w:val="0"/>
                <w:bCs w:val="0"/>
                <w:color w:val="auto"/>
                <w:sz w:val="22"/>
                <w:szCs w:val="22"/>
              </w:rPr>
              <w:t>质量</w:t>
            </w:r>
            <w:r>
              <w:rPr>
                <w:rFonts w:hint="eastAsia" w:ascii="宋体" w:hAnsi="宋体" w:eastAsia="宋体" w:cs="宋体"/>
                <w:b w:val="0"/>
                <w:bCs w:val="0"/>
                <w:color w:val="auto"/>
                <w:sz w:val="22"/>
                <w:szCs w:val="22"/>
                <w:lang w:eastAsia="zh-CN"/>
              </w:rPr>
              <w:t>保证</w:t>
            </w:r>
            <w:r>
              <w:rPr>
                <w:rFonts w:hint="eastAsia" w:ascii="宋体" w:hAnsi="宋体" w:eastAsia="宋体" w:cs="宋体"/>
                <w:b w:val="0"/>
                <w:bCs w:val="0"/>
                <w:color w:val="auto"/>
                <w:sz w:val="22"/>
                <w:szCs w:val="22"/>
              </w:rPr>
              <w:t>方案</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EEA0668">
            <w:pPr>
              <w:pStyle w:val="20"/>
              <w:tabs>
                <w:tab w:val="left" w:pos="208"/>
              </w:tabs>
              <w:spacing w:after="0"/>
              <w:ind w:left="0" w:leftChars="0" w:firstLine="0" w:firstLineChars="0"/>
              <w:rPr>
                <w:rFonts w:hint="eastAsia" w:ascii="宋体" w:hAnsi="宋体" w:eastAsia="宋体" w:cs="宋体"/>
                <w:color w:val="auto"/>
                <w:sz w:val="22"/>
                <w:szCs w:val="22"/>
                <w:lang w:eastAsia="zh-CN"/>
              </w:rPr>
            </w:pPr>
            <w:r>
              <w:rPr>
                <w:rFonts w:hint="eastAsia" w:ascii="宋体" w:hAnsi="宋体" w:eastAsia="宋体" w:cs="宋体"/>
                <w:b w:val="0"/>
                <w:bCs w:val="0"/>
                <w:color w:val="auto"/>
                <w:sz w:val="22"/>
                <w:szCs w:val="22"/>
                <w:lang w:val="en-US" w:eastAsia="zh-CN"/>
              </w:rPr>
              <w:t>投标人针对本项目质量保证措施是否完备周全，是否具有针对性等进行</w:t>
            </w:r>
            <w:r>
              <w:rPr>
                <w:rFonts w:hint="eastAsia" w:ascii="宋体" w:hAnsi="宋体" w:eastAsia="宋体" w:cs="宋体"/>
                <w:b w:val="0"/>
                <w:bCs w:val="0"/>
                <w:color w:val="auto"/>
                <w:sz w:val="22"/>
                <w:szCs w:val="22"/>
                <w:u w:val="none"/>
                <w:lang w:eastAsia="zh-CN"/>
              </w:rPr>
              <w:t>评审：</w:t>
            </w:r>
            <w:r>
              <w:rPr>
                <w:rFonts w:hint="eastAsia" w:ascii="宋体" w:hAnsi="宋体" w:eastAsia="宋体" w:cs="宋体"/>
                <w:b w:val="0"/>
                <w:bCs w:val="0"/>
                <w:color w:val="auto"/>
                <w:sz w:val="22"/>
                <w:szCs w:val="22"/>
                <w:highlight w:val="none"/>
              </w:rPr>
              <w:t>分别给予0分，1.0分，2.0分，3.0分，4.0，5.0分。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27F85BC">
            <w:pPr>
              <w:widowControl/>
              <w:spacing w:line="240" w:lineRule="auto"/>
              <w:jc w:val="center"/>
              <w:rPr>
                <w:rFonts w:hint="eastAsia" w:ascii="宋体" w:hAnsi="宋体" w:eastAsia="宋体" w:cs="宋体"/>
                <w:b w:val="0"/>
                <w:bCs w:val="0"/>
                <w:color w:val="auto"/>
                <w:sz w:val="22"/>
                <w:szCs w:val="22"/>
                <w:highlight w:val="none"/>
                <w:lang w:val="en-US"/>
              </w:rPr>
            </w:pPr>
            <w:r>
              <w:rPr>
                <w:rFonts w:hint="eastAsia" w:ascii="宋体" w:hAnsi="宋体" w:eastAsia="宋体" w:cs="宋体"/>
                <w:b w:val="0"/>
                <w:bCs w:val="0"/>
                <w:color w:val="auto"/>
                <w:sz w:val="22"/>
                <w:szCs w:val="22"/>
                <w:highlight w:val="none"/>
                <w:lang w:val="en-US" w:eastAsia="zh-CN"/>
              </w:rPr>
              <w:t>0-5</w:t>
            </w:r>
          </w:p>
        </w:tc>
      </w:tr>
      <w:tr w14:paraId="34B6FEE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1" w:hRule="atLeast"/>
          <w:jc w:val="center"/>
        </w:trPr>
        <w:tc>
          <w:tcPr>
            <w:tcW w:w="705"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B9BA19F">
            <w:pPr>
              <w:widowControl/>
              <w:spacing w:line="240" w:lineRule="auto"/>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8</w:t>
            </w:r>
          </w:p>
        </w:tc>
        <w:tc>
          <w:tcPr>
            <w:tcW w:w="1417"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402D45C">
            <w:pPr>
              <w:widowControl/>
              <w:spacing w:line="240" w:lineRule="auto"/>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u w:val="none"/>
                <w:lang w:eastAsia="zh-CN"/>
              </w:rPr>
              <w:t>应急保障措施</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9540799">
            <w:pPr>
              <w:pStyle w:val="20"/>
              <w:tabs>
                <w:tab w:val="left" w:pos="208"/>
              </w:tabs>
              <w:spacing w:after="0"/>
              <w:ind w:left="0" w:leftChars="0" w:firstLine="0" w:firstLineChars="0"/>
              <w:rPr>
                <w:rFonts w:hint="eastAsia" w:ascii="宋体" w:hAnsi="宋体" w:eastAsia="宋体" w:cs="宋体"/>
                <w:color w:val="auto"/>
                <w:sz w:val="22"/>
                <w:szCs w:val="22"/>
                <w:lang w:eastAsia="zh-CN"/>
              </w:rPr>
            </w:pPr>
            <w:r>
              <w:rPr>
                <w:rFonts w:hint="eastAsia" w:ascii="宋体" w:hAnsi="宋体" w:eastAsia="宋体" w:cs="宋体"/>
                <w:b w:val="0"/>
                <w:bCs w:val="0"/>
                <w:color w:val="auto"/>
                <w:sz w:val="22"/>
                <w:szCs w:val="22"/>
                <w:u w:val="none"/>
                <w:lang w:eastAsia="zh-CN"/>
              </w:rPr>
              <w:t>投标人针对本项目的突发应急事件（停电、设备故障应急处理等）的处理预案是否合理、及时有效等进行评审：</w:t>
            </w:r>
            <w:r>
              <w:rPr>
                <w:rFonts w:hint="eastAsia" w:ascii="宋体" w:hAnsi="宋体" w:eastAsia="宋体" w:cs="宋体"/>
                <w:b w:val="0"/>
                <w:bCs w:val="0"/>
                <w:color w:val="auto"/>
                <w:sz w:val="22"/>
                <w:szCs w:val="22"/>
                <w:highlight w:val="none"/>
              </w:rPr>
              <w:t>分别给予0分，1.0分，2.0分，3.0分，4.0，5.0分。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121588E4">
            <w:pPr>
              <w:widowControl/>
              <w:spacing w:line="24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lang w:val="en-US" w:eastAsia="zh-CN"/>
              </w:rPr>
              <w:t>0-5</w:t>
            </w:r>
          </w:p>
        </w:tc>
      </w:tr>
      <w:tr w14:paraId="0631A1F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1" w:hRule="atLeast"/>
          <w:jc w:val="center"/>
        </w:trPr>
        <w:tc>
          <w:tcPr>
            <w:tcW w:w="705"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67C91DEE">
            <w:pPr>
              <w:widowControl/>
              <w:spacing w:line="240" w:lineRule="auto"/>
              <w:jc w:val="center"/>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9</w:t>
            </w:r>
          </w:p>
        </w:tc>
        <w:tc>
          <w:tcPr>
            <w:tcW w:w="1417"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349D88BD">
            <w:pPr>
              <w:tabs>
                <w:tab w:val="left" w:pos="3850"/>
              </w:tabs>
              <w:spacing w:line="500" w:lineRule="exact"/>
              <w:jc w:val="center"/>
              <w:rPr>
                <w:rFonts w:hint="eastAsia" w:ascii="宋体" w:hAnsi="宋体" w:eastAsia="宋体" w:cs="宋体"/>
                <w:b w:val="0"/>
                <w:bCs w:val="0"/>
                <w:color w:val="auto"/>
                <w:sz w:val="22"/>
                <w:szCs w:val="22"/>
                <w:u w:val="none"/>
                <w:lang w:eastAsia="zh-CN"/>
              </w:rPr>
            </w:pPr>
            <w:r>
              <w:rPr>
                <w:rStyle w:val="106"/>
                <w:rFonts w:hint="eastAsia" w:hAnsi="宋体" w:cs="宋体"/>
                <w:color w:val="auto"/>
                <w:szCs w:val="21"/>
                <w:highlight w:val="none"/>
              </w:rPr>
              <w:t>合理化建议</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4063740">
            <w:pPr>
              <w:tabs>
                <w:tab w:val="left" w:pos="3850"/>
              </w:tabs>
              <w:spacing w:line="500" w:lineRule="exact"/>
              <w:jc w:val="both"/>
              <w:rPr>
                <w:rFonts w:hint="eastAsia" w:ascii="宋体" w:hAnsi="宋体" w:eastAsia="宋体" w:cs="宋体"/>
                <w:b w:val="0"/>
                <w:bCs w:val="0"/>
                <w:color w:val="auto"/>
                <w:sz w:val="22"/>
                <w:szCs w:val="22"/>
                <w:u w:val="none"/>
                <w:lang w:eastAsia="zh-CN"/>
              </w:rPr>
            </w:pPr>
            <w:r>
              <w:rPr>
                <w:rStyle w:val="106"/>
                <w:rFonts w:hint="eastAsia" w:hAnsi="宋体" w:cs="宋体"/>
                <w:color w:val="auto"/>
                <w:szCs w:val="21"/>
                <w:highlight w:val="none"/>
              </w:rPr>
              <w:t>投标人针对本项目的合理化建议或优惠措施有利于采购人项目实施的，或对系统运行、使用有明显提升作用</w:t>
            </w:r>
            <w:r>
              <w:rPr>
                <w:rStyle w:val="106"/>
                <w:rFonts w:hint="eastAsia" w:hAnsi="宋体" w:cs="宋体"/>
                <w:color w:val="auto"/>
                <w:szCs w:val="21"/>
                <w:highlight w:val="none"/>
                <w:lang w:eastAsia="zh-CN"/>
              </w:rPr>
              <w:t>进行评审：</w:t>
            </w:r>
            <w:r>
              <w:rPr>
                <w:rFonts w:hint="eastAsia" w:ascii="宋体" w:hAnsi="宋体" w:eastAsia="宋体" w:cs="宋体"/>
                <w:b w:val="0"/>
                <w:bCs w:val="0"/>
                <w:color w:val="auto"/>
                <w:sz w:val="22"/>
                <w:szCs w:val="22"/>
                <w:highlight w:val="none"/>
              </w:rPr>
              <w:t>分别给予0分，1.0分，2.0分，3.0分，4.0，5.0分。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E7EB586">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0-5</w:t>
            </w:r>
          </w:p>
        </w:tc>
      </w:tr>
      <w:tr w14:paraId="4CBA193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1" w:hRule="atLeast"/>
          <w:jc w:val="center"/>
        </w:trPr>
        <w:tc>
          <w:tcPr>
            <w:tcW w:w="705" w:type="dxa"/>
            <w:vMerge w:val="restart"/>
            <w:tcBorders>
              <w:top w:val="single" w:color="auto" w:sz="4" w:space="0"/>
            </w:tcBorders>
            <w:shd w:val="clear" w:color="auto" w:fill="FFFFFF"/>
            <w:noWrap w:val="0"/>
            <w:tcMar>
              <w:top w:w="0" w:type="dxa"/>
              <w:left w:w="108" w:type="dxa"/>
              <w:bottom w:w="0" w:type="dxa"/>
              <w:right w:w="108" w:type="dxa"/>
            </w:tcMar>
            <w:vAlign w:val="center"/>
          </w:tcPr>
          <w:p w14:paraId="3F5CDEAB">
            <w:pPr>
              <w:widowControl/>
              <w:spacing w:line="240" w:lineRule="auto"/>
              <w:jc w:val="center"/>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10</w:t>
            </w:r>
          </w:p>
        </w:tc>
        <w:tc>
          <w:tcPr>
            <w:tcW w:w="1417" w:type="dxa"/>
            <w:vMerge w:val="restart"/>
            <w:tcBorders>
              <w:top w:val="single" w:color="auto" w:sz="4" w:space="0"/>
            </w:tcBorders>
            <w:shd w:val="clear" w:color="auto" w:fill="FFFFFF"/>
            <w:noWrap w:val="0"/>
            <w:tcMar>
              <w:top w:w="0" w:type="dxa"/>
              <w:left w:w="108" w:type="dxa"/>
              <w:bottom w:w="0" w:type="dxa"/>
              <w:right w:w="108" w:type="dxa"/>
            </w:tcMar>
            <w:vAlign w:val="center"/>
          </w:tcPr>
          <w:p w14:paraId="736F5C55">
            <w:pPr>
              <w:spacing w:line="500" w:lineRule="exact"/>
              <w:jc w:val="center"/>
              <w:rPr>
                <w:rStyle w:val="106"/>
                <w:rFonts w:hint="eastAsia" w:hAnsi="宋体" w:cs="宋体"/>
                <w:color w:val="auto"/>
                <w:szCs w:val="21"/>
                <w:highlight w:val="none"/>
              </w:rPr>
            </w:pPr>
            <w:r>
              <w:rPr>
                <w:rFonts w:hint="eastAsia" w:hAnsi="宋体" w:cs="宋体"/>
                <w:color w:val="auto"/>
                <w:sz w:val="21"/>
                <w:szCs w:val="21"/>
                <w:highlight w:val="none"/>
              </w:rPr>
              <w:t>服务方案</w:t>
            </w: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409DC4E">
            <w:pPr>
              <w:spacing w:line="500" w:lineRule="exact"/>
              <w:rPr>
                <w:rFonts w:hAnsi="宋体" w:cs="宋体"/>
                <w:color w:val="auto"/>
                <w:szCs w:val="21"/>
                <w:highlight w:val="none"/>
              </w:rPr>
            </w:pPr>
            <w:r>
              <w:rPr>
                <w:rFonts w:hint="eastAsia" w:hAnsi="宋体" w:cs="宋体"/>
                <w:color w:val="auto"/>
                <w:szCs w:val="21"/>
                <w:highlight w:val="none"/>
              </w:rPr>
              <w:t>投标人或支持服务的称重软件厂家具有完善的售后服务体系，通过“CTEAS 售后服务体系完善程度认证”七星级及以上证书，且认证范围包含与本项目采购设备系统相关的得</w:t>
            </w:r>
            <w:r>
              <w:rPr>
                <w:rFonts w:hAnsi="宋体" w:cs="宋体"/>
                <w:color w:val="auto"/>
                <w:szCs w:val="21"/>
                <w:highlight w:val="none"/>
              </w:rPr>
              <w:t>3</w:t>
            </w:r>
            <w:r>
              <w:rPr>
                <w:rFonts w:hint="eastAsia" w:hAnsi="宋体" w:cs="宋体"/>
                <w:color w:val="auto"/>
                <w:szCs w:val="21"/>
                <w:highlight w:val="none"/>
              </w:rPr>
              <w:t>分。</w:t>
            </w:r>
          </w:p>
          <w:p w14:paraId="49DF6FBF">
            <w:pPr>
              <w:spacing w:line="500" w:lineRule="exact"/>
              <w:rPr>
                <w:rFonts w:hint="eastAsia" w:hAnsi="宋体" w:cs="宋体"/>
                <w:color w:val="auto"/>
                <w:szCs w:val="21"/>
                <w:highlight w:val="none"/>
              </w:rPr>
            </w:pPr>
            <w:r>
              <w:rPr>
                <w:rFonts w:hint="eastAsia" w:hAnsi="宋体" w:cs="宋体"/>
                <w:color w:val="auto"/>
                <w:szCs w:val="21"/>
                <w:highlight w:val="none"/>
              </w:rPr>
              <w:t>投标人或支持服务的称重软件厂家具有成熟的售后服务能力，获得全国商品售后服务评价达标认证评审委员会颁发的八星级及以上</w:t>
            </w:r>
            <w:r>
              <w:rPr>
                <w:rFonts w:hAnsi="宋体" w:cs="宋体"/>
                <w:color w:val="auto"/>
                <w:szCs w:val="21"/>
                <w:highlight w:val="none"/>
              </w:rPr>
              <w:t xml:space="preserve"> CTEAS </w:t>
            </w:r>
            <w:r>
              <w:rPr>
                <w:rFonts w:hint="eastAsia" w:hAnsi="宋体" w:cs="宋体"/>
                <w:color w:val="auto"/>
                <w:szCs w:val="21"/>
                <w:highlight w:val="none"/>
              </w:rPr>
              <w:t>售后服务成熟度认证证书，且认证范围包含与本项目采购设备系统相关的得</w:t>
            </w:r>
            <w:r>
              <w:rPr>
                <w:rFonts w:hAnsi="宋体" w:cs="宋体"/>
                <w:color w:val="auto"/>
                <w:szCs w:val="21"/>
                <w:highlight w:val="none"/>
              </w:rPr>
              <w:t>3</w:t>
            </w:r>
            <w:r>
              <w:rPr>
                <w:rFonts w:hint="eastAsia" w:hAnsi="宋体" w:cs="宋体"/>
                <w:color w:val="auto"/>
                <w:szCs w:val="21"/>
                <w:highlight w:val="none"/>
              </w:rPr>
              <w:t>分。</w:t>
            </w:r>
          </w:p>
          <w:p w14:paraId="7A243C68">
            <w:pPr>
              <w:spacing w:line="500" w:lineRule="exact"/>
              <w:rPr>
                <w:rFonts w:hint="eastAsia" w:hAnsi="宋体" w:cs="宋体"/>
                <w:color w:val="auto"/>
                <w:sz w:val="21"/>
                <w:szCs w:val="21"/>
                <w:highlight w:val="none"/>
              </w:rPr>
            </w:pPr>
            <w:r>
              <w:rPr>
                <w:rFonts w:hint="eastAsia" w:hAnsi="宋体" w:cs="宋体"/>
                <w:szCs w:val="21"/>
              </w:rPr>
              <w:t>注：响应文件中提供证书复印件，同时需提供该证书在中国国家认证认可监督管理委员会网站http://www.cnca.gov.cn/上查询的页面截图，材料不提供或提供不全或无法认定的，本项不得分。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06023697">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w:t>
            </w:r>
            <w:r>
              <w:rPr>
                <w:rFonts w:hint="eastAsia" w:ascii="宋体" w:hAnsi="宋体" w:cs="宋体"/>
                <w:b w:val="0"/>
                <w:bCs w:val="0"/>
                <w:color w:val="auto"/>
                <w:sz w:val="22"/>
                <w:szCs w:val="22"/>
                <w:lang w:val="en-US" w:eastAsia="zh-CN"/>
              </w:rPr>
              <w:t>6</w:t>
            </w:r>
          </w:p>
        </w:tc>
      </w:tr>
      <w:tr w14:paraId="1BF7FEC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599" w:hRule="atLeast"/>
          <w:jc w:val="center"/>
        </w:trPr>
        <w:tc>
          <w:tcPr>
            <w:tcW w:w="705" w:type="dxa"/>
            <w:vMerge w:val="continue"/>
            <w:tcBorders>
              <w:bottom w:val="single" w:color="auto" w:sz="4" w:space="0"/>
            </w:tcBorders>
            <w:shd w:val="clear" w:color="auto" w:fill="FFFFFF"/>
            <w:noWrap w:val="0"/>
            <w:tcMar>
              <w:top w:w="0" w:type="dxa"/>
              <w:left w:w="108" w:type="dxa"/>
              <w:bottom w:w="0" w:type="dxa"/>
              <w:right w:w="108" w:type="dxa"/>
            </w:tcMar>
            <w:vAlign w:val="center"/>
          </w:tcPr>
          <w:p w14:paraId="5592E656">
            <w:pPr>
              <w:widowControl/>
              <w:spacing w:line="240" w:lineRule="auto"/>
              <w:jc w:val="center"/>
              <w:rPr>
                <w:rFonts w:hint="default" w:ascii="宋体" w:hAnsi="宋体" w:eastAsia="宋体" w:cs="宋体"/>
                <w:b w:val="0"/>
                <w:bCs w:val="0"/>
                <w:color w:val="auto"/>
                <w:sz w:val="22"/>
                <w:szCs w:val="22"/>
                <w:highlight w:val="none"/>
                <w:lang w:val="en-US" w:eastAsia="zh-CN"/>
              </w:rPr>
            </w:pPr>
          </w:p>
        </w:tc>
        <w:tc>
          <w:tcPr>
            <w:tcW w:w="1417" w:type="dxa"/>
            <w:vMerge w:val="continue"/>
            <w:tcBorders>
              <w:bottom w:val="single" w:color="auto" w:sz="4" w:space="0"/>
            </w:tcBorders>
            <w:shd w:val="clear" w:color="auto" w:fill="FFFFFF"/>
            <w:noWrap w:val="0"/>
            <w:tcMar>
              <w:top w:w="0" w:type="dxa"/>
              <w:left w:w="108" w:type="dxa"/>
              <w:bottom w:w="0" w:type="dxa"/>
              <w:right w:w="108" w:type="dxa"/>
            </w:tcMar>
            <w:vAlign w:val="center"/>
          </w:tcPr>
          <w:p w14:paraId="68ADF6FB">
            <w:pPr>
              <w:spacing w:line="500" w:lineRule="exact"/>
              <w:jc w:val="center"/>
              <w:rPr>
                <w:rStyle w:val="106"/>
                <w:rFonts w:hint="eastAsia" w:hAnsi="宋体" w:cs="宋体"/>
                <w:color w:val="auto"/>
                <w:szCs w:val="21"/>
                <w:highlight w:val="none"/>
              </w:rPr>
            </w:pP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0CA7E73">
            <w:pPr>
              <w:spacing w:line="500" w:lineRule="exact"/>
              <w:rPr>
                <w:rStyle w:val="106"/>
                <w:rFonts w:hint="eastAsia" w:hAnsi="宋体" w:eastAsia="宋体" w:cs="宋体"/>
                <w:color w:val="auto"/>
                <w:szCs w:val="21"/>
                <w:highlight w:val="none"/>
                <w:lang w:eastAsia="zh-CN"/>
              </w:rPr>
            </w:pPr>
            <w:r>
              <w:rPr>
                <w:rFonts w:hint="eastAsia" w:hAnsi="宋体" w:cs="宋体"/>
                <w:color w:val="auto"/>
                <w:sz w:val="21"/>
                <w:szCs w:val="21"/>
                <w:highlight w:val="none"/>
              </w:rPr>
              <w:t>根据投标单位故障响应时间：投标人承诺收到采购单位故障维修后1小时内到达现场响应得</w:t>
            </w:r>
            <w:r>
              <w:rPr>
                <w:rFonts w:hint="eastAsia" w:hAnsi="宋体" w:cs="宋体"/>
                <w:color w:val="auto"/>
                <w:sz w:val="21"/>
                <w:szCs w:val="21"/>
                <w:highlight w:val="none"/>
                <w:lang w:val="en-US" w:eastAsia="zh-CN"/>
              </w:rPr>
              <w:t>5</w:t>
            </w:r>
            <w:r>
              <w:rPr>
                <w:rFonts w:hint="eastAsia" w:hAnsi="宋体" w:cs="宋体"/>
                <w:color w:val="auto"/>
                <w:sz w:val="21"/>
                <w:szCs w:val="21"/>
                <w:highlight w:val="none"/>
              </w:rPr>
              <w:t>分；2小时内到达现场响应得</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分，当天内到达得1分；其余不得分。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2639B0F0">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w:t>
            </w:r>
            <w:r>
              <w:rPr>
                <w:rFonts w:hint="eastAsia" w:ascii="宋体" w:hAnsi="宋体" w:cs="宋体"/>
                <w:b w:val="0"/>
                <w:bCs w:val="0"/>
                <w:color w:val="auto"/>
                <w:sz w:val="22"/>
                <w:szCs w:val="22"/>
                <w:lang w:val="en-US" w:eastAsia="zh-CN"/>
              </w:rPr>
              <w:t>5</w:t>
            </w:r>
          </w:p>
        </w:tc>
      </w:tr>
      <w:tr w14:paraId="69AFC59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411" w:hRule="atLeast"/>
          <w:jc w:val="center"/>
        </w:trPr>
        <w:tc>
          <w:tcPr>
            <w:tcW w:w="705" w:type="dxa"/>
            <w:vMerge w:val="continue"/>
            <w:tcBorders>
              <w:bottom w:val="single" w:color="auto" w:sz="4" w:space="0"/>
            </w:tcBorders>
            <w:shd w:val="clear" w:color="auto" w:fill="FFFFFF"/>
            <w:noWrap w:val="0"/>
            <w:tcMar>
              <w:top w:w="0" w:type="dxa"/>
              <w:left w:w="108" w:type="dxa"/>
              <w:bottom w:w="0" w:type="dxa"/>
              <w:right w:w="108" w:type="dxa"/>
            </w:tcMar>
            <w:vAlign w:val="center"/>
          </w:tcPr>
          <w:p w14:paraId="6EE9FA52">
            <w:pPr>
              <w:widowControl/>
              <w:spacing w:line="240" w:lineRule="auto"/>
              <w:jc w:val="center"/>
              <w:rPr>
                <w:rFonts w:hint="default" w:ascii="宋体" w:hAnsi="宋体" w:eastAsia="宋体" w:cs="宋体"/>
                <w:b w:val="0"/>
                <w:bCs w:val="0"/>
                <w:color w:val="auto"/>
                <w:sz w:val="22"/>
                <w:szCs w:val="22"/>
                <w:highlight w:val="none"/>
                <w:lang w:val="en-US" w:eastAsia="zh-CN"/>
              </w:rPr>
            </w:pPr>
          </w:p>
        </w:tc>
        <w:tc>
          <w:tcPr>
            <w:tcW w:w="1417" w:type="dxa"/>
            <w:vMerge w:val="continue"/>
            <w:tcBorders>
              <w:bottom w:val="single" w:color="auto" w:sz="4" w:space="0"/>
            </w:tcBorders>
            <w:shd w:val="clear" w:color="auto" w:fill="FFFFFF"/>
            <w:noWrap w:val="0"/>
            <w:tcMar>
              <w:top w:w="0" w:type="dxa"/>
              <w:left w:w="108" w:type="dxa"/>
              <w:bottom w:w="0" w:type="dxa"/>
              <w:right w:w="108" w:type="dxa"/>
            </w:tcMar>
            <w:vAlign w:val="center"/>
          </w:tcPr>
          <w:p w14:paraId="63021746">
            <w:pPr>
              <w:spacing w:line="500" w:lineRule="exact"/>
              <w:jc w:val="center"/>
              <w:rPr>
                <w:rStyle w:val="106"/>
                <w:rFonts w:hint="eastAsia" w:hAnsi="宋体" w:cs="宋体"/>
                <w:color w:val="auto"/>
                <w:szCs w:val="21"/>
                <w:highlight w:val="none"/>
              </w:rPr>
            </w:pPr>
          </w:p>
        </w:tc>
        <w:tc>
          <w:tcPr>
            <w:tcW w:w="635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5104A118">
            <w:pPr>
              <w:spacing w:line="500" w:lineRule="exact"/>
              <w:rPr>
                <w:rFonts w:hint="eastAsia" w:hAnsi="宋体" w:eastAsia="宋体" w:cs="宋体"/>
                <w:color w:val="auto"/>
                <w:sz w:val="21"/>
                <w:szCs w:val="21"/>
                <w:highlight w:val="none"/>
                <w:lang w:eastAsia="zh-CN"/>
              </w:rPr>
            </w:pPr>
            <w:r>
              <w:rPr>
                <w:rFonts w:hint="eastAsia" w:hAnsi="宋体" w:cs="宋体"/>
                <w:color w:val="auto"/>
                <w:sz w:val="21"/>
                <w:szCs w:val="21"/>
                <w:highlight w:val="none"/>
              </w:rPr>
              <w:t>售后服务备品备件及专用工具的齐全性、培训方案</w:t>
            </w:r>
            <w:r>
              <w:rPr>
                <w:rFonts w:hint="eastAsia" w:hAnsi="宋体" w:cs="宋体"/>
                <w:color w:val="auto"/>
                <w:sz w:val="21"/>
                <w:szCs w:val="21"/>
                <w:highlight w:val="none"/>
                <w:lang w:eastAsia="zh-CN"/>
              </w:rPr>
              <w:t>进行评审：</w:t>
            </w:r>
            <w:r>
              <w:rPr>
                <w:rFonts w:hint="eastAsia" w:ascii="宋体" w:hAnsi="宋体" w:eastAsia="宋体" w:cs="宋体"/>
                <w:b w:val="0"/>
                <w:bCs w:val="0"/>
                <w:color w:val="auto"/>
                <w:sz w:val="22"/>
                <w:szCs w:val="22"/>
                <w:highlight w:val="none"/>
              </w:rPr>
              <w:t>分别给予0分，1.0分，2.0分，3.0分，4.0</w:t>
            </w:r>
            <w:r>
              <w:rPr>
                <w:rFonts w:hint="eastAsia" w:ascii="宋体" w:hAnsi="宋体" w:cs="宋体"/>
                <w:b w:val="0"/>
                <w:bCs w:val="0"/>
                <w:color w:val="auto"/>
                <w:sz w:val="22"/>
                <w:szCs w:val="22"/>
                <w:highlight w:val="none"/>
                <w:lang w:eastAsia="zh-CN"/>
              </w:rPr>
              <w:t>分</w:t>
            </w:r>
            <w:r>
              <w:rPr>
                <w:rFonts w:hint="eastAsia" w:ascii="宋体" w:hAnsi="宋体" w:eastAsia="宋体" w:cs="宋体"/>
                <w:b w:val="0"/>
                <w:bCs w:val="0"/>
                <w:color w:val="auto"/>
                <w:sz w:val="22"/>
                <w:szCs w:val="22"/>
                <w:highlight w:val="none"/>
              </w:rPr>
              <w:t>，5.0分。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36475AB2">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0-5</w:t>
            </w:r>
          </w:p>
        </w:tc>
      </w:tr>
      <w:tr w14:paraId="35179AE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1" w:hRule="atLeast"/>
          <w:jc w:val="center"/>
        </w:trPr>
        <w:tc>
          <w:tcPr>
            <w:tcW w:w="705" w:type="dxa"/>
            <w:vMerge w:val="restart"/>
            <w:tcBorders>
              <w:top w:val="single" w:color="auto" w:sz="4" w:space="0"/>
            </w:tcBorders>
            <w:shd w:val="clear" w:color="auto" w:fill="FFFFFF"/>
            <w:noWrap w:val="0"/>
            <w:tcMar>
              <w:top w:w="0" w:type="dxa"/>
              <w:left w:w="108" w:type="dxa"/>
              <w:bottom w:w="0" w:type="dxa"/>
              <w:right w:w="108" w:type="dxa"/>
            </w:tcMar>
            <w:vAlign w:val="center"/>
          </w:tcPr>
          <w:p w14:paraId="75F6FB9A">
            <w:pPr>
              <w:widowControl/>
              <w:spacing w:line="240" w:lineRule="auto"/>
              <w:jc w:val="center"/>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11</w:t>
            </w:r>
          </w:p>
        </w:tc>
        <w:tc>
          <w:tcPr>
            <w:tcW w:w="1417" w:type="dxa"/>
            <w:vMerge w:val="restart"/>
            <w:tcBorders>
              <w:top w:val="single" w:color="auto" w:sz="4" w:space="0"/>
            </w:tcBorders>
            <w:shd w:val="clear" w:color="auto" w:fill="FFFFFF"/>
            <w:noWrap w:val="0"/>
            <w:tcMar>
              <w:top w:w="0" w:type="dxa"/>
              <w:left w:w="108" w:type="dxa"/>
              <w:bottom w:w="0" w:type="dxa"/>
              <w:right w:w="108" w:type="dxa"/>
            </w:tcMar>
            <w:vAlign w:val="center"/>
          </w:tcPr>
          <w:p w14:paraId="614062D4">
            <w:pPr>
              <w:spacing w:line="500" w:lineRule="exact"/>
              <w:jc w:val="center"/>
              <w:rPr>
                <w:rFonts w:hint="eastAsia" w:hAnsi="宋体" w:cs="宋体"/>
                <w:color w:val="auto"/>
                <w:sz w:val="21"/>
                <w:szCs w:val="21"/>
                <w:highlight w:val="none"/>
                <w:lang w:eastAsia="zh-CN"/>
              </w:rPr>
            </w:pPr>
            <w:r>
              <w:rPr>
                <w:rFonts w:hint="eastAsia" w:ascii="Times New Roman" w:hAnsi="宋体" w:eastAsia="宋体" w:cs="宋体"/>
                <w:color w:val="auto"/>
                <w:sz w:val="21"/>
                <w:szCs w:val="21"/>
                <w:highlight w:val="none"/>
                <w:lang w:val="en-US" w:eastAsia="zh-CN"/>
              </w:rPr>
              <w:t>公路治超非现场执法系统软件维护能力</w:t>
            </w:r>
          </w:p>
        </w:tc>
        <w:tc>
          <w:tcPr>
            <w:tcW w:w="6353" w:type="dxa"/>
            <w:tcBorders>
              <w:top w:val="single" w:color="auto" w:sz="4" w:space="0"/>
              <w:bottom w:val="single" w:color="auto" w:sz="4" w:space="0"/>
            </w:tcBorders>
            <w:shd w:val="clear" w:color="auto" w:fill="auto"/>
            <w:noWrap w:val="0"/>
            <w:tcMar>
              <w:top w:w="0" w:type="dxa"/>
              <w:left w:w="108" w:type="dxa"/>
              <w:bottom w:w="0" w:type="dxa"/>
              <w:right w:w="108" w:type="dxa"/>
            </w:tcMar>
            <w:vAlign w:val="center"/>
          </w:tcPr>
          <w:p w14:paraId="62979525">
            <w:pPr>
              <w:spacing w:line="500" w:lineRule="exact"/>
              <w:rPr>
                <w:rFonts w:hAnsi="宋体" w:cs="宋体"/>
                <w:szCs w:val="21"/>
                <w:highlight w:val="none"/>
              </w:rPr>
            </w:pPr>
            <w:r>
              <w:rPr>
                <w:rFonts w:hint="eastAsia" w:hAnsi="宋体" w:cs="宋体"/>
                <w:szCs w:val="21"/>
                <w:highlight w:val="none"/>
              </w:rPr>
              <w:t>（1）投标人或支持服务的称重软件厂家具有车辆动态称重系统自动标定软件著作权或其他同类证书的得</w:t>
            </w:r>
            <w:r>
              <w:rPr>
                <w:rFonts w:hAnsi="宋体" w:cs="宋体"/>
                <w:szCs w:val="21"/>
                <w:highlight w:val="none"/>
              </w:rPr>
              <w:t>3</w:t>
            </w:r>
            <w:r>
              <w:rPr>
                <w:rFonts w:hint="eastAsia" w:hAnsi="宋体" w:cs="宋体"/>
                <w:szCs w:val="21"/>
                <w:highlight w:val="none"/>
              </w:rPr>
              <w:t>分。</w:t>
            </w:r>
          </w:p>
          <w:p w14:paraId="340C6C2D">
            <w:pPr>
              <w:spacing w:line="500" w:lineRule="exact"/>
              <w:jc w:val="left"/>
              <w:rPr>
                <w:rFonts w:hint="eastAsia"/>
                <w:color w:val="auto"/>
                <w:highlight w:val="none"/>
                <w:lang w:val="en-US" w:eastAsia="zh-CN"/>
              </w:rPr>
            </w:pPr>
            <w:r>
              <w:rPr>
                <w:rFonts w:hint="eastAsia" w:hAnsi="宋体" w:cs="宋体"/>
                <w:szCs w:val="21"/>
                <w:highlight w:val="none"/>
              </w:rPr>
              <w:t>注：需提供相关软件的《计算机软件著作权登记证书》的复印件作为证明材料，未提供不得分。</w:t>
            </w:r>
          </w:p>
        </w:tc>
        <w:tc>
          <w:tcPr>
            <w:tcW w:w="823" w:type="dxa"/>
            <w:tcBorders>
              <w:top w:val="single" w:color="auto" w:sz="4" w:space="0"/>
              <w:bottom w:val="single" w:color="auto" w:sz="4" w:space="0"/>
            </w:tcBorders>
            <w:shd w:val="clear" w:color="auto" w:fill="FFFFFF"/>
            <w:noWrap w:val="0"/>
            <w:tcMar>
              <w:top w:w="0" w:type="dxa"/>
              <w:left w:w="108" w:type="dxa"/>
              <w:bottom w:w="0" w:type="dxa"/>
              <w:right w:w="108" w:type="dxa"/>
            </w:tcMar>
            <w:vAlign w:val="center"/>
          </w:tcPr>
          <w:p w14:paraId="7339ACE8">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w:t>
            </w:r>
            <w:r>
              <w:rPr>
                <w:rFonts w:hint="eastAsia" w:ascii="宋体" w:hAnsi="宋体" w:cs="宋体"/>
                <w:b w:val="0"/>
                <w:bCs w:val="0"/>
                <w:color w:val="auto"/>
                <w:sz w:val="22"/>
                <w:szCs w:val="22"/>
                <w:lang w:val="en-US" w:eastAsia="zh-CN"/>
              </w:rPr>
              <w:t>3</w:t>
            </w:r>
          </w:p>
        </w:tc>
      </w:tr>
      <w:tr w14:paraId="6873399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05" w:type="dxa"/>
            <w:vMerge w:val="continue"/>
          </w:tcPr>
          <w:p w14:paraId="6486DAF9">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tcPr>
          <w:p w14:paraId="42931116">
            <w:pPr>
              <w:spacing w:line="500" w:lineRule="exact"/>
              <w:jc w:val="center"/>
              <w:rPr>
                <w:rFonts w:hint="eastAsia" w:hAnsi="宋体" w:cs="宋体"/>
                <w:color w:val="auto"/>
                <w:sz w:val="21"/>
                <w:szCs w:val="21"/>
                <w:highlight w:val="none"/>
                <w:lang w:eastAsia="zh-CN"/>
              </w:rPr>
            </w:pPr>
          </w:p>
        </w:tc>
        <w:tc>
          <w:tcPr>
            <w:tcW w:w="6353" w:type="dxa"/>
            <w:shd w:val="clear" w:color="auto" w:fill="auto"/>
            <w:vAlign w:val="center"/>
          </w:tcPr>
          <w:p w14:paraId="258BF353">
            <w:pPr>
              <w:spacing w:line="500" w:lineRule="exact"/>
              <w:rPr>
                <w:rFonts w:hAnsi="宋体" w:cs="宋体"/>
                <w:szCs w:val="21"/>
                <w:highlight w:val="none"/>
              </w:rPr>
            </w:pPr>
            <w:r>
              <w:rPr>
                <w:rFonts w:hint="eastAsia" w:hAnsi="宋体" w:cs="宋体"/>
                <w:szCs w:val="21"/>
                <w:highlight w:val="none"/>
              </w:rPr>
              <w:t>（2）投标人或支持服务的称重软件厂家具有公路治超设备状态监控系统软件著作权或其他同类证书的得</w:t>
            </w:r>
            <w:r>
              <w:rPr>
                <w:rFonts w:hAnsi="宋体" w:cs="宋体"/>
                <w:szCs w:val="21"/>
                <w:highlight w:val="none"/>
              </w:rPr>
              <w:t>3</w:t>
            </w:r>
            <w:r>
              <w:rPr>
                <w:rFonts w:hint="eastAsia" w:hAnsi="宋体" w:cs="宋体"/>
                <w:szCs w:val="21"/>
                <w:highlight w:val="none"/>
              </w:rPr>
              <w:t>分。</w:t>
            </w:r>
          </w:p>
          <w:p w14:paraId="2239E8D2">
            <w:pPr>
              <w:spacing w:line="500" w:lineRule="exact"/>
              <w:rPr>
                <w:rFonts w:hint="eastAsia"/>
                <w:color w:val="auto"/>
                <w:highlight w:val="none"/>
                <w:lang w:val="en-US" w:eastAsia="zh-CN"/>
              </w:rPr>
            </w:pPr>
            <w:r>
              <w:rPr>
                <w:rFonts w:hint="eastAsia" w:hAnsi="宋体" w:cs="宋体"/>
                <w:szCs w:val="21"/>
                <w:highlight w:val="none"/>
              </w:rPr>
              <w:t>注：需提供相关软件的《计算机软件著作权登记证书》的复印件作为证明材料，未提供不得分。</w:t>
            </w:r>
          </w:p>
        </w:tc>
        <w:tc>
          <w:tcPr>
            <w:tcW w:w="823" w:type="dxa"/>
            <w:vAlign w:val="center"/>
          </w:tcPr>
          <w:p w14:paraId="0793F0AC">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w:t>
            </w:r>
            <w:r>
              <w:rPr>
                <w:rFonts w:hint="eastAsia" w:ascii="宋体" w:hAnsi="宋体" w:cs="宋体"/>
                <w:b w:val="0"/>
                <w:bCs w:val="0"/>
                <w:color w:val="auto"/>
                <w:sz w:val="22"/>
                <w:szCs w:val="22"/>
                <w:lang w:val="en-US" w:eastAsia="zh-CN"/>
              </w:rPr>
              <w:t>3</w:t>
            </w:r>
          </w:p>
        </w:tc>
      </w:tr>
      <w:tr w14:paraId="7F57512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1" w:hRule="atLeast"/>
          <w:jc w:val="center"/>
        </w:trPr>
        <w:tc>
          <w:tcPr>
            <w:tcW w:w="705" w:type="dxa"/>
            <w:vMerge w:val="continue"/>
          </w:tcPr>
          <w:p w14:paraId="4FCB2420">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tcPr>
          <w:p w14:paraId="155238B4">
            <w:pPr>
              <w:spacing w:line="500" w:lineRule="exact"/>
              <w:jc w:val="center"/>
              <w:rPr>
                <w:rFonts w:hint="eastAsia" w:hAnsi="宋体" w:cs="宋体"/>
                <w:color w:val="auto"/>
                <w:sz w:val="21"/>
                <w:szCs w:val="21"/>
                <w:highlight w:val="none"/>
                <w:lang w:eastAsia="zh-CN"/>
              </w:rPr>
            </w:pPr>
          </w:p>
        </w:tc>
        <w:tc>
          <w:tcPr>
            <w:tcW w:w="6353" w:type="dxa"/>
            <w:shd w:val="clear" w:color="auto" w:fill="auto"/>
            <w:vAlign w:val="center"/>
          </w:tcPr>
          <w:p w14:paraId="1B0F6A5C">
            <w:pPr>
              <w:spacing w:line="500" w:lineRule="exact"/>
              <w:rPr>
                <w:rFonts w:hAnsi="宋体" w:cs="宋体"/>
                <w:szCs w:val="21"/>
                <w:highlight w:val="none"/>
              </w:rPr>
            </w:pPr>
            <w:r>
              <w:rPr>
                <w:rFonts w:hint="eastAsia" w:hAnsi="宋体" w:cs="宋体"/>
                <w:szCs w:val="21"/>
                <w:highlight w:val="none"/>
              </w:rPr>
              <w:t>（3）投标人或支持服务的称重软件厂家具有站点运行情况报告生成系统、证据链完整性分析系统软件著作权或其他同类证书的得</w:t>
            </w:r>
            <w:r>
              <w:rPr>
                <w:rFonts w:hAnsi="宋体" w:cs="宋体"/>
                <w:szCs w:val="21"/>
                <w:highlight w:val="none"/>
              </w:rPr>
              <w:t>3</w:t>
            </w:r>
            <w:r>
              <w:rPr>
                <w:rFonts w:hint="eastAsia" w:hAnsi="宋体" w:cs="宋体"/>
                <w:szCs w:val="21"/>
                <w:highlight w:val="none"/>
              </w:rPr>
              <w:t>分。</w:t>
            </w:r>
          </w:p>
          <w:p w14:paraId="5D0AC198">
            <w:pPr>
              <w:spacing w:line="500" w:lineRule="exact"/>
              <w:rPr>
                <w:rFonts w:hint="eastAsia" w:ascii="Times New Roman" w:hAnsi="宋体" w:eastAsia="宋体" w:cs="宋体"/>
                <w:color w:val="auto"/>
                <w:sz w:val="21"/>
                <w:szCs w:val="21"/>
                <w:highlight w:val="none"/>
                <w:lang w:val="en-US" w:eastAsia="zh-CN"/>
              </w:rPr>
            </w:pPr>
            <w:r>
              <w:rPr>
                <w:rFonts w:hint="eastAsia" w:hAnsi="宋体" w:cs="宋体"/>
                <w:szCs w:val="21"/>
                <w:highlight w:val="none"/>
              </w:rPr>
              <w:t>注：需提供相关软件的《计算机软件著作权登记证书》的复印件作为证明材料，未提供不得分。</w:t>
            </w:r>
          </w:p>
        </w:tc>
        <w:tc>
          <w:tcPr>
            <w:tcW w:w="823" w:type="dxa"/>
            <w:vAlign w:val="center"/>
          </w:tcPr>
          <w:p w14:paraId="0FB99318">
            <w:pPr>
              <w:widowControl/>
              <w:spacing w:line="240" w:lineRule="auto"/>
              <w:jc w:val="center"/>
              <w:rPr>
                <w:rFonts w:hint="default"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w:t>
            </w:r>
            <w:r>
              <w:rPr>
                <w:rFonts w:hint="eastAsia" w:ascii="宋体" w:hAnsi="宋体" w:cs="宋体"/>
                <w:b w:val="0"/>
                <w:bCs w:val="0"/>
                <w:color w:val="auto"/>
                <w:sz w:val="22"/>
                <w:szCs w:val="22"/>
                <w:lang w:val="en-US" w:eastAsia="zh-CN"/>
              </w:rPr>
              <w:t>3</w:t>
            </w:r>
          </w:p>
        </w:tc>
      </w:tr>
      <w:tr w14:paraId="3E053AD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1" w:hRule="atLeast"/>
          <w:jc w:val="center"/>
        </w:trPr>
        <w:tc>
          <w:tcPr>
            <w:tcW w:w="705" w:type="dxa"/>
            <w:vMerge w:val="continue"/>
          </w:tcPr>
          <w:p w14:paraId="4FF0E5DD">
            <w:pPr>
              <w:widowControl/>
              <w:spacing w:line="240" w:lineRule="auto"/>
              <w:jc w:val="center"/>
              <w:rPr>
                <w:rFonts w:hint="eastAsia" w:ascii="宋体" w:hAnsi="宋体" w:eastAsia="宋体" w:cs="宋体"/>
                <w:b w:val="0"/>
                <w:bCs w:val="0"/>
                <w:color w:val="auto"/>
                <w:sz w:val="22"/>
                <w:szCs w:val="22"/>
                <w:highlight w:val="none"/>
                <w:lang w:val="en-US" w:eastAsia="zh-CN"/>
              </w:rPr>
            </w:pPr>
          </w:p>
        </w:tc>
        <w:tc>
          <w:tcPr>
            <w:tcW w:w="1417" w:type="dxa"/>
            <w:vMerge w:val="continue"/>
          </w:tcPr>
          <w:p w14:paraId="4CDDC347">
            <w:pPr>
              <w:spacing w:line="500" w:lineRule="exact"/>
              <w:jc w:val="center"/>
              <w:rPr>
                <w:rFonts w:hint="eastAsia" w:hAnsi="宋体" w:cs="宋体"/>
                <w:color w:val="auto"/>
                <w:sz w:val="21"/>
                <w:szCs w:val="21"/>
                <w:highlight w:val="none"/>
                <w:lang w:eastAsia="zh-CN"/>
              </w:rPr>
            </w:pPr>
          </w:p>
        </w:tc>
        <w:tc>
          <w:tcPr>
            <w:tcW w:w="6353" w:type="dxa"/>
            <w:shd w:val="clear" w:color="auto" w:fill="auto"/>
            <w:vAlign w:val="center"/>
          </w:tcPr>
          <w:p w14:paraId="70CCF661">
            <w:pPr>
              <w:spacing w:line="500" w:lineRule="exact"/>
              <w:rPr>
                <w:rFonts w:hAnsi="宋体" w:cs="宋体"/>
                <w:szCs w:val="21"/>
                <w:highlight w:val="none"/>
              </w:rPr>
            </w:pPr>
            <w:r>
              <w:rPr>
                <w:rFonts w:hint="eastAsia" w:hAnsi="宋体" w:cs="宋体"/>
                <w:szCs w:val="21"/>
                <w:highlight w:val="none"/>
              </w:rPr>
              <w:t>（</w:t>
            </w:r>
            <w:r>
              <w:rPr>
                <w:rFonts w:hAnsi="宋体" w:cs="宋体"/>
                <w:szCs w:val="21"/>
                <w:highlight w:val="none"/>
              </w:rPr>
              <w:t>4</w:t>
            </w:r>
            <w:r>
              <w:rPr>
                <w:rFonts w:hint="eastAsia" w:hAnsi="宋体" w:cs="宋体"/>
                <w:szCs w:val="21"/>
                <w:highlight w:val="none"/>
              </w:rPr>
              <w:t>）投标人或支持服务的称重软件厂家具有称重网格化管理系统软件著作权或其他同类证书的得</w:t>
            </w:r>
            <w:r>
              <w:rPr>
                <w:rFonts w:hAnsi="宋体" w:cs="宋体"/>
                <w:szCs w:val="21"/>
                <w:highlight w:val="none"/>
              </w:rPr>
              <w:t>3</w:t>
            </w:r>
            <w:r>
              <w:rPr>
                <w:rFonts w:hint="eastAsia" w:hAnsi="宋体" w:cs="宋体"/>
                <w:szCs w:val="21"/>
                <w:highlight w:val="none"/>
              </w:rPr>
              <w:t>分。</w:t>
            </w:r>
          </w:p>
          <w:p w14:paraId="17DA0AE9">
            <w:pPr>
              <w:spacing w:line="500" w:lineRule="exact"/>
              <w:rPr>
                <w:rFonts w:hint="eastAsia" w:ascii="Times New Roman" w:hAnsi="宋体" w:eastAsia="宋体" w:cs="宋体"/>
                <w:color w:val="auto"/>
                <w:sz w:val="21"/>
                <w:szCs w:val="21"/>
                <w:highlight w:val="none"/>
                <w:lang w:val="en-US" w:eastAsia="zh-CN"/>
              </w:rPr>
            </w:pPr>
            <w:r>
              <w:rPr>
                <w:rFonts w:hint="eastAsia" w:hAnsi="宋体" w:cs="宋体"/>
                <w:szCs w:val="21"/>
                <w:highlight w:val="none"/>
              </w:rPr>
              <w:t>注：需提供相关软件的《计算机软件著作权登记证书》的复印件作为证明材料，未提供不得分。</w:t>
            </w:r>
          </w:p>
        </w:tc>
        <w:tc>
          <w:tcPr>
            <w:tcW w:w="823" w:type="dxa"/>
            <w:vAlign w:val="center"/>
          </w:tcPr>
          <w:p w14:paraId="338D6EC9">
            <w:pPr>
              <w:widowControl/>
              <w:spacing w:line="240" w:lineRule="auto"/>
              <w:jc w:val="center"/>
              <w:rPr>
                <w:rFonts w:hint="eastAsia" w:ascii="宋体" w:hAnsi="宋体" w:eastAsia="宋体" w:cs="宋体"/>
                <w:b w:val="0"/>
                <w:bCs w:val="0"/>
                <w:color w:val="auto"/>
                <w:sz w:val="22"/>
                <w:szCs w:val="22"/>
                <w:lang w:val="en-US" w:eastAsia="zh-CN"/>
              </w:rPr>
            </w:pPr>
            <w:r>
              <w:rPr>
                <w:rFonts w:hint="eastAsia" w:ascii="宋体" w:hAnsi="宋体" w:eastAsia="宋体" w:cs="宋体"/>
                <w:b w:val="0"/>
                <w:bCs w:val="0"/>
                <w:color w:val="auto"/>
                <w:sz w:val="22"/>
                <w:szCs w:val="22"/>
                <w:lang w:val="en-US" w:eastAsia="zh-CN"/>
              </w:rPr>
              <w:t>0-3</w:t>
            </w:r>
          </w:p>
        </w:tc>
      </w:tr>
    </w:tbl>
    <w:p w14:paraId="7F9C81B0"/>
    <w:p w14:paraId="4CE1A961">
      <w:pPr>
        <w:keepNext w:val="0"/>
        <w:keepLines w:val="0"/>
        <w:pageBreakBefore w:val="0"/>
        <w:widowControl/>
        <w:kinsoku/>
        <w:wordWrap/>
        <w:overflowPunct/>
        <w:topLinePunct w:val="0"/>
        <w:autoSpaceDE/>
        <w:autoSpaceDN/>
        <w:bidi w:val="0"/>
        <w:adjustRightInd/>
        <w:snapToGrid/>
        <w:spacing w:line="336" w:lineRule="auto"/>
        <w:ind w:firstLine="422" w:firstLineChars="200"/>
        <w:textAlignment w:val="auto"/>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（二）报价文件</w:t>
      </w:r>
    </w:p>
    <w:p w14:paraId="12CAFF29">
      <w:pPr>
        <w:widowControl/>
        <w:spacing w:line="348"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w:t>
      </w:r>
      <w:r>
        <w:rPr>
          <w:rFonts w:hint="eastAsia" w:ascii="宋体" w:hAnsi="宋体" w:cs="宋体"/>
          <w:color w:val="000000" w:themeColor="text1"/>
          <w:kern w:val="0"/>
          <w:szCs w:val="21"/>
          <w:highlight w:val="none"/>
          <w:lang w:val="en-US"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价格分采用低价优先法计算，即满足竞争性磋商文件要求且</w:t>
      </w:r>
      <w:r>
        <w:rPr>
          <w:rFonts w:hint="eastAsia" w:ascii="宋体" w:hAnsi="宋体" w:cs="宋体"/>
          <w:b/>
          <w:bCs/>
          <w:color w:val="000000" w:themeColor="text1"/>
          <w:kern w:val="0"/>
          <w:szCs w:val="21"/>
          <w:highlight w:val="none"/>
          <w14:textFill>
            <w14:solidFill>
              <w14:schemeClr w14:val="tx1"/>
            </w14:solidFill>
          </w14:textFill>
        </w:rPr>
        <w:t>最后一轮磋商报价最低</w:t>
      </w:r>
      <w:r>
        <w:rPr>
          <w:rFonts w:hint="eastAsia" w:ascii="宋体" w:hAnsi="宋体" w:cs="宋体"/>
          <w:color w:val="000000" w:themeColor="text1"/>
          <w:kern w:val="0"/>
          <w:szCs w:val="21"/>
          <w:highlight w:val="none"/>
          <w14:textFill>
            <w14:solidFill>
              <w14:schemeClr w14:val="tx1"/>
            </w14:solidFill>
          </w14:textFill>
        </w:rPr>
        <w:t>的为评审基准价，其价格分为满分。其他供应商的价格分统一按照下列公式计算：</w:t>
      </w:r>
    </w:p>
    <w:p w14:paraId="620C2E0D">
      <w:pPr>
        <w:widowControl/>
        <w:spacing w:line="348"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磋商报价得分=[评审基准价／最后一轮磋商报价]×10%×100。（四舍五入，保留两位小数）</w:t>
      </w:r>
    </w:p>
    <w:p w14:paraId="425517D3">
      <w:pPr>
        <w:widowControl/>
        <w:numPr>
          <w:ilvl w:val="0"/>
          <w:numId w:val="0"/>
        </w:numPr>
        <w:spacing w:line="348" w:lineRule="auto"/>
        <w:ind w:firstLine="422" w:firstLineChars="200"/>
        <w:rPr>
          <w:rFonts w:hint="eastAsia"/>
          <w:b/>
          <w:color w:val="000000" w:themeColor="text1"/>
          <w:highlight w:val="none"/>
          <w14:textFill>
            <w14:solidFill>
              <w14:schemeClr w14:val="tx1"/>
            </w14:solidFill>
          </w14:textFill>
        </w:rPr>
      </w:pPr>
      <w:bookmarkStart w:id="732" w:name="_GoBack"/>
      <w:bookmarkEnd w:id="732"/>
      <w:r>
        <w:rPr>
          <w:rFonts w:hint="eastAsia"/>
          <w:b/>
          <w:color w:val="000000" w:themeColor="text1"/>
          <w:highlight w:val="none"/>
          <w14:textFill>
            <w14:solidFill>
              <w14:schemeClr w14:val="tx1"/>
            </w14:solidFill>
          </w14:textFill>
        </w:rPr>
        <w:t>该磋商评审办法及评分标准仅适用于本项目采购，解释权属于采购人。</w:t>
      </w:r>
    </w:p>
    <w:p w14:paraId="0789CDE9">
      <w:pPr>
        <w:pStyle w:val="2"/>
        <w:ind w:left="0" w:leftChars="0" w:firstLine="0"/>
        <w:rPr>
          <w:rFonts w:hint="eastAsia"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 xml:space="preserve"> </w:t>
      </w:r>
    </w:p>
    <w:p w14:paraId="6749D752">
      <w:pPr>
        <w:rPr>
          <w:rFonts w:hint="eastAsia" w:hAnsi="宋体" w:cs="宋体"/>
          <w:b/>
          <w:bCs/>
          <w:color w:val="000000" w:themeColor="text1"/>
          <w:sz w:val="28"/>
          <w:szCs w:val="28"/>
          <w:highlight w:val="none"/>
          <w14:textFill>
            <w14:solidFill>
              <w14:schemeClr w14:val="tx1"/>
            </w14:solidFill>
          </w14:textFill>
        </w:rPr>
      </w:pPr>
      <w:r>
        <w:rPr>
          <w:rFonts w:hint="eastAsia" w:hAnsi="宋体" w:cs="宋体"/>
          <w:b/>
          <w:bCs/>
          <w:color w:val="000000" w:themeColor="text1"/>
          <w:sz w:val="28"/>
          <w:szCs w:val="28"/>
          <w:highlight w:val="none"/>
          <w14:textFill>
            <w14:solidFill>
              <w14:schemeClr w14:val="tx1"/>
            </w14:solidFill>
          </w14:textFill>
        </w:rPr>
        <w:br w:type="page"/>
      </w:r>
    </w:p>
    <w:p w14:paraId="210FD845">
      <w:pPr>
        <w:spacing w:line="360" w:lineRule="auto"/>
        <w:jc w:val="left"/>
        <w:rPr>
          <w:rFonts w:hint="eastAsia" w:hAnsi="宋体" w:cs="宋体"/>
          <w:b/>
          <w:bCs/>
          <w:color w:val="000000" w:themeColor="text1"/>
          <w:sz w:val="28"/>
          <w:szCs w:val="28"/>
          <w:highlight w:val="none"/>
          <w14:textFill>
            <w14:solidFill>
              <w14:schemeClr w14:val="tx1"/>
            </w14:solidFill>
          </w14:textFill>
        </w:rPr>
      </w:pPr>
      <w:r>
        <w:rPr>
          <w:rFonts w:hint="eastAsia" w:hAnsi="宋体" w:cs="宋体"/>
          <w:b/>
          <w:bCs/>
          <w:color w:val="000000" w:themeColor="text1"/>
          <w:sz w:val="28"/>
          <w:szCs w:val="28"/>
          <w:highlight w:val="none"/>
          <w14:textFill>
            <w14:solidFill>
              <w14:schemeClr w14:val="tx1"/>
            </w14:solidFill>
          </w14:textFill>
        </w:rPr>
        <w:t>附件1：</w:t>
      </w:r>
    </w:p>
    <w:p w14:paraId="162492D4">
      <w:pPr>
        <w:spacing w:line="324" w:lineRule="auto"/>
        <w:jc w:val="center"/>
        <w:rPr>
          <w:rFonts w:hAnsi="宋体"/>
          <w:color w:val="000000" w:themeColor="text1"/>
          <w:sz w:val="28"/>
          <w:szCs w:val="36"/>
          <w:highlight w:val="none"/>
          <w14:textFill>
            <w14:solidFill>
              <w14:schemeClr w14:val="tx1"/>
            </w14:solidFill>
          </w14:textFill>
        </w:rPr>
      </w:pPr>
      <w:r>
        <w:rPr>
          <w:rFonts w:hint="eastAsia" w:hAnsi="宋体" w:cs="宋体"/>
          <w:b/>
          <w:bCs/>
          <w:color w:val="000000" w:themeColor="text1"/>
          <w:sz w:val="32"/>
          <w:szCs w:val="32"/>
          <w:highlight w:val="none"/>
          <w14:textFill>
            <w14:solidFill>
              <w14:schemeClr w14:val="tx1"/>
            </w14:solidFill>
          </w14:textFill>
        </w:rPr>
        <w:t>启用备份响应文件申请书</w:t>
      </w:r>
    </w:p>
    <w:p w14:paraId="27D7DC5C">
      <w:pPr>
        <w:spacing w:line="360" w:lineRule="auto"/>
        <w:rPr>
          <w:rFonts w:hint="eastAsia" w:ascii="宋体" w:hAnsi="宋体"/>
          <w:color w:val="000000" w:themeColor="text1"/>
          <w:szCs w:val="21"/>
          <w:highlight w:val="none"/>
          <w14:textFill>
            <w14:solidFill>
              <w14:schemeClr w14:val="tx1"/>
            </w14:solidFill>
          </w14:textFill>
        </w:rPr>
      </w:pPr>
    </w:p>
    <w:p w14:paraId="00278CF5">
      <w:pPr>
        <w:pStyle w:val="213"/>
        <w:snapToGrid w:val="0"/>
        <w:spacing w:line="480" w:lineRule="exact"/>
        <w:jc w:val="both"/>
        <w:rPr>
          <w:rFonts w:hAnsi="宋体" w:cs="宋体"/>
          <w:b/>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u w:val="single"/>
          <w14:textFill>
            <w14:solidFill>
              <w14:schemeClr w14:val="tx1"/>
            </w14:solidFill>
          </w14:textFill>
        </w:rPr>
        <w:t xml:space="preserve">                         </w:t>
      </w:r>
      <w:r>
        <w:rPr>
          <w:rFonts w:hAnsi="宋体" w:cs="宋体"/>
          <w:color w:val="000000" w:themeColor="text1"/>
          <w:sz w:val="21"/>
          <w:szCs w:val="21"/>
          <w:highlight w:val="none"/>
          <w14:textFill>
            <w14:solidFill>
              <w14:schemeClr w14:val="tx1"/>
            </w14:solidFill>
          </w14:textFill>
        </w:rPr>
        <w:t>（采购代理机构名称）：</w:t>
      </w:r>
    </w:p>
    <w:p w14:paraId="2D155D14">
      <w:pPr>
        <w:spacing w:before="60" w:beforeLines="25" w:after="60" w:afterLines="25" w:line="480" w:lineRule="exact"/>
        <w:ind w:firstLine="420"/>
        <w:rPr>
          <w:rFonts w:hint="eastAsia" w:ascii="宋体" w:hAnsi="宋体"/>
          <w:bCs/>
          <w:color w:val="000000" w:themeColor="text1"/>
          <w:sz w:val="21"/>
          <w:szCs w:val="21"/>
          <w:highlight w:val="none"/>
          <w:u w:val="single"/>
          <w14:textFill>
            <w14:solidFill>
              <w14:schemeClr w14:val="tx1"/>
            </w14:solidFill>
          </w14:textFill>
        </w:rPr>
      </w:pPr>
      <w:r>
        <w:rPr>
          <w:rFonts w:hint="eastAsia" w:ascii="宋体" w:hAnsi="宋体"/>
          <w:bCs/>
          <w:color w:val="000000" w:themeColor="text1"/>
          <w:sz w:val="21"/>
          <w:szCs w:val="21"/>
          <w:highlight w:val="none"/>
          <w14:textFill>
            <w14:solidFill>
              <w14:schemeClr w14:val="tx1"/>
            </w14:solidFill>
          </w14:textFill>
        </w:rPr>
        <w:t>我公司参与</w:t>
      </w:r>
      <w:r>
        <w:rPr>
          <w:rFonts w:hint="eastAsia" w:ascii="宋体" w:hAnsi="宋体"/>
          <w:bCs/>
          <w:color w:val="000000" w:themeColor="text1"/>
          <w:sz w:val="21"/>
          <w:szCs w:val="21"/>
          <w:highlight w:val="none"/>
          <w:u w:val="single"/>
          <w14:textFill>
            <w14:solidFill>
              <w14:schemeClr w14:val="tx1"/>
            </w14:solidFill>
          </w14:textFill>
        </w:rPr>
        <w:t xml:space="preserve">  </w:t>
      </w:r>
      <w:r>
        <w:rPr>
          <w:rFonts w:ascii="宋体" w:hAnsi="宋体"/>
          <w:bCs/>
          <w:color w:val="000000" w:themeColor="text1"/>
          <w:sz w:val="21"/>
          <w:szCs w:val="21"/>
          <w:highlight w:val="none"/>
          <w:u w:val="single"/>
          <w14:textFill>
            <w14:solidFill>
              <w14:schemeClr w14:val="tx1"/>
            </w14:solidFill>
          </w14:textFill>
        </w:rPr>
        <w:t xml:space="preserve">     </w:t>
      </w:r>
      <w:r>
        <w:rPr>
          <w:rFonts w:hint="eastAsia" w:ascii="宋体" w:hAnsi="宋体"/>
          <w:color w:val="000000" w:themeColor="text1"/>
          <w:sz w:val="21"/>
          <w:szCs w:val="21"/>
          <w:highlight w:val="none"/>
          <w:u w:val="single"/>
          <w:lang w:bidi="ar"/>
          <w14:textFill>
            <w14:solidFill>
              <w14:schemeClr w14:val="tx1"/>
            </w14:solidFill>
          </w14:textFill>
        </w:rPr>
        <w:t xml:space="preserve">（项目名称） </w:t>
      </w:r>
      <w:r>
        <w:rPr>
          <w:rFonts w:ascii="宋体" w:hAnsi="宋体"/>
          <w:color w:val="000000" w:themeColor="text1"/>
          <w:sz w:val="21"/>
          <w:szCs w:val="21"/>
          <w:highlight w:val="none"/>
          <w:u w:val="single"/>
          <w:lang w:bidi="ar"/>
          <w14:textFill>
            <w14:solidFill>
              <w14:schemeClr w14:val="tx1"/>
            </w14:solidFill>
          </w14:textFill>
        </w:rPr>
        <w:t xml:space="preserve">  </w:t>
      </w:r>
      <w:r>
        <w:rPr>
          <w:rFonts w:hint="eastAsia" w:ascii="宋体" w:hAnsi="宋体"/>
          <w:bCs/>
          <w:color w:val="000000" w:themeColor="text1"/>
          <w:sz w:val="21"/>
          <w:szCs w:val="21"/>
          <w:highlight w:val="none"/>
          <w:u w:val="single"/>
          <w14:textFill>
            <w14:solidFill>
              <w14:schemeClr w14:val="tx1"/>
            </w14:solidFill>
          </w14:textFill>
        </w:rPr>
        <w:t xml:space="preserve">  </w:t>
      </w:r>
      <w:r>
        <w:rPr>
          <w:rFonts w:hint="eastAsia" w:ascii="宋体" w:hAnsi="宋体"/>
          <w:bCs/>
          <w:color w:val="000000" w:themeColor="text1"/>
          <w:sz w:val="21"/>
          <w:szCs w:val="21"/>
          <w:highlight w:val="none"/>
          <w14:textFill>
            <w14:solidFill>
              <w14:schemeClr w14:val="tx1"/>
            </w14:solidFill>
          </w14:textFill>
        </w:rPr>
        <w:t>（项目编号：</w:t>
      </w:r>
      <w:r>
        <w:rPr>
          <w:rFonts w:hAnsi="宋体" w:cs="宋体"/>
          <w:color w:val="000000" w:themeColor="text1"/>
          <w:spacing w:val="6"/>
          <w:sz w:val="21"/>
          <w:szCs w:val="21"/>
          <w:highlight w:val="none"/>
          <w:u w:val="single"/>
          <w14:textFill>
            <w14:solidFill>
              <w14:schemeClr w14:val="tx1"/>
            </w14:solidFill>
          </w14:textFill>
        </w:rPr>
        <w:t xml:space="preserve">          </w:t>
      </w:r>
      <w:r>
        <w:rPr>
          <w:rFonts w:hint="eastAsia" w:ascii="宋体" w:hAnsi="宋体"/>
          <w:bCs/>
          <w:color w:val="000000" w:themeColor="text1"/>
          <w:sz w:val="21"/>
          <w:szCs w:val="21"/>
          <w:highlight w:val="none"/>
          <w14:textFill>
            <w14:solidFill>
              <w14:schemeClr w14:val="tx1"/>
            </w14:solidFill>
          </w14:textFill>
        </w:rPr>
        <w:t xml:space="preserve"> ）磋商，已按本项目竞争性磋商文件要求提供备份响应文件。我方电子加密响应文件解密失败，现申请贵方启用备份响应文件上传至政采云平台，备份响应文件解压缩密码</w:t>
      </w:r>
      <w:r>
        <w:rPr>
          <w:rFonts w:hint="eastAsia" w:ascii="宋体" w:hAnsi="宋体"/>
          <w:bCs/>
          <w:color w:val="000000" w:themeColor="text1"/>
          <w:sz w:val="21"/>
          <w:szCs w:val="21"/>
          <w:highlight w:val="none"/>
          <w:u w:val="single"/>
          <w14:textFill>
            <w14:solidFill>
              <w14:schemeClr w14:val="tx1"/>
            </w14:solidFill>
          </w14:textFill>
        </w:rPr>
        <w:t xml:space="preserve">： </w:t>
      </w:r>
      <w:r>
        <w:rPr>
          <w:rFonts w:ascii="宋体" w:hAnsi="宋体"/>
          <w:bCs/>
          <w:color w:val="000000" w:themeColor="text1"/>
          <w:sz w:val="21"/>
          <w:szCs w:val="21"/>
          <w:highlight w:val="none"/>
          <w:u w:val="single"/>
          <w14:textFill>
            <w14:solidFill>
              <w14:schemeClr w14:val="tx1"/>
            </w14:solidFill>
          </w14:textFill>
        </w:rPr>
        <w:t xml:space="preserve">                   </w:t>
      </w:r>
      <w:r>
        <w:rPr>
          <w:rFonts w:hint="eastAsia" w:ascii="宋体" w:hAnsi="宋体"/>
          <w:bCs/>
          <w:color w:val="000000" w:themeColor="text1"/>
          <w:sz w:val="21"/>
          <w:szCs w:val="21"/>
          <w:highlight w:val="none"/>
          <w:u w:val="single"/>
          <w14:textFill>
            <w14:solidFill>
              <w14:schemeClr w14:val="tx1"/>
            </w14:solidFill>
          </w14:textFill>
        </w:rPr>
        <w:t>。</w:t>
      </w:r>
    </w:p>
    <w:p w14:paraId="5A83BAD7">
      <w:pPr>
        <w:spacing w:before="60" w:beforeLines="25" w:after="60" w:afterLines="25" w:line="480" w:lineRule="exact"/>
        <w:ind w:firstLine="420"/>
        <w:rPr>
          <w:rFonts w:ascii="宋体" w:hAnsi="宋体"/>
          <w:bCs/>
          <w:color w:val="000000" w:themeColor="text1"/>
          <w:sz w:val="21"/>
          <w:szCs w:val="21"/>
          <w:highlight w:val="none"/>
          <w14:textFill>
            <w14:solidFill>
              <w14:schemeClr w14:val="tx1"/>
            </w14:solidFill>
          </w14:textFill>
        </w:rPr>
      </w:pPr>
      <w:r>
        <w:rPr>
          <w:rFonts w:hint="eastAsia" w:ascii="宋体" w:hAnsi="宋体"/>
          <w:bCs/>
          <w:color w:val="000000" w:themeColor="text1"/>
          <w:sz w:val="21"/>
          <w:szCs w:val="21"/>
          <w:highlight w:val="none"/>
          <w14:textFill>
            <w14:solidFill>
              <w14:schemeClr w14:val="tx1"/>
            </w14:solidFill>
          </w14:textFill>
        </w:rPr>
        <w:t>如备份响应文件上传失败，我方愿意承担一切风险和责任。</w:t>
      </w:r>
    </w:p>
    <w:p w14:paraId="069BD853">
      <w:pPr>
        <w:rPr>
          <w:rFonts w:ascii="宋体" w:hAnsi="宋体"/>
          <w:bCs/>
          <w:color w:val="000000" w:themeColor="text1"/>
          <w:sz w:val="21"/>
          <w:szCs w:val="21"/>
          <w:highlight w:val="none"/>
          <w14:textFill>
            <w14:solidFill>
              <w14:schemeClr w14:val="tx1"/>
            </w14:solidFill>
          </w14:textFill>
        </w:rPr>
      </w:pPr>
    </w:p>
    <w:p w14:paraId="55635231">
      <w:pPr>
        <w:rPr>
          <w:rFonts w:ascii="宋体" w:hAnsi="宋体"/>
          <w:bCs/>
          <w:color w:val="000000" w:themeColor="text1"/>
          <w:sz w:val="21"/>
          <w:szCs w:val="21"/>
          <w:highlight w:val="none"/>
          <w14:textFill>
            <w14:solidFill>
              <w14:schemeClr w14:val="tx1"/>
            </w14:solidFill>
          </w14:textFill>
        </w:rPr>
      </w:pPr>
    </w:p>
    <w:p w14:paraId="03C2BD74">
      <w:pPr>
        <w:rPr>
          <w:rFonts w:ascii="宋体" w:hAnsi="宋体"/>
          <w:bCs/>
          <w:color w:val="000000" w:themeColor="text1"/>
          <w:sz w:val="21"/>
          <w:szCs w:val="21"/>
          <w:highlight w:val="none"/>
          <w14:textFill>
            <w14:solidFill>
              <w14:schemeClr w14:val="tx1"/>
            </w14:solidFill>
          </w14:textFill>
        </w:rPr>
      </w:pPr>
    </w:p>
    <w:p w14:paraId="56B715AA">
      <w:pPr>
        <w:rPr>
          <w:rFonts w:ascii="宋体" w:hAnsi="宋体"/>
          <w:bCs/>
          <w:color w:val="000000" w:themeColor="text1"/>
          <w:sz w:val="21"/>
          <w:szCs w:val="21"/>
          <w:highlight w:val="none"/>
          <w14:textFill>
            <w14:solidFill>
              <w14:schemeClr w14:val="tx1"/>
            </w14:solidFill>
          </w14:textFill>
        </w:rPr>
      </w:pPr>
    </w:p>
    <w:p w14:paraId="10A0D80C">
      <w:pPr>
        <w:rPr>
          <w:rFonts w:ascii="宋体" w:hAnsi="宋体"/>
          <w:bCs/>
          <w:color w:val="000000" w:themeColor="text1"/>
          <w:sz w:val="21"/>
          <w:szCs w:val="21"/>
          <w:highlight w:val="none"/>
          <w14:textFill>
            <w14:solidFill>
              <w14:schemeClr w14:val="tx1"/>
            </w14:solidFill>
          </w14:textFill>
        </w:rPr>
      </w:pPr>
    </w:p>
    <w:p w14:paraId="3688095F">
      <w:pPr>
        <w:spacing w:line="360" w:lineRule="auto"/>
        <w:ind w:firstLine="420"/>
        <w:rPr>
          <w:rFonts w:hint="eastAsia" w:ascii="宋体" w:hAnsi="宋体"/>
          <w:bCs/>
          <w:color w:val="000000" w:themeColor="text1"/>
          <w:sz w:val="21"/>
          <w:szCs w:val="21"/>
          <w:highlight w:val="none"/>
          <w14:textFill>
            <w14:solidFill>
              <w14:schemeClr w14:val="tx1"/>
            </w14:solidFill>
          </w14:textFill>
        </w:rPr>
      </w:pPr>
      <w:r>
        <w:rPr>
          <w:rFonts w:hint="eastAsia" w:ascii="宋体" w:hAnsi="宋体"/>
          <w:bCs/>
          <w:color w:val="000000" w:themeColor="text1"/>
          <w:sz w:val="21"/>
          <w:szCs w:val="21"/>
          <w:highlight w:val="none"/>
          <w14:textFill>
            <w14:solidFill>
              <w14:schemeClr w14:val="tx1"/>
            </w14:solidFill>
          </w14:textFill>
        </w:rPr>
        <w:t xml:space="preserve"> </w:t>
      </w:r>
      <w:r>
        <w:rPr>
          <w:rFonts w:ascii="宋体" w:hAnsi="宋体"/>
          <w:bCs/>
          <w:color w:val="000000" w:themeColor="text1"/>
          <w:sz w:val="21"/>
          <w:szCs w:val="21"/>
          <w:highlight w:val="none"/>
          <w14:textFill>
            <w14:solidFill>
              <w14:schemeClr w14:val="tx1"/>
            </w14:solidFill>
          </w14:textFill>
        </w:rPr>
        <w:t xml:space="preserve">                             </w:t>
      </w:r>
      <w:r>
        <w:rPr>
          <w:rFonts w:hint="eastAsia" w:ascii="宋体" w:hAnsi="宋体"/>
          <w:bCs/>
          <w:color w:val="000000" w:themeColor="text1"/>
          <w:sz w:val="21"/>
          <w:szCs w:val="21"/>
          <w:highlight w:val="none"/>
          <w14:textFill>
            <w14:solidFill>
              <w14:schemeClr w14:val="tx1"/>
            </w14:solidFill>
          </w14:textFill>
        </w:rPr>
        <w:t>供应商（盖章）：</w:t>
      </w:r>
    </w:p>
    <w:p w14:paraId="7FA0A4ED">
      <w:pPr>
        <w:spacing w:line="360" w:lineRule="auto"/>
        <w:ind w:firstLine="420"/>
        <w:rPr>
          <w:rFonts w:hint="eastAsia" w:ascii="宋体" w:hAnsi="宋体"/>
          <w:bCs/>
          <w:color w:val="000000" w:themeColor="text1"/>
          <w:sz w:val="21"/>
          <w:szCs w:val="21"/>
          <w:highlight w:val="none"/>
          <w14:textFill>
            <w14:solidFill>
              <w14:schemeClr w14:val="tx1"/>
            </w14:solidFill>
          </w14:textFill>
        </w:rPr>
      </w:pPr>
      <w:r>
        <w:rPr>
          <w:rFonts w:hint="eastAsia" w:ascii="宋体" w:hAnsi="宋体"/>
          <w:bCs/>
          <w:color w:val="000000" w:themeColor="text1"/>
          <w:sz w:val="21"/>
          <w:szCs w:val="21"/>
          <w:highlight w:val="none"/>
          <w14:textFill>
            <w14:solidFill>
              <w14:schemeClr w14:val="tx1"/>
            </w14:solidFill>
          </w14:textFill>
        </w:rPr>
        <w:t xml:space="preserve">                                          </w:t>
      </w:r>
    </w:p>
    <w:p w14:paraId="1C3CCB17">
      <w:pPr>
        <w:spacing w:line="360" w:lineRule="auto"/>
        <w:ind w:firstLine="5460" w:firstLineChars="2600"/>
        <w:rPr>
          <w:rFonts w:hint="eastAsia" w:ascii="宋体" w:hAnsi="宋体"/>
          <w:bCs/>
          <w:color w:val="000000" w:themeColor="text1"/>
          <w:szCs w:val="21"/>
          <w:highlight w:val="none"/>
          <w14:textFill>
            <w14:solidFill>
              <w14:schemeClr w14:val="tx1"/>
            </w14:solidFill>
          </w14:textFill>
        </w:rPr>
      </w:pPr>
      <w:r>
        <w:rPr>
          <w:rFonts w:hint="eastAsia" w:ascii="宋体" w:hAnsi="宋体"/>
          <w:bCs/>
          <w:color w:val="000000" w:themeColor="text1"/>
          <w:sz w:val="21"/>
          <w:szCs w:val="21"/>
          <w:highlight w:val="none"/>
          <w14:textFill>
            <w14:solidFill>
              <w14:schemeClr w14:val="tx1"/>
            </w14:solidFill>
          </w14:textFill>
        </w:rPr>
        <w:t>日     期：</w:t>
      </w:r>
    </w:p>
    <w:p w14:paraId="680B204E">
      <w:pPr>
        <w:spacing w:line="360" w:lineRule="auto"/>
        <w:jc w:val="left"/>
        <w:rPr>
          <w:rFonts w:hint="eastAsia" w:hAnsi="宋体" w:cs="宋体"/>
          <w:b/>
          <w:bCs/>
          <w:color w:val="000000" w:themeColor="text1"/>
          <w:sz w:val="28"/>
          <w:szCs w:val="28"/>
          <w:highlight w:val="none"/>
          <w14:textFill>
            <w14:solidFill>
              <w14:schemeClr w14:val="tx1"/>
            </w14:solidFill>
          </w14:textFill>
        </w:rPr>
      </w:pPr>
    </w:p>
    <w:p w14:paraId="6A1AC150">
      <w:pPr>
        <w:pStyle w:val="2"/>
        <w:ind w:left="480"/>
        <w:rPr>
          <w:rFonts w:hint="eastAsia" w:hAnsi="宋体"/>
          <w:b/>
          <w:bCs/>
          <w:color w:val="000000" w:themeColor="text1"/>
          <w:sz w:val="28"/>
          <w:szCs w:val="28"/>
          <w:highlight w:val="none"/>
          <w14:textFill>
            <w14:solidFill>
              <w14:schemeClr w14:val="tx1"/>
            </w14:solidFill>
          </w14:textFill>
        </w:rPr>
      </w:pPr>
    </w:p>
    <w:p w14:paraId="13C6D7D4">
      <w:pPr>
        <w:pStyle w:val="2"/>
        <w:ind w:left="480"/>
        <w:rPr>
          <w:rFonts w:hint="eastAsia" w:hAnsi="宋体"/>
          <w:b/>
          <w:bCs/>
          <w:color w:val="000000" w:themeColor="text1"/>
          <w:sz w:val="28"/>
          <w:szCs w:val="28"/>
          <w:highlight w:val="none"/>
          <w14:textFill>
            <w14:solidFill>
              <w14:schemeClr w14:val="tx1"/>
            </w14:solidFill>
          </w14:textFill>
        </w:rPr>
      </w:pPr>
    </w:p>
    <w:p w14:paraId="50B993F7">
      <w:pPr>
        <w:pStyle w:val="2"/>
        <w:ind w:left="480"/>
        <w:rPr>
          <w:rFonts w:hint="eastAsia" w:hAnsi="宋体"/>
          <w:b/>
          <w:bCs/>
          <w:color w:val="000000" w:themeColor="text1"/>
          <w:sz w:val="28"/>
          <w:szCs w:val="28"/>
          <w:highlight w:val="none"/>
          <w14:textFill>
            <w14:solidFill>
              <w14:schemeClr w14:val="tx1"/>
            </w14:solidFill>
          </w14:textFill>
        </w:rPr>
      </w:pPr>
    </w:p>
    <w:p w14:paraId="5F9C2FE6">
      <w:pPr>
        <w:spacing w:line="324" w:lineRule="auto"/>
        <w:ind w:firstLine="422" w:firstLineChars="200"/>
        <w:jc w:val="left"/>
        <w:rPr>
          <w:rFonts w:hint="eastAsia" w:ascii="宋体" w:hAnsi="宋体" w:eastAsia="宋体"/>
          <w:b/>
          <w:color w:val="000000" w:themeColor="text1"/>
          <w:szCs w:val="21"/>
          <w:highlight w:val="none"/>
          <w14:textFill>
            <w14:solidFill>
              <w14:schemeClr w14:val="tx1"/>
            </w14:solidFill>
          </w14:textFill>
        </w:rPr>
      </w:pPr>
    </w:p>
    <w:p w14:paraId="3B2D7FD2">
      <w:pPr>
        <w:spacing w:line="324" w:lineRule="auto"/>
        <w:ind w:firstLine="422" w:firstLineChars="200"/>
        <w:jc w:val="left"/>
        <w:rPr>
          <w:rFonts w:hint="eastAsia" w:ascii="宋体" w:hAnsi="宋体" w:eastAsia="宋体"/>
          <w:b/>
          <w:color w:val="000000" w:themeColor="text1"/>
          <w:sz w:val="21"/>
          <w:szCs w:val="21"/>
          <w:highlight w:val="none"/>
          <w14:textFill>
            <w14:solidFill>
              <w14:schemeClr w14:val="tx1"/>
            </w14:solidFill>
          </w14:textFill>
        </w:rPr>
      </w:pPr>
      <w:r>
        <w:rPr>
          <w:rFonts w:hint="eastAsia" w:ascii="宋体" w:hAnsi="宋体"/>
          <w:b/>
          <w:bCs/>
          <w:color w:val="000000" w:themeColor="text1"/>
          <w:sz w:val="21"/>
          <w:szCs w:val="21"/>
          <w:highlight w:val="none"/>
          <w14:textFill>
            <w14:solidFill>
              <w14:schemeClr w14:val="tx1"/>
            </w14:solidFill>
          </w14:textFill>
        </w:rPr>
        <w:t>供应商进行在线解密（解密时间为30分钟），解密未成功的，采购代理机构启动有效的备份响应文件，供应商应当在解密时间内向采购代理机构通过电子邮箱（</w:t>
      </w:r>
      <w:r>
        <w:rPr>
          <w:rFonts w:hint="eastAsia" w:ascii="宋体" w:hAnsi="宋体"/>
          <w:b/>
          <w:bCs/>
          <w:color w:val="000000" w:themeColor="text1"/>
          <w:sz w:val="21"/>
          <w:szCs w:val="21"/>
          <w:highlight w:val="none"/>
          <w:lang w:eastAsia="zh-CN"/>
          <w14:textFill>
            <w14:solidFill>
              <w14:schemeClr w14:val="tx1"/>
            </w14:solidFill>
          </w14:textFill>
        </w:rPr>
        <w:t>397942513</w:t>
      </w:r>
      <w:r>
        <w:rPr>
          <w:rFonts w:hint="eastAsia" w:ascii="宋体" w:hAnsi="宋体"/>
          <w:b/>
          <w:bCs/>
          <w:color w:val="000000" w:themeColor="text1"/>
          <w:sz w:val="21"/>
          <w:szCs w:val="21"/>
          <w:highlight w:val="none"/>
          <w14:textFill>
            <w14:solidFill>
              <w14:schemeClr w14:val="tx1"/>
            </w14:solidFill>
          </w14:textFill>
        </w:rPr>
        <w:t>@qq.com）提供备份响应文件压缩解密密码，否则视为放弃磋商</w:t>
      </w:r>
      <w:r>
        <w:rPr>
          <w:rFonts w:hint="eastAsia" w:ascii="宋体" w:hAnsi="宋体" w:eastAsia="宋体"/>
          <w:b/>
          <w:color w:val="000000" w:themeColor="text1"/>
          <w:sz w:val="21"/>
          <w:szCs w:val="21"/>
          <w:highlight w:val="none"/>
          <w14:textFill>
            <w14:solidFill>
              <w14:schemeClr w14:val="tx1"/>
            </w14:solidFill>
          </w14:textFill>
        </w:rPr>
        <w:t>。</w:t>
      </w:r>
    </w:p>
    <w:p w14:paraId="7192A9C6">
      <w:pPr>
        <w:pStyle w:val="2"/>
        <w:ind w:left="480"/>
        <w:rPr>
          <w:rFonts w:hint="eastAsia" w:hAnsi="宋体"/>
          <w:b/>
          <w:bCs/>
          <w:color w:val="000000" w:themeColor="text1"/>
          <w:sz w:val="28"/>
          <w:szCs w:val="28"/>
          <w:highlight w:val="none"/>
          <w14:textFill>
            <w14:solidFill>
              <w14:schemeClr w14:val="tx1"/>
            </w14:solidFill>
          </w14:textFill>
        </w:rPr>
      </w:pPr>
    </w:p>
    <w:p w14:paraId="4B5A3BD2">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205BE29B">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7DB70DBB">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5D1E3DEA">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2F987007">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3C5D3D87">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36FA01A4">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7A0A151F">
      <w:pPr>
        <w:pStyle w:val="2"/>
        <w:ind w:left="0" w:leftChars="0" w:firstLine="0"/>
        <w:rPr>
          <w:rFonts w:hint="eastAsia" w:hAnsi="宋体"/>
          <w:b/>
          <w:bCs/>
          <w:color w:val="000000" w:themeColor="text1"/>
          <w:sz w:val="28"/>
          <w:szCs w:val="28"/>
          <w:highlight w:val="none"/>
          <w14:textFill>
            <w14:solidFill>
              <w14:schemeClr w14:val="tx1"/>
            </w14:solidFill>
          </w14:textFill>
        </w:rPr>
      </w:pPr>
    </w:p>
    <w:p w14:paraId="592E76AD">
      <w:pPr>
        <w:pStyle w:val="2"/>
        <w:ind w:left="0" w:leftChars="0" w:firstLine="0"/>
        <w:rPr>
          <w:rFonts w:hAnsi="宋体"/>
          <w:b/>
          <w:bCs/>
          <w:color w:val="000000" w:themeColor="text1"/>
          <w:sz w:val="28"/>
          <w:szCs w:val="28"/>
          <w:highlight w:val="none"/>
          <w14:textFill>
            <w14:solidFill>
              <w14:schemeClr w14:val="tx1"/>
            </w14:solidFill>
          </w14:textFill>
        </w:rPr>
      </w:pPr>
      <w:r>
        <w:rPr>
          <w:rFonts w:hint="eastAsia" w:hAnsi="宋体"/>
          <w:b/>
          <w:bCs/>
          <w:color w:val="000000" w:themeColor="text1"/>
          <w:sz w:val="28"/>
          <w:szCs w:val="28"/>
          <w:highlight w:val="none"/>
          <w14:textFill>
            <w14:solidFill>
              <w14:schemeClr w14:val="tx1"/>
            </w14:solidFill>
          </w14:textFill>
        </w:rPr>
        <w:t>附件</w:t>
      </w:r>
      <w:r>
        <w:rPr>
          <w:rFonts w:hint="eastAsia" w:hAnsi="宋体"/>
          <w:b/>
          <w:bCs/>
          <w:color w:val="000000" w:themeColor="text1"/>
          <w:sz w:val="28"/>
          <w:szCs w:val="28"/>
          <w:highlight w:val="none"/>
          <w:lang w:val="en-US" w:eastAsia="zh-CN"/>
          <w14:textFill>
            <w14:solidFill>
              <w14:schemeClr w14:val="tx1"/>
            </w14:solidFill>
          </w14:textFill>
        </w:rPr>
        <w:t>2</w:t>
      </w:r>
      <w:r>
        <w:rPr>
          <w:rFonts w:hint="eastAsia" w:hAnsi="宋体"/>
          <w:b/>
          <w:bCs/>
          <w:color w:val="000000" w:themeColor="text1"/>
          <w:sz w:val="28"/>
          <w:szCs w:val="28"/>
          <w:highlight w:val="none"/>
          <w14:textFill>
            <w14:solidFill>
              <w14:schemeClr w14:val="tx1"/>
            </w14:solidFill>
          </w14:textFill>
        </w:rPr>
        <w:t>：</w:t>
      </w:r>
    </w:p>
    <w:p w14:paraId="1F947AAC">
      <w:pPr>
        <w:spacing w:line="480" w:lineRule="auto"/>
        <w:jc w:val="center"/>
        <w:rPr>
          <w:rFonts w:hAnsi="宋体" w:cs="宋体"/>
          <w:b/>
          <w:bCs/>
          <w:color w:val="000000" w:themeColor="text1"/>
          <w:sz w:val="32"/>
          <w:szCs w:val="32"/>
          <w:highlight w:val="none"/>
          <w14:textFill>
            <w14:solidFill>
              <w14:schemeClr w14:val="tx1"/>
            </w14:solidFill>
          </w14:textFill>
        </w:rPr>
      </w:pPr>
      <w:r>
        <w:rPr>
          <w:rFonts w:hint="eastAsia" w:hAnsi="宋体" w:cs="宋体"/>
          <w:b/>
          <w:bCs/>
          <w:color w:val="000000" w:themeColor="text1"/>
          <w:sz w:val="32"/>
          <w:szCs w:val="32"/>
          <w:highlight w:val="none"/>
          <w14:textFill>
            <w14:solidFill>
              <w14:schemeClr w14:val="tx1"/>
            </w14:solidFill>
          </w14:textFill>
        </w:rPr>
        <w:t>政府采购活动现场确认声明书</w:t>
      </w:r>
    </w:p>
    <w:p w14:paraId="7C971820">
      <w:pPr>
        <w:pStyle w:val="124"/>
        <w:snapToGrid w:val="0"/>
        <w:spacing w:line="480" w:lineRule="exact"/>
        <w:jc w:val="both"/>
        <w:rPr>
          <w:rFonts w:hAnsi="宋体" w:cs="宋体"/>
          <w:b/>
          <w:color w:val="000000" w:themeColor="text1"/>
          <w:sz w:val="21"/>
          <w:szCs w:val="21"/>
          <w:highlight w:val="none"/>
          <w14:textFill>
            <w14:solidFill>
              <w14:schemeClr w14:val="tx1"/>
            </w14:solidFill>
          </w14:textFill>
        </w:rPr>
      </w:pPr>
      <w:r>
        <w:rPr>
          <w:rFonts w:hint="eastAsia" w:hAnsi="宋体" w:cs="宋体"/>
          <w:color w:val="000000" w:themeColor="text1"/>
          <w:kern w:val="0"/>
          <w:sz w:val="21"/>
          <w:szCs w:val="21"/>
          <w:highlight w:val="none"/>
          <w:u w:val="single"/>
          <w14:textFill>
            <w14:solidFill>
              <w14:schemeClr w14:val="tx1"/>
            </w14:solidFill>
          </w14:textFill>
        </w:rPr>
        <w:t xml:space="preserve">                         </w:t>
      </w:r>
      <w:r>
        <w:rPr>
          <w:rFonts w:hAnsi="宋体" w:cs="宋体"/>
          <w:color w:val="000000" w:themeColor="text1"/>
          <w:kern w:val="0"/>
          <w:sz w:val="21"/>
          <w:szCs w:val="21"/>
          <w:highlight w:val="none"/>
          <w14:textFill>
            <w14:solidFill>
              <w14:schemeClr w14:val="tx1"/>
            </w14:solidFill>
          </w14:textFill>
        </w:rPr>
        <w:t>（采购代理机构名称）：</w:t>
      </w:r>
    </w:p>
    <w:p w14:paraId="73A09B1E">
      <w:pPr>
        <w:pStyle w:val="124"/>
        <w:snapToGrid w:val="0"/>
        <w:spacing w:line="480" w:lineRule="exact"/>
        <w:ind w:firstLine="444" w:firstLineChars="200"/>
        <w:jc w:val="both"/>
        <w:rPr>
          <w:rFonts w:hAnsi="宋体" w:cs="宋体"/>
          <w:color w:val="000000" w:themeColor="text1"/>
          <w:spacing w:val="6"/>
          <w:sz w:val="21"/>
          <w:szCs w:val="21"/>
          <w:highlight w:val="none"/>
          <w14:textFill>
            <w14:solidFill>
              <w14:schemeClr w14:val="tx1"/>
            </w14:solidFill>
          </w14:textFill>
        </w:rPr>
      </w:pPr>
      <w:r>
        <w:rPr>
          <w:rFonts w:hAnsi="宋体" w:cs="宋体"/>
          <w:color w:val="000000" w:themeColor="text1"/>
          <w:spacing w:val="6"/>
          <w:sz w:val="21"/>
          <w:szCs w:val="21"/>
          <w:highlight w:val="none"/>
          <w14:textFill>
            <w14:solidFill>
              <w14:schemeClr w14:val="tx1"/>
            </w14:solidFill>
          </w14:textFill>
        </w:rPr>
        <w:t>本人</w:t>
      </w:r>
      <w:r>
        <w:rPr>
          <w:rFonts w:hAnsi="宋体" w:cs="宋体"/>
          <w:color w:val="000000" w:themeColor="text1"/>
          <w:spacing w:val="6"/>
          <w:sz w:val="21"/>
          <w:szCs w:val="21"/>
          <w:highlight w:val="none"/>
          <w:u w:val="single"/>
          <w14:textFill>
            <w14:solidFill>
              <w14:schemeClr w14:val="tx1"/>
            </w14:solidFill>
          </w14:textFill>
        </w:rPr>
        <w:t xml:space="preserve">           </w:t>
      </w:r>
      <w:r>
        <w:rPr>
          <w:rFonts w:hAnsi="宋体" w:cs="宋体"/>
          <w:color w:val="000000" w:themeColor="text1"/>
          <w:spacing w:val="6"/>
          <w:sz w:val="21"/>
          <w:szCs w:val="21"/>
          <w:highlight w:val="none"/>
          <w14:textFill>
            <w14:solidFill>
              <w14:schemeClr w14:val="tx1"/>
            </w14:solidFill>
          </w14:textFill>
        </w:rPr>
        <w:t>（授权代表姓名），经由</w:t>
      </w:r>
      <w:r>
        <w:rPr>
          <w:rFonts w:hAnsi="宋体" w:cs="宋体"/>
          <w:color w:val="000000" w:themeColor="text1"/>
          <w:spacing w:val="6"/>
          <w:sz w:val="21"/>
          <w:szCs w:val="21"/>
          <w:highlight w:val="none"/>
          <w:u w:val="single"/>
          <w14:textFill>
            <w14:solidFill>
              <w14:schemeClr w14:val="tx1"/>
            </w14:solidFill>
          </w14:textFill>
        </w:rPr>
        <w:t xml:space="preserve">                     （单位） </w:t>
      </w:r>
      <w:r>
        <w:rPr>
          <w:rFonts w:hAnsi="宋体" w:cs="宋体"/>
          <w:color w:val="000000" w:themeColor="text1"/>
          <w:spacing w:val="6"/>
          <w:sz w:val="21"/>
          <w:szCs w:val="21"/>
          <w:highlight w:val="none"/>
          <w14:textFill>
            <w14:solidFill>
              <w14:schemeClr w14:val="tx1"/>
            </w14:solidFill>
          </w14:textFill>
        </w:rPr>
        <w:t>负责人</w:t>
      </w:r>
      <w:r>
        <w:rPr>
          <w:rFonts w:hAnsi="宋体" w:cs="宋体"/>
          <w:color w:val="000000" w:themeColor="text1"/>
          <w:spacing w:val="6"/>
          <w:sz w:val="21"/>
          <w:szCs w:val="21"/>
          <w:highlight w:val="none"/>
          <w:u w:val="single"/>
          <w14:textFill>
            <w14:solidFill>
              <w14:schemeClr w14:val="tx1"/>
            </w14:solidFill>
          </w14:textFill>
        </w:rPr>
        <w:t xml:space="preserve">          </w:t>
      </w:r>
      <w:r>
        <w:rPr>
          <w:rFonts w:hAnsi="宋体" w:cs="宋体"/>
          <w:color w:val="000000" w:themeColor="text1"/>
          <w:spacing w:val="6"/>
          <w:sz w:val="21"/>
          <w:szCs w:val="21"/>
          <w:highlight w:val="none"/>
          <w14:textFill>
            <w14:solidFill>
              <w14:schemeClr w14:val="tx1"/>
            </w14:solidFill>
          </w14:textFill>
        </w:rPr>
        <w:t>（法定代表人）合法授权参加</w:t>
      </w:r>
      <w:r>
        <w:rPr>
          <w:rFonts w:hAnsi="宋体" w:cs="宋体"/>
          <w:color w:val="000000" w:themeColor="text1"/>
          <w:spacing w:val="6"/>
          <w:sz w:val="21"/>
          <w:szCs w:val="21"/>
          <w:highlight w:val="none"/>
          <w:u w:val="single"/>
          <w14:textFill>
            <w14:solidFill>
              <w14:schemeClr w14:val="tx1"/>
            </w14:solidFill>
          </w14:textFill>
        </w:rPr>
        <w:t xml:space="preserve">          </w:t>
      </w:r>
      <w:r>
        <w:rPr>
          <w:rFonts w:hAnsi="宋体" w:cs="宋体"/>
          <w:color w:val="000000" w:themeColor="text1"/>
          <w:spacing w:val="6"/>
          <w:sz w:val="21"/>
          <w:szCs w:val="21"/>
          <w:highlight w:val="none"/>
          <w14:textFill>
            <w14:solidFill>
              <w14:schemeClr w14:val="tx1"/>
            </w14:solidFill>
          </w14:textFill>
        </w:rPr>
        <w:t>（项目编号：</w:t>
      </w:r>
      <w:r>
        <w:rPr>
          <w:rFonts w:hAnsi="宋体" w:cs="宋体"/>
          <w:color w:val="000000" w:themeColor="text1"/>
          <w:spacing w:val="6"/>
          <w:sz w:val="21"/>
          <w:szCs w:val="21"/>
          <w:highlight w:val="none"/>
          <w:u w:val="single"/>
          <w14:textFill>
            <w14:solidFill>
              <w14:schemeClr w14:val="tx1"/>
            </w14:solidFill>
          </w14:textFill>
        </w:rPr>
        <w:t xml:space="preserve">      </w:t>
      </w:r>
      <w:r>
        <w:rPr>
          <w:rFonts w:hAnsi="宋体" w:cs="宋体"/>
          <w:color w:val="000000" w:themeColor="text1"/>
          <w:spacing w:val="6"/>
          <w:sz w:val="21"/>
          <w:szCs w:val="21"/>
          <w:highlight w:val="none"/>
          <w14:textFill>
            <w14:solidFill>
              <w14:schemeClr w14:val="tx1"/>
            </w14:solidFill>
          </w14:textFill>
        </w:rPr>
        <w:t xml:space="preserve">）政府采购活动，经与本单位法人代表（负责人）联系确认，现就有关公平竞争事项郑重声明如下： </w:t>
      </w:r>
    </w:p>
    <w:p w14:paraId="5260351A">
      <w:pPr>
        <w:pStyle w:val="197"/>
        <w:numPr>
          <w:ilvl w:val="0"/>
          <w:numId w:val="5"/>
        </w:numPr>
        <w:snapToGrid w:val="0"/>
        <w:spacing w:line="480" w:lineRule="exact"/>
        <w:ind w:firstLine="420" w:firstLineChars="200"/>
        <w:jc w:val="both"/>
        <w:rPr>
          <w:rFonts w:ascii="宋体" w:hAnsi="宋体" w:cs="宋体"/>
          <w:color w:val="000000" w:themeColor="text1"/>
          <w:sz w:val="21"/>
          <w:szCs w:val="21"/>
          <w:highlight w:val="none"/>
          <w14:textFill>
            <w14:solidFill>
              <w14:schemeClr w14:val="tx1"/>
            </w14:solidFill>
          </w14:textFill>
        </w:rPr>
      </w:pPr>
      <w:r>
        <w:rPr>
          <w:rFonts w:ascii="宋体" w:hAnsi="宋体" w:cs="宋体"/>
          <w:color w:val="000000" w:themeColor="text1"/>
          <w:sz w:val="21"/>
          <w:szCs w:val="21"/>
          <w:highlight w:val="none"/>
          <w14:textFill>
            <w14:solidFill>
              <w14:schemeClr w14:val="tx1"/>
            </w14:solidFill>
          </w14:textFill>
        </w:rPr>
        <w:t>本单位与采购人之间□不存在利害关系□存在下列利害关系</w:t>
      </w:r>
      <w:r>
        <w:rPr>
          <w:rFonts w:ascii="宋体" w:hAnsi="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ascii="宋体" w:hAnsi="宋体" w:cs="宋体"/>
          <w:color w:val="000000" w:themeColor="text1"/>
          <w:sz w:val="21"/>
          <w:szCs w:val="21"/>
          <w:highlight w:val="none"/>
          <w:u w:val="single"/>
          <w14:textFill>
            <w14:solidFill>
              <w14:schemeClr w14:val="tx1"/>
            </w14:solidFill>
          </w14:textFill>
        </w:rPr>
        <w:t xml:space="preserve">  </w:t>
      </w:r>
      <w:r>
        <w:rPr>
          <w:rFonts w:ascii="宋体" w:hAnsi="宋体" w:cs="宋体"/>
          <w:color w:val="000000" w:themeColor="text1"/>
          <w:sz w:val="21"/>
          <w:szCs w:val="21"/>
          <w:highlight w:val="none"/>
          <w14:textFill>
            <w14:solidFill>
              <w14:schemeClr w14:val="tx1"/>
            </w14:solidFill>
          </w14:textFill>
        </w:rPr>
        <w:t>：</w:t>
      </w:r>
    </w:p>
    <w:p w14:paraId="22558481">
      <w:pPr>
        <w:pStyle w:val="197"/>
        <w:snapToGrid w:val="0"/>
        <w:spacing w:line="480" w:lineRule="exact"/>
        <w:ind w:firstLine="420" w:firstLineChars="200"/>
        <w:jc w:val="both"/>
        <w:rPr>
          <w:rFonts w:ascii="宋体" w:hAnsi="宋体" w:cs="宋体"/>
          <w:color w:val="000000" w:themeColor="text1"/>
          <w:sz w:val="21"/>
          <w:szCs w:val="21"/>
          <w:highlight w:val="none"/>
          <w14:textFill>
            <w14:solidFill>
              <w14:schemeClr w14:val="tx1"/>
            </w14:solidFill>
          </w14:textFill>
        </w:rPr>
      </w:pPr>
      <w:r>
        <w:rPr>
          <w:rFonts w:ascii="宋体" w:hAnsi="宋体" w:cs="宋体"/>
          <w:color w:val="000000" w:themeColor="text1"/>
          <w:sz w:val="21"/>
          <w:szCs w:val="21"/>
          <w:highlight w:val="none"/>
          <w14:textFill>
            <w14:solidFill>
              <w14:schemeClr w14:val="tx1"/>
            </w14:solidFill>
          </w14:textFill>
        </w:rPr>
        <w:t xml:space="preserve">    A.投资关系    B.行政隶属关系    C.业务指导关系    D.其他可能影响采购公正的利害关系</w:t>
      </w:r>
      <w:r>
        <w:rPr>
          <w:rFonts w:ascii="宋体" w:hAnsi="宋体" w:cs="宋体"/>
          <w:color w:val="000000" w:themeColor="text1"/>
          <w:sz w:val="21"/>
          <w:szCs w:val="21"/>
          <w:highlight w:val="none"/>
          <w:u w:val="single"/>
          <w14:textFill>
            <w14:solidFill>
              <w14:schemeClr w14:val="tx1"/>
            </w14:solidFill>
          </w14:textFill>
        </w:rPr>
        <w:t xml:space="preserve">（如有，请如实说明）               </w:t>
      </w:r>
      <w:r>
        <w:rPr>
          <w:rFonts w:ascii="宋体" w:hAnsi="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 xml:space="preserve">二、现已清楚知道参加本项目采购活动的其他所有供应商名称，本单位 </w:t>
      </w:r>
      <w:r>
        <w:rPr>
          <w:rFonts w:ascii="宋体" w:hAnsi="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 xml:space="preserve">与其他所有供应商之间均不存在利害关系  </w:t>
      </w:r>
      <w:r>
        <w:rPr>
          <w:rFonts w:ascii="宋体" w:hAnsi="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与</w:t>
      </w:r>
      <w:r>
        <w:rPr>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（供应商名称）            </w:t>
      </w:r>
      <w:r>
        <w:rPr>
          <w:rFonts w:hint="eastAsia" w:ascii="宋体" w:hAnsi="宋体" w:eastAsia="宋体" w:cs="宋体"/>
          <w:color w:val="000000" w:themeColor="text1"/>
          <w:sz w:val="21"/>
          <w:szCs w:val="21"/>
          <w:highlight w:val="none"/>
          <w14:textFill>
            <w14:solidFill>
              <w14:schemeClr w14:val="tx1"/>
            </w14:solidFill>
          </w14:textFill>
        </w:rPr>
        <w:t>之间存在下列利害关系</w:t>
      </w:r>
      <w:r>
        <w:rPr>
          <w:color w:val="000000" w:themeColor="text1"/>
          <w:sz w:val="21"/>
          <w:szCs w:val="21"/>
          <w:highlight w:val="none"/>
          <w:u w:val="single"/>
          <w14:textFill>
            <w14:solidFill>
              <w14:schemeClr w14:val="tx1"/>
            </w14:solidFill>
          </w14:textFill>
        </w:rPr>
        <w:t xml:space="preserve">     </w:t>
      </w:r>
      <w:r>
        <w:rPr>
          <w:rFonts w:hint="eastAsia" w:eastAsia="宋体"/>
          <w:color w:val="000000" w:themeColor="text1"/>
          <w:sz w:val="21"/>
          <w:szCs w:val="21"/>
          <w:highlight w:val="none"/>
          <w:u w:val="single"/>
          <w14:textFill>
            <w14:solidFill>
              <w14:schemeClr w14:val="tx1"/>
            </w14:solidFill>
          </w14:textFill>
        </w:rPr>
        <w:t xml:space="preserve">  </w:t>
      </w:r>
      <w:r>
        <w:rPr>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p>
    <w:p w14:paraId="1B3EBF00">
      <w:pPr>
        <w:pStyle w:val="124"/>
        <w:snapToGrid w:val="0"/>
        <w:spacing w:line="480" w:lineRule="exact"/>
        <w:ind w:firstLine="420" w:firstLineChars="200"/>
        <w:jc w:val="both"/>
        <w:rPr>
          <w:rFonts w:hAnsi="宋体" w:cs="宋体"/>
          <w:color w:val="000000" w:themeColor="text1"/>
          <w:kern w:val="0"/>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A.法定代表人或负责人或实际控制人是同一人</w:t>
      </w:r>
    </w:p>
    <w:p w14:paraId="65B868E8">
      <w:pPr>
        <w:pStyle w:val="124"/>
        <w:snapToGrid w:val="0"/>
        <w:spacing w:line="480" w:lineRule="exact"/>
        <w:ind w:firstLine="420" w:firstLineChars="200"/>
        <w:jc w:val="both"/>
        <w:rPr>
          <w:rFonts w:hAnsi="宋体" w:cs="宋体"/>
          <w:color w:val="000000" w:themeColor="text1"/>
          <w:spacing w:val="6"/>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B.法定代表人或负责人或实际控制人是夫妻关系</w:t>
      </w:r>
    </w:p>
    <w:p w14:paraId="0ECCF899">
      <w:pPr>
        <w:pStyle w:val="124"/>
        <w:snapToGrid w:val="0"/>
        <w:spacing w:line="480" w:lineRule="exact"/>
        <w:ind w:firstLine="420" w:firstLineChars="200"/>
        <w:jc w:val="both"/>
        <w:rPr>
          <w:rFonts w:hAnsi="宋体" w:cs="宋体"/>
          <w:color w:val="000000" w:themeColor="text1"/>
          <w:spacing w:val="6"/>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C.法定代表人或负责人或实际控制人是直系血亲关系</w:t>
      </w:r>
    </w:p>
    <w:p w14:paraId="3487CA6C">
      <w:pPr>
        <w:pStyle w:val="124"/>
        <w:snapToGrid w:val="0"/>
        <w:spacing w:line="480" w:lineRule="exact"/>
        <w:ind w:firstLine="420" w:firstLineChars="200"/>
        <w:jc w:val="both"/>
        <w:rPr>
          <w:rFonts w:hAnsi="宋体" w:cs="宋体"/>
          <w:color w:val="000000" w:themeColor="text1"/>
          <w:spacing w:val="6"/>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D.法定代表人或负责人或实际控制人存在三代以内旁系血亲关系</w:t>
      </w:r>
    </w:p>
    <w:p w14:paraId="4460BD23">
      <w:pPr>
        <w:pStyle w:val="124"/>
        <w:snapToGrid w:val="0"/>
        <w:spacing w:line="480" w:lineRule="exact"/>
        <w:ind w:firstLine="420" w:firstLineChars="200"/>
        <w:jc w:val="both"/>
        <w:rPr>
          <w:rFonts w:hAnsi="宋体" w:cs="宋体"/>
          <w:color w:val="000000" w:themeColor="text1"/>
          <w:kern w:val="0"/>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E.法定代表人或负责人或实际控制人存在近姻亲关系</w:t>
      </w:r>
    </w:p>
    <w:p w14:paraId="34C5F904">
      <w:pPr>
        <w:pStyle w:val="124"/>
        <w:snapToGrid w:val="0"/>
        <w:spacing w:line="480" w:lineRule="exact"/>
        <w:ind w:firstLine="420" w:firstLineChars="200"/>
        <w:jc w:val="both"/>
        <w:rPr>
          <w:rFonts w:hAnsi="宋体" w:cs="宋体"/>
          <w:color w:val="000000" w:themeColor="text1"/>
          <w:kern w:val="0"/>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F.法定代表人或负责人或实际控制人存在股份控制或实际控制关系</w:t>
      </w:r>
    </w:p>
    <w:p w14:paraId="091A7728">
      <w:pPr>
        <w:pStyle w:val="124"/>
        <w:snapToGrid w:val="0"/>
        <w:spacing w:line="480" w:lineRule="exact"/>
        <w:ind w:firstLine="420" w:firstLineChars="200"/>
        <w:jc w:val="both"/>
        <w:rPr>
          <w:rFonts w:hAnsi="宋体" w:cs="宋体"/>
          <w:color w:val="000000" w:themeColor="text1"/>
          <w:kern w:val="0"/>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G.存在共同直接或间接投资设立子公司、联营企业和合营企业情况</w:t>
      </w:r>
    </w:p>
    <w:p w14:paraId="5C9D6393">
      <w:pPr>
        <w:pStyle w:val="124"/>
        <w:snapToGrid w:val="0"/>
        <w:spacing w:line="480" w:lineRule="exact"/>
        <w:ind w:firstLine="420" w:firstLineChars="200"/>
        <w:jc w:val="both"/>
        <w:rPr>
          <w:rFonts w:hAnsi="宋体" w:cs="宋体"/>
          <w:color w:val="000000" w:themeColor="text1"/>
          <w:sz w:val="21"/>
          <w:szCs w:val="21"/>
          <w:highlight w:val="none"/>
          <w14:textFill>
            <w14:solidFill>
              <w14:schemeClr w14:val="tx1"/>
            </w14:solidFill>
          </w14:textFill>
        </w:rPr>
      </w:pPr>
      <w:r>
        <w:rPr>
          <w:rFonts w:hAnsi="宋体" w:cs="宋体"/>
          <w:color w:val="000000" w:themeColor="text1"/>
          <w:kern w:val="0"/>
          <w:sz w:val="21"/>
          <w:szCs w:val="21"/>
          <w:highlight w:val="none"/>
          <w14:textFill>
            <w14:solidFill>
              <w14:schemeClr w14:val="tx1"/>
            </w14:solidFill>
          </w14:textFill>
        </w:rPr>
        <w:t>H.存在分级代理或代销关系、同一生产制造商关系、</w:t>
      </w:r>
      <w:r>
        <w:rPr>
          <w:rFonts w:hAnsi="宋体" w:cs="宋体"/>
          <w:color w:val="000000" w:themeColor="text1"/>
          <w:sz w:val="21"/>
          <w:szCs w:val="21"/>
          <w:highlight w:val="none"/>
          <w14:textFill>
            <w14:solidFill>
              <w14:schemeClr w14:val="tx1"/>
            </w14:solidFill>
          </w14:textFill>
        </w:rPr>
        <w:t>管理关系、重要业务（占主营业务收入50%以上）或重要财务往来关系（如融资）等其他实质性控制关系</w:t>
      </w:r>
    </w:p>
    <w:p w14:paraId="7A4400BB">
      <w:pPr>
        <w:pStyle w:val="124"/>
        <w:snapToGrid w:val="0"/>
        <w:spacing w:line="480" w:lineRule="exact"/>
        <w:ind w:firstLine="420" w:firstLineChars="200"/>
        <w:jc w:val="both"/>
        <w:rPr>
          <w:rFonts w:hAnsi="宋体" w:cs="宋体"/>
          <w:color w:val="000000" w:themeColor="text1"/>
          <w:spacing w:val="6"/>
          <w:sz w:val="21"/>
          <w:szCs w:val="21"/>
          <w:highlight w:val="none"/>
          <w14:textFill>
            <w14:solidFill>
              <w14:schemeClr w14:val="tx1"/>
            </w14:solidFill>
          </w14:textFill>
        </w:rPr>
      </w:pPr>
      <w:r>
        <w:rPr>
          <w:rFonts w:hAnsi="宋体" w:cs="宋体"/>
          <w:color w:val="000000" w:themeColor="text1"/>
          <w:sz w:val="21"/>
          <w:szCs w:val="21"/>
          <w:highlight w:val="none"/>
          <w14:textFill>
            <w14:solidFill>
              <w14:schemeClr w14:val="tx1"/>
            </w14:solidFill>
          </w14:textFill>
        </w:rPr>
        <w:t>I</w:t>
      </w:r>
      <w:r>
        <w:rPr>
          <w:rFonts w:hAnsi="宋体" w:cs="宋体"/>
          <w:color w:val="000000" w:themeColor="text1"/>
          <w:kern w:val="0"/>
          <w:sz w:val="21"/>
          <w:szCs w:val="21"/>
          <w:highlight w:val="none"/>
          <w14:textFill>
            <w14:solidFill>
              <w14:schemeClr w14:val="tx1"/>
            </w14:solidFill>
          </w14:textFill>
        </w:rPr>
        <w:t>.</w:t>
      </w:r>
      <w:r>
        <w:rPr>
          <w:rFonts w:hAnsi="宋体" w:cs="宋体"/>
          <w:color w:val="000000" w:themeColor="text1"/>
          <w:sz w:val="21"/>
          <w:szCs w:val="21"/>
          <w:highlight w:val="none"/>
          <w14:textFill>
            <w14:solidFill>
              <w14:schemeClr w14:val="tx1"/>
            </w14:solidFill>
          </w14:textFill>
        </w:rPr>
        <w:t>其他利害关系情况</w:t>
      </w:r>
      <w:r>
        <w:rPr>
          <w:rFonts w:hAnsi="宋体" w:cs="宋体"/>
          <w:color w:val="000000" w:themeColor="text1"/>
          <w:sz w:val="21"/>
          <w:szCs w:val="21"/>
          <w:highlight w:val="none"/>
          <w:u w:val="single"/>
          <w14:textFill>
            <w14:solidFill>
              <w14:schemeClr w14:val="tx1"/>
            </w14:solidFill>
          </w14:textFill>
        </w:rPr>
        <w:t xml:space="preserve">                              </w:t>
      </w:r>
      <w:r>
        <w:rPr>
          <w:rFonts w:hAnsi="宋体" w:cs="宋体"/>
          <w:color w:val="000000" w:themeColor="text1"/>
          <w:kern w:val="0"/>
          <w:sz w:val="21"/>
          <w:szCs w:val="21"/>
          <w:highlight w:val="none"/>
          <w14:textFill>
            <w14:solidFill>
              <w14:schemeClr w14:val="tx1"/>
            </w14:solidFill>
          </w14:textFill>
        </w:rPr>
        <w:t>。</w:t>
      </w:r>
    </w:p>
    <w:p w14:paraId="42C37E57">
      <w:pPr>
        <w:pStyle w:val="197"/>
        <w:numPr>
          <w:ilvl w:val="0"/>
          <w:numId w:val="6"/>
        </w:numPr>
        <w:snapToGrid w:val="0"/>
        <w:spacing w:line="480" w:lineRule="exact"/>
        <w:ind w:firstLine="420" w:firstLineChars="200"/>
        <w:jc w:val="both"/>
        <w:rPr>
          <w:rFonts w:ascii="宋体" w:hAnsi="宋体" w:cs="宋体"/>
          <w:color w:val="000000" w:themeColor="text1"/>
          <w:sz w:val="21"/>
          <w:szCs w:val="21"/>
          <w:highlight w:val="none"/>
          <w14:textFill>
            <w14:solidFill>
              <w14:schemeClr w14:val="tx1"/>
            </w14:solidFill>
          </w14:textFill>
        </w:rPr>
      </w:pPr>
      <w:r>
        <w:rPr>
          <w:rFonts w:ascii="宋体" w:hAnsi="宋体" w:cs="宋体"/>
          <w:color w:val="000000" w:themeColor="text1"/>
          <w:sz w:val="21"/>
          <w:szCs w:val="21"/>
          <w:highlight w:val="none"/>
          <w14:textFill>
            <w14:solidFill>
              <w14:schemeClr w14:val="tx1"/>
            </w14:solidFill>
          </w14:textFill>
        </w:rPr>
        <w:t>现已清楚知道并严格遵守政府采购法律法规和现场纪律。</w:t>
      </w:r>
    </w:p>
    <w:p w14:paraId="6B6912DD">
      <w:pPr>
        <w:pStyle w:val="197"/>
        <w:numPr>
          <w:ilvl w:val="0"/>
          <w:numId w:val="6"/>
        </w:numPr>
        <w:snapToGrid w:val="0"/>
        <w:spacing w:line="480" w:lineRule="exact"/>
        <w:ind w:firstLine="420" w:firstLineChars="200"/>
        <w:jc w:val="both"/>
        <w:rPr>
          <w:rFonts w:ascii="宋体" w:hAnsi="宋体" w:cs="宋体"/>
          <w:color w:val="000000" w:themeColor="text1"/>
          <w:sz w:val="21"/>
          <w:szCs w:val="21"/>
          <w:highlight w:val="none"/>
          <w14:textFill>
            <w14:solidFill>
              <w14:schemeClr w14:val="tx1"/>
            </w14:solidFill>
          </w14:textFill>
        </w:rPr>
      </w:pPr>
      <w:r>
        <w:rPr>
          <w:rFonts w:ascii="宋体" w:hAnsi="宋体" w:cs="宋体"/>
          <w:color w:val="000000" w:themeColor="text1"/>
          <w:sz w:val="21"/>
          <w:szCs w:val="21"/>
          <w:highlight w:val="none"/>
          <w14:textFill>
            <w14:solidFill>
              <w14:schemeClr w14:val="tx1"/>
            </w14:solidFill>
          </w14:textFill>
        </w:rPr>
        <w:t>我发现</w:t>
      </w:r>
      <w:r>
        <w:rPr>
          <w:rFonts w:ascii="宋体" w:hAnsi="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ascii="宋体" w:hAnsi="宋体" w:cs="宋体"/>
          <w:color w:val="000000" w:themeColor="text1"/>
          <w:sz w:val="21"/>
          <w:szCs w:val="21"/>
          <w:highlight w:val="none"/>
          <w:u w:val="single"/>
          <w14:textFill>
            <w14:solidFill>
              <w14:schemeClr w14:val="tx1"/>
            </w14:solidFill>
          </w14:textFill>
        </w:rPr>
        <w:t xml:space="preserve">     </w:t>
      </w:r>
      <w:r>
        <w:rPr>
          <w:rFonts w:ascii="宋体" w:hAnsi="宋体" w:cs="宋体"/>
          <w:color w:val="000000" w:themeColor="text1"/>
          <w:sz w:val="21"/>
          <w:szCs w:val="21"/>
          <w:highlight w:val="none"/>
          <w14:textFill>
            <w14:solidFill>
              <w14:schemeClr w14:val="tx1"/>
            </w14:solidFill>
          </w14:textFill>
        </w:rPr>
        <w:t>供应商之间存在或可能存在上述第二条第</w:t>
      </w:r>
      <w:r>
        <w:rPr>
          <w:rFonts w:ascii="宋体" w:hAnsi="宋体" w:cs="宋体"/>
          <w:color w:val="000000" w:themeColor="text1"/>
          <w:sz w:val="21"/>
          <w:szCs w:val="21"/>
          <w:highlight w:val="none"/>
          <w:u w:val="single"/>
          <w14:textFill>
            <w14:solidFill>
              <w14:schemeClr w14:val="tx1"/>
            </w14:solidFill>
          </w14:textFill>
        </w:rPr>
        <w:t xml:space="preserve">        </w:t>
      </w:r>
      <w:r>
        <w:rPr>
          <w:rFonts w:ascii="宋体" w:hAnsi="宋体" w:cs="宋体"/>
          <w:color w:val="000000" w:themeColor="text1"/>
          <w:sz w:val="21"/>
          <w:szCs w:val="21"/>
          <w:highlight w:val="none"/>
          <w14:textFill>
            <w14:solidFill>
              <w14:schemeClr w14:val="tx1"/>
            </w14:solidFill>
          </w14:textFill>
        </w:rPr>
        <w:t>项利害关系。</w:t>
      </w:r>
    </w:p>
    <w:p w14:paraId="568AD78D">
      <w:pPr>
        <w:pStyle w:val="124"/>
        <w:snapToGrid w:val="0"/>
        <w:spacing w:line="360" w:lineRule="auto"/>
        <w:jc w:val="both"/>
        <w:rPr>
          <w:rFonts w:hAnsi="宋体" w:cs="宋体"/>
          <w:color w:val="000000" w:themeColor="text1"/>
          <w:sz w:val="21"/>
          <w:szCs w:val="21"/>
          <w:highlight w:val="none"/>
          <w14:textFill>
            <w14:solidFill>
              <w14:schemeClr w14:val="tx1"/>
            </w14:solidFill>
          </w14:textFill>
        </w:rPr>
      </w:pPr>
      <w:r>
        <w:rPr>
          <w:rFonts w:hAnsi="宋体" w:cs="宋体"/>
          <w:color w:val="000000" w:themeColor="text1"/>
          <w:sz w:val="21"/>
          <w:szCs w:val="21"/>
          <w:highlight w:val="none"/>
          <w14:textFill>
            <w14:solidFill>
              <w14:schemeClr w14:val="tx1"/>
            </w14:solidFill>
          </w14:textFill>
        </w:rPr>
        <w:t xml:space="preserve">                          </w:t>
      </w:r>
      <w:r>
        <w:rPr>
          <w:rFonts w:hint="eastAsia" w:hAnsi="宋体" w:cs="宋体"/>
          <w:color w:val="000000" w:themeColor="text1"/>
          <w:sz w:val="21"/>
          <w:szCs w:val="21"/>
          <w:highlight w:val="none"/>
          <w14:textFill>
            <w14:solidFill>
              <w14:schemeClr w14:val="tx1"/>
            </w14:solidFill>
          </w14:textFill>
        </w:rPr>
        <w:t xml:space="preserve">                                供应商</w:t>
      </w:r>
      <w:r>
        <w:rPr>
          <w:rFonts w:hAnsi="宋体" w:cs="宋体"/>
          <w:color w:val="000000" w:themeColor="text1"/>
          <w:sz w:val="21"/>
          <w:szCs w:val="21"/>
          <w:highlight w:val="none"/>
          <w14:textFill>
            <w14:solidFill>
              <w14:schemeClr w14:val="tx1"/>
            </w14:solidFill>
          </w14:textFill>
        </w:rPr>
        <w:t>代表签名：</w:t>
      </w:r>
    </w:p>
    <w:p w14:paraId="201DC363">
      <w:pPr>
        <w:spacing w:line="360" w:lineRule="auto"/>
        <w:jc w:val="center"/>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 xml:space="preserve">                                                    </w:t>
      </w:r>
      <w:r>
        <w:rPr>
          <w:rFonts w:hAnsi="宋体" w:cs="宋体"/>
          <w:color w:val="000000" w:themeColor="text1"/>
          <w:sz w:val="21"/>
          <w:szCs w:val="21"/>
          <w:highlight w:val="none"/>
          <w14:textFill>
            <w14:solidFill>
              <w14:schemeClr w14:val="tx1"/>
            </w14:solidFill>
          </w14:textFill>
        </w:rPr>
        <w:t>年   月   日</w:t>
      </w:r>
    </w:p>
    <w:p w14:paraId="071C2207">
      <w:pPr>
        <w:ind w:firstLine="422" w:firstLineChars="200"/>
        <w:rPr>
          <w:rFonts w:hint="eastAsia" w:ascii="宋体" w:hAnsi="宋体" w:eastAsia="宋体" w:cs="宋体"/>
          <w:b/>
          <w:color w:val="000000"/>
          <w:szCs w:val="21"/>
          <w:highlight w:val="none"/>
        </w:rPr>
      </w:pPr>
      <w:r>
        <w:rPr>
          <w:rFonts w:hint="eastAsia" w:ascii="宋体" w:hAnsi="宋体" w:eastAsia="宋体" w:cs="宋体"/>
          <w:b/>
          <w:color w:val="000000"/>
          <w:szCs w:val="21"/>
          <w:highlight w:val="none"/>
        </w:rPr>
        <w:fldChar w:fldCharType="begin"/>
      </w:r>
      <w:r>
        <w:rPr>
          <w:rFonts w:hint="eastAsia" w:ascii="宋体" w:hAnsi="宋体" w:eastAsia="宋体" w:cs="宋体"/>
          <w:b/>
          <w:color w:val="000000"/>
          <w:szCs w:val="21"/>
          <w:highlight w:val="none"/>
        </w:rPr>
        <w:instrText xml:space="preserve"> HYPERLINK "mailto:（5）投标人根据解密后交易平台公布的投标人名单及信息，在\“开启标书信息\”后的20分钟内通过电子邮箱（454093773@qq.com）方式提交《政府采购活动现场确认声明书》（格式见附件2）；" </w:instrText>
      </w:r>
      <w:r>
        <w:rPr>
          <w:rFonts w:hint="eastAsia" w:ascii="宋体" w:hAnsi="宋体" w:eastAsia="宋体" w:cs="宋体"/>
          <w:b/>
          <w:color w:val="000000"/>
          <w:szCs w:val="21"/>
          <w:highlight w:val="none"/>
        </w:rPr>
        <w:fldChar w:fldCharType="separate"/>
      </w:r>
      <w:r>
        <w:rPr>
          <w:rFonts w:hint="eastAsia" w:ascii="宋体" w:hAnsi="宋体" w:eastAsia="宋体" w:cs="宋体"/>
          <w:b/>
          <w:color w:val="000000"/>
          <w:szCs w:val="21"/>
          <w:highlight w:val="none"/>
          <w:lang w:eastAsia="zh-CN"/>
        </w:rPr>
        <w:t>供应商</w:t>
      </w:r>
      <w:r>
        <w:rPr>
          <w:rFonts w:hint="eastAsia" w:ascii="宋体" w:hAnsi="宋体" w:eastAsia="宋体" w:cs="宋体"/>
          <w:b/>
          <w:color w:val="000000"/>
          <w:szCs w:val="21"/>
          <w:highlight w:val="none"/>
        </w:rPr>
        <w:t>根据解密后交易平台公布的</w:t>
      </w:r>
      <w:r>
        <w:rPr>
          <w:rFonts w:hint="eastAsia" w:ascii="宋体" w:hAnsi="宋体" w:eastAsia="宋体" w:cs="宋体"/>
          <w:b/>
          <w:color w:val="000000"/>
          <w:szCs w:val="21"/>
          <w:highlight w:val="none"/>
          <w:lang w:eastAsia="zh-CN"/>
        </w:rPr>
        <w:t>供应商</w:t>
      </w:r>
      <w:r>
        <w:rPr>
          <w:rFonts w:hint="eastAsia" w:ascii="宋体" w:hAnsi="宋体" w:eastAsia="宋体" w:cs="宋体"/>
          <w:b/>
          <w:color w:val="000000"/>
          <w:szCs w:val="21"/>
          <w:highlight w:val="none"/>
        </w:rPr>
        <w:t>名单及信息，在“开启标书信息”后的</w:t>
      </w:r>
      <w:r>
        <w:rPr>
          <w:rFonts w:hint="eastAsia" w:ascii="宋体" w:hAnsi="宋体" w:eastAsia="宋体" w:cs="宋体"/>
          <w:b/>
          <w:color w:val="000000"/>
          <w:szCs w:val="21"/>
          <w:highlight w:val="none"/>
          <w:lang w:val="en-US" w:eastAsia="zh-CN"/>
        </w:rPr>
        <w:t>30</w:t>
      </w:r>
      <w:r>
        <w:rPr>
          <w:rFonts w:hint="eastAsia" w:ascii="宋体" w:hAnsi="宋体" w:eastAsia="宋体" w:cs="宋体"/>
          <w:b/>
          <w:color w:val="000000"/>
          <w:szCs w:val="21"/>
          <w:highlight w:val="none"/>
        </w:rPr>
        <w:t>分钟内</w:t>
      </w:r>
      <w:r>
        <w:rPr>
          <w:rFonts w:hint="eastAsia" w:ascii="宋体" w:hAnsi="宋体" w:eastAsia="宋体" w:cs="宋体"/>
          <w:b/>
          <w:color w:val="000000"/>
          <w:szCs w:val="21"/>
          <w:highlight w:val="none"/>
          <w:lang w:val="en-US" w:eastAsia="zh-CN"/>
        </w:rPr>
        <w:t>自行主动</w:t>
      </w:r>
      <w:r>
        <w:rPr>
          <w:rFonts w:hint="eastAsia" w:ascii="宋体" w:hAnsi="宋体" w:eastAsia="宋体" w:cs="宋体"/>
          <w:b/>
          <w:color w:val="000000"/>
          <w:szCs w:val="21"/>
          <w:highlight w:val="none"/>
        </w:rPr>
        <w:t>通过电子邮箱（</w:t>
      </w:r>
      <w:r>
        <w:rPr>
          <w:rFonts w:hint="eastAsia" w:ascii="宋体" w:hAnsi="宋体" w:cs="宋体"/>
          <w:b/>
          <w:color w:val="000000"/>
          <w:szCs w:val="21"/>
          <w:highlight w:val="none"/>
          <w:lang w:eastAsia="zh-CN"/>
        </w:rPr>
        <w:t>397942513</w:t>
      </w:r>
      <w:r>
        <w:rPr>
          <w:rFonts w:hint="eastAsia" w:ascii="宋体" w:hAnsi="宋体" w:eastAsia="宋体" w:cs="宋体"/>
          <w:b/>
          <w:color w:val="000000"/>
          <w:szCs w:val="21"/>
          <w:highlight w:val="none"/>
          <w:lang w:eastAsia="zh-CN"/>
        </w:rPr>
        <w:t>@qq.com</w:t>
      </w:r>
      <w:r>
        <w:rPr>
          <w:rFonts w:hint="eastAsia" w:ascii="宋体" w:hAnsi="宋体" w:eastAsia="宋体" w:cs="宋体"/>
          <w:b/>
          <w:color w:val="000000"/>
          <w:szCs w:val="21"/>
          <w:highlight w:val="none"/>
        </w:rPr>
        <w:t>）方式提交《政府采购活动现场确认声明书》（格式见附件2），未提交的视为</w:t>
      </w:r>
      <w:r>
        <w:rPr>
          <w:rFonts w:hint="eastAsia" w:ascii="宋体" w:hAnsi="宋体" w:eastAsia="宋体" w:cs="宋体"/>
          <w:b/>
          <w:color w:val="000000"/>
          <w:szCs w:val="21"/>
          <w:highlight w:val="none"/>
          <w:lang w:eastAsia="zh-CN"/>
        </w:rPr>
        <w:t>不存在上述关系，且</w:t>
      </w:r>
      <w:r>
        <w:rPr>
          <w:rFonts w:hint="eastAsia" w:ascii="宋体" w:hAnsi="宋体" w:eastAsia="宋体" w:cs="宋体"/>
          <w:b/>
          <w:color w:val="000000"/>
          <w:szCs w:val="21"/>
          <w:highlight w:val="none"/>
        </w:rPr>
        <w:t>放弃提出相关事项质疑的权利。</w:t>
      </w:r>
      <w:r>
        <w:rPr>
          <w:rFonts w:hint="eastAsia" w:ascii="宋体" w:hAnsi="宋体" w:eastAsia="宋体" w:cs="宋体"/>
          <w:b/>
          <w:color w:val="000000"/>
          <w:szCs w:val="21"/>
          <w:highlight w:val="none"/>
        </w:rPr>
        <w:fldChar w:fldCharType="end"/>
      </w:r>
    </w:p>
    <w:p w14:paraId="1DBCB791">
      <w:pPr>
        <w:widowControl/>
        <w:spacing w:line="360" w:lineRule="auto"/>
        <w:ind w:firstLine="420"/>
        <w:rPr>
          <w:rFonts w:ascii="宋体" w:hAnsi="宋体" w:cs="宋体"/>
          <w:color w:val="000000" w:themeColor="text1"/>
          <w:kern w:val="0"/>
          <w:szCs w:val="21"/>
          <w:highlight w:val="none"/>
          <w14:textFill>
            <w14:solidFill>
              <w14:schemeClr w14:val="tx1"/>
            </w14:solidFill>
          </w14:textFill>
        </w:rPr>
      </w:pPr>
    </w:p>
    <w:sectPr>
      <w:pgSz w:w="11906" w:h="16838"/>
      <w:pgMar w:top="1417" w:right="1417" w:bottom="1134" w:left="1417" w:header="851" w:footer="850"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幼圆">
    <w:altName w:val="宋体"/>
    <w:panose1 w:val="0201050906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文鼎小标宋简">
    <w:altName w:val="宋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Gulim">
    <w:panose1 w:val="020B0600000101010101"/>
    <w:charset w:val="81"/>
    <w:family w:val="roman"/>
    <w:pitch w:val="default"/>
    <w:sig w:usb0="B00002AF" w:usb1="69D77CFB" w:usb2="00000030" w:usb3="00000000" w:csb0="4008009F" w:csb1="DFD70000"/>
  </w:font>
  <w:font w:name="Beijing">
    <w:altName w:val="Arial"/>
    <w:panose1 w:val="00000000000000000000"/>
    <w:charset w:val="50"/>
    <w:family w:val="auto"/>
    <w:pitch w:val="default"/>
    <w:sig w:usb0="00000000" w:usb1="00000000" w:usb2="00000000" w:usb3="00000000" w:csb0="00000000" w:csb1="00000000"/>
  </w:font>
  <w:font w:name="新宋体">
    <w:panose1 w:val="02010609030101010101"/>
    <w:charset w:val="86"/>
    <w:family w:val="modern"/>
    <w:pitch w:val="default"/>
    <w:sig w:usb0="00000003" w:usb1="288F0000" w:usb2="00000006" w:usb3="00000000" w:csb0="00040001" w:csb1="00000000"/>
  </w:font>
  <w:font w:name="长城仿宋">
    <w:altName w:val="仿宋"/>
    <w:panose1 w:val="00000000000000000000"/>
    <w:charset w:val="86"/>
    <w:family w:val="modern"/>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华文新魏">
    <w:altName w:val="宋体"/>
    <w:panose1 w:val="02010800040101010101"/>
    <w:charset w:val="86"/>
    <w:family w:val="auto"/>
    <w:pitch w:val="default"/>
    <w:sig w:usb0="00000000" w:usb1="00000000" w:usb2="00000000" w:usb3="00000000" w:csb0="00040000" w:csb1="00000000"/>
  </w:font>
  <w:font w:name="MingLiU">
    <w:panose1 w:val="02020509000000000000"/>
    <w:charset w:val="88"/>
    <w:family w:val="modern"/>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59286">
    <w:pPr>
      <w:pStyle w:val="30"/>
      <w:pBdr>
        <w:top w:val="single" w:color="auto" w:sz="4" w:space="1"/>
      </w:pBdr>
    </w:pPr>
    <w:r>
      <w:rPr>
        <w:rFonts w:hint="eastAsia" w:ascii="宋体" w:hAnsi="宋体" w:eastAsia="宋体"/>
        <w:b/>
        <w:bCs/>
        <w:snapToGrid/>
        <w:kern w:val="2"/>
        <w:lang w:eastAsia="zh-CN"/>
      </w:rPr>
      <w:t>浙江鼎峰工程咨询有限公司</w:t>
    </w:r>
    <w:r>
      <w:rPr>
        <w:rFonts w:hint="eastAsia"/>
        <w:b/>
        <w:bCs/>
        <w:szCs w:val="21"/>
      </w:rPr>
      <w:t xml:space="preserve">                                                   </w:t>
    </w:r>
    <w:r>
      <w:rPr>
        <w:rFonts w:hint="eastAsia" w:ascii="宋体" w:hAnsi="宋体" w:eastAsia="宋体" w:cs="宋体"/>
        <w:b/>
        <w:bCs/>
        <w:szCs w:val="21"/>
      </w:rPr>
      <w:t xml:space="preserve"> 第 </w:t>
    </w:r>
    <w:r>
      <w:rPr>
        <w:rFonts w:hint="eastAsia" w:ascii="宋体" w:hAnsi="宋体" w:eastAsia="宋体" w:cs="宋体"/>
        <w:b/>
        <w:bCs/>
        <w:szCs w:val="21"/>
      </w:rPr>
      <w:fldChar w:fldCharType="begin"/>
    </w:r>
    <w:r>
      <w:rPr>
        <w:rFonts w:hint="eastAsia" w:ascii="宋体" w:hAnsi="宋体" w:eastAsia="宋体" w:cs="宋体"/>
        <w:b/>
        <w:bCs/>
        <w:szCs w:val="21"/>
      </w:rPr>
      <w:instrText xml:space="preserve"> PAGE </w:instrText>
    </w:r>
    <w:r>
      <w:rPr>
        <w:rFonts w:hint="eastAsia" w:ascii="宋体" w:hAnsi="宋体" w:eastAsia="宋体" w:cs="宋体"/>
        <w:b/>
        <w:bCs/>
        <w:szCs w:val="21"/>
      </w:rPr>
      <w:fldChar w:fldCharType="separate"/>
    </w:r>
    <w:r>
      <w:rPr>
        <w:rFonts w:ascii="宋体" w:hAnsi="宋体" w:eastAsia="宋体" w:cs="宋体"/>
        <w:b/>
        <w:bCs/>
        <w:szCs w:val="21"/>
      </w:rPr>
      <w:t>37</w:t>
    </w:r>
    <w:r>
      <w:rPr>
        <w:rFonts w:hint="eastAsia" w:ascii="宋体" w:hAnsi="宋体" w:eastAsia="宋体" w:cs="宋体"/>
        <w:b/>
        <w:bCs/>
        <w:szCs w:val="21"/>
      </w:rPr>
      <w:fldChar w:fldCharType="end"/>
    </w:r>
    <w:r>
      <w:rPr>
        <w:rFonts w:hint="eastAsia" w:ascii="宋体" w:hAnsi="宋体" w:eastAsia="宋体" w:cs="宋体"/>
        <w:b/>
        <w:bCs/>
        <w:szCs w:val="21"/>
      </w:rPr>
      <w:t xml:space="preserve"> 页 共 </w:t>
    </w:r>
    <w:r>
      <w:rPr>
        <w:rFonts w:hint="eastAsia" w:ascii="宋体" w:hAnsi="宋体" w:eastAsia="宋体" w:cs="宋体"/>
        <w:b/>
        <w:bCs/>
        <w:szCs w:val="21"/>
      </w:rPr>
      <w:fldChar w:fldCharType="begin"/>
    </w:r>
    <w:r>
      <w:rPr>
        <w:rFonts w:hint="eastAsia" w:ascii="宋体" w:hAnsi="宋体" w:eastAsia="宋体" w:cs="宋体"/>
        <w:b/>
        <w:bCs/>
        <w:szCs w:val="21"/>
      </w:rPr>
      <w:instrText xml:space="preserve"> NUMPAGES </w:instrText>
    </w:r>
    <w:r>
      <w:rPr>
        <w:rFonts w:hint="eastAsia" w:ascii="宋体" w:hAnsi="宋体" w:eastAsia="宋体" w:cs="宋体"/>
        <w:b/>
        <w:bCs/>
        <w:szCs w:val="21"/>
      </w:rPr>
      <w:fldChar w:fldCharType="separate"/>
    </w:r>
    <w:r>
      <w:rPr>
        <w:rFonts w:ascii="宋体" w:hAnsi="宋体" w:eastAsia="宋体" w:cs="宋体"/>
        <w:b/>
        <w:bCs/>
        <w:szCs w:val="21"/>
      </w:rPr>
      <w:t>62</w:t>
    </w:r>
    <w:r>
      <w:rPr>
        <w:rFonts w:hint="eastAsia" w:ascii="宋体" w:hAnsi="宋体" w:eastAsia="宋体" w:cs="宋体"/>
        <w:b/>
        <w:bCs/>
        <w:szCs w:val="21"/>
      </w:rPr>
      <w:fldChar w:fldCharType="end"/>
    </w:r>
    <w:r>
      <w:rPr>
        <w:rFonts w:hint="eastAsia" w:ascii="宋体" w:hAnsi="宋体" w:eastAsia="宋体" w:cs="宋体"/>
        <w:b/>
        <w:bCs/>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57A42">
    <w:pPr>
      <w:pStyle w:val="30"/>
      <w:pBdr>
        <w:top w:val="single" w:color="auto" w:sz="4" w:space="1"/>
      </w:pBdr>
      <w:rPr>
        <w:rFonts w:ascii="宋体" w:hAnsi="宋体" w:eastAsia="宋体" w:cs="宋体"/>
        <w:b/>
        <w:bCs/>
      </w:rPr>
    </w:pPr>
    <w:r>
      <w:rPr>
        <w:rFonts w:hint="eastAsia" w:ascii="宋体" w:hAnsi="宋体" w:eastAsia="宋体"/>
        <w:b/>
        <w:bCs/>
        <w:snapToGrid/>
        <w:kern w:val="2"/>
        <w:lang w:eastAsia="zh-CN"/>
      </w:rPr>
      <w:t>浙江鼎峰工程咨询有限公司</w:t>
    </w:r>
    <w:r>
      <w:rPr>
        <w:rFonts w:hint="eastAsia" w:ascii="宋体" w:hAnsi="宋体" w:eastAsia="宋体"/>
        <w:b/>
        <w:bCs/>
        <w:snapToGrid/>
        <w:kern w:val="2"/>
      </w:rPr>
      <w:t xml:space="preserve">  </w:t>
    </w:r>
    <w:r>
      <w:rPr>
        <w:rFonts w:hint="eastAsia"/>
        <w:b/>
        <w:bCs/>
        <w:szCs w:val="21"/>
      </w:rPr>
      <w:t xml:space="preserve">                                                   </w:t>
    </w:r>
    <w:r>
      <w:rPr>
        <w:rFonts w:hint="eastAsia" w:ascii="宋体" w:hAnsi="宋体" w:eastAsia="宋体" w:cs="宋体"/>
        <w:b/>
        <w:bCs/>
        <w:szCs w:val="21"/>
      </w:rPr>
      <w:t xml:space="preserve"> 第 </w:t>
    </w:r>
    <w:r>
      <w:rPr>
        <w:rFonts w:hint="eastAsia" w:ascii="宋体" w:hAnsi="宋体" w:eastAsia="宋体" w:cs="宋体"/>
        <w:b/>
        <w:bCs/>
        <w:szCs w:val="21"/>
      </w:rPr>
      <w:fldChar w:fldCharType="begin"/>
    </w:r>
    <w:r>
      <w:rPr>
        <w:rFonts w:hint="eastAsia" w:ascii="宋体" w:hAnsi="宋体" w:eastAsia="宋体" w:cs="宋体"/>
        <w:b/>
        <w:bCs/>
        <w:szCs w:val="21"/>
      </w:rPr>
      <w:instrText xml:space="preserve"> PAGE </w:instrText>
    </w:r>
    <w:r>
      <w:rPr>
        <w:rFonts w:hint="eastAsia" w:ascii="宋体" w:hAnsi="宋体" w:eastAsia="宋体" w:cs="宋体"/>
        <w:b/>
        <w:bCs/>
        <w:szCs w:val="21"/>
      </w:rPr>
      <w:fldChar w:fldCharType="separate"/>
    </w:r>
    <w:r>
      <w:rPr>
        <w:rFonts w:ascii="宋体" w:hAnsi="宋体" w:eastAsia="宋体" w:cs="宋体"/>
        <w:b/>
        <w:bCs/>
        <w:szCs w:val="21"/>
      </w:rPr>
      <w:t>40</w:t>
    </w:r>
    <w:r>
      <w:rPr>
        <w:rFonts w:hint="eastAsia" w:ascii="宋体" w:hAnsi="宋体" w:eastAsia="宋体" w:cs="宋体"/>
        <w:b/>
        <w:bCs/>
        <w:szCs w:val="21"/>
      </w:rPr>
      <w:fldChar w:fldCharType="end"/>
    </w:r>
    <w:r>
      <w:rPr>
        <w:rFonts w:hint="eastAsia" w:ascii="宋体" w:hAnsi="宋体" w:eastAsia="宋体" w:cs="宋体"/>
        <w:b/>
        <w:bCs/>
        <w:szCs w:val="21"/>
      </w:rPr>
      <w:t xml:space="preserve"> 页 共 </w:t>
    </w:r>
    <w:r>
      <w:rPr>
        <w:rFonts w:hint="eastAsia" w:ascii="宋体" w:hAnsi="宋体" w:eastAsia="宋体" w:cs="宋体"/>
        <w:b/>
        <w:bCs/>
        <w:szCs w:val="21"/>
      </w:rPr>
      <w:fldChar w:fldCharType="begin"/>
    </w:r>
    <w:r>
      <w:rPr>
        <w:rFonts w:hint="eastAsia" w:ascii="宋体" w:hAnsi="宋体" w:eastAsia="宋体" w:cs="宋体"/>
        <w:b/>
        <w:bCs/>
        <w:szCs w:val="21"/>
      </w:rPr>
      <w:instrText xml:space="preserve"> NUMPAGES </w:instrText>
    </w:r>
    <w:r>
      <w:rPr>
        <w:rFonts w:hint="eastAsia" w:ascii="宋体" w:hAnsi="宋体" w:eastAsia="宋体" w:cs="宋体"/>
        <w:b/>
        <w:bCs/>
        <w:szCs w:val="21"/>
      </w:rPr>
      <w:fldChar w:fldCharType="separate"/>
    </w:r>
    <w:r>
      <w:rPr>
        <w:rFonts w:ascii="宋体" w:hAnsi="宋体" w:eastAsia="宋体" w:cs="宋体"/>
        <w:b/>
        <w:bCs/>
        <w:szCs w:val="21"/>
      </w:rPr>
      <w:t>62</w:t>
    </w:r>
    <w:r>
      <w:rPr>
        <w:rFonts w:hint="eastAsia" w:ascii="宋体" w:hAnsi="宋体" w:eastAsia="宋体" w:cs="宋体"/>
        <w:b/>
        <w:bCs/>
        <w:szCs w:val="21"/>
      </w:rPr>
      <w:fldChar w:fldCharType="end"/>
    </w:r>
    <w:r>
      <w:rPr>
        <w:rFonts w:hint="eastAsia" w:ascii="宋体" w:hAnsi="宋体" w:eastAsia="宋体" w:cs="宋体"/>
        <w:b/>
        <w:bCs/>
        <w:szCs w:val="21"/>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834EF">
    <w:pPr>
      <w:pStyle w:val="31"/>
      <w:rPr>
        <w:b/>
        <w:bCs/>
      </w:rPr>
    </w:pPr>
    <w:r>
      <w:rPr>
        <w:rFonts w:hint="eastAsia"/>
        <w:b/>
        <w:bCs/>
        <w:lang w:eastAsia="zh-CN"/>
      </w:rPr>
      <w:t>浙江鼎峰工程咨询有限公司</w:t>
    </w:r>
    <w:r>
      <w:rPr>
        <w:rFonts w:hint="eastAsia"/>
        <w:b/>
        <w:bCs/>
      </w:rPr>
      <w:t xml:space="preserve">                                                       第 </w:t>
    </w:r>
    <w:r>
      <w:rPr>
        <w:rFonts w:hint="eastAsia"/>
        <w:b/>
        <w:bCs/>
      </w:rPr>
      <w:fldChar w:fldCharType="begin"/>
    </w:r>
    <w:r>
      <w:rPr>
        <w:rFonts w:hint="eastAsia"/>
        <w:b/>
        <w:bCs/>
      </w:rPr>
      <w:instrText xml:space="preserve"> PAGE </w:instrText>
    </w:r>
    <w:r>
      <w:rPr>
        <w:rFonts w:hint="eastAsia"/>
        <w:b/>
        <w:bCs/>
      </w:rPr>
      <w:fldChar w:fldCharType="separate"/>
    </w:r>
    <w:r>
      <w:rPr>
        <w:b/>
        <w:bCs/>
      </w:rPr>
      <w:t>58</w:t>
    </w:r>
    <w:r>
      <w:rPr>
        <w:rFonts w:hint="eastAsia"/>
        <w:b/>
        <w:bCs/>
      </w:rPr>
      <w:fldChar w:fldCharType="end"/>
    </w:r>
    <w:r>
      <w:rPr>
        <w:rFonts w:hint="eastAsia"/>
        <w:b/>
        <w:bCs/>
      </w:rPr>
      <w:t xml:space="preserve"> 页 共 </w:t>
    </w:r>
    <w:r>
      <w:rPr>
        <w:rFonts w:hint="eastAsia"/>
        <w:b/>
        <w:bCs/>
      </w:rPr>
      <w:fldChar w:fldCharType="begin"/>
    </w:r>
    <w:r>
      <w:rPr>
        <w:rFonts w:hint="eastAsia"/>
        <w:b/>
        <w:bCs/>
      </w:rPr>
      <w:instrText xml:space="preserve"> NUMPAGES </w:instrText>
    </w:r>
    <w:r>
      <w:rPr>
        <w:rFonts w:hint="eastAsia"/>
        <w:b/>
        <w:bCs/>
      </w:rPr>
      <w:fldChar w:fldCharType="separate"/>
    </w:r>
    <w:r>
      <w:rPr>
        <w:b/>
        <w:bCs/>
      </w:rPr>
      <w:t>62</w:t>
    </w:r>
    <w:r>
      <w:rPr>
        <w:rFonts w:hint="eastAsia"/>
        <w:b/>
        <w:bCs/>
      </w:rPr>
      <w:fldChar w:fldCharType="end"/>
    </w:r>
    <w:r>
      <w:rPr>
        <w:rFonts w:hint="eastAsia"/>
        <w:b/>
        <w:bCs/>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EE093">
    <w:pPr>
      <w:pStyle w:val="31"/>
      <w:jc w:val="left"/>
    </w:pPr>
    <w:r>
      <w:rPr>
        <w:rFonts w:hint="eastAsia" w:ascii="宋体" w:hAnsi="宋体"/>
        <w:b/>
        <w:bCs/>
        <w:lang w:eastAsia="zh-CN"/>
      </w:rPr>
      <w:t>青田县交通运输局非现场执法设备运维服务项目</w:t>
    </w:r>
    <w:r>
      <w:rPr>
        <w:rFonts w:hint="eastAsia" w:ascii="宋体" w:hAnsi="宋体"/>
        <w:b/>
        <w:bCs/>
      </w:rPr>
      <w:t xml:space="preserve">    </w:t>
    </w:r>
    <w:r>
      <w:rPr>
        <w:rFonts w:ascii="宋体" w:hAnsi="宋体"/>
        <w:sz w:val="24"/>
        <w:szCs w:val="24"/>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0DE27">
    <w:pPr>
      <w:pStyle w:val="31"/>
      <w:jc w:val="left"/>
      <w:rPr>
        <w:rFonts w:hint="eastAsia" w:ascii="宋体" w:hAnsi="宋体" w:eastAsia="宋体" w:cs="宋体"/>
        <w:b/>
        <w:bCs w:val="0"/>
        <w:sz w:val="21"/>
        <w:szCs w:val="21"/>
        <w:lang w:eastAsia="zh-CN"/>
      </w:rPr>
    </w:pPr>
    <w:r>
      <w:rPr>
        <w:rFonts w:hint="eastAsia" w:ascii="宋体" w:hAnsi="宋体" w:cs="宋体"/>
        <w:b/>
        <w:bCs w:val="0"/>
        <w:sz w:val="21"/>
        <w:szCs w:val="21"/>
        <w:lang w:eastAsia="zh-CN"/>
        <w14:shadow w14:blurRad="50800" w14:dist="38100" w14:dir="2700000" w14:sx="100000" w14:sy="100000" w14:kx="0" w14:ky="0" w14:algn="tl">
          <w14:srgbClr w14:val="000000">
            <w14:alpha w14:val="60000"/>
          </w14:srgbClr>
        </w14:shadow>
      </w:rPr>
      <w:t>青田县交通运输局非现场执法设备运维服务项目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040399">
    <w:pPr>
      <w:pStyle w:val="31"/>
      <w:jc w:val="left"/>
      <w:rPr>
        <w:rFonts w:hint="eastAsia" w:ascii="宋体" w:hAnsi="宋体" w:eastAsia="宋体" w:cs="宋体"/>
        <w:sz w:val="21"/>
        <w:szCs w:val="21"/>
        <w:lang w:eastAsia="zh-CN"/>
      </w:rPr>
    </w:pPr>
    <w:r>
      <w:rPr>
        <w:rFonts w:hint="eastAsia" w:ascii="宋体" w:hAnsi="宋体" w:cs="宋体"/>
        <w:b/>
        <w:sz w:val="21"/>
        <w:szCs w:val="21"/>
        <w:lang w:eastAsia="zh-CN"/>
        <w14:shadow w14:blurRad="50800" w14:dist="38100" w14:dir="2700000" w14:sx="100000" w14:sy="100000" w14:kx="0" w14:ky="0" w14:algn="tl">
          <w14:srgbClr w14:val="000000">
            <w14:alpha w14:val="60000"/>
          </w14:srgbClr>
        </w14:shadow>
      </w:rPr>
      <w:t>青田县交通运输局非现场执法设备运维服务项目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4CB014"/>
    <w:multiLevelType w:val="singleLevel"/>
    <w:tmpl w:val="834CB014"/>
    <w:lvl w:ilvl="0" w:tentative="0">
      <w:start w:val="2"/>
      <w:numFmt w:val="chineseCounting"/>
      <w:suff w:val="space"/>
      <w:lvlText w:val="第%1章"/>
      <w:lvlJc w:val="left"/>
      <w:rPr>
        <w:rFonts w:hint="eastAsia"/>
      </w:rPr>
    </w:lvl>
  </w:abstractNum>
  <w:abstractNum w:abstractNumId="1">
    <w:nsid w:val="A12CD9D6"/>
    <w:multiLevelType w:val="singleLevel"/>
    <w:tmpl w:val="A12CD9D6"/>
    <w:lvl w:ilvl="0" w:tentative="0">
      <w:start w:val="6"/>
      <w:numFmt w:val="chineseCounting"/>
      <w:suff w:val="space"/>
      <w:lvlText w:val="第%1章"/>
      <w:lvlJc w:val="left"/>
      <w:rPr>
        <w:rFonts w:hint="eastAsia"/>
      </w:rPr>
    </w:lvl>
  </w:abstractNum>
  <w:abstractNum w:abstractNumId="2">
    <w:nsid w:val="1B558E56"/>
    <w:multiLevelType w:val="singleLevel"/>
    <w:tmpl w:val="1B558E56"/>
    <w:lvl w:ilvl="0" w:tentative="0">
      <w:start w:val="1"/>
      <w:numFmt w:val="decimal"/>
      <w:suff w:val="nothing"/>
      <w:lvlText w:val="（%1）"/>
      <w:lvlJc w:val="left"/>
    </w:lvl>
  </w:abstractNum>
  <w:abstractNum w:abstractNumId="3">
    <w:nsid w:val="54F403B5"/>
    <w:multiLevelType w:val="singleLevel"/>
    <w:tmpl w:val="54F403B5"/>
    <w:lvl w:ilvl="0" w:tentative="0">
      <w:start w:val="1"/>
      <w:numFmt w:val="chineseCounting"/>
      <w:suff w:val="nothing"/>
      <w:lvlText w:val="%1、"/>
      <w:lvlJc w:val="left"/>
    </w:lvl>
  </w:abstractNum>
  <w:abstractNum w:abstractNumId="4">
    <w:nsid w:val="557FD3DA"/>
    <w:multiLevelType w:val="singleLevel"/>
    <w:tmpl w:val="557FD3DA"/>
    <w:lvl w:ilvl="0" w:tentative="0">
      <w:start w:val="3"/>
      <w:numFmt w:val="chineseCounting"/>
      <w:suff w:val="nothing"/>
      <w:lvlText w:val="%1、"/>
      <w:lvlJc w:val="left"/>
    </w:lvl>
  </w:abstractNum>
  <w:abstractNum w:abstractNumId="5">
    <w:nsid w:val="763060DB"/>
    <w:multiLevelType w:val="multilevel"/>
    <w:tmpl w:val="763060DB"/>
    <w:lvl w:ilvl="0" w:tentative="0">
      <w:start w:val="1"/>
      <w:numFmt w:val="japaneseCounting"/>
      <w:lvlText w:val="第%1章"/>
      <w:lvlJc w:val="left"/>
      <w:pPr>
        <w:tabs>
          <w:tab w:val="left" w:pos="1995"/>
        </w:tabs>
        <w:ind w:left="1995" w:hanging="1275"/>
      </w:pPr>
      <w:rPr>
        <w:rFonts w:hint="eastAsia"/>
      </w:rPr>
    </w:lvl>
    <w:lvl w:ilvl="1" w:tentative="0">
      <w:start w:val="1"/>
      <w:numFmt w:val="japaneseCounting"/>
      <w:lvlText w:val="%2、"/>
      <w:lvlJc w:val="left"/>
      <w:pPr>
        <w:tabs>
          <w:tab w:val="left" w:pos="1860"/>
        </w:tabs>
        <w:ind w:left="1860" w:hanging="720"/>
      </w:pPr>
      <w:rPr>
        <w:rFonts w:hint="eastAsia"/>
      </w:rPr>
    </w:lvl>
    <w:lvl w:ilvl="2" w:tentative="0">
      <w:start w:val="1"/>
      <w:numFmt w:val="lowerRoman"/>
      <w:pStyle w:val="164"/>
      <w:lvlText w:val="%3."/>
      <w:lvlJc w:val="right"/>
      <w:pPr>
        <w:tabs>
          <w:tab w:val="left" w:pos="1980"/>
        </w:tabs>
        <w:ind w:left="1980" w:hanging="420"/>
      </w:pPr>
    </w:lvl>
    <w:lvl w:ilvl="3" w:tentative="0">
      <w:start w:val="1"/>
      <w:numFmt w:val="decimal"/>
      <w:lvlText w:val="%4."/>
      <w:lvlJc w:val="left"/>
      <w:pPr>
        <w:tabs>
          <w:tab w:val="left" w:pos="2400"/>
        </w:tabs>
        <w:ind w:left="2400" w:hanging="420"/>
      </w:pPr>
    </w:lvl>
    <w:lvl w:ilvl="4" w:tentative="0">
      <w:start w:val="1"/>
      <w:numFmt w:val="lowerLetter"/>
      <w:lvlText w:val="%5)"/>
      <w:lvlJc w:val="left"/>
      <w:pPr>
        <w:tabs>
          <w:tab w:val="left" w:pos="2820"/>
        </w:tabs>
        <w:ind w:left="2820" w:hanging="420"/>
      </w:pPr>
    </w:lvl>
    <w:lvl w:ilvl="5" w:tentative="0">
      <w:start w:val="1"/>
      <w:numFmt w:val="lowerRoman"/>
      <w:lvlText w:val="%6."/>
      <w:lvlJc w:val="right"/>
      <w:pPr>
        <w:tabs>
          <w:tab w:val="left" w:pos="3240"/>
        </w:tabs>
        <w:ind w:left="3240" w:hanging="420"/>
      </w:pPr>
    </w:lvl>
    <w:lvl w:ilvl="6" w:tentative="0">
      <w:start w:val="1"/>
      <w:numFmt w:val="decimal"/>
      <w:lvlText w:val="%7."/>
      <w:lvlJc w:val="left"/>
      <w:pPr>
        <w:tabs>
          <w:tab w:val="left" w:pos="3660"/>
        </w:tabs>
        <w:ind w:left="3660" w:hanging="420"/>
      </w:pPr>
    </w:lvl>
    <w:lvl w:ilvl="7" w:tentative="0">
      <w:start w:val="1"/>
      <w:numFmt w:val="lowerLetter"/>
      <w:lvlText w:val="%8)"/>
      <w:lvlJc w:val="left"/>
      <w:pPr>
        <w:tabs>
          <w:tab w:val="left" w:pos="4080"/>
        </w:tabs>
        <w:ind w:left="4080" w:hanging="420"/>
      </w:pPr>
    </w:lvl>
    <w:lvl w:ilvl="8" w:tentative="0">
      <w:start w:val="1"/>
      <w:numFmt w:val="lowerRoman"/>
      <w:lvlText w:val="%9."/>
      <w:lvlJc w:val="right"/>
      <w:pPr>
        <w:tabs>
          <w:tab w:val="left" w:pos="4500"/>
        </w:tabs>
        <w:ind w:left="4500" w:hanging="420"/>
      </w:pPr>
    </w:lvl>
  </w:abstractNum>
  <w:num w:numId="1">
    <w:abstractNumId w:val="5"/>
  </w:num>
  <w:num w:numId="2">
    <w:abstractNumId w:val="0"/>
  </w:num>
  <w:num w:numId="3">
    <w:abstractNumId w:val="2"/>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I5YTNhZDlhZDVkNWViZWU0NGMxZGFkNGY5MTI1ZTEifQ=="/>
  </w:docVars>
  <w:rsids>
    <w:rsidRoot w:val="00172A27"/>
    <w:rsid w:val="0000026E"/>
    <w:rsid w:val="00002901"/>
    <w:rsid w:val="00004BE9"/>
    <w:rsid w:val="00005689"/>
    <w:rsid w:val="00005F2C"/>
    <w:rsid w:val="0000628F"/>
    <w:rsid w:val="000078F3"/>
    <w:rsid w:val="000105B1"/>
    <w:rsid w:val="00012E28"/>
    <w:rsid w:val="000131BB"/>
    <w:rsid w:val="00013654"/>
    <w:rsid w:val="000165E2"/>
    <w:rsid w:val="000169E9"/>
    <w:rsid w:val="00016E9F"/>
    <w:rsid w:val="00017572"/>
    <w:rsid w:val="00017C74"/>
    <w:rsid w:val="000218B1"/>
    <w:rsid w:val="00021E17"/>
    <w:rsid w:val="00022D8A"/>
    <w:rsid w:val="00023144"/>
    <w:rsid w:val="00024A1D"/>
    <w:rsid w:val="000254DF"/>
    <w:rsid w:val="00025EC4"/>
    <w:rsid w:val="00030222"/>
    <w:rsid w:val="0003075A"/>
    <w:rsid w:val="00031EB4"/>
    <w:rsid w:val="00032423"/>
    <w:rsid w:val="00033C2A"/>
    <w:rsid w:val="00035A9E"/>
    <w:rsid w:val="0003693D"/>
    <w:rsid w:val="000375AC"/>
    <w:rsid w:val="00041671"/>
    <w:rsid w:val="0004213C"/>
    <w:rsid w:val="000427F9"/>
    <w:rsid w:val="00046E89"/>
    <w:rsid w:val="00050713"/>
    <w:rsid w:val="00051729"/>
    <w:rsid w:val="0005599A"/>
    <w:rsid w:val="00055BCF"/>
    <w:rsid w:val="00055F1D"/>
    <w:rsid w:val="000572F0"/>
    <w:rsid w:val="000573FB"/>
    <w:rsid w:val="0005756F"/>
    <w:rsid w:val="0005793A"/>
    <w:rsid w:val="00061B3B"/>
    <w:rsid w:val="00061F29"/>
    <w:rsid w:val="00062A58"/>
    <w:rsid w:val="000648B8"/>
    <w:rsid w:val="00064B57"/>
    <w:rsid w:val="0006586E"/>
    <w:rsid w:val="0006791B"/>
    <w:rsid w:val="00067FB0"/>
    <w:rsid w:val="000713D6"/>
    <w:rsid w:val="000733F3"/>
    <w:rsid w:val="00075DF4"/>
    <w:rsid w:val="0007771C"/>
    <w:rsid w:val="000809DF"/>
    <w:rsid w:val="00083C30"/>
    <w:rsid w:val="000840B3"/>
    <w:rsid w:val="0008616F"/>
    <w:rsid w:val="000864D0"/>
    <w:rsid w:val="0008712A"/>
    <w:rsid w:val="00087503"/>
    <w:rsid w:val="000904DE"/>
    <w:rsid w:val="0009216D"/>
    <w:rsid w:val="00094B9C"/>
    <w:rsid w:val="00094FE7"/>
    <w:rsid w:val="00095AB9"/>
    <w:rsid w:val="00095B3A"/>
    <w:rsid w:val="00096E0A"/>
    <w:rsid w:val="00097136"/>
    <w:rsid w:val="000A078E"/>
    <w:rsid w:val="000A1717"/>
    <w:rsid w:val="000A39FD"/>
    <w:rsid w:val="000A4CD9"/>
    <w:rsid w:val="000A54FD"/>
    <w:rsid w:val="000A6268"/>
    <w:rsid w:val="000A656E"/>
    <w:rsid w:val="000A7CA5"/>
    <w:rsid w:val="000B014F"/>
    <w:rsid w:val="000B0E00"/>
    <w:rsid w:val="000B1405"/>
    <w:rsid w:val="000B3F16"/>
    <w:rsid w:val="000B5CE6"/>
    <w:rsid w:val="000B6651"/>
    <w:rsid w:val="000B7B11"/>
    <w:rsid w:val="000C1AFF"/>
    <w:rsid w:val="000C4D12"/>
    <w:rsid w:val="000D08D4"/>
    <w:rsid w:val="000D0E1D"/>
    <w:rsid w:val="000D1341"/>
    <w:rsid w:val="000D14A7"/>
    <w:rsid w:val="000D16D1"/>
    <w:rsid w:val="000D17C0"/>
    <w:rsid w:val="000D2228"/>
    <w:rsid w:val="000D3A80"/>
    <w:rsid w:val="000D7BE0"/>
    <w:rsid w:val="000E0D93"/>
    <w:rsid w:val="000E0EE8"/>
    <w:rsid w:val="000E1BD9"/>
    <w:rsid w:val="000E3197"/>
    <w:rsid w:val="000E422F"/>
    <w:rsid w:val="000E4D56"/>
    <w:rsid w:val="000E6DB0"/>
    <w:rsid w:val="000F1CF4"/>
    <w:rsid w:val="000F1D66"/>
    <w:rsid w:val="000F2E9A"/>
    <w:rsid w:val="000F6898"/>
    <w:rsid w:val="00100D6C"/>
    <w:rsid w:val="00100E87"/>
    <w:rsid w:val="00101BB2"/>
    <w:rsid w:val="001034A7"/>
    <w:rsid w:val="001060C2"/>
    <w:rsid w:val="00107071"/>
    <w:rsid w:val="00110130"/>
    <w:rsid w:val="00111104"/>
    <w:rsid w:val="00111D8F"/>
    <w:rsid w:val="00111E1B"/>
    <w:rsid w:val="001122CB"/>
    <w:rsid w:val="00114227"/>
    <w:rsid w:val="00117098"/>
    <w:rsid w:val="00121A2D"/>
    <w:rsid w:val="00122E67"/>
    <w:rsid w:val="0012483C"/>
    <w:rsid w:val="001271F9"/>
    <w:rsid w:val="0013027D"/>
    <w:rsid w:val="00130CBC"/>
    <w:rsid w:val="00131D77"/>
    <w:rsid w:val="001328EF"/>
    <w:rsid w:val="0013569E"/>
    <w:rsid w:val="00136060"/>
    <w:rsid w:val="00137A57"/>
    <w:rsid w:val="0014115A"/>
    <w:rsid w:val="00141C32"/>
    <w:rsid w:val="00143432"/>
    <w:rsid w:val="00145AB3"/>
    <w:rsid w:val="00146E79"/>
    <w:rsid w:val="00151893"/>
    <w:rsid w:val="00151C22"/>
    <w:rsid w:val="001520D0"/>
    <w:rsid w:val="00152BA7"/>
    <w:rsid w:val="00152EC2"/>
    <w:rsid w:val="0015477D"/>
    <w:rsid w:val="00155194"/>
    <w:rsid w:val="001560E6"/>
    <w:rsid w:val="00156A4E"/>
    <w:rsid w:val="0016073F"/>
    <w:rsid w:val="001607F5"/>
    <w:rsid w:val="00161350"/>
    <w:rsid w:val="001617D1"/>
    <w:rsid w:val="00164CF1"/>
    <w:rsid w:val="00165987"/>
    <w:rsid w:val="001662D6"/>
    <w:rsid w:val="00167CB3"/>
    <w:rsid w:val="00171FC9"/>
    <w:rsid w:val="00172A27"/>
    <w:rsid w:val="00172C20"/>
    <w:rsid w:val="001732EF"/>
    <w:rsid w:val="001747FE"/>
    <w:rsid w:val="00175B1A"/>
    <w:rsid w:val="00183F6A"/>
    <w:rsid w:val="001847A5"/>
    <w:rsid w:val="001851CB"/>
    <w:rsid w:val="0018658B"/>
    <w:rsid w:val="00186A6E"/>
    <w:rsid w:val="00187AA8"/>
    <w:rsid w:val="001900DF"/>
    <w:rsid w:val="00193B09"/>
    <w:rsid w:val="001941D4"/>
    <w:rsid w:val="001945E7"/>
    <w:rsid w:val="00194FFE"/>
    <w:rsid w:val="00195613"/>
    <w:rsid w:val="00195A42"/>
    <w:rsid w:val="00195BE3"/>
    <w:rsid w:val="00196442"/>
    <w:rsid w:val="001965BA"/>
    <w:rsid w:val="00197FDC"/>
    <w:rsid w:val="001A0E00"/>
    <w:rsid w:val="001A0F0E"/>
    <w:rsid w:val="001A0FA6"/>
    <w:rsid w:val="001A2B82"/>
    <w:rsid w:val="001A3DC1"/>
    <w:rsid w:val="001A4285"/>
    <w:rsid w:val="001A4A2B"/>
    <w:rsid w:val="001A7BE9"/>
    <w:rsid w:val="001A7E70"/>
    <w:rsid w:val="001B013B"/>
    <w:rsid w:val="001B01C2"/>
    <w:rsid w:val="001B11A9"/>
    <w:rsid w:val="001B1435"/>
    <w:rsid w:val="001B14DE"/>
    <w:rsid w:val="001B18CD"/>
    <w:rsid w:val="001B5FFF"/>
    <w:rsid w:val="001B606B"/>
    <w:rsid w:val="001B60A9"/>
    <w:rsid w:val="001B7657"/>
    <w:rsid w:val="001C0F06"/>
    <w:rsid w:val="001C1020"/>
    <w:rsid w:val="001C3826"/>
    <w:rsid w:val="001C39CA"/>
    <w:rsid w:val="001C4239"/>
    <w:rsid w:val="001C4C64"/>
    <w:rsid w:val="001D0105"/>
    <w:rsid w:val="001D202B"/>
    <w:rsid w:val="001D3883"/>
    <w:rsid w:val="001D5101"/>
    <w:rsid w:val="001D65D0"/>
    <w:rsid w:val="001D7A8A"/>
    <w:rsid w:val="001D7C9E"/>
    <w:rsid w:val="001E1BB8"/>
    <w:rsid w:val="001E5B80"/>
    <w:rsid w:val="001E6054"/>
    <w:rsid w:val="001E71F4"/>
    <w:rsid w:val="001E7385"/>
    <w:rsid w:val="001E7509"/>
    <w:rsid w:val="001F4349"/>
    <w:rsid w:val="001F4F33"/>
    <w:rsid w:val="001F4F64"/>
    <w:rsid w:val="001F57D2"/>
    <w:rsid w:val="001F61EC"/>
    <w:rsid w:val="00201F2E"/>
    <w:rsid w:val="00202D13"/>
    <w:rsid w:val="00203D5C"/>
    <w:rsid w:val="00205393"/>
    <w:rsid w:val="00205E03"/>
    <w:rsid w:val="00212372"/>
    <w:rsid w:val="00212E37"/>
    <w:rsid w:val="00213CCB"/>
    <w:rsid w:val="0021772B"/>
    <w:rsid w:val="00217AA9"/>
    <w:rsid w:val="00222D4D"/>
    <w:rsid w:val="002232EE"/>
    <w:rsid w:val="00226732"/>
    <w:rsid w:val="0022690C"/>
    <w:rsid w:val="00227220"/>
    <w:rsid w:val="00227612"/>
    <w:rsid w:val="00230A21"/>
    <w:rsid w:val="002310EA"/>
    <w:rsid w:val="00233CD6"/>
    <w:rsid w:val="00234829"/>
    <w:rsid w:val="002352DC"/>
    <w:rsid w:val="00236389"/>
    <w:rsid w:val="0023695F"/>
    <w:rsid w:val="00236DCD"/>
    <w:rsid w:val="00241630"/>
    <w:rsid w:val="00241CE0"/>
    <w:rsid w:val="00242782"/>
    <w:rsid w:val="00242B9E"/>
    <w:rsid w:val="00243FF7"/>
    <w:rsid w:val="00244404"/>
    <w:rsid w:val="002448DA"/>
    <w:rsid w:val="00247542"/>
    <w:rsid w:val="0025050A"/>
    <w:rsid w:val="002530E8"/>
    <w:rsid w:val="00254C53"/>
    <w:rsid w:val="0025523B"/>
    <w:rsid w:val="002575F5"/>
    <w:rsid w:val="002627B7"/>
    <w:rsid w:val="00271B61"/>
    <w:rsid w:val="00272C5A"/>
    <w:rsid w:val="002750A2"/>
    <w:rsid w:val="00275402"/>
    <w:rsid w:val="0027660A"/>
    <w:rsid w:val="00277834"/>
    <w:rsid w:val="0028209B"/>
    <w:rsid w:val="0028494B"/>
    <w:rsid w:val="002901BC"/>
    <w:rsid w:val="00291FBC"/>
    <w:rsid w:val="00294FE6"/>
    <w:rsid w:val="0029595F"/>
    <w:rsid w:val="00295D70"/>
    <w:rsid w:val="0029757B"/>
    <w:rsid w:val="002A0891"/>
    <w:rsid w:val="002A0DB7"/>
    <w:rsid w:val="002A14D8"/>
    <w:rsid w:val="002A1B21"/>
    <w:rsid w:val="002A46D7"/>
    <w:rsid w:val="002B1CD7"/>
    <w:rsid w:val="002B2708"/>
    <w:rsid w:val="002B2E2A"/>
    <w:rsid w:val="002B39F7"/>
    <w:rsid w:val="002B3F11"/>
    <w:rsid w:val="002B5361"/>
    <w:rsid w:val="002B5B7B"/>
    <w:rsid w:val="002B7B1D"/>
    <w:rsid w:val="002B7CAD"/>
    <w:rsid w:val="002C02DF"/>
    <w:rsid w:val="002C0740"/>
    <w:rsid w:val="002C0A52"/>
    <w:rsid w:val="002C2C97"/>
    <w:rsid w:val="002C3D71"/>
    <w:rsid w:val="002C4473"/>
    <w:rsid w:val="002C6959"/>
    <w:rsid w:val="002D1499"/>
    <w:rsid w:val="002D165C"/>
    <w:rsid w:val="002D1CD7"/>
    <w:rsid w:val="002D1D24"/>
    <w:rsid w:val="002D4126"/>
    <w:rsid w:val="002D4E9C"/>
    <w:rsid w:val="002D5047"/>
    <w:rsid w:val="002D66DB"/>
    <w:rsid w:val="002D72DE"/>
    <w:rsid w:val="002E130E"/>
    <w:rsid w:val="002E1DF8"/>
    <w:rsid w:val="002E2776"/>
    <w:rsid w:val="002E501A"/>
    <w:rsid w:val="002E5D10"/>
    <w:rsid w:val="002E7DEB"/>
    <w:rsid w:val="002F0009"/>
    <w:rsid w:val="002F0BC2"/>
    <w:rsid w:val="002F5552"/>
    <w:rsid w:val="002F6D22"/>
    <w:rsid w:val="002F7B5F"/>
    <w:rsid w:val="0030049B"/>
    <w:rsid w:val="00300DDE"/>
    <w:rsid w:val="003012EC"/>
    <w:rsid w:val="00301920"/>
    <w:rsid w:val="00301FC5"/>
    <w:rsid w:val="00302415"/>
    <w:rsid w:val="00305065"/>
    <w:rsid w:val="00305719"/>
    <w:rsid w:val="003068ED"/>
    <w:rsid w:val="00310D7B"/>
    <w:rsid w:val="00311486"/>
    <w:rsid w:val="00311B5E"/>
    <w:rsid w:val="00311E05"/>
    <w:rsid w:val="0031249E"/>
    <w:rsid w:val="0031314E"/>
    <w:rsid w:val="00313425"/>
    <w:rsid w:val="00313B0A"/>
    <w:rsid w:val="00317329"/>
    <w:rsid w:val="00322CAB"/>
    <w:rsid w:val="00326BC7"/>
    <w:rsid w:val="003322F5"/>
    <w:rsid w:val="00332E25"/>
    <w:rsid w:val="00333602"/>
    <w:rsid w:val="0033429B"/>
    <w:rsid w:val="00334723"/>
    <w:rsid w:val="00334D81"/>
    <w:rsid w:val="00334E9C"/>
    <w:rsid w:val="00340367"/>
    <w:rsid w:val="00340938"/>
    <w:rsid w:val="00340A8E"/>
    <w:rsid w:val="00340DD4"/>
    <w:rsid w:val="00341E89"/>
    <w:rsid w:val="003431E2"/>
    <w:rsid w:val="00344852"/>
    <w:rsid w:val="003452EF"/>
    <w:rsid w:val="00345466"/>
    <w:rsid w:val="00345C9B"/>
    <w:rsid w:val="00346032"/>
    <w:rsid w:val="003463F4"/>
    <w:rsid w:val="00346828"/>
    <w:rsid w:val="003479E0"/>
    <w:rsid w:val="0035043E"/>
    <w:rsid w:val="00352505"/>
    <w:rsid w:val="00353472"/>
    <w:rsid w:val="003546B4"/>
    <w:rsid w:val="00360999"/>
    <w:rsid w:val="003633B7"/>
    <w:rsid w:val="00363740"/>
    <w:rsid w:val="00363D2C"/>
    <w:rsid w:val="00364114"/>
    <w:rsid w:val="00371179"/>
    <w:rsid w:val="00372200"/>
    <w:rsid w:val="00372466"/>
    <w:rsid w:val="003725EB"/>
    <w:rsid w:val="00373614"/>
    <w:rsid w:val="00373B97"/>
    <w:rsid w:val="00376AE1"/>
    <w:rsid w:val="00381643"/>
    <w:rsid w:val="003847EB"/>
    <w:rsid w:val="003859AC"/>
    <w:rsid w:val="003903A2"/>
    <w:rsid w:val="00391D1A"/>
    <w:rsid w:val="0039666C"/>
    <w:rsid w:val="003966F1"/>
    <w:rsid w:val="003A1A02"/>
    <w:rsid w:val="003A20B2"/>
    <w:rsid w:val="003A24FE"/>
    <w:rsid w:val="003A2735"/>
    <w:rsid w:val="003A34B8"/>
    <w:rsid w:val="003A3D1E"/>
    <w:rsid w:val="003A3F57"/>
    <w:rsid w:val="003A5D2E"/>
    <w:rsid w:val="003B08B3"/>
    <w:rsid w:val="003B3483"/>
    <w:rsid w:val="003B44EA"/>
    <w:rsid w:val="003B45F1"/>
    <w:rsid w:val="003B4B7D"/>
    <w:rsid w:val="003B7CB8"/>
    <w:rsid w:val="003C1E2B"/>
    <w:rsid w:val="003C221D"/>
    <w:rsid w:val="003C3B77"/>
    <w:rsid w:val="003C4978"/>
    <w:rsid w:val="003C6010"/>
    <w:rsid w:val="003C7C71"/>
    <w:rsid w:val="003D0A56"/>
    <w:rsid w:val="003D1817"/>
    <w:rsid w:val="003D1D4D"/>
    <w:rsid w:val="003D21CC"/>
    <w:rsid w:val="003D582F"/>
    <w:rsid w:val="003D6656"/>
    <w:rsid w:val="003D712B"/>
    <w:rsid w:val="003E1BC5"/>
    <w:rsid w:val="003E30BA"/>
    <w:rsid w:val="003E322D"/>
    <w:rsid w:val="003E430C"/>
    <w:rsid w:val="003F0198"/>
    <w:rsid w:val="003F061A"/>
    <w:rsid w:val="003F0DDB"/>
    <w:rsid w:val="003F0DE7"/>
    <w:rsid w:val="003F10DC"/>
    <w:rsid w:val="003F14FF"/>
    <w:rsid w:val="003F269C"/>
    <w:rsid w:val="003F2C9B"/>
    <w:rsid w:val="003F2E18"/>
    <w:rsid w:val="003F4650"/>
    <w:rsid w:val="003F6136"/>
    <w:rsid w:val="003F655B"/>
    <w:rsid w:val="003F68B8"/>
    <w:rsid w:val="0040087F"/>
    <w:rsid w:val="00403FB9"/>
    <w:rsid w:val="00404E12"/>
    <w:rsid w:val="0040777F"/>
    <w:rsid w:val="00410E89"/>
    <w:rsid w:val="00410ED2"/>
    <w:rsid w:val="004119FF"/>
    <w:rsid w:val="00414CDD"/>
    <w:rsid w:val="00416319"/>
    <w:rsid w:val="0041671A"/>
    <w:rsid w:val="00417562"/>
    <w:rsid w:val="00417EE8"/>
    <w:rsid w:val="00420C16"/>
    <w:rsid w:val="00422B79"/>
    <w:rsid w:val="00427065"/>
    <w:rsid w:val="00430184"/>
    <w:rsid w:val="00432320"/>
    <w:rsid w:val="00432C97"/>
    <w:rsid w:val="00441850"/>
    <w:rsid w:val="00441F86"/>
    <w:rsid w:val="00442040"/>
    <w:rsid w:val="0044365D"/>
    <w:rsid w:val="00444592"/>
    <w:rsid w:val="00444D30"/>
    <w:rsid w:val="0044536E"/>
    <w:rsid w:val="0044543D"/>
    <w:rsid w:val="0045085F"/>
    <w:rsid w:val="00451F3A"/>
    <w:rsid w:val="0045216A"/>
    <w:rsid w:val="00454F7A"/>
    <w:rsid w:val="0045671D"/>
    <w:rsid w:val="00457CAC"/>
    <w:rsid w:val="004606D0"/>
    <w:rsid w:val="00461D2C"/>
    <w:rsid w:val="0046445A"/>
    <w:rsid w:val="00465F5D"/>
    <w:rsid w:val="00467EC2"/>
    <w:rsid w:val="00471C76"/>
    <w:rsid w:val="004722F7"/>
    <w:rsid w:val="004728BD"/>
    <w:rsid w:val="00474A69"/>
    <w:rsid w:val="00476AA9"/>
    <w:rsid w:val="004774C3"/>
    <w:rsid w:val="00480FF5"/>
    <w:rsid w:val="0048114C"/>
    <w:rsid w:val="00481A5E"/>
    <w:rsid w:val="00482E5A"/>
    <w:rsid w:val="00484518"/>
    <w:rsid w:val="0048531D"/>
    <w:rsid w:val="00485DDB"/>
    <w:rsid w:val="00490D4F"/>
    <w:rsid w:val="004912D4"/>
    <w:rsid w:val="004932E0"/>
    <w:rsid w:val="004948C8"/>
    <w:rsid w:val="00495598"/>
    <w:rsid w:val="004957BB"/>
    <w:rsid w:val="00496F1C"/>
    <w:rsid w:val="00497521"/>
    <w:rsid w:val="004A06BF"/>
    <w:rsid w:val="004A0856"/>
    <w:rsid w:val="004A1542"/>
    <w:rsid w:val="004A1C1B"/>
    <w:rsid w:val="004A348F"/>
    <w:rsid w:val="004A3A22"/>
    <w:rsid w:val="004A7667"/>
    <w:rsid w:val="004A773B"/>
    <w:rsid w:val="004A7A08"/>
    <w:rsid w:val="004B10E4"/>
    <w:rsid w:val="004B1207"/>
    <w:rsid w:val="004B19F4"/>
    <w:rsid w:val="004B52B6"/>
    <w:rsid w:val="004B538D"/>
    <w:rsid w:val="004B6525"/>
    <w:rsid w:val="004C0D18"/>
    <w:rsid w:val="004C1F5A"/>
    <w:rsid w:val="004C1FB6"/>
    <w:rsid w:val="004C50AC"/>
    <w:rsid w:val="004D0BD1"/>
    <w:rsid w:val="004D0F47"/>
    <w:rsid w:val="004D2C1D"/>
    <w:rsid w:val="004D31D7"/>
    <w:rsid w:val="004D5277"/>
    <w:rsid w:val="004D5E0F"/>
    <w:rsid w:val="004D62E5"/>
    <w:rsid w:val="004D69C2"/>
    <w:rsid w:val="004E05BA"/>
    <w:rsid w:val="004E2C09"/>
    <w:rsid w:val="004E40AB"/>
    <w:rsid w:val="004E45DC"/>
    <w:rsid w:val="004E51E8"/>
    <w:rsid w:val="004E742E"/>
    <w:rsid w:val="004F1102"/>
    <w:rsid w:val="004F46BB"/>
    <w:rsid w:val="004F485D"/>
    <w:rsid w:val="004F6589"/>
    <w:rsid w:val="004F6ACD"/>
    <w:rsid w:val="004F78AF"/>
    <w:rsid w:val="005019F5"/>
    <w:rsid w:val="00501E37"/>
    <w:rsid w:val="00501E5A"/>
    <w:rsid w:val="00501FBC"/>
    <w:rsid w:val="00504650"/>
    <w:rsid w:val="00504665"/>
    <w:rsid w:val="00504B25"/>
    <w:rsid w:val="005068D2"/>
    <w:rsid w:val="005071D1"/>
    <w:rsid w:val="00510ADB"/>
    <w:rsid w:val="00514CF5"/>
    <w:rsid w:val="00516690"/>
    <w:rsid w:val="0051711B"/>
    <w:rsid w:val="00517FC3"/>
    <w:rsid w:val="00527942"/>
    <w:rsid w:val="0053236E"/>
    <w:rsid w:val="0053332B"/>
    <w:rsid w:val="00534AE3"/>
    <w:rsid w:val="00535BA5"/>
    <w:rsid w:val="005365EB"/>
    <w:rsid w:val="00536D01"/>
    <w:rsid w:val="005376FC"/>
    <w:rsid w:val="00541DC3"/>
    <w:rsid w:val="00541F78"/>
    <w:rsid w:val="00542553"/>
    <w:rsid w:val="00544160"/>
    <w:rsid w:val="00544180"/>
    <w:rsid w:val="005466E6"/>
    <w:rsid w:val="00550629"/>
    <w:rsid w:val="00552DD4"/>
    <w:rsid w:val="00554078"/>
    <w:rsid w:val="0055459F"/>
    <w:rsid w:val="00555139"/>
    <w:rsid w:val="0055574E"/>
    <w:rsid w:val="00555B77"/>
    <w:rsid w:val="00556380"/>
    <w:rsid w:val="00556E21"/>
    <w:rsid w:val="005605BB"/>
    <w:rsid w:val="00563054"/>
    <w:rsid w:val="0056353A"/>
    <w:rsid w:val="005641EC"/>
    <w:rsid w:val="0056443D"/>
    <w:rsid w:val="00565CB4"/>
    <w:rsid w:val="00565CE7"/>
    <w:rsid w:val="0056715C"/>
    <w:rsid w:val="0057011A"/>
    <w:rsid w:val="00570328"/>
    <w:rsid w:val="00570759"/>
    <w:rsid w:val="00571891"/>
    <w:rsid w:val="00572BE8"/>
    <w:rsid w:val="00575E79"/>
    <w:rsid w:val="00576ED8"/>
    <w:rsid w:val="005777DF"/>
    <w:rsid w:val="005829AD"/>
    <w:rsid w:val="00582D40"/>
    <w:rsid w:val="00583EF4"/>
    <w:rsid w:val="005846F6"/>
    <w:rsid w:val="00586B1F"/>
    <w:rsid w:val="00590F86"/>
    <w:rsid w:val="00592349"/>
    <w:rsid w:val="0059342D"/>
    <w:rsid w:val="005960BD"/>
    <w:rsid w:val="00597F86"/>
    <w:rsid w:val="005A1541"/>
    <w:rsid w:val="005A1A7D"/>
    <w:rsid w:val="005A35A1"/>
    <w:rsid w:val="005A386D"/>
    <w:rsid w:val="005A3F8C"/>
    <w:rsid w:val="005A49B1"/>
    <w:rsid w:val="005B1601"/>
    <w:rsid w:val="005B3194"/>
    <w:rsid w:val="005B374D"/>
    <w:rsid w:val="005B4C88"/>
    <w:rsid w:val="005B513C"/>
    <w:rsid w:val="005C1901"/>
    <w:rsid w:val="005C40C3"/>
    <w:rsid w:val="005C4452"/>
    <w:rsid w:val="005C51F8"/>
    <w:rsid w:val="005C5EFF"/>
    <w:rsid w:val="005C634D"/>
    <w:rsid w:val="005C6363"/>
    <w:rsid w:val="005C6FB2"/>
    <w:rsid w:val="005C77C8"/>
    <w:rsid w:val="005C7B98"/>
    <w:rsid w:val="005D1110"/>
    <w:rsid w:val="005D5F4F"/>
    <w:rsid w:val="005D788C"/>
    <w:rsid w:val="005E0740"/>
    <w:rsid w:val="005E1C32"/>
    <w:rsid w:val="005E36EC"/>
    <w:rsid w:val="005E3B21"/>
    <w:rsid w:val="005E4C81"/>
    <w:rsid w:val="005E5199"/>
    <w:rsid w:val="005E5372"/>
    <w:rsid w:val="005E60C0"/>
    <w:rsid w:val="005E6113"/>
    <w:rsid w:val="005E6341"/>
    <w:rsid w:val="005E73D2"/>
    <w:rsid w:val="005F1087"/>
    <w:rsid w:val="005F119C"/>
    <w:rsid w:val="005F1271"/>
    <w:rsid w:val="005F1CE4"/>
    <w:rsid w:val="005F2E90"/>
    <w:rsid w:val="005F3C80"/>
    <w:rsid w:val="005F5458"/>
    <w:rsid w:val="005F601A"/>
    <w:rsid w:val="005F6AC0"/>
    <w:rsid w:val="00601E10"/>
    <w:rsid w:val="00602A1B"/>
    <w:rsid w:val="00604DA8"/>
    <w:rsid w:val="00605D4E"/>
    <w:rsid w:val="0060622A"/>
    <w:rsid w:val="00610F2D"/>
    <w:rsid w:val="00615A7C"/>
    <w:rsid w:val="0061639D"/>
    <w:rsid w:val="00617559"/>
    <w:rsid w:val="00620469"/>
    <w:rsid w:val="00621440"/>
    <w:rsid w:val="006254F8"/>
    <w:rsid w:val="00630D9F"/>
    <w:rsid w:val="006320C8"/>
    <w:rsid w:val="006335FD"/>
    <w:rsid w:val="006337D4"/>
    <w:rsid w:val="00634BED"/>
    <w:rsid w:val="00635F05"/>
    <w:rsid w:val="0064381D"/>
    <w:rsid w:val="00643AA1"/>
    <w:rsid w:val="00646B97"/>
    <w:rsid w:val="00655566"/>
    <w:rsid w:val="00656C7D"/>
    <w:rsid w:val="0065706A"/>
    <w:rsid w:val="00657AAB"/>
    <w:rsid w:val="0066270B"/>
    <w:rsid w:val="0066271B"/>
    <w:rsid w:val="0066695C"/>
    <w:rsid w:val="00667417"/>
    <w:rsid w:val="006745FD"/>
    <w:rsid w:val="006763E4"/>
    <w:rsid w:val="00676452"/>
    <w:rsid w:val="00676AB8"/>
    <w:rsid w:val="006776DC"/>
    <w:rsid w:val="00684EE0"/>
    <w:rsid w:val="006859FE"/>
    <w:rsid w:val="00686566"/>
    <w:rsid w:val="006916C7"/>
    <w:rsid w:val="00691AC4"/>
    <w:rsid w:val="0069286A"/>
    <w:rsid w:val="006A1B8C"/>
    <w:rsid w:val="006A2B6B"/>
    <w:rsid w:val="006A78AE"/>
    <w:rsid w:val="006B1776"/>
    <w:rsid w:val="006B2406"/>
    <w:rsid w:val="006B3C21"/>
    <w:rsid w:val="006B4D83"/>
    <w:rsid w:val="006B7225"/>
    <w:rsid w:val="006B7BE9"/>
    <w:rsid w:val="006B7CC1"/>
    <w:rsid w:val="006C0192"/>
    <w:rsid w:val="006C26B4"/>
    <w:rsid w:val="006C359B"/>
    <w:rsid w:val="006D4CA4"/>
    <w:rsid w:val="006D58D6"/>
    <w:rsid w:val="006D5CC2"/>
    <w:rsid w:val="006D62F8"/>
    <w:rsid w:val="006D6631"/>
    <w:rsid w:val="006D6987"/>
    <w:rsid w:val="006D6AE6"/>
    <w:rsid w:val="006D6BA6"/>
    <w:rsid w:val="006D73A6"/>
    <w:rsid w:val="006E1739"/>
    <w:rsid w:val="006E18BB"/>
    <w:rsid w:val="006E27C6"/>
    <w:rsid w:val="006E2F2D"/>
    <w:rsid w:val="006E40E0"/>
    <w:rsid w:val="006E4FE4"/>
    <w:rsid w:val="006E6CBD"/>
    <w:rsid w:val="006E6EE0"/>
    <w:rsid w:val="006E7010"/>
    <w:rsid w:val="006F0263"/>
    <w:rsid w:val="006F4D4E"/>
    <w:rsid w:val="006F5851"/>
    <w:rsid w:val="00700E12"/>
    <w:rsid w:val="00702563"/>
    <w:rsid w:val="00702797"/>
    <w:rsid w:val="0070473B"/>
    <w:rsid w:val="007055F8"/>
    <w:rsid w:val="00706347"/>
    <w:rsid w:val="00707081"/>
    <w:rsid w:val="00707E36"/>
    <w:rsid w:val="007106C6"/>
    <w:rsid w:val="0071165A"/>
    <w:rsid w:val="00712FD3"/>
    <w:rsid w:val="00714647"/>
    <w:rsid w:val="007158B4"/>
    <w:rsid w:val="007168C3"/>
    <w:rsid w:val="0071769B"/>
    <w:rsid w:val="00717741"/>
    <w:rsid w:val="00717763"/>
    <w:rsid w:val="00721098"/>
    <w:rsid w:val="007246AE"/>
    <w:rsid w:val="007246CC"/>
    <w:rsid w:val="00725FEE"/>
    <w:rsid w:val="007263F2"/>
    <w:rsid w:val="00726C0B"/>
    <w:rsid w:val="00726CB1"/>
    <w:rsid w:val="007302B2"/>
    <w:rsid w:val="00731D90"/>
    <w:rsid w:val="00731EDF"/>
    <w:rsid w:val="00734133"/>
    <w:rsid w:val="007349D5"/>
    <w:rsid w:val="00734E7F"/>
    <w:rsid w:val="00735717"/>
    <w:rsid w:val="007361E8"/>
    <w:rsid w:val="00736547"/>
    <w:rsid w:val="007367B1"/>
    <w:rsid w:val="007406C3"/>
    <w:rsid w:val="0074394D"/>
    <w:rsid w:val="00745B8C"/>
    <w:rsid w:val="00745C46"/>
    <w:rsid w:val="0075160F"/>
    <w:rsid w:val="00752418"/>
    <w:rsid w:val="00756191"/>
    <w:rsid w:val="00756323"/>
    <w:rsid w:val="0075718A"/>
    <w:rsid w:val="00760738"/>
    <w:rsid w:val="007620BD"/>
    <w:rsid w:val="0076227A"/>
    <w:rsid w:val="0076449A"/>
    <w:rsid w:val="007649CE"/>
    <w:rsid w:val="00765A82"/>
    <w:rsid w:val="007679FC"/>
    <w:rsid w:val="00772CF3"/>
    <w:rsid w:val="00773385"/>
    <w:rsid w:val="007754E8"/>
    <w:rsid w:val="0077583E"/>
    <w:rsid w:val="007775F2"/>
    <w:rsid w:val="00780236"/>
    <w:rsid w:val="00780802"/>
    <w:rsid w:val="00780813"/>
    <w:rsid w:val="00780E57"/>
    <w:rsid w:val="00781018"/>
    <w:rsid w:val="00781EC3"/>
    <w:rsid w:val="007822A9"/>
    <w:rsid w:val="00782BDB"/>
    <w:rsid w:val="00785D5B"/>
    <w:rsid w:val="0079207F"/>
    <w:rsid w:val="007928CB"/>
    <w:rsid w:val="007962C8"/>
    <w:rsid w:val="007A0424"/>
    <w:rsid w:val="007A242D"/>
    <w:rsid w:val="007A2758"/>
    <w:rsid w:val="007A3513"/>
    <w:rsid w:val="007A4164"/>
    <w:rsid w:val="007A4A87"/>
    <w:rsid w:val="007A721E"/>
    <w:rsid w:val="007B0389"/>
    <w:rsid w:val="007B0C87"/>
    <w:rsid w:val="007B1073"/>
    <w:rsid w:val="007B1997"/>
    <w:rsid w:val="007B2FA0"/>
    <w:rsid w:val="007C0A6A"/>
    <w:rsid w:val="007C14A3"/>
    <w:rsid w:val="007C205F"/>
    <w:rsid w:val="007C3780"/>
    <w:rsid w:val="007C384F"/>
    <w:rsid w:val="007D072A"/>
    <w:rsid w:val="007D1410"/>
    <w:rsid w:val="007D35B2"/>
    <w:rsid w:val="007D3CC5"/>
    <w:rsid w:val="007D554F"/>
    <w:rsid w:val="007D628F"/>
    <w:rsid w:val="007D7CF2"/>
    <w:rsid w:val="007E3507"/>
    <w:rsid w:val="007E5B0C"/>
    <w:rsid w:val="007E6635"/>
    <w:rsid w:val="007F0F61"/>
    <w:rsid w:val="007F1F34"/>
    <w:rsid w:val="007F216D"/>
    <w:rsid w:val="007F6EAC"/>
    <w:rsid w:val="008027BB"/>
    <w:rsid w:val="00803075"/>
    <w:rsid w:val="0080396B"/>
    <w:rsid w:val="00804BED"/>
    <w:rsid w:val="008051EC"/>
    <w:rsid w:val="008125A3"/>
    <w:rsid w:val="00812D20"/>
    <w:rsid w:val="008133F5"/>
    <w:rsid w:val="00813B7D"/>
    <w:rsid w:val="0081487C"/>
    <w:rsid w:val="008159C2"/>
    <w:rsid w:val="00817D23"/>
    <w:rsid w:val="008214DA"/>
    <w:rsid w:val="008219B8"/>
    <w:rsid w:val="0082514A"/>
    <w:rsid w:val="00825415"/>
    <w:rsid w:val="00825AA1"/>
    <w:rsid w:val="0082745F"/>
    <w:rsid w:val="00831D11"/>
    <w:rsid w:val="00832814"/>
    <w:rsid w:val="008342A9"/>
    <w:rsid w:val="00835A67"/>
    <w:rsid w:val="008426D8"/>
    <w:rsid w:val="008452B6"/>
    <w:rsid w:val="008463F2"/>
    <w:rsid w:val="00847334"/>
    <w:rsid w:val="00850B37"/>
    <w:rsid w:val="00850C0E"/>
    <w:rsid w:val="00850D3B"/>
    <w:rsid w:val="00855AC5"/>
    <w:rsid w:val="008560CB"/>
    <w:rsid w:val="00856622"/>
    <w:rsid w:val="00856B50"/>
    <w:rsid w:val="00857AC7"/>
    <w:rsid w:val="00861FB0"/>
    <w:rsid w:val="008621F9"/>
    <w:rsid w:val="00863D75"/>
    <w:rsid w:val="00866816"/>
    <w:rsid w:val="00867C6D"/>
    <w:rsid w:val="008727C7"/>
    <w:rsid w:val="00872BC5"/>
    <w:rsid w:val="008733A6"/>
    <w:rsid w:val="00873434"/>
    <w:rsid w:val="00873806"/>
    <w:rsid w:val="008739E1"/>
    <w:rsid w:val="00876D82"/>
    <w:rsid w:val="00880017"/>
    <w:rsid w:val="0088044D"/>
    <w:rsid w:val="00880B48"/>
    <w:rsid w:val="00881243"/>
    <w:rsid w:val="00881ECC"/>
    <w:rsid w:val="00882AFB"/>
    <w:rsid w:val="00882DA1"/>
    <w:rsid w:val="00883A36"/>
    <w:rsid w:val="00884003"/>
    <w:rsid w:val="00884634"/>
    <w:rsid w:val="00885FE2"/>
    <w:rsid w:val="0088697E"/>
    <w:rsid w:val="0088709E"/>
    <w:rsid w:val="00887365"/>
    <w:rsid w:val="00890066"/>
    <w:rsid w:val="00890B99"/>
    <w:rsid w:val="00890CE6"/>
    <w:rsid w:val="00890D23"/>
    <w:rsid w:val="00891AAB"/>
    <w:rsid w:val="00891AD0"/>
    <w:rsid w:val="00893693"/>
    <w:rsid w:val="00893F66"/>
    <w:rsid w:val="00894644"/>
    <w:rsid w:val="00895E50"/>
    <w:rsid w:val="00896272"/>
    <w:rsid w:val="008A01D8"/>
    <w:rsid w:val="008A1671"/>
    <w:rsid w:val="008A1EA9"/>
    <w:rsid w:val="008A2AB0"/>
    <w:rsid w:val="008A3580"/>
    <w:rsid w:val="008A3EB6"/>
    <w:rsid w:val="008A4852"/>
    <w:rsid w:val="008A58DD"/>
    <w:rsid w:val="008A6D40"/>
    <w:rsid w:val="008B0B23"/>
    <w:rsid w:val="008B3224"/>
    <w:rsid w:val="008B424C"/>
    <w:rsid w:val="008B5109"/>
    <w:rsid w:val="008B6887"/>
    <w:rsid w:val="008C29C9"/>
    <w:rsid w:val="008C4AD7"/>
    <w:rsid w:val="008C5D5B"/>
    <w:rsid w:val="008C7FCD"/>
    <w:rsid w:val="008D13F7"/>
    <w:rsid w:val="008D2070"/>
    <w:rsid w:val="008D48DE"/>
    <w:rsid w:val="008D61F1"/>
    <w:rsid w:val="008D6346"/>
    <w:rsid w:val="008D647B"/>
    <w:rsid w:val="008D6891"/>
    <w:rsid w:val="008D747C"/>
    <w:rsid w:val="008E01E5"/>
    <w:rsid w:val="008E2A60"/>
    <w:rsid w:val="008E3367"/>
    <w:rsid w:val="008E33B6"/>
    <w:rsid w:val="008E46A5"/>
    <w:rsid w:val="008E51DF"/>
    <w:rsid w:val="008E61FD"/>
    <w:rsid w:val="008E776B"/>
    <w:rsid w:val="008E7ADB"/>
    <w:rsid w:val="008F0E7E"/>
    <w:rsid w:val="008F213F"/>
    <w:rsid w:val="008F5F96"/>
    <w:rsid w:val="008F6882"/>
    <w:rsid w:val="008F6DAF"/>
    <w:rsid w:val="008F7EAF"/>
    <w:rsid w:val="0090062F"/>
    <w:rsid w:val="009036BA"/>
    <w:rsid w:val="009056F4"/>
    <w:rsid w:val="00906E64"/>
    <w:rsid w:val="00911CBF"/>
    <w:rsid w:val="00912E23"/>
    <w:rsid w:val="0091341C"/>
    <w:rsid w:val="0091343A"/>
    <w:rsid w:val="00914FED"/>
    <w:rsid w:val="009168E9"/>
    <w:rsid w:val="00917997"/>
    <w:rsid w:val="0092046B"/>
    <w:rsid w:val="00920F33"/>
    <w:rsid w:val="0092435D"/>
    <w:rsid w:val="00924BAA"/>
    <w:rsid w:val="009269DE"/>
    <w:rsid w:val="00930203"/>
    <w:rsid w:val="00931F54"/>
    <w:rsid w:val="00932077"/>
    <w:rsid w:val="00932622"/>
    <w:rsid w:val="009367E1"/>
    <w:rsid w:val="00936D8D"/>
    <w:rsid w:val="00936E5E"/>
    <w:rsid w:val="00941674"/>
    <w:rsid w:val="00942166"/>
    <w:rsid w:val="00943192"/>
    <w:rsid w:val="00945E91"/>
    <w:rsid w:val="009462B2"/>
    <w:rsid w:val="00950633"/>
    <w:rsid w:val="00952266"/>
    <w:rsid w:val="00952365"/>
    <w:rsid w:val="00952D76"/>
    <w:rsid w:val="009541A6"/>
    <w:rsid w:val="009544F8"/>
    <w:rsid w:val="00957C39"/>
    <w:rsid w:val="00960F6B"/>
    <w:rsid w:val="0096160B"/>
    <w:rsid w:val="00961FA1"/>
    <w:rsid w:val="00962F86"/>
    <w:rsid w:val="00965494"/>
    <w:rsid w:val="00967A87"/>
    <w:rsid w:val="0097020E"/>
    <w:rsid w:val="00976E6C"/>
    <w:rsid w:val="00980DB1"/>
    <w:rsid w:val="00980E6E"/>
    <w:rsid w:val="00981DA6"/>
    <w:rsid w:val="009823EB"/>
    <w:rsid w:val="00983498"/>
    <w:rsid w:val="00985908"/>
    <w:rsid w:val="00985E73"/>
    <w:rsid w:val="009911C8"/>
    <w:rsid w:val="00993C2B"/>
    <w:rsid w:val="00994CF3"/>
    <w:rsid w:val="0099718C"/>
    <w:rsid w:val="009A0016"/>
    <w:rsid w:val="009A0AB2"/>
    <w:rsid w:val="009A0BE7"/>
    <w:rsid w:val="009A12FE"/>
    <w:rsid w:val="009A15E7"/>
    <w:rsid w:val="009A4575"/>
    <w:rsid w:val="009A517C"/>
    <w:rsid w:val="009A56E5"/>
    <w:rsid w:val="009A56EA"/>
    <w:rsid w:val="009A5872"/>
    <w:rsid w:val="009A78B8"/>
    <w:rsid w:val="009B13DB"/>
    <w:rsid w:val="009B40F9"/>
    <w:rsid w:val="009B5E37"/>
    <w:rsid w:val="009B75EA"/>
    <w:rsid w:val="009B7813"/>
    <w:rsid w:val="009C0D9D"/>
    <w:rsid w:val="009C0DD3"/>
    <w:rsid w:val="009C1101"/>
    <w:rsid w:val="009C2154"/>
    <w:rsid w:val="009C228A"/>
    <w:rsid w:val="009C2A53"/>
    <w:rsid w:val="009C3163"/>
    <w:rsid w:val="009C3574"/>
    <w:rsid w:val="009C6B2B"/>
    <w:rsid w:val="009C6E02"/>
    <w:rsid w:val="009D18FE"/>
    <w:rsid w:val="009D1B0E"/>
    <w:rsid w:val="009D270D"/>
    <w:rsid w:val="009D3376"/>
    <w:rsid w:val="009D3F31"/>
    <w:rsid w:val="009D4256"/>
    <w:rsid w:val="009D5535"/>
    <w:rsid w:val="009D5BE4"/>
    <w:rsid w:val="009D6F1A"/>
    <w:rsid w:val="009D787D"/>
    <w:rsid w:val="009D79B9"/>
    <w:rsid w:val="009D7D8C"/>
    <w:rsid w:val="009E03FE"/>
    <w:rsid w:val="009E30ED"/>
    <w:rsid w:val="009E417A"/>
    <w:rsid w:val="009E55E0"/>
    <w:rsid w:val="009E5ECE"/>
    <w:rsid w:val="009F0920"/>
    <w:rsid w:val="009F1620"/>
    <w:rsid w:val="009F24AF"/>
    <w:rsid w:val="009F31AD"/>
    <w:rsid w:val="009F470C"/>
    <w:rsid w:val="009F4BBB"/>
    <w:rsid w:val="009F50CB"/>
    <w:rsid w:val="009F6177"/>
    <w:rsid w:val="009F780E"/>
    <w:rsid w:val="00A02718"/>
    <w:rsid w:val="00A03045"/>
    <w:rsid w:val="00A04C9F"/>
    <w:rsid w:val="00A06B88"/>
    <w:rsid w:val="00A1201A"/>
    <w:rsid w:val="00A12697"/>
    <w:rsid w:val="00A15B1C"/>
    <w:rsid w:val="00A15DA4"/>
    <w:rsid w:val="00A1612C"/>
    <w:rsid w:val="00A211C8"/>
    <w:rsid w:val="00A227F4"/>
    <w:rsid w:val="00A2296B"/>
    <w:rsid w:val="00A22EB9"/>
    <w:rsid w:val="00A24239"/>
    <w:rsid w:val="00A2425A"/>
    <w:rsid w:val="00A26B4F"/>
    <w:rsid w:val="00A2755E"/>
    <w:rsid w:val="00A27997"/>
    <w:rsid w:val="00A27E33"/>
    <w:rsid w:val="00A3092F"/>
    <w:rsid w:val="00A31BF9"/>
    <w:rsid w:val="00A334EB"/>
    <w:rsid w:val="00A33732"/>
    <w:rsid w:val="00A3479D"/>
    <w:rsid w:val="00A358F2"/>
    <w:rsid w:val="00A36A8E"/>
    <w:rsid w:val="00A37F7F"/>
    <w:rsid w:val="00A41234"/>
    <w:rsid w:val="00A414FF"/>
    <w:rsid w:val="00A41D82"/>
    <w:rsid w:val="00A4259D"/>
    <w:rsid w:val="00A42912"/>
    <w:rsid w:val="00A43866"/>
    <w:rsid w:val="00A46051"/>
    <w:rsid w:val="00A466FF"/>
    <w:rsid w:val="00A473BB"/>
    <w:rsid w:val="00A47B36"/>
    <w:rsid w:val="00A504B9"/>
    <w:rsid w:val="00A51866"/>
    <w:rsid w:val="00A52192"/>
    <w:rsid w:val="00A5274B"/>
    <w:rsid w:val="00A52F24"/>
    <w:rsid w:val="00A53E89"/>
    <w:rsid w:val="00A54075"/>
    <w:rsid w:val="00A54411"/>
    <w:rsid w:val="00A63004"/>
    <w:rsid w:val="00A637E7"/>
    <w:rsid w:val="00A65160"/>
    <w:rsid w:val="00A66122"/>
    <w:rsid w:val="00A7244F"/>
    <w:rsid w:val="00A724B9"/>
    <w:rsid w:val="00A72BC4"/>
    <w:rsid w:val="00A72DA2"/>
    <w:rsid w:val="00A72F0C"/>
    <w:rsid w:val="00A73CC3"/>
    <w:rsid w:val="00A74359"/>
    <w:rsid w:val="00A747D2"/>
    <w:rsid w:val="00A749CA"/>
    <w:rsid w:val="00A74FCA"/>
    <w:rsid w:val="00A76544"/>
    <w:rsid w:val="00A767E5"/>
    <w:rsid w:val="00A778A0"/>
    <w:rsid w:val="00A80456"/>
    <w:rsid w:val="00A80711"/>
    <w:rsid w:val="00A82C5E"/>
    <w:rsid w:val="00A82D26"/>
    <w:rsid w:val="00A8307B"/>
    <w:rsid w:val="00A83C77"/>
    <w:rsid w:val="00A843D1"/>
    <w:rsid w:val="00A84F3D"/>
    <w:rsid w:val="00A8589E"/>
    <w:rsid w:val="00A8628A"/>
    <w:rsid w:val="00A876ED"/>
    <w:rsid w:val="00A92CC0"/>
    <w:rsid w:val="00A92DC5"/>
    <w:rsid w:val="00A93AC2"/>
    <w:rsid w:val="00A951F8"/>
    <w:rsid w:val="00A95768"/>
    <w:rsid w:val="00A961B5"/>
    <w:rsid w:val="00A9748F"/>
    <w:rsid w:val="00A97906"/>
    <w:rsid w:val="00A97D4F"/>
    <w:rsid w:val="00AA0A64"/>
    <w:rsid w:val="00AA290A"/>
    <w:rsid w:val="00AA4F98"/>
    <w:rsid w:val="00AA6C1E"/>
    <w:rsid w:val="00AA6FD0"/>
    <w:rsid w:val="00AA7ACF"/>
    <w:rsid w:val="00AB028C"/>
    <w:rsid w:val="00AB1AFC"/>
    <w:rsid w:val="00AB28FD"/>
    <w:rsid w:val="00AB308C"/>
    <w:rsid w:val="00AB577B"/>
    <w:rsid w:val="00AB7832"/>
    <w:rsid w:val="00AB7C50"/>
    <w:rsid w:val="00AC235B"/>
    <w:rsid w:val="00AC288E"/>
    <w:rsid w:val="00AC5015"/>
    <w:rsid w:val="00AC5144"/>
    <w:rsid w:val="00AD097C"/>
    <w:rsid w:val="00AD13BE"/>
    <w:rsid w:val="00AD311A"/>
    <w:rsid w:val="00AD3488"/>
    <w:rsid w:val="00AD4B9E"/>
    <w:rsid w:val="00AD4BE6"/>
    <w:rsid w:val="00AD6DCE"/>
    <w:rsid w:val="00AD7876"/>
    <w:rsid w:val="00AD7ABE"/>
    <w:rsid w:val="00AE0484"/>
    <w:rsid w:val="00AE052B"/>
    <w:rsid w:val="00AE06C7"/>
    <w:rsid w:val="00AE444D"/>
    <w:rsid w:val="00AF124A"/>
    <w:rsid w:val="00AF31BB"/>
    <w:rsid w:val="00AF3D47"/>
    <w:rsid w:val="00AF5A60"/>
    <w:rsid w:val="00B01794"/>
    <w:rsid w:val="00B029A5"/>
    <w:rsid w:val="00B0432B"/>
    <w:rsid w:val="00B06912"/>
    <w:rsid w:val="00B07A6E"/>
    <w:rsid w:val="00B107CD"/>
    <w:rsid w:val="00B13709"/>
    <w:rsid w:val="00B1494E"/>
    <w:rsid w:val="00B16519"/>
    <w:rsid w:val="00B16573"/>
    <w:rsid w:val="00B16C61"/>
    <w:rsid w:val="00B16EE8"/>
    <w:rsid w:val="00B17A39"/>
    <w:rsid w:val="00B2179B"/>
    <w:rsid w:val="00B21D24"/>
    <w:rsid w:val="00B220E0"/>
    <w:rsid w:val="00B227DA"/>
    <w:rsid w:val="00B26412"/>
    <w:rsid w:val="00B26B67"/>
    <w:rsid w:val="00B3231A"/>
    <w:rsid w:val="00B329DE"/>
    <w:rsid w:val="00B340C6"/>
    <w:rsid w:val="00B43F2A"/>
    <w:rsid w:val="00B4581A"/>
    <w:rsid w:val="00B47B5D"/>
    <w:rsid w:val="00B47CC4"/>
    <w:rsid w:val="00B521C3"/>
    <w:rsid w:val="00B526BD"/>
    <w:rsid w:val="00B52ED7"/>
    <w:rsid w:val="00B547CF"/>
    <w:rsid w:val="00B560F3"/>
    <w:rsid w:val="00B57AB8"/>
    <w:rsid w:val="00B60559"/>
    <w:rsid w:val="00B60634"/>
    <w:rsid w:val="00B610C7"/>
    <w:rsid w:val="00B61583"/>
    <w:rsid w:val="00B616BA"/>
    <w:rsid w:val="00B6487B"/>
    <w:rsid w:val="00B67B6F"/>
    <w:rsid w:val="00B70266"/>
    <w:rsid w:val="00B70ABB"/>
    <w:rsid w:val="00B72901"/>
    <w:rsid w:val="00B74D09"/>
    <w:rsid w:val="00B77408"/>
    <w:rsid w:val="00B778AE"/>
    <w:rsid w:val="00B815BA"/>
    <w:rsid w:val="00B826B2"/>
    <w:rsid w:val="00B83FF1"/>
    <w:rsid w:val="00B8634B"/>
    <w:rsid w:val="00B866D1"/>
    <w:rsid w:val="00B901D7"/>
    <w:rsid w:val="00B9177E"/>
    <w:rsid w:val="00B91B45"/>
    <w:rsid w:val="00B91E9B"/>
    <w:rsid w:val="00B94992"/>
    <w:rsid w:val="00B95D85"/>
    <w:rsid w:val="00B96928"/>
    <w:rsid w:val="00BA075C"/>
    <w:rsid w:val="00BA087D"/>
    <w:rsid w:val="00BA1154"/>
    <w:rsid w:val="00BA1C23"/>
    <w:rsid w:val="00BA20D4"/>
    <w:rsid w:val="00BA2583"/>
    <w:rsid w:val="00BA27AA"/>
    <w:rsid w:val="00BA2997"/>
    <w:rsid w:val="00BA3E52"/>
    <w:rsid w:val="00BA43AF"/>
    <w:rsid w:val="00BA441C"/>
    <w:rsid w:val="00BA5909"/>
    <w:rsid w:val="00BA5F67"/>
    <w:rsid w:val="00BA7041"/>
    <w:rsid w:val="00BA7960"/>
    <w:rsid w:val="00BB0D3D"/>
    <w:rsid w:val="00BB1DD8"/>
    <w:rsid w:val="00BB210F"/>
    <w:rsid w:val="00BB23FD"/>
    <w:rsid w:val="00BB3209"/>
    <w:rsid w:val="00BC1592"/>
    <w:rsid w:val="00BC388A"/>
    <w:rsid w:val="00BC773A"/>
    <w:rsid w:val="00BC7B1D"/>
    <w:rsid w:val="00BC7C34"/>
    <w:rsid w:val="00BD05A8"/>
    <w:rsid w:val="00BD1F5D"/>
    <w:rsid w:val="00BD2379"/>
    <w:rsid w:val="00BD29C8"/>
    <w:rsid w:val="00BD31FB"/>
    <w:rsid w:val="00BD4E02"/>
    <w:rsid w:val="00BE0963"/>
    <w:rsid w:val="00BE0C01"/>
    <w:rsid w:val="00BE0FA7"/>
    <w:rsid w:val="00BE1F29"/>
    <w:rsid w:val="00BE216E"/>
    <w:rsid w:val="00BE23F1"/>
    <w:rsid w:val="00BE34CB"/>
    <w:rsid w:val="00BE3FAB"/>
    <w:rsid w:val="00BE54BB"/>
    <w:rsid w:val="00BE66F6"/>
    <w:rsid w:val="00BE6C34"/>
    <w:rsid w:val="00BE6C89"/>
    <w:rsid w:val="00BE7751"/>
    <w:rsid w:val="00BF00BB"/>
    <w:rsid w:val="00BF2327"/>
    <w:rsid w:val="00BF53C9"/>
    <w:rsid w:val="00BF5CCE"/>
    <w:rsid w:val="00BF783A"/>
    <w:rsid w:val="00BF7A59"/>
    <w:rsid w:val="00C01F95"/>
    <w:rsid w:val="00C01FE7"/>
    <w:rsid w:val="00C02B75"/>
    <w:rsid w:val="00C02F97"/>
    <w:rsid w:val="00C039AF"/>
    <w:rsid w:val="00C04059"/>
    <w:rsid w:val="00C06973"/>
    <w:rsid w:val="00C07AC2"/>
    <w:rsid w:val="00C12439"/>
    <w:rsid w:val="00C128FF"/>
    <w:rsid w:val="00C13849"/>
    <w:rsid w:val="00C13ADE"/>
    <w:rsid w:val="00C14C57"/>
    <w:rsid w:val="00C15130"/>
    <w:rsid w:val="00C15536"/>
    <w:rsid w:val="00C169E9"/>
    <w:rsid w:val="00C210B5"/>
    <w:rsid w:val="00C2204D"/>
    <w:rsid w:val="00C22F62"/>
    <w:rsid w:val="00C22F95"/>
    <w:rsid w:val="00C23CF7"/>
    <w:rsid w:val="00C251D9"/>
    <w:rsid w:val="00C26176"/>
    <w:rsid w:val="00C2797C"/>
    <w:rsid w:val="00C30867"/>
    <w:rsid w:val="00C31863"/>
    <w:rsid w:val="00C37C2D"/>
    <w:rsid w:val="00C45408"/>
    <w:rsid w:val="00C45842"/>
    <w:rsid w:val="00C45C29"/>
    <w:rsid w:val="00C5407C"/>
    <w:rsid w:val="00C540B9"/>
    <w:rsid w:val="00C548A6"/>
    <w:rsid w:val="00C5574E"/>
    <w:rsid w:val="00C563C6"/>
    <w:rsid w:val="00C61746"/>
    <w:rsid w:val="00C64363"/>
    <w:rsid w:val="00C6448C"/>
    <w:rsid w:val="00C64D1A"/>
    <w:rsid w:val="00C64ED5"/>
    <w:rsid w:val="00C658F7"/>
    <w:rsid w:val="00C66502"/>
    <w:rsid w:val="00C66AE4"/>
    <w:rsid w:val="00C71092"/>
    <w:rsid w:val="00C71360"/>
    <w:rsid w:val="00C72A93"/>
    <w:rsid w:val="00C73455"/>
    <w:rsid w:val="00C7426F"/>
    <w:rsid w:val="00C7477B"/>
    <w:rsid w:val="00C75B2F"/>
    <w:rsid w:val="00C765CC"/>
    <w:rsid w:val="00C76EBF"/>
    <w:rsid w:val="00C809E7"/>
    <w:rsid w:val="00C80D59"/>
    <w:rsid w:val="00C82285"/>
    <w:rsid w:val="00C845D1"/>
    <w:rsid w:val="00C849F7"/>
    <w:rsid w:val="00C872C0"/>
    <w:rsid w:val="00C96591"/>
    <w:rsid w:val="00CA1336"/>
    <w:rsid w:val="00CA22E1"/>
    <w:rsid w:val="00CA2BF5"/>
    <w:rsid w:val="00CA3A82"/>
    <w:rsid w:val="00CA577F"/>
    <w:rsid w:val="00CA60DD"/>
    <w:rsid w:val="00CA72F3"/>
    <w:rsid w:val="00CA73B3"/>
    <w:rsid w:val="00CA79BA"/>
    <w:rsid w:val="00CB2238"/>
    <w:rsid w:val="00CB25AD"/>
    <w:rsid w:val="00CB2845"/>
    <w:rsid w:val="00CB672D"/>
    <w:rsid w:val="00CC1852"/>
    <w:rsid w:val="00CC29B4"/>
    <w:rsid w:val="00CC425B"/>
    <w:rsid w:val="00CC49AD"/>
    <w:rsid w:val="00CC6477"/>
    <w:rsid w:val="00CC6C69"/>
    <w:rsid w:val="00CC7B9B"/>
    <w:rsid w:val="00CC7C0E"/>
    <w:rsid w:val="00CD0435"/>
    <w:rsid w:val="00CD1577"/>
    <w:rsid w:val="00CD3936"/>
    <w:rsid w:val="00CD5792"/>
    <w:rsid w:val="00CD59DA"/>
    <w:rsid w:val="00CD5C80"/>
    <w:rsid w:val="00CD5CBD"/>
    <w:rsid w:val="00CD6D24"/>
    <w:rsid w:val="00CE0EF2"/>
    <w:rsid w:val="00CE3B28"/>
    <w:rsid w:val="00CE436F"/>
    <w:rsid w:val="00CE4C25"/>
    <w:rsid w:val="00CE5B87"/>
    <w:rsid w:val="00CE60ED"/>
    <w:rsid w:val="00CE7F71"/>
    <w:rsid w:val="00CF011B"/>
    <w:rsid w:val="00CF03C2"/>
    <w:rsid w:val="00CF0E34"/>
    <w:rsid w:val="00CF1110"/>
    <w:rsid w:val="00CF29DE"/>
    <w:rsid w:val="00CF427B"/>
    <w:rsid w:val="00CF6911"/>
    <w:rsid w:val="00D01487"/>
    <w:rsid w:val="00D03BB4"/>
    <w:rsid w:val="00D05924"/>
    <w:rsid w:val="00D0601B"/>
    <w:rsid w:val="00D07209"/>
    <w:rsid w:val="00D11668"/>
    <w:rsid w:val="00D11887"/>
    <w:rsid w:val="00D14123"/>
    <w:rsid w:val="00D1477A"/>
    <w:rsid w:val="00D157B3"/>
    <w:rsid w:val="00D15893"/>
    <w:rsid w:val="00D1723A"/>
    <w:rsid w:val="00D17C27"/>
    <w:rsid w:val="00D24E55"/>
    <w:rsid w:val="00D24FC7"/>
    <w:rsid w:val="00D25450"/>
    <w:rsid w:val="00D25C7B"/>
    <w:rsid w:val="00D26365"/>
    <w:rsid w:val="00D309AE"/>
    <w:rsid w:val="00D31356"/>
    <w:rsid w:val="00D342E8"/>
    <w:rsid w:val="00D35609"/>
    <w:rsid w:val="00D35E75"/>
    <w:rsid w:val="00D41169"/>
    <w:rsid w:val="00D41DC9"/>
    <w:rsid w:val="00D41E2C"/>
    <w:rsid w:val="00D4249C"/>
    <w:rsid w:val="00D42909"/>
    <w:rsid w:val="00D4390A"/>
    <w:rsid w:val="00D43AED"/>
    <w:rsid w:val="00D44E7D"/>
    <w:rsid w:val="00D44FF3"/>
    <w:rsid w:val="00D45B14"/>
    <w:rsid w:val="00D465CA"/>
    <w:rsid w:val="00D543B7"/>
    <w:rsid w:val="00D54801"/>
    <w:rsid w:val="00D54B84"/>
    <w:rsid w:val="00D54C7C"/>
    <w:rsid w:val="00D56142"/>
    <w:rsid w:val="00D56D83"/>
    <w:rsid w:val="00D6018F"/>
    <w:rsid w:val="00D61178"/>
    <w:rsid w:val="00D617EE"/>
    <w:rsid w:val="00D61D7A"/>
    <w:rsid w:val="00D638F9"/>
    <w:rsid w:val="00D64AD1"/>
    <w:rsid w:val="00D66CF9"/>
    <w:rsid w:val="00D66E0F"/>
    <w:rsid w:val="00D703B8"/>
    <w:rsid w:val="00D704F2"/>
    <w:rsid w:val="00D729D4"/>
    <w:rsid w:val="00D73F44"/>
    <w:rsid w:val="00D817C6"/>
    <w:rsid w:val="00D84FFF"/>
    <w:rsid w:val="00D873D3"/>
    <w:rsid w:val="00D87AF4"/>
    <w:rsid w:val="00D91A87"/>
    <w:rsid w:val="00D91D19"/>
    <w:rsid w:val="00D92616"/>
    <w:rsid w:val="00D92CD4"/>
    <w:rsid w:val="00D934E3"/>
    <w:rsid w:val="00D938C0"/>
    <w:rsid w:val="00D93C72"/>
    <w:rsid w:val="00D94BF5"/>
    <w:rsid w:val="00D95A64"/>
    <w:rsid w:val="00D960E0"/>
    <w:rsid w:val="00D974EE"/>
    <w:rsid w:val="00DA3A36"/>
    <w:rsid w:val="00DA406B"/>
    <w:rsid w:val="00DA4835"/>
    <w:rsid w:val="00DA65B8"/>
    <w:rsid w:val="00DB0AD1"/>
    <w:rsid w:val="00DB21EC"/>
    <w:rsid w:val="00DB247C"/>
    <w:rsid w:val="00DB337C"/>
    <w:rsid w:val="00DB3DEB"/>
    <w:rsid w:val="00DB440A"/>
    <w:rsid w:val="00DB4E6D"/>
    <w:rsid w:val="00DB5C50"/>
    <w:rsid w:val="00DB62A6"/>
    <w:rsid w:val="00DB6881"/>
    <w:rsid w:val="00DC0908"/>
    <w:rsid w:val="00DC0CB2"/>
    <w:rsid w:val="00DC3CBC"/>
    <w:rsid w:val="00DC3CC2"/>
    <w:rsid w:val="00DC55EA"/>
    <w:rsid w:val="00DC6297"/>
    <w:rsid w:val="00DD1C3C"/>
    <w:rsid w:val="00DD4D56"/>
    <w:rsid w:val="00DD5954"/>
    <w:rsid w:val="00DD5976"/>
    <w:rsid w:val="00DD6033"/>
    <w:rsid w:val="00DD7BCE"/>
    <w:rsid w:val="00DE6437"/>
    <w:rsid w:val="00DE6C26"/>
    <w:rsid w:val="00DE71AF"/>
    <w:rsid w:val="00DF0195"/>
    <w:rsid w:val="00DF115A"/>
    <w:rsid w:val="00DF1B27"/>
    <w:rsid w:val="00DF2B09"/>
    <w:rsid w:val="00DF45C8"/>
    <w:rsid w:val="00DF4711"/>
    <w:rsid w:val="00DF4E18"/>
    <w:rsid w:val="00DF7100"/>
    <w:rsid w:val="00E00243"/>
    <w:rsid w:val="00E052B0"/>
    <w:rsid w:val="00E103FB"/>
    <w:rsid w:val="00E122E8"/>
    <w:rsid w:val="00E12A28"/>
    <w:rsid w:val="00E13141"/>
    <w:rsid w:val="00E1328F"/>
    <w:rsid w:val="00E13537"/>
    <w:rsid w:val="00E14282"/>
    <w:rsid w:val="00E16424"/>
    <w:rsid w:val="00E16A79"/>
    <w:rsid w:val="00E175A6"/>
    <w:rsid w:val="00E202F4"/>
    <w:rsid w:val="00E2099D"/>
    <w:rsid w:val="00E21FF7"/>
    <w:rsid w:val="00E22C97"/>
    <w:rsid w:val="00E236CD"/>
    <w:rsid w:val="00E23B92"/>
    <w:rsid w:val="00E23F07"/>
    <w:rsid w:val="00E25EE5"/>
    <w:rsid w:val="00E26507"/>
    <w:rsid w:val="00E30A33"/>
    <w:rsid w:val="00E314FF"/>
    <w:rsid w:val="00E32B49"/>
    <w:rsid w:val="00E32F7E"/>
    <w:rsid w:val="00E33687"/>
    <w:rsid w:val="00E33D51"/>
    <w:rsid w:val="00E34472"/>
    <w:rsid w:val="00E3483E"/>
    <w:rsid w:val="00E36A31"/>
    <w:rsid w:val="00E4167E"/>
    <w:rsid w:val="00E43023"/>
    <w:rsid w:val="00E43EF6"/>
    <w:rsid w:val="00E444F6"/>
    <w:rsid w:val="00E44B79"/>
    <w:rsid w:val="00E458E8"/>
    <w:rsid w:val="00E47D89"/>
    <w:rsid w:val="00E51AA9"/>
    <w:rsid w:val="00E51C3E"/>
    <w:rsid w:val="00E5260C"/>
    <w:rsid w:val="00E542B3"/>
    <w:rsid w:val="00E54E2A"/>
    <w:rsid w:val="00E55257"/>
    <w:rsid w:val="00E60710"/>
    <w:rsid w:val="00E6074E"/>
    <w:rsid w:val="00E616D9"/>
    <w:rsid w:val="00E631D3"/>
    <w:rsid w:val="00E63D56"/>
    <w:rsid w:val="00E704BF"/>
    <w:rsid w:val="00E71019"/>
    <w:rsid w:val="00E72ACC"/>
    <w:rsid w:val="00E755F7"/>
    <w:rsid w:val="00E767D5"/>
    <w:rsid w:val="00E776DC"/>
    <w:rsid w:val="00E77CB0"/>
    <w:rsid w:val="00E80419"/>
    <w:rsid w:val="00E81E0F"/>
    <w:rsid w:val="00E8273E"/>
    <w:rsid w:val="00E83325"/>
    <w:rsid w:val="00E8437E"/>
    <w:rsid w:val="00E8455A"/>
    <w:rsid w:val="00E86CDC"/>
    <w:rsid w:val="00E8778E"/>
    <w:rsid w:val="00E908A4"/>
    <w:rsid w:val="00E91698"/>
    <w:rsid w:val="00E920F2"/>
    <w:rsid w:val="00E928D3"/>
    <w:rsid w:val="00E92F43"/>
    <w:rsid w:val="00E9466B"/>
    <w:rsid w:val="00E958CC"/>
    <w:rsid w:val="00E9592F"/>
    <w:rsid w:val="00E96EEB"/>
    <w:rsid w:val="00E96FF2"/>
    <w:rsid w:val="00E9774E"/>
    <w:rsid w:val="00EA05A6"/>
    <w:rsid w:val="00EA0F53"/>
    <w:rsid w:val="00EA2E6D"/>
    <w:rsid w:val="00EA5C9C"/>
    <w:rsid w:val="00EA6903"/>
    <w:rsid w:val="00EA7674"/>
    <w:rsid w:val="00EA7E30"/>
    <w:rsid w:val="00EB2410"/>
    <w:rsid w:val="00EB285B"/>
    <w:rsid w:val="00EB4B13"/>
    <w:rsid w:val="00EB4FAE"/>
    <w:rsid w:val="00EB521F"/>
    <w:rsid w:val="00EB5A86"/>
    <w:rsid w:val="00EB68BE"/>
    <w:rsid w:val="00EB693B"/>
    <w:rsid w:val="00EC02F0"/>
    <w:rsid w:val="00EC200B"/>
    <w:rsid w:val="00EC20D0"/>
    <w:rsid w:val="00EC3D1A"/>
    <w:rsid w:val="00EC4222"/>
    <w:rsid w:val="00EC6E55"/>
    <w:rsid w:val="00EC73D5"/>
    <w:rsid w:val="00ED26AE"/>
    <w:rsid w:val="00ED2EAB"/>
    <w:rsid w:val="00ED3441"/>
    <w:rsid w:val="00ED3857"/>
    <w:rsid w:val="00ED7608"/>
    <w:rsid w:val="00EE27BA"/>
    <w:rsid w:val="00EE7129"/>
    <w:rsid w:val="00EF2F96"/>
    <w:rsid w:val="00EF3EAC"/>
    <w:rsid w:val="00EF44E3"/>
    <w:rsid w:val="00EF6D68"/>
    <w:rsid w:val="00F01092"/>
    <w:rsid w:val="00F01B21"/>
    <w:rsid w:val="00F02149"/>
    <w:rsid w:val="00F0260F"/>
    <w:rsid w:val="00F02795"/>
    <w:rsid w:val="00F02BFF"/>
    <w:rsid w:val="00F063CC"/>
    <w:rsid w:val="00F06476"/>
    <w:rsid w:val="00F1052D"/>
    <w:rsid w:val="00F109B8"/>
    <w:rsid w:val="00F1748D"/>
    <w:rsid w:val="00F205EC"/>
    <w:rsid w:val="00F21445"/>
    <w:rsid w:val="00F2187A"/>
    <w:rsid w:val="00F22F34"/>
    <w:rsid w:val="00F308AF"/>
    <w:rsid w:val="00F30E52"/>
    <w:rsid w:val="00F3135B"/>
    <w:rsid w:val="00F3160E"/>
    <w:rsid w:val="00F318B6"/>
    <w:rsid w:val="00F31D5F"/>
    <w:rsid w:val="00F33FA9"/>
    <w:rsid w:val="00F34DA5"/>
    <w:rsid w:val="00F366D3"/>
    <w:rsid w:val="00F37034"/>
    <w:rsid w:val="00F400AD"/>
    <w:rsid w:val="00F41646"/>
    <w:rsid w:val="00F4198C"/>
    <w:rsid w:val="00F422E9"/>
    <w:rsid w:val="00F432D1"/>
    <w:rsid w:val="00F4426B"/>
    <w:rsid w:val="00F468FA"/>
    <w:rsid w:val="00F47157"/>
    <w:rsid w:val="00F47A23"/>
    <w:rsid w:val="00F47C43"/>
    <w:rsid w:val="00F50604"/>
    <w:rsid w:val="00F50FE1"/>
    <w:rsid w:val="00F52C2D"/>
    <w:rsid w:val="00F532E9"/>
    <w:rsid w:val="00F5361E"/>
    <w:rsid w:val="00F57540"/>
    <w:rsid w:val="00F6236C"/>
    <w:rsid w:val="00F6384E"/>
    <w:rsid w:val="00F6446E"/>
    <w:rsid w:val="00F677D0"/>
    <w:rsid w:val="00F67B03"/>
    <w:rsid w:val="00F70384"/>
    <w:rsid w:val="00F7062A"/>
    <w:rsid w:val="00F71751"/>
    <w:rsid w:val="00F72159"/>
    <w:rsid w:val="00F722EC"/>
    <w:rsid w:val="00F76C21"/>
    <w:rsid w:val="00F772DA"/>
    <w:rsid w:val="00F80A22"/>
    <w:rsid w:val="00F8124A"/>
    <w:rsid w:val="00F815B4"/>
    <w:rsid w:val="00F82141"/>
    <w:rsid w:val="00F821B4"/>
    <w:rsid w:val="00F83560"/>
    <w:rsid w:val="00F83E7D"/>
    <w:rsid w:val="00F86DA7"/>
    <w:rsid w:val="00F87F8F"/>
    <w:rsid w:val="00F91666"/>
    <w:rsid w:val="00F9250F"/>
    <w:rsid w:val="00F94346"/>
    <w:rsid w:val="00F97FBB"/>
    <w:rsid w:val="00FA076C"/>
    <w:rsid w:val="00FA0FEA"/>
    <w:rsid w:val="00FA2B29"/>
    <w:rsid w:val="00FA39F8"/>
    <w:rsid w:val="00FA4350"/>
    <w:rsid w:val="00FA4BCD"/>
    <w:rsid w:val="00FA72E4"/>
    <w:rsid w:val="00FA7EA6"/>
    <w:rsid w:val="00FB082C"/>
    <w:rsid w:val="00FB3EBA"/>
    <w:rsid w:val="00FB734E"/>
    <w:rsid w:val="00FC16A0"/>
    <w:rsid w:val="00FC17F6"/>
    <w:rsid w:val="00FC327E"/>
    <w:rsid w:val="00FC36C2"/>
    <w:rsid w:val="00FC633F"/>
    <w:rsid w:val="00FC6EA8"/>
    <w:rsid w:val="00FD1389"/>
    <w:rsid w:val="00FD1DC8"/>
    <w:rsid w:val="00FD4E7F"/>
    <w:rsid w:val="00FD6B43"/>
    <w:rsid w:val="00FD7603"/>
    <w:rsid w:val="00FE121F"/>
    <w:rsid w:val="00FE275A"/>
    <w:rsid w:val="00FE3143"/>
    <w:rsid w:val="00FE3771"/>
    <w:rsid w:val="00FE3CBD"/>
    <w:rsid w:val="00FF4C76"/>
    <w:rsid w:val="00FF5ED2"/>
    <w:rsid w:val="00FF6232"/>
    <w:rsid w:val="00FF79A9"/>
    <w:rsid w:val="00FF7E2A"/>
    <w:rsid w:val="01037EC3"/>
    <w:rsid w:val="01042E9C"/>
    <w:rsid w:val="010E4C5D"/>
    <w:rsid w:val="0112363F"/>
    <w:rsid w:val="01133407"/>
    <w:rsid w:val="011419D2"/>
    <w:rsid w:val="0117271A"/>
    <w:rsid w:val="011F0E30"/>
    <w:rsid w:val="01260B21"/>
    <w:rsid w:val="01273657"/>
    <w:rsid w:val="012F4A53"/>
    <w:rsid w:val="01344020"/>
    <w:rsid w:val="013F4037"/>
    <w:rsid w:val="0147153B"/>
    <w:rsid w:val="0148784A"/>
    <w:rsid w:val="014D4677"/>
    <w:rsid w:val="014F4893"/>
    <w:rsid w:val="016565E0"/>
    <w:rsid w:val="01672D40"/>
    <w:rsid w:val="016B2D35"/>
    <w:rsid w:val="016E5000"/>
    <w:rsid w:val="016F4333"/>
    <w:rsid w:val="01704BD3"/>
    <w:rsid w:val="01751E00"/>
    <w:rsid w:val="017C1B32"/>
    <w:rsid w:val="017C1B94"/>
    <w:rsid w:val="017F323C"/>
    <w:rsid w:val="01865798"/>
    <w:rsid w:val="018C0157"/>
    <w:rsid w:val="018E5155"/>
    <w:rsid w:val="01921CEB"/>
    <w:rsid w:val="01985D28"/>
    <w:rsid w:val="019B2A6C"/>
    <w:rsid w:val="019B5571"/>
    <w:rsid w:val="01A059B2"/>
    <w:rsid w:val="01A47995"/>
    <w:rsid w:val="01AB3962"/>
    <w:rsid w:val="01B74094"/>
    <w:rsid w:val="01B87FD5"/>
    <w:rsid w:val="01B94910"/>
    <w:rsid w:val="01BE0AD1"/>
    <w:rsid w:val="01C25065"/>
    <w:rsid w:val="01C83E75"/>
    <w:rsid w:val="01CB59A7"/>
    <w:rsid w:val="01CB767E"/>
    <w:rsid w:val="01CC107E"/>
    <w:rsid w:val="01CF0F35"/>
    <w:rsid w:val="01D603D7"/>
    <w:rsid w:val="01D83D31"/>
    <w:rsid w:val="01DE6221"/>
    <w:rsid w:val="01E64CBD"/>
    <w:rsid w:val="01E96738"/>
    <w:rsid w:val="0205345F"/>
    <w:rsid w:val="020822B3"/>
    <w:rsid w:val="020D2BFE"/>
    <w:rsid w:val="02185A61"/>
    <w:rsid w:val="022546B2"/>
    <w:rsid w:val="02290C40"/>
    <w:rsid w:val="022E2D68"/>
    <w:rsid w:val="02301986"/>
    <w:rsid w:val="023826D0"/>
    <w:rsid w:val="023952A1"/>
    <w:rsid w:val="023B4E7B"/>
    <w:rsid w:val="023D45C1"/>
    <w:rsid w:val="023D7390"/>
    <w:rsid w:val="02413E43"/>
    <w:rsid w:val="02496A91"/>
    <w:rsid w:val="024C242F"/>
    <w:rsid w:val="02516FD7"/>
    <w:rsid w:val="025C2995"/>
    <w:rsid w:val="025E6CBA"/>
    <w:rsid w:val="026E158E"/>
    <w:rsid w:val="0271718D"/>
    <w:rsid w:val="028613E1"/>
    <w:rsid w:val="028644D3"/>
    <w:rsid w:val="02873A6B"/>
    <w:rsid w:val="028E3381"/>
    <w:rsid w:val="029770EC"/>
    <w:rsid w:val="029815D7"/>
    <w:rsid w:val="02992350"/>
    <w:rsid w:val="02A0563B"/>
    <w:rsid w:val="02A05E8C"/>
    <w:rsid w:val="02A57EB3"/>
    <w:rsid w:val="02AC5C44"/>
    <w:rsid w:val="02AD119A"/>
    <w:rsid w:val="02AD5C3A"/>
    <w:rsid w:val="02B16289"/>
    <w:rsid w:val="02B32233"/>
    <w:rsid w:val="02C056C9"/>
    <w:rsid w:val="02C3663D"/>
    <w:rsid w:val="02C5676D"/>
    <w:rsid w:val="02D0202C"/>
    <w:rsid w:val="02D03A5C"/>
    <w:rsid w:val="02D32597"/>
    <w:rsid w:val="02D55DD4"/>
    <w:rsid w:val="02D76E06"/>
    <w:rsid w:val="02F45ACA"/>
    <w:rsid w:val="02F70D3E"/>
    <w:rsid w:val="02F80FC0"/>
    <w:rsid w:val="02F86670"/>
    <w:rsid w:val="02FE1F82"/>
    <w:rsid w:val="03012073"/>
    <w:rsid w:val="03047670"/>
    <w:rsid w:val="03076553"/>
    <w:rsid w:val="030B0DDA"/>
    <w:rsid w:val="030F33C0"/>
    <w:rsid w:val="031443B9"/>
    <w:rsid w:val="03161B57"/>
    <w:rsid w:val="031B2C7F"/>
    <w:rsid w:val="032F5025"/>
    <w:rsid w:val="035110AD"/>
    <w:rsid w:val="035156E0"/>
    <w:rsid w:val="035257F2"/>
    <w:rsid w:val="035342DD"/>
    <w:rsid w:val="03597CF5"/>
    <w:rsid w:val="035A7719"/>
    <w:rsid w:val="03611F69"/>
    <w:rsid w:val="03622654"/>
    <w:rsid w:val="036672C9"/>
    <w:rsid w:val="03702DAA"/>
    <w:rsid w:val="03756568"/>
    <w:rsid w:val="037B0BBB"/>
    <w:rsid w:val="037E09DE"/>
    <w:rsid w:val="037F307D"/>
    <w:rsid w:val="037F50CD"/>
    <w:rsid w:val="03862A77"/>
    <w:rsid w:val="039173E9"/>
    <w:rsid w:val="03AB7869"/>
    <w:rsid w:val="03B07A7E"/>
    <w:rsid w:val="03BA6EEB"/>
    <w:rsid w:val="03C573B9"/>
    <w:rsid w:val="03CF102B"/>
    <w:rsid w:val="03CF502B"/>
    <w:rsid w:val="03D755D9"/>
    <w:rsid w:val="03DD4281"/>
    <w:rsid w:val="03ED3C63"/>
    <w:rsid w:val="03F6494A"/>
    <w:rsid w:val="03F7414F"/>
    <w:rsid w:val="03FA1DC9"/>
    <w:rsid w:val="040B25ED"/>
    <w:rsid w:val="040F0873"/>
    <w:rsid w:val="042B15DB"/>
    <w:rsid w:val="04391A7E"/>
    <w:rsid w:val="04412A6F"/>
    <w:rsid w:val="04466639"/>
    <w:rsid w:val="044A41D3"/>
    <w:rsid w:val="04510B0D"/>
    <w:rsid w:val="04573296"/>
    <w:rsid w:val="045E5922"/>
    <w:rsid w:val="04604A2B"/>
    <w:rsid w:val="046A29F5"/>
    <w:rsid w:val="046B192D"/>
    <w:rsid w:val="046E5C18"/>
    <w:rsid w:val="048416E6"/>
    <w:rsid w:val="04885D36"/>
    <w:rsid w:val="048D3D3D"/>
    <w:rsid w:val="04912063"/>
    <w:rsid w:val="04A2438B"/>
    <w:rsid w:val="04A838C7"/>
    <w:rsid w:val="04A84E8C"/>
    <w:rsid w:val="04AB74EA"/>
    <w:rsid w:val="04CE0E62"/>
    <w:rsid w:val="04DF1670"/>
    <w:rsid w:val="04DF6742"/>
    <w:rsid w:val="04E41E93"/>
    <w:rsid w:val="04ED48D2"/>
    <w:rsid w:val="04F843B0"/>
    <w:rsid w:val="05137752"/>
    <w:rsid w:val="05154600"/>
    <w:rsid w:val="051660EF"/>
    <w:rsid w:val="051C068D"/>
    <w:rsid w:val="0526237F"/>
    <w:rsid w:val="052856BD"/>
    <w:rsid w:val="05291B61"/>
    <w:rsid w:val="052D3A02"/>
    <w:rsid w:val="052F6CFA"/>
    <w:rsid w:val="053148BD"/>
    <w:rsid w:val="05390302"/>
    <w:rsid w:val="054377EA"/>
    <w:rsid w:val="054543D7"/>
    <w:rsid w:val="05525A78"/>
    <w:rsid w:val="05534BE0"/>
    <w:rsid w:val="05572751"/>
    <w:rsid w:val="0558696A"/>
    <w:rsid w:val="05655A24"/>
    <w:rsid w:val="056D3997"/>
    <w:rsid w:val="056D6047"/>
    <w:rsid w:val="057515A1"/>
    <w:rsid w:val="057E34A0"/>
    <w:rsid w:val="057F5274"/>
    <w:rsid w:val="057F7BE5"/>
    <w:rsid w:val="05834138"/>
    <w:rsid w:val="058B26F5"/>
    <w:rsid w:val="05934308"/>
    <w:rsid w:val="059A3888"/>
    <w:rsid w:val="05A06662"/>
    <w:rsid w:val="05A65AB5"/>
    <w:rsid w:val="05AB2C00"/>
    <w:rsid w:val="05B729E2"/>
    <w:rsid w:val="05B9190B"/>
    <w:rsid w:val="05BF6EA2"/>
    <w:rsid w:val="05C13570"/>
    <w:rsid w:val="05C63EB5"/>
    <w:rsid w:val="05CA7984"/>
    <w:rsid w:val="05CC5DBD"/>
    <w:rsid w:val="05DE53F2"/>
    <w:rsid w:val="05DE66BE"/>
    <w:rsid w:val="05DF5CAA"/>
    <w:rsid w:val="05E671F7"/>
    <w:rsid w:val="05E9422B"/>
    <w:rsid w:val="05EB2603"/>
    <w:rsid w:val="05EE4670"/>
    <w:rsid w:val="05F17846"/>
    <w:rsid w:val="05FA3B56"/>
    <w:rsid w:val="06022DA8"/>
    <w:rsid w:val="060A4716"/>
    <w:rsid w:val="060B52E5"/>
    <w:rsid w:val="06143FB0"/>
    <w:rsid w:val="061C4BBB"/>
    <w:rsid w:val="062558ED"/>
    <w:rsid w:val="062A7A35"/>
    <w:rsid w:val="063170B7"/>
    <w:rsid w:val="063F0261"/>
    <w:rsid w:val="063F6C84"/>
    <w:rsid w:val="06417596"/>
    <w:rsid w:val="064779D4"/>
    <w:rsid w:val="064806F6"/>
    <w:rsid w:val="06490B24"/>
    <w:rsid w:val="064C67FC"/>
    <w:rsid w:val="06547860"/>
    <w:rsid w:val="06586EC3"/>
    <w:rsid w:val="065A6329"/>
    <w:rsid w:val="065E6FF1"/>
    <w:rsid w:val="06686D84"/>
    <w:rsid w:val="066C74E5"/>
    <w:rsid w:val="06700EAA"/>
    <w:rsid w:val="0674190E"/>
    <w:rsid w:val="06746CD6"/>
    <w:rsid w:val="06751622"/>
    <w:rsid w:val="06756B8F"/>
    <w:rsid w:val="06776067"/>
    <w:rsid w:val="067C7C74"/>
    <w:rsid w:val="067D59FE"/>
    <w:rsid w:val="068C7894"/>
    <w:rsid w:val="0693056C"/>
    <w:rsid w:val="069E2C98"/>
    <w:rsid w:val="06A11C48"/>
    <w:rsid w:val="06A17417"/>
    <w:rsid w:val="06A3711F"/>
    <w:rsid w:val="06A708EE"/>
    <w:rsid w:val="06A71BD1"/>
    <w:rsid w:val="06A7781D"/>
    <w:rsid w:val="06AB11B7"/>
    <w:rsid w:val="06AB4A22"/>
    <w:rsid w:val="06B245D4"/>
    <w:rsid w:val="06B641E2"/>
    <w:rsid w:val="06B861F8"/>
    <w:rsid w:val="06BB57E4"/>
    <w:rsid w:val="06BF1EFE"/>
    <w:rsid w:val="06BF7F98"/>
    <w:rsid w:val="06C47385"/>
    <w:rsid w:val="06CD0B44"/>
    <w:rsid w:val="06D57E92"/>
    <w:rsid w:val="06EA2F20"/>
    <w:rsid w:val="06EE5A2D"/>
    <w:rsid w:val="06F35A5D"/>
    <w:rsid w:val="06FD163D"/>
    <w:rsid w:val="06FF59E2"/>
    <w:rsid w:val="07042DBB"/>
    <w:rsid w:val="070F5D71"/>
    <w:rsid w:val="070F7487"/>
    <w:rsid w:val="071E770C"/>
    <w:rsid w:val="07260856"/>
    <w:rsid w:val="072D3043"/>
    <w:rsid w:val="07334DCE"/>
    <w:rsid w:val="07342C6B"/>
    <w:rsid w:val="073E2AE3"/>
    <w:rsid w:val="074A3B33"/>
    <w:rsid w:val="074E5138"/>
    <w:rsid w:val="07590C16"/>
    <w:rsid w:val="075E138C"/>
    <w:rsid w:val="0761475C"/>
    <w:rsid w:val="07665311"/>
    <w:rsid w:val="076A196A"/>
    <w:rsid w:val="076A5F83"/>
    <w:rsid w:val="076C7167"/>
    <w:rsid w:val="07713362"/>
    <w:rsid w:val="078A37B3"/>
    <w:rsid w:val="078B414B"/>
    <w:rsid w:val="07947E81"/>
    <w:rsid w:val="079B3B9B"/>
    <w:rsid w:val="07A422A5"/>
    <w:rsid w:val="07A61645"/>
    <w:rsid w:val="07A87CE1"/>
    <w:rsid w:val="07B560D3"/>
    <w:rsid w:val="07CB6006"/>
    <w:rsid w:val="07CB7DF6"/>
    <w:rsid w:val="07CE340C"/>
    <w:rsid w:val="07D279FA"/>
    <w:rsid w:val="07E32246"/>
    <w:rsid w:val="07E801EB"/>
    <w:rsid w:val="07F329A0"/>
    <w:rsid w:val="07FC1C4A"/>
    <w:rsid w:val="08073184"/>
    <w:rsid w:val="08104BFB"/>
    <w:rsid w:val="08142866"/>
    <w:rsid w:val="08163DDF"/>
    <w:rsid w:val="081A346E"/>
    <w:rsid w:val="08216A16"/>
    <w:rsid w:val="08301D89"/>
    <w:rsid w:val="08320583"/>
    <w:rsid w:val="08327182"/>
    <w:rsid w:val="08422707"/>
    <w:rsid w:val="084701A5"/>
    <w:rsid w:val="084803BE"/>
    <w:rsid w:val="084C321B"/>
    <w:rsid w:val="084E5431"/>
    <w:rsid w:val="08622257"/>
    <w:rsid w:val="08650FA7"/>
    <w:rsid w:val="087E653F"/>
    <w:rsid w:val="088271F7"/>
    <w:rsid w:val="088A1E83"/>
    <w:rsid w:val="08902126"/>
    <w:rsid w:val="08A41020"/>
    <w:rsid w:val="08A72EC2"/>
    <w:rsid w:val="08B650C6"/>
    <w:rsid w:val="08B74224"/>
    <w:rsid w:val="08BA213D"/>
    <w:rsid w:val="08BD4D6E"/>
    <w:rsid w:val="08C573BE"/>
    <w:rsid w:val="08C858E8"/>
    <w:rsid w:val="08C9422C"/>
    <w:rsid w:val="08D61E95"/>
    <w:rsid w:val="08E069AA"/>
    <w:rsid w:val="08F44A05"/>
    <w:rsid w:val="08FB34F6"/>
    <w:rsid w:val="090048B1"/>
    <w:rsid w:val="09033A27"/>
    <w:rsid w:val="09055876"/>
    <w:rsid w:val="090B5543"/>
    <w:rsid w:val="09110D6F"/>
    <w:rsid w:val="092365C7"/>
    <w:rsid w:val="09352E44"/>
    <w:rsid w:val="09381495"/>
    <w:rsid w:val="09491428"/>
    <w:rsid w:val="09493C77"/>
    <w:rsid w:val="094C1CA7"/>
    <w:rsid w:val="095004ED"/>
    <w:rsid w:val="095253C7"/>
    <w:rsid w:val="095573D0"/>
    <w:rsid w:val="095676A1"/>
    <w:rsid w:val="09585C27"/>
    <w:rsid w:val="09623040"/>
    <w:rsid w:val="096315C9"/>
    <w:rsid w:val="096878A0"/>
    <w:rsid w:val="09690A9E"/>
    <w:rsid w:val="096F7758"/>
    <w:rsid w:val="097221BB"/>
    <w:rsid w:val="097E4761"/>
    <w:rsid w:val="09851D04"/>
    <w:rsid w:val="09895ED2"/>
    <w:rsid w:val="098C09A6"/>
    <w:rsid w:val="09922B0E"/>
    <w:rsid w:val="09984B82"/>
    <w:rsid w:val="099D6B0A"/>
    <w:rsid w:val="09AB168B"/>
    <w:rsid w:val="09C02298"/>
    <w:rsid w:val="09C26043"/>
    <w:rsid w:val="09C27F85"/>
    <w:rsid w:val="09C9040F"/>
    <w:rsid w:val="09CD631A"/>
    <w:rsid w:val="09D84F28"/>
    <w:rsid w:val="09DB2DC9"/>
    <w:rsid w:val="09E14EF2"/>
    <w:rsid w:val="09E36662"/>
    <w:rsid w:val="09E50DE3"/>
    <w:rsid w:val="09E72D3B"/>
    <w:rsid w:val="09E81B24"/>
    <w:rsid w:val="09F342F1"/>
    <w:rsid w:val="09F52E05"/>
    <w:rsid w:val="09F95D68"/>
    <w:rsid w:val="0A027367"/>
    <w:rsid w:val="0A034284"/>
    <w:rsid w:val="0A0524E6"/>
    <w:rsid w:val="0A0D2C60"/>
    <w:rsid w:val="0A0F429C"/>
    <w:rsid w:val="0A0F5205"/>
    <w:rsid w:val="0A167B6F"/>
    <w:rsid w:val="0A1B0BD0"/>
    <w:rsid w:val="0A1C36D3"/>
    <w:rsid w:val="0A1C6ACA"/>
    <w:rsid w:val="0A1D5C8A"/>
    <w:rsid w:val="0A204F45"/>
    <w:rsid w:val="0A206D9E"/>
    <w:rsid w:val="0A3D395A"/>
    <w:rsid w:val="0A477B56"/>
    <w:rsid w:val="0A4964A0"/>
    <w:rsid w:val="0A53248C"/>
    <w:rsid w:val="0A551699"/>
    <w:rsid w:val="0A5C646D"/>
    <w:rsid w:val="0A64307E"/>
    <w:rsid w:val="0A696629"/>
    <w:rsid w:val="0A7044BC"/>
    <w:rsid w:val="0A786D45"/>
    <w:rsid w:val="0A7D67C8"/>
    <w:rsid w:val="0A92134C"/>
    <w:rsid w:val="0A947E48"/>
    <w:rsid w:val="0AB01BD3"/>
    <w:rsid w:val="0AB43808"/>
    <w:rsid w:val="0AB865F0"/>
    <w:rsid w:val="0AC353A1"/>
    <w:rsid w:val="0AC368B6"/>
    <w:rsid w:val="0AE34BF2"/>
    <w:rsid w:val="0AF60678"/>
    <w:rsid w:val="0B00298C"/>
    <w:rsid w:val="0B077E7A"/>
    <w:rsid w:val="0B09195D"/>
    <w:rsid w:val="0B0A12A5"/>
    <w:rsid w:val="0B204882"/>
    <w:rsid w:val="0B2B4846"/>
    <w:rsid w:val="0B333E71"/>
    <w:rsid w:val="0B4E1717"/>
    <w:rsid w:val="0B5036E2"/>
    <w:rsid w:val="0B596729"/>
    <w:rsid w:val="0B5E078C"/>
    <w:rsid w:val="0B622721"/>
    <w:rsid w:val="0B682CAB"/>
    <w:rsid w:val="0B775C3A"/>
    <w:rsid w:val="0B7A772A"/>
    <w:rsid w:val="0B846FC4"/>
    <w:rsid w:val="0B8E64DB"/>
    <w:rsid w:val="0B915CDA"/>
    <w:rsid w:val="0B9210E7"/>
    <w:rsid w:val="0B984D8F"/>
    <w:rsid w:val="0B9A67C9"/>
    <w:rsid w:val="0BBC0D77"/>
    <w:rsid w:val="0BBE4877"/>
    <w:rsid w:val="0BC155DA"/>
    <w:rsid w:val="0BCE61BD"/>
    <w:rsid w:val="0BCF2526"/>
    <w:rsid w:val="0BD2521C"/>
    <w:rsid w:val="0BE62195"/>
    <w:rsid w:val="0BE80927"/>
    <w:rsid w:val="0BF142C8"/>
    <w:rsid w:val="0BFB47BD"/>
    <w:rsid w:val="0C08463D"/>
    <w:rsid w:val="0C0D5D76"/>
    <w:rsid w:val="0C100273"/>
    <w:rsid w:val="0C100CB6"/>
    <w:rsid w:val="0C152355"/>
    <w:rsid w:val="0C1A2A3A"/>
    <w:rsid w:val="0C1E220B"/>
    <w:rsid w:val="0C1F1AAD"/>
    <w:rsid w:val="0C252478"/>
    <w:rsid w:val="0C281B36"/>
    <w:rsid w:val="0C2D5BC2"/>
    <w:rsid w:val="0C335E58"/>
    <w:rsid w:val="0C3B3EAE"/>
    <w:rsid w:val="0C3E35F3"/>
    <w:rsid w:val="0C4006B0"/>
    <w:rsid w:val="0C431604"/>
    <w:rsid w:val="0C4A31FC"/>
    <w:rsid w:val="0C4E7AEC"/>
    <w:rsid w:val="0C501BE0"/>
    <w:rsid w:val="0C577D4B"/>
    <w:rsid w:val="0C58117F"/>
    <w:rsid w:val="0C5A19A3"/>
    <w:rsid w:val="0C5E2E99"/>
    <w:rsid w:val="0C5E65EE"/>
    <w:rsid w:val="0C7C2DA5"/>
    <w:rsid w:val="0C832D94"/>
    <w:rsid w:val="0C87217C"/>
    <w:rsid w:val="0C917685"/>
    <w:rsid w:val="0C9763CC"/>
    <w:rsid w:val="0C9D2CE8"/>
    <w:rsid w:val="0C9E0179"/>
    <w:rsid w:val="0CA14830"/>
    <w:rsid w:val="0CAC2533"/>
    <w:rsid w:val="0CB65716"/>
    <w:rsid w:val="0CBE5C9D"/>
    <w:rsid w:val="0CC00FAC"/>
    <w:rsid w:val="0CC17D64"/>
    <w:rsid w:val="0CC42FC7"/>
    <w:rsid w:val="0CCE2B10"/>
    <w:rsid w:val="0CD67434"/>
    <w:rsid w:val="0CE06513"/>
    <w:rsid w:val="0CEC429B"/>
    <w:rsid w:val="0CEE3DA7"/>
    <w:rsid w:val="0CF3031C"/>
    <w:rsid w:val="0CFE0DC7"/>
    <w:rsid w:val="0CFE28C0"/>
    <w:rsid w:val="0D003A74"/>
    <w:rsid w:val="0D0A7152"/>
    <w:rsid w:val="0D0F1397"/>
    <w:rsid w:val="0D1523BB"/>
    <w:rsid w:val="0D1859DF"/>
    <w:rsid w:val="0D1903C3"/>
    <w:rsid w:val="0D1C0632"/>
    <w:rsid w:val="0D20757A"/>
    <w:rsid w:val="0D295587"/>
    <w:rsid w:val="0D3112F1"/>
    <w:rsid w:val="0D4106F3"/>
    <w:rsid w:val="0D4E24D6"/>
    <w:rsid w:val="0D570673"/>
    <w:rsid w:val="0D5B6CDF"/>
    <w:rsid w:val="0D646464"/>
    <w:rsid w:val="0D646DA5"/>
    <w:rsid w:val="0D6F1ACD"/>
    <w:rsid w:val="0D734BFD"/>
    <w:rsid w:val="0D860C97"/>
    <w:rsid w:val="0D880AEE"/>
    <w:rsid w:val="0D895F1D"/>
    <w:rsid w:val="0D942D54"/>
    <w:rsid w:val="0D9F2503"/>
    <w:rsid w:val="0DA4468F"/>
    <w:rsid w:val="0DA52804"/>
    <w:rsid w:val="0DB9692C"/>
    <w:rsid w:val="0DC418BD"/>
    <w:rsid w:val="0DC6393A"/>
    <w:rsid w:val="0DC652FF"/>
    <w:rsid w:val="0DC70D2E"/>
    <w:rsid w:val="0DE04FAC"/>
    <w:rsid w:val="0DEB3535"/>
    <w:rsid w:val="0DF15F10"/>
    <w:rsid w:val="0DF913EB"/>
    <w:rsid w:val="0E0013EF"/>
    <w:rsid w:val="0E024983"/>
    <w:rsid w:val="0E062452"/>
    <w:rsid w:val="0E06374D"/>
    <w:rsid w:val="0E0D6658"/>
    <w:rsid w:val="0E1924DF"/>
    <w:rsid w:val="0E1B514C"/>
    <w:rsid w:val="0E2A1FC8"/>
    <w:rsid w:val="0E345571"/>
    <w:rsid w:val="0E357AF6"/>
    <w:rsid w:val="0E4232A3"/>
    <w:rsid w:val="0E475AB0"/>
    <w:rsid w:val="0E4947D8"/>
    <w:rsid w:val="0E5A03D3"/>
    <w:rsid w:val="0E5F598B"/>
    <w:rsid w:val="0E5F5BBD"/>
    <w:rsid w:val="0E6B3748"/>
    <w:rsid w:val="0E733C9C"/>
    <w:rsid w:val="0E76520D"/>
    <w:rsid w:val="0E785E28"/>
    <w:rsid w:val="0E7A0CC3"/>
    <w:rsid w:val="0E7A18E3"/>
    <w:rsid w:val="0E823566"/>
    <w:rsid w:val="0E826642"/>
    <w:rsid w:val="0E855450"/>
    <w:rsid w:val="0E876E15"/>
    <w:rsid w:val="0E982BF1"/>
    <w:rsid w:val="0EA5702D"/>
    <w:rsid w:val="0EAC39EC"/>
    <w:rsid w:val="0EAC5829"/>
    <w:rsid w:val="0EB651CA"/>
    <w:rsid w:val="0ECC1ACA"/>
    <w:rsid w:val="0ED3266C"/>
    <w:rsid w:val="0ED939C7"/>
    <w:rsid w:val="0EE03DDB"/>
    <w:rsid w:val="0EE65678"/>
    <w:rsid w:val="0EED1247"/>
    <w:rsid w:val="0EF03603"/>
    <w:rsid w:val="0F017DF9"/>
    <w:rsid w:val="0F036717"/>
    <w:rsid w:val="0F087E2F"/>
    <w:rsid w:val="0F0E4D4D"/>
    <w:rsid w:val="0F0F2D5A"/>
    <w:rsid w:val="0F133CC6"/>
    <w:rsid w:val="0F1367BD"/>
    <w:rsid w:val="0F165EF6"/>
    <w:rsid w:val="0F25320B"/>
    <w:rsid w:val="0F3776CE"/>
    <w:rsid w:val="0F3A3115"/>
    <w:rsid w:val="0F3A5C19"/>
    <w:rsid w:val="0F454F15"/>
    <w:rsid w:val="0F54160B"/>
    <w:rsid w:val="0F5B2AC5"/>
    <w:rsid w:val="0F5D6299"/>
    <w:rsid w:val="0F64775C"/>
    <w:rsid w:val="0F651880"/>
    <w:rsid w:val="0F653884"/>
    <w:rsid w:val="0F7A3F04"/>
    <w:rsid w:val="0F7E31F1"/>
    <w:rsid w:val="0F8C62A3"/>
    <w:rsid w:val="0F930F09"/>
    <w:rsid w:val="0FA46C5C"/>
    <w:rsid w:val="0FA649B2"/>
    <w:rsid w:val="0FB227B2"/>
    <w:rsid w:val="0FBE3403"/>
    <w:rsid w:val="0FCD64F9"/>
    <w:rsid w:val="0FDB16E8"/>
    <w:rsid w:val="0FDD163C"/>
    <w:rsid w:val="0FE035F7"/>
    <w:rsid w:val="0FE23B82"/>
    <w:rsid w:val="0FE64614"/>
    <w:rsid w:val="0FE91411"/>
    <w:rsid w:val="0FEC75B7"/>
    <w:rsid w:val="0FF512EB"/>
    <w:rsid w:val="0FFE7887"/>
    <w:rsid w:val="10020045"/>
    <w:rsid w:val="10032E77"/>
    <w:rsid w:val="10075DEA"/>
    <w:rsid w:val="10110F2A"/>
    <w:rsid w:val="102130A2"/>
    <w:rsid w:val="10347DEC"/>
    <w:rsid w:val="103F357A"/>
    <w:rsid w:val="10457700"/>
    <w:rsid w:val="104C5B6F"/>
    <w:rsid w:val="10572E1C"/>
    <w:rsid w:val="105C0E07"/>
    <w:rsid w:val="105D62FF"/>
    <w:rsid w:val="10732D0C"/>
    <w:rsid w:val="10761AD7"/>
    <w:rsid w:val="107B5111"/>
    <w:rsid w:val="107D0495"/>
    <w:rsid w:val="107F1FB1"/>
    <w:rsid w:val="10935DD5"/>
    <w:rsid w:val="10A064D0"/>
    <w:rsid w:val="10A90FB8"/>
    <w:rsid w:val="10B95892"/>
    <w:rsid w:val="10CB662C"/>
    <w:rsid w:val="10CD4779"/>
    <w:rsid w:val="10D228BB"/>
    <w:rsid w:val="10DC0127"/>
    <w:rsid w:val="10DC3918"/>
    <w:rsid w:val="10DC74B4"/>
    <w:rsid w:val="10E156F1"/>
    <w:rsid w:val="10E24929"/>
    <w:rsid w:val="10E75605"/>
    <w:rsid w:val="10E838C0"/>
    <w:rsid w:val="10EA7F86"/>
    <w:rsid w:val="10EC058C"/>
    <w:rsid w:val="10EC243F"/>
    <w:rsid w:val="10F16889"/>
    <w:rsid w:val="10F6145E"/>
    <w:rsid w:val="11081890"/>
    <w:rsid w:val="11087AA9"/>
    <w:rsid w:val="11233E48"/>
    <w:rsid w:val="112F2452"/>
    <w:rsid w:val="113049E9"/>
    <w:rsid w:val="11307CAA"/>
    <w:rsid w:val="1132454C"/>
    <w:rsid w:val="11374DFF"/>
    <w:rsid w:val="11385058"/>
    <w:rsid w:val="113853B2"/>
    <w:rsid w:val="113F356E"/>
    <w:rsid w:val="1147652C"/>
    <w:rsid w:val="115C4C8B"/>
    <w:rsid w:val="11616987"/>
    <w:rsid w:val="11657A71"/>
    <w:rsid w:val="116713D5"/>
    <w:rsid w:val="116A7B53"/>
    <w:rsid w:val="116C1326"/>
    <w:rsid w:val="117069C2"/>
    <w:rsid w:val="117201AD"/>
    <w:rsid w:val="117B467D"/>
    <w:rsid w:val="117C05FB"/>
    <w:rsid w:val="11801882"/>
    <w:rsid w:val="11804D9D"/>
    <w:rsid w:val="11814309"/>
    <w:rsid w:val="11831D2C"/>
    <w:rsid w:val="1196359F"/>
    <w:rsid w:val="11A46DDB"/>
    <w:rsid w:val="11AC2538"/>
    <w:rsid w:val="11BB3C24"/>
    <w:rsid w:val="11BB51D6"/>
    <w:rsid w:val="11BC6D50"/>
    <w:rsid w:val="11E513D3"/>
    <w:rsid w:val="11E645C3"/>
    <w:rsid w:val="11E97A80"/>
    <w:rsid w:val="11F34008"/>
    <w:rsid w:val="11F34199"/>
    <w:rsid w:val="11F549EC"/>
    <w:rsid w:val="11F62DEB"/>
    <w:rsid w:val="12035877"/>
    <w:rsid w:val="120C25E6"/>
    <w:rsid w:val="120D7208"/>
    <w:rsid w:val="12110366"/>
    <w:rsid w:val="1216222B"/>
    <w:rsid w:val="12252B7A"/>
    <w:rsid w:val="12320E5D"/>
    <w:rsid w:val="123275C4"/>
    <w:rsid w:val="12501DA5"/>
    <w:rsid w:val="126C76CB"/>
    <w:rsid w:val="12777987"/>
    <w:rsid w:val="127E4191"/>
    <w:rsid w:val="12814A09"/>
    <w:rsid w:val="12843C71"/>
    <w:rsid w:val="128F1366"/>
    <w:rsid w:val="129F1F22"/>
    <w:rsid w:val="12A60575"/>
    <w:rsid w:val="12A91AC5"/>
    <w:rsid w:val="12BD3406"/>
    <w:rsid w:val="12CA2F05"/>
    <w:rsid w:val="12D00511"/>
    <w:rsid w:val="12DA72AD"/>
    <w:rsid w:val="12DC3362"/>
    <w:rsid w:val="12E00931"/>
    <w:rsid w:val="12E03311"/>
    <w:rsid w:val="12E36BE9"/>
    <w:rsid w:val="12E459B1"/>
    <w:rsid w:val="12F001C6"/>
    <w:rsid w:val="12F12A9A"/>
    <w:rsid w:val="12F90F59"/>
    <w:rsid w:val="12FA51CA"/>
    <w:rsid w:val="12FC7611"/>
    <w:rsid w:val="1306255E"/>
    <w:rsid w:val="130D6E0C"/>
    <w:rsid w:val="130E0EC5"/>
    <w:rsid w:val="13125D0B"/>
    <w:rsid w:val="13194E9A"/>
    <w:rsid w:val="13227D49"/>
    <w:rsid w:val="132D21F6"/>
    <w:rsid w:val="132D2858"/>
    <w:rsid w:val="132E2AA9"/>
    <w:rsid w:val="132F7EAC"/>
    <w:rsid w:val="13330810"/>
    <w:rsid w:val="133F6B2B"/>
    <w:rsid w:val="13435DB2"/>
    <w:rsid w:val="1346582A"/>
    <w:rsid w:val="134C5FB3"/>
    <w:rsid w:val="135755FC"/>
    <w:rsid w:val="13584CEB"/>
    <w:rsid w:val="13631F7C"/>
    <w:rsid w:val="136F507C"/>
    <w:rsid w:val="137E08F8"/>
    <w:rsid w:val="138E5768"/>
    <w:rsid w:val="13935DCA"/>
    <w:rsid w:val="139E71E0"/>
    <w:rsid w:val="13AC12DF"/>
    <w:rsid w:val="13AF2D3F"/>
    <w:rsid w:val="13B862F9"/>
    <w:rsid w:val="13BB08DA"/>
    <w:rsid w:val="13C469A2"/>
    <w:rsid w:val="13CE6ABB"/>
    <w:rsid w:val="13D06224"/>
    <w:rsid w:val="13DB5782"/>
    <w:rsid w:val="13DD00C7"/>
    <w:rsid w:val="13DF1849"/>
    <w:rsid w:val="13E143C5"/>
    <w:rsid w:val="13ED0597"/>
    <w:rsid w:val="13EF30E1"/>
    <w:rsid w:val="13FF61F7"/>
    <w:rsid w:val="14070298"/>
    <w:rsid w:val="140D22C4"/>
    <w:rsid w:val="14143870"/>
    <w:rsid w:val="141475D0"/>
    <w:rsid w:val="141A021C"/>
    <w:rsid w:val="142825C7"/>
    <w:rsid w:val="142B68D3"/>
    <w:rsid w:val="1432147D"/>
    <w:rsid w:val="143A7FF4"/>
    <w:rsid w:val="143B263C"/>
    <w:rsid w:val="1448083C"/>
    <w:rsid w:val="144F2A54"/>
    <w:rsid w:val="144F429F"/>
    <w:rsid w:val="1458794D"/>
    <w:rsid w:val="14682C93"/>
    <w:rsid w:val="146B08F3"/>
    <w:rsid w:val="146F07FA"/>
    <w:rsid w:val="147A11F5"/>
    <w:rsid w:val="147C5400"/>
    <w:rsid w:val="148F6512"/>
    <w:rsid w:val="148F6ECD"/>
    <w:rsid w:val="14963F33"/>
    <w:rsid w:val="14970459"/>
    <w:rsid w:val="149D0FED"/>
    <w:rsid w:val="14A62444"/>
    <w:rsid w:val="14AA6898"/>
    <w:rsid w:val="14B0017F"/>
    <w:rsid w:val="14B12243"/>
    <w:rsid w:val="14B42DD7"/>
    <w:rsid w:val="14B9062D"/>
    <w:rsid w:val="14C54074"/>
    <w:rsid w:val="14D01A4F"/>
    <w:rsid w:val="14D12EFC"/>
    <w:rsid w:val="14D9162C"/>
    <w:rsid w:val="14E84123"/>
    <w:rsid w:val="14E97648"/>
    <w:rsid w:val="14EC66D5"/>
    <w:rsid w:val="14EE66FB"/>
    <w:rsid w:val="14F427BF"/>
    <w:rsid w:val="14F71E04"/>
    <w:rsid w:val="14FF520C"/>
    <w:rsid w:val="150B27F2"/>
    <w:rsid w:val="15106A35"/>
    <w:rsid w:val="15121C84"/>
    <w:rsid w:val="151477CA"/>
    <w:rsid w:val="151C54E1"/>
    <w:rsid w:val="152A628C"/>
    <w:rsid w:val="152C17DD"/>
    <w:rsid w:val="15331FCA"/>
    <w:rsid w:val="1533716E"/>
    <w:rsid w:val="15404173"/>
    <w:rsid w:val="15422E54"/>
    <w:rsid w:val="154A7805"/>
    <w:rsid w:val="154D6F7F"/>
    <w:rsid w:val="154F1976"/>
    <w:rsid w:val="154F398D"/>
    <w:rsid w:val="156D4E3B"/>
    <w:rsid w:val="15703F2E"/>
    <w:rsid w:val="15732D7E"/>
    <w:rsid w:val="157F4431"/>
    <w:rsid w:val="158C52E3"/>
    <w:rsid w:val="159361E0"/>
    <w:rsid w:val="159E370F"/>
    <w:rsid w:val="15AB6BFC"/>
    <w:rsid w:val="15B21EA5"/>
    <w:rsid w:val="15B57A0B"/>
    <w:rsid w:val="15BF67CE"/>
    <w:rsid w:val="15C5035C"/>
    <w:rsid w:val="15C9018C"/>
    <w:rsid w:val="15CC565E"/>
    <w:rsid w:val="15D83FFD"/>
    <w:rsid w:val="15E00424"/>
    <w:rsid w:val="15E45152"/>
    <w:rsid w:val="15E71269"/>
    <w:rsid w:val="15EA479A"/>
    <w:rsid w:val="15F307F0"/>
    <w:rsid w:val="15F82B87"/>
    <w:rsid w:val="160140F9"/>
    <w:rsid w:val="16141882"/>
    <w:rsid w:val="161707CC"/>
    <w:rsid w:val="161A7C62"/>
    <w:rsid w:val="161E52DE"/>
    <w:rsid w:val="16233429"/>
    <w:rsid w:val="162361AA"/>
    <w:rsid w:val="16242245"/>
    <w:rsid w:val="1627354F"/>
    <w:rsid w:val="163045DC"/>
    <w:rsid w:val="1631595E"/>
    <w:rsid w:val="163271A7"/>
    <w:rsid w:val="163344B2"/>
    <w:rsid w:val="163429CE"/>
    <w:rsid w:val="163D44DD"/>
    <w:rsid w:val="164E3846"/>
    <w:rsid w:val="164E567C"/>
    <w:rsid w:val="16536F87"/>
    <w:rsid w:val="16571298"/>
    <w:rsid w:val="16581DDD"/>
    <w:rsid w:val="166E40BB"/>
    <w:rsid w:val="16736F45"/>
    <w:rsid w:val="167A3CE4"/>
    <w:rsid w:val="168530E9"/>
    <w:rsid w:val="168726D8"/>
    <w:rsid w:val="168938CA"/>
    <w:rsid w:val="169513E9"/>
    <w:rsid w:val="169556DA"/>
    <w:rsid w:val="16990BC5"/>
    <w:rsid w:val="16A1280B"/>
    <w:rsid w:val="16AD3150"/>
    <w:rsid w:val="16B54837"/>
    <w:rsid w:val="16B95FB9"/>
    <w:rsid w:val="16BB09CF"/>
    <w:rsid w:val="16BB290C"/>
    <w:rsid w:val="16BF7A8D"/>
    <w:rsid w:val="16C66B41"/>
    <w:rsid w:val="16D74469"/>
    <w:rsid w:val="16DA3F2E"/>
    <w:rsid w:val="16DD78E1"/>
    <w:rsid w:val="16DE4DE3"/>
    <w:rsid w:val="16E37117"/>
    <w:rsid w:val="16E6508A"/>
    <w:rsid w:val="16F77AE3"/>
    <w:rsid w:val="17005FBC"/>
    <w:rsid w:val="170701E4"/>
    <w:rsid w:val="17092996"/>
    <w:rsid w:val="170D0084"/>
    <w:rsid w:val="171F2A8B"/>
    <w:rsid w:val="1727215C"/>
    <w:rsid w:val="17296F9A"/>
    <w:rsid w:val="172B3CAE"/>
    <w:rsid w:val="173842E0"/>
    <w:rsid w:val="173B2BB5"/>
    <w:rsid w:val="173E117B"/>
    <w:rsid w:val="17430E2C"/>
    <w:rsid w:val="1746019D"/>
    <w:rsid w:val="174D1F23"/>
    <w:rsid w:val="175B390A"/>
    <w:rsid w:val="175F1A68"/>
    <w:rsid w:val="17626132"/>
    <w:rsid w:val="17640A7B"/>
    <w:rsid w:val="17650515"/>
    <w:rsid w:val="176B3D10"/>
    <w:rsid w:val="176F6E21"/>
    <w:rsid w:val="177E7D19"/>
    <w:rsid w:val="17861A72"/>
    <w:rsid w:val="178D299C"/>
    <w:rsid w:val="17955FEC"/>
    <w:rsid w:val="17987AA6"/>
    <w:rsid w:val="17A67E86"/>
    <w:rsid w:val="17A85560"/>
    <w:rsid w:val="17BF4D9B"/>
    <w:rsid w:val="17D646DC"/>
    <w:rsid w:val="17DB109A"/>
    <w:rsid w:val="17E254AE"/>
    <w:rsid w:val="17E44C71"/>
    <w:rsid w:val="17E53428"/>
    <w:rsid w:val="17F2745E"/>
    <w:rsid w:val="17F52B3C"/>
    <w:rsid w:val="17F96419"/>
    <w:rsid w:val="17F96D2B"/>
    <w:rsid w:val="18107062"/>
    <w:rsid w:val="181E2024"/>
    <w:rsid w:val="181F0EDA"/>
    <w:rsid w:val="181F279A"/>
    <w:rsid w:val="18214A54"/>
    <w:rsid w:val="182967E8"/>
    <w:rsid w:val="182D6E15"/>
    <w:rsid w:val="182E0907"/>
    <w:rsid w:val="182F40F7"/>
    <w:rsid w:val="182F5BE9"/>
    <w:rsid w:val="1834363D"/>
    <w:rsid w:val="184438BB"/>
    <w:rsid w:val="185760AF"/>
    <w:rsid w:val="1858257B"/>
    <w:rsid w:val="186259FC"/>
    <w:rsid w:val="186476CB"/>
    <w:rsid w:val="18670CA2"/>
    <w:rsid w:val="18694323"/>
    <w:rsid w:val="1869638B"/>
    <w:rsid w:val="18700E9F"/>
    <w:rsid w:val="18705079"/>
    <w:rsid w:val="18712819"/>
    <w:rsid w:val="187B4431"/>
    <w:rsid w:val="187B513B"/>
    <w:rsid w:val="18957B10"/>
    <w:rsid w:val="1899155A"/>
    <w:rsid w:val="189B7089"/>
    <w:rsid w:val="189D3F17"/>
    <w:rsid w:val="18AD6FD7"/>
    <w:rsid w:val="18BE1738"/>
    <w:rsid w:val="18C057F0"/>
    <w:rsid w:val="18C32145"/>
    <w:rsid w:val="18D01299"/>
    <w:rsid w:val="18D43C2A"/>
    <w:rsid w:val="18D56CC6"/>
    <w:rsid w:val="18E318CB"/>
    <w:rsid w:val="18EF0B8A"/>
    <w:rsid w:val="18FB68D2"/>
    <w:rsid w:val="1906575F"/>
    <w:rsid w:val="190C157A"/>
    <w:rsid w:val="19176B49"/>
    <w:rsid w:val="192E3C41"/>
    <w:rsid w:val="193E3971"/>
    <w:rsid w:val="194577F9"/>
    <w:rsid w:val="19507F73"/>
    <w:rsid w:val="19545B75"/>
    <w:rsid w:val="1957425B"/>
    <w:rsid w:val="19587CAA"/>
    <w:rsid w:val="195B0FEC"/>
    <w:rsid w:val="195B160D"/>
    <w:rsid w:val="197403F9"/>
    <w:rsid w:val="19746BBB"/>
    <w:rsid w:val="19787E66"/>
    <w:rsid w:val="197B5221"/>
    <w:rsid w:val="198A18C1"/>
    <w:rsid w:val="198C1689"/>
    <w:rsid w:val="1993311A"/>
    <w:rsid w:val="19A06068"/>
    <w:rsid w:val="19AD1CFF"/>
    <w:rsid w:val="19AE1CF4"/>
    <w:rsid w:val="19AF01CF"/>
    <w:rsid w:val="19B240E0"/>
    <w:rsid w:val="19BA3573"/>
    <w:rsid w:val="19BA42A0"/>
    <w:rsid w:val="19BE2B7F"/>
    <w:rsid w:val="19C21AD8"/>
    <w:rsid w:val="19E278C4"/>
    <w:rsid w:val="19E6489E"/>
    <w:rsid w:val="19E92F2D"/>
    <w:rsid w:val="19EB2E5A"/>
    <w:rsid w:val="19EE5E5E"/>
    <w:rsid w:val="19F609AA"/>
    <w:rsid w:val="19FB5FE8"/>
    <w:rsid w:val="19FC2411"/>
    <w:rsid w:val="19FD44DD"/>
    <w:rsid w:val="1A01771B"/>
    <w:rsid w:val="1A020E5E"/>
    <w:rsid w:val="1A0B799B"/>
    <w:rsid w:val="1A124E19"/>
    <w:rsid w:val="1A130EB9"/>
    <w:rsid w:val="1A2541B7"/>
    <w:rsid w:val="1A264498"/>
    <w:rsid w:val="1A32734E"/>
    <w:rsid w:val="1A3653C8"/>
    <w:rsid w:val="1A3678AC"/>
    <w:rsid w:val="1A3A11C5"/>
    <w:rsid w:val="1A3D2E9F"/>
    <w:rsid w:val="1A4333BF"/>
    <w:rsid w:val="1A4A6DB2"/>
    <w:rsid w:val="1A4A7ABC"/>
    <w:rsid w:val="1A4C71EE"/>
    <w:rsid w:val="1A56039E"/>
    <w:rsid w:val="1A56472D"/>
    <w:rsid w:val="1A58091B"/>
    <w:rsid w:val="1A5A2D60"/>
    <w:rsid w:val="1A701F30"/>
    <w:rsid w:val="1A72379D"/>
    <w:rsid w:val="1A8B26F2"/>
    <w:rsid w:val="1A8D2190"/>
    <w:rsid w:val="1A9242EE"/>
    <w:rsid w:val="1A9A3BD9"/>
    <w:rsid w:val="1AA50CBD"/>
    <w:rsid w:val="1AAB2220"/>
    <w:rsid w:val="1AB61698"/>
    <w:rsid w:val="1AB62070"/>
    <w:rsid w:val="1AB8095B"/>
    <w:rsid w:val="1AC14BC4"/>
    <w:rsid w:val="1AC22EB9"/>
    <w:rsid w:val="1AC64E6B"/>
    <w:rsid w:val="1ACC6833"/>
    <w:rsid w:val="1ACD1313"/>
    <w:rsid w:val="1AD6566A"/>
    <w:rsid w:val="1AD90A39"/>
    <w:rsid w:val="1AD92556"/>
    <w:rsid w:val="1AD93EC8"/>
    <w:rsid w:val="1AE53B77"/>
    <w:rsid w:val="1AE877F9"/>
    <w:rsid w:val="1AF52D53"/>
    <w:rsid w:val="1AF86801"/>
    <w:rsid w:val="1AFB32DF"/>
    <w:rsid w:val="1B00626A"/>
    <w:rsid w:val="1B091D1E"/>
    <w:rsid w:val="1B124768"/>
    <w:rsid w:val="1B1942DC"/>
    <w:rsid w:val="1B1D07D5"/>
    <w:rsid w:val="1B204254"/>
    <w:rsid w:val="1B215879"/>
    <w:rsid w:val="1B32415D"/>
    <w:rsid w:val="1B33732E"/>
    <w:rsid w:val="1B392AF3"/>
    <w:rsid w:val="1B4519E2"/>
    <w:rsid w:val="1B452C2D"/>
    <w:rsid w:val="1B4E2AAD"/>
    <w:rsid w:val="1B5975DF"/>
    <w:rsid w:val="1B621714"/>
    <w:rsid w:val="1B7707D7"/>
    <w:rsid w:val="1B7E26D0"/>
    <w:rsid w:val="1B813A96"/>
    <w:rsid w:val="1B874865"/>
    <w:rsid w:val="1B906601"/>
    <w:rsid w:val="1BA219B7"/>
    <w:rsid w:val="1BA61C98"/>
    <w:rsid w:val="1BA73C31"/>
    <w:rsid w:val="1BAA299A"/>
    <w:rsid w:val="1BB4047C"/>
    <w:rsid w:val="1BB92406"/>
    <w:rsid w:val="1BBC52C0"/>
    <w:rsid w:val="1BC37799"/>
    <w:rsid w:val="1BCA1B18"/>
    <w:rsid w:val="1BD577EA"/>
    <w:rsid w:val="1BE73290"/>
    <w:rsid w:val="1BEC25DC"/>
    <w:rsid w:val="1BEC5655"/>
    <w:rsid w:val="1BED1926"/>
    <w:rsid w:val="1BEF538D"/>
    <w:rsid w:val="1C071B51"/>
    <w:rsid w:val="1C0B0D92"/>
    <w:rsid w:val="1C1464B8"/>
    <w:rsid w:val="1C290566"/>
    <w:rsid w:val="1C3B48F4"/>
    <w:rsid w:val="1C4257E8"/>
    <w:rsid w:val="1C481FD8"/>
    <w:rsid w:val="1C494ABD"/>
    <w:rsid w:val="1C5F3914"/>
    <w:rsid w:val="1C6244F3"/>
    <w:rsid w:val="1C6E09EC"/>
    <w:rsid w:val="1C733F26"/>
    <w:rsid w:val="1C793E97"/>
    <w:rsid w:val="1C7A6512"/>
    <w:rsid w:val="1C8075B7"/>
    <w:rsid w:val="1C885DDE"/>
    <w:rsid w:val="1C897769"/>
    <w:rsid w:val="1C915014"/>
    <w:rsid w:val="1C982038"/>
    <w:rsid w:val="1C982755"/>
    <w:rsid w:val="1C9E38B2"/>
    <w:rsid w:val="1CB6633E"/>
    <w:rsid w:val="1CBE3841"/>
    <w:rsid w:val="1CC25AFF"/>
    <w:rsid w:val="1CC539DF"/>
    <w:rsid w:val="1CC7095D"/>
    <w:rsid w:val="1CC86CA8"/>
    <w:rsid w:val="1CCB1EFB"/>
    <w:rsid w:val="1CCC15EE"/>
    <w:rsid w:val="1CD91DF0"/>
    <w:rsid w:val="1CE54564"/>
    <w:rsid w:val="1CEB2552"/>
    <w:rsid w:val="1CFD797D"/>
    <w:rsid w:val="1D055EB3"/>
    <w:rsid w:val="1D064E6C"/>
    <w:rsid w:val="1D113274"/>
    <w:rsid w:val="1D1249A8"/>
    <w:rsid w:val="1D1345B6"/>
    <w:rsid w:val="1D182676"/>
    <w:rsid w:val="1D1D1EE4"/>
    <w:rsid w:val="1D2361F2"/>
    <w:rsid w:val="1D3022DB"/>
    <w:rsid w:val="1D3915A8"/>
    <w:rsid w:val="1D3B76D1"/>
    <w:rsid w:val="1D4500E6"/>
    <w:rsid w:val="1D4B0178"/>
    <w:rsid w:val="1D5047C3"/>
    <w:rsid w:val="1D524481"/>
    <w:rsid w:val="1D5408F1"/>
    <w:rsid w:val="1D62374A"/>
    <w:rsid w:val="1D691AB6"/>
    <w:rsid w:val="1D6A0694"/>
    <w:rsid w:val="1D6A07C6"/>
    <w:rsid w:val="1D7E6BB9"/>
    <w:rsid w:val="1D7F7692"/>
    <w:rsid w:val="1D8074EB"/>
    <w:rsid w:val="1D81109B"/>
    <w:rsid w:val="1D973743"/>
    <w:rsid w:val="1D9A731F"/>
    <w:rsid w:val="1DA56B70"/>
    <w:rsid w:val="1DA77B5C"/>
    <w:rsid w:val="1DA91FCD"/>
    <w:rsid w:val="1DAA34F6"/>
    <w:rsid w:val="1DB56944"/>
    <w:rsid w:val="1DB60286"/>
    <w:rsid w:val="1DB71D5E"/>
    <w:rsid w:val="1DBB7050"/>
    <w:rsid w:val="1DBB779B"/>
    <w:rsid w:val="1DBC76D5"/>
    <w:rsid w:val="1DCA595D"/>
    <w:rsid w:val="1DCD19A4"/>
    <w:rsid w:val="1DD95064"/>
    <w:rsid w:val="1DDA6205"/>
    <w:rsid w:val="1DEF4F17"/>
    <w:rsid w:val="1DF02436"/>
    <w:rsid w:val="1DF44233"/>
    <w:rsid w:val="1DFC270D"/>
    <w:rsid w:val="1DFE521F"/>
    <w:rsid w:val="1E120209"/>
    <w:rsid w:val="1E171809"/>
    <w:rsid w:val="1E2646F1"/>
    <w:rsid w:val="1E3202A0"/>
    <w:rsid w:val="1E335AF1"/>
    <w:rsid w:val="1E372571"/>
    <w:rsid w:val="1E3C691D"/>
    <w:rsid w:val="1E3D68FC"/>
    <w:rsid w:val="1E427280"/>
    <w:rsid w:val="1E4A0CCE"/>
    <w:rsid w:val="1E4A791F"/>
    <w:rsid w:val="1E50633C"/>
    <w:rsid w:val="1E521FDB"/>
    <w:rsid w:val="1E5B4563"/>
    <w:rsid w:val="1E5E38A3"/>
    <w:rsid w:val="1E67630C"/>
    <w:rsid w:val="1E6D4997"/>
    <w:rsid w:val="1E74021D"/>
    <w:rsid w:val="1E7B268A"/>
    <w:rsid w:val="1E91135C"/>
    <w:rsid w:val="1E940F64"/>
    <w:rsid w:val="1E9745A4"/>
    <w:rsid w:val="1E9C07C4"/>
    <w:rsid w:val="1E9E548D"/>
    <w:rsid w:val="1EA01E32"/>
    <w:rsid w:val="1EA82EA9"/>
    <w:rsid w:val="1EA95DBC"/>
    <w:rsid w:val="1EB701D9"/>
    <w:rsid w:val="1ECC629F"/>
    <w:rsid w:val="1ECE1FBE"/>
    <w:rsid w:val="1EDA1D0C"/>
    <w:rsid w:val="1EDA2FAC"/>
    <w:rsid w:val="1EEC69B6"/>
    <w:rsid w:val="1EED3F21"/>
    <w:rsid w:val="1EEE165A"/>
    <w:rsid w:val="1EF00982"/>
    <w:rsid w:val="1EF135C6"/>
    <w:rsid w:val="1F0B2458"/>
    <w:rsid w:val="1F1B630A"/>
    <w:rsid w:val="1F1E75F8"/>
    <w:rsid w:val="1F240FB0"/>
    <w:rsid w:val="1F265E56"/>
    <w:rsid w:val="1F2831B8"/>
    <w:rsid w:val="1F32067A"/>
    <w:rsid w:val="1F425A31"/>
    <w:rsid w:val="1F483ABB"/>
    <w:rsid w:val="1F517DC4"/>
    <w:rsid w:val="1F5323CC"/>
    <w:rsid w:val="1F5C510C"/>
    <w:rsid w:val="1F600A1D"/>
    <w:rsid w:val="1F623370"/>
    <w:rsid w:val="1F6C4E03"/>
    <w:rsid w:val="1F701682"/>
    <w:rsid w:val="1F726924"/>
    <w:rsid w:val="1F750001"/>
    <w:rsid w:val="1F79113C"/>
    <w:rsid w:val="1F8260BF"/>
    <w:rsid w:val="1F8A2A8E"/>
    <w:rsid w:val="1F8F2606"/>
    <w:rsid w:val="1F9B185B"/>
    <w:rsid w:val="1F9F65E9"/>
    <w:rsid w:val="1FA0610C"/>
    <w:rsid w:val="1FB12D37"/>
    <w:rsid w:val="1FBC3245"/>
    <w:rsid w:val="1FBF1A52"/>
    <w:rsid w:val="1FC530B3"/>
    <w:rsid w:val="1FD25FAB"/>
    <w:rsid w:val="1FD263B1"/>
    <w:rsid w:val="1FD55D81"/>
    <w:rsid w:val="1FDE16B0"/>
    <w:rsid w:val="1FE26757"/>
    <w:rsid w:val="1FE347F2"/>
    <w:rsid w:val="1FF75210"/>
    <w:rsid w:val="1FFC6F88"/>
    <w:rsid w:val="1FFF6971"/>
    <w:rsid w:val="200A731F"/>
    <w:rsid w:val="200E3981"/>
    <w:rsid w:val="200F1146"/>
    <w:rsid w:val="201C0987"/>
    <w:rsid w:val="20213C78"/>
    <w:rsid w:val="20271DD4"/>
    <w:rsid w:val="202E3FCA"/>
    <w:rsid w:val="20320EE0"/>
    <w:rsid w:val="2035079E"/>
    <w:rsid w:val="203901FA"/>
    <w:rsid w:val="203A68F2"/>
    <w:rsid w:val="204349A2"/>
    <w:rsid w:val="20543ECC"/>
    <w:rsid w:val="205451ED"/>
    <w:rsid w:val="205474E6"/>
    <w:rsid w:val="205509FD"/>
    <w:rsid w:val="205C66AC"/>
    <w:rsid w:val="205E5502"/>
    <w:rsid w:val="206A3B16"/>
    <w:rsid w:val="206C3949"/>
    <w:rsid w:val="20724C71"/>
    <w:rsid w:val="20783AB6"/>
    <w:rsid w:val="2080172C"/>
    <w:rsid w:val="20853D90"/>
    <w:rsid w:val="20891326"/>
    <w:rsid w:val="208D6625"/>
    <w:rsid w:val="2093481C"/>
    <w:rsid w:val="2094220C"/>
    <w:rsid w:val="20965A88"/>
    <w:rsid w:val="20985F88"/>
    <w:rsid w:val="20995A02"/>
    <w:rsid w:val="20997115"/>
    <w:rsid w:val="20A63FA3"/>
    <w:rsid w:val="20B305E4"/>
    <w:rsid w:val="20B522E2"/>
    <w:rsid w:val="20B91C67"/>
    <w:rsid w:val="20BB3446"/>
    <w:rsid w:val="20C55662"/>
    <w:rsid w:val="20C81CD5"/>
    <w:rsid w:val="20C952D1"/>
    <w:rsid w:val="20E409B0"/>
    <w:rsid w:val="20E75410"/>
    <w:rsid w:val="20E75A92"/>
    <w:rsid w:val="20E83BDD"/>
    <w:rsid w:val="20F06949"/>
    <w:rsid w:val="20FA1CCE"/>
    <w:rsid w:val="20FF6F0D"/>
    <w:rsid w:val="210B02E1"/>
    <w:rsid w:val="21143E7B"/>
    <w:rsid w:val="2116489E"/>
    <w:rsid w:val="211734A5"/>
    <w:rsid w:val="21241A2B"/>
    <w:rsid w:val="212C345A"/>
    <w:rsid w:val="212C50DD"/>
    <w:rsid w:val="212D4152"/>
    <w:rsid w:val="2140389D"/>
    <w:rsid w:val="21444F8B"/>
    <w:rsid w:val="21492289"/>
    <w:rsid w:val="214C1782"/>
    <w:rsid w:val="214E4EE9"/>
    <w:rsid w:val="214F4C4C"/>
    <w:rsid w:val="21520878"/>
    <w:rsid w:val="21522B9A"/>
    <w:rsid w:val="215D638A"/>
    <w:rsid w:val="21680E9A"/>
    <w:rsid w:val="216935BC"/>
    <w:rsid w:val="216F6650"/>
    <w:rsid w:val="217B3AF9"/>
    <w:rsid w:val="217D55BD"/>
    <w:rsid w:val="21862853"/>
    <w:rsid w:val="21937D88"/>
    <w:rsid w:val="2196716C"/>
    <w:rsid w:val="219C0BE1"/>
    <w:rsid w:val="21A826E1"/>
    <w:rsid w:val="21B332E4"/>
    <w:rsid w:val="21B37B9E"/>
    <w:rsid w:val="21BB0BD7"/>
    <w:rsid w:val="21CA1FC5"/>
    <w:rsid w:val="21CC369F"/>
    <w:rsid w:val="21D17902"/>
    <w:rsid w:val="21E40A7B"/>
    <w:rsid w:val="21F625AE"/>
    <w:rsid w:val="220036B9"/>
    <w:rsid w:val="22086622"/>
    <w:rsid w:val="220D4FA8"/>
    <w:rsid w:val="220F5774"/>
    <w:rsid w:val="22154503"/>
    <w:rsid w:val="22172C3A"/>
    <w:rsid w:val="22226009"/>
    <w:rsid w:val="2222784C"/>
    <w:rsid w:val="22232332"/>
    <w:rsid w:val="222421D0"/>
    <w:rsid w:val="222620EF"/>
    <w:rsid w:val="222872DC"/>
    <w:rsid w:val="222B7799"/>
    <w:rsid w:val="222C4B54"/>
    <w:rsid w:val="223B0960"/>
    <w:rsid w:val="22427DEF"/>
    <w:rsid w:val="224721B4"/>
    <w:rsid w:val="224F2287"/>
    <w:rsid w:val="225A2560"/>
    <w:rsid w:val="226D378D"/>
    <w:rsid w:val="226E2CDE"/>
    <w:rsid w:val="228251F0"/>
    <w:rsid w:val="228C5D98"/>
    <w:rsid w:val="228C7D3B"/>
    <w:rsid w:val="228F6804"/>
    <w:rsid w:val="22931A82"/>
    <w:rsid w:val="229F65DE"/>
    <w:rsid w:val="22A350C6"/>
    <w:rsid w:val="22A75EBF"/>
    <w:rsid w:val="22AB44DA"/>
    <w:rsid w:val="22B445DA"/>
    <w:rsid w:val="22BC2FFE"/>
    <w:rsid w:val="22C06500"/>
    <w:rsid w:val="22C449B9"/>
    <w:rsid w:val="22C7528A"/>
    <w:rsid w:val="22CA35C3"/>
    <w:rsid w:val="22CC0779"/>
    <w:rsid w:val="22D37498"/>
    <w:rsid w:val="22D473D4"/>
    <w:rsid w:val="22D50129"/>
    <w:rsid w:val="22D83BF0"/>
    <w:rsid w:val="22E51116"/>
    <w:rsid w:val="22E67894"/>
    <w:rsid w:val="22E92354"/>
    <w:rsid w:val="22F1430E"/>
    <w:rsid w:val="22F222D0"/>
    <w:rsid w:val="22F2517F"/>
    <w:rsid w:val="22F3125D"/>
    <w:rsid w:val="22F323CB"/>
    <w:rsid w:val="22F6055E"/>
    <w:rsid w:val="22F64717"/>
    <w:rsid w:val="22FF3BDC"/>
    <w:rsid w:val="230C0B6B"/>
    <w:rsid w:val="231511F1"/>
    <w:rsid w:val="231E49C3"/>
    <w:rsid w:val="231E6699"/>
    <w:rsid w:val="2320448D"/>
    <w:rsid w:val="23254918"/>
    <w:rsid w:val="232D52F7"/>
    <w:rsid w:val="232E6124"/>
    <w:rsid w:val="232F61E4"/>
    <w:rsid w:val="23375ED6"/>
    <w:rsid w:val="233760F0"/>
    <w:rsid w:val="233D037B"/>
    <w:rsid w:val="23443C2F"/>
    <w:rsid w:val="23445AF3"/>
    <w:rsid w:val="2351501A"/>
    <w:rsid w:val="235F7A8C"/>
    <w:rsid w:val="23621172"/>
    <w:rsid w:val="23673E18"/>
    <w:rsid w:val="236D1AF6"/>
    <w:rsid w:val="2374044D"/>
    <w:rsid w:val="237763BA"/>
    <w:rsid w:val="237925CB"/>
    <w:rsid w:val="237D224F"/>
    <w:rsid w:val="237E2B2C"/>
    <w:rsid w:val="238566B7"/>
    <w:rsid w:val="23865A03"/>
    <w:rsid w:val="238E72F6"/>
    <w:rsid w:val="23994F01"/>
    <w:rsid w:val="239B4DC7"/>
    <w:rsid w:val="23A95B68"/>
    <w:rsid w:val="23AD6E79"/>
    <w:rsid w:val="23B17C46"/>
    <w:rsid w:val="23B360CE"/>
    <w:rsid w:val="23B41D17"/>
    <w:rsid w:val="23C20861"/>
    <w:rsid w:val="23C75DC6"/>
    <w:rsid w:val="23D030B6"/>
    <w:rsid w:val="23D16183"/>
    <w:rsid w:val="23D62DEA"/>
    <w:rsid w:val="23DB67C0"/>
    <w:rsid w:val="23DE7606"/>
    <w:rsid w:val="23E17BA8"/>
    <w:rsid w:val="23E70C73"/>
    <w:rsid w:val="23E91CFC"/>
    <w:rsid w:val="23E95DFD"/>
    <w:rsid w:val="23EC18F1"/>
    <w:rsid w:val="23ED576F"/>
    <w:rsid w:val="24026EC6"/>
    <w:rsid w:val="240550C3"/>
    <w:rsid w:val="240A5367"/>
    <w:rsid w:val="24106653"/>
    <w:rsid w:val="24164147"/>
    <w:rsid w:val="24342AB3"/>
    <w:rsid w:val="243A5559"/>
    <w:rsid w:val="24411BB9"/>
    <w:rsid w:val="24411EC0"/>
    <w:rsid w:val="24431FFE"/>
    <w:rsid w:val="244617E6"/>
    <w:rsid w:val="24475E9F"/>
    <w:rsid w:val="244871F4"/>
    <w:rsid w:val="2454722D"/>
    <w:rsid w:val="245A7C32"/>
    <w:rsid w:val="24621365"/>
    <w:rsid w:val="2464121F"/>
    <w:rsid w:val="246A0D24"/>
    <w:rsid w:val="24714F55"/>
    <w:rsid w:val="24750EC8"/>
    <w:rsid w:val="24775A3E"/>
    <w:rsid w:val="247D6715"/>
    <w:rsid w:val="248533C4"/>
    <w:rsid w:val="248A531F"/>
    <w:rsid w:val="24963D9F"/>
    <w:rsid w:val="249723D9"/>
    <w:rsid w:val="24A87C93"/>
    <w:rsid w:val="24B05ABC"/>
    <w:rsid w:val="24B21B8E"/>
    <w:rsid w:val="24B41CFB"/>
    <w:rsid w:val="24B44244"/>
    <w:rsid w:val="24B51ECA"/>
    <w:rsid w:val="24BA7F4A"/>
    <w:rsid w:val="24C05AD9"/>
    <w:rsid w:val="24C34ACD"/>
    <w:rsid w:val="24CF287F"/>
    <w:rsid w:val="24D1665E"/>
    <w:rsid w:val="24DA790B"/>
    <w:rsid w:val="24E73DD4"/>
    <w:rsid w:val="24F23FC5"/>
    <w:rsid w:val="24FF6138"/>
    <w:rsid w:val="25022059"/>
    <w:rsid w:val="250E7655"/>
    <w:rsid w:val="2516749D"/>
    <w:rsid w:val="2519131D"/>
    <w:rsid w:val="25192245"/>
    <w:rsid w:val="251D2288"/>
    <w:rsid w:val="251E0FBB"/>
    <w:rsid w:val="25272481"/>
    <w:rsid w:val="252858EF"/>
    <w:rsid w:val="252F4998"/>
    <w:rsid w:val="2540390D"/>
    <w:rsid w:val="25485E7D"/>
    <w:rsid w:val="254A4429"/>
    <w:rsid w:val="254B1B87"/>
    <w:rsid w:val="255569C6"/>
    <w:rsid w:val="2557621D"/>
    <w:rsid w:val="256C0CC0"/>
    <w:rsid w:val="256F54C5"/>
    <w:rsid w:val="25700A5D"/>
    <w:rsid w:val="2570177C"/>
    <w:rsid w:val="257758B0"/>
    <w:rsid w:val="257E064F"/>
    <w:rsid w:val="258810B9"/>
    <w:rsid w:val="2588283E"/>
    <w:rsid w:val="258A47D4"/>
    <w:rsid w:val="258C5CD9"/>
    <w:rsid w:val="258E77C0"/>
    <w:rsid w:val="259051D3"/>
    <w:rsid w:val="259218B5"/>
    <w:rsid w:val="259420D0"/>
    <w:rsid w:val="25965D97"/>
    <w:rsid w:val="259A239D"/>
    <w:rsid w:val="25A46D01"/>
    <w:rsid w:val="25A47BA1"/>
    <w:rsid w:val="25A75D59"/>
    <w:rsid w:val="25B34C07"/>
    <w:rsid w:val="25BA7417"/>
    <w:rsid w:val="25D37DA9"/>
    <w:rsid w:val="25D96B62"/>
    <w:rsid w:val="25DB192E"/>
    <w:rsid w:val="25DC213D"/>
    <w:rsid w:val="25E51110"/>
    <w:rsid w:val="25E76F47"/>
    <w:rsid w:val="25EA3AF3"/>
    <w:rsid w:val="25F04085"/>
    <w:rsid w:val="25F73339"/>
    <w:rsid w:val="25FE3670"/>
    <w:rsid w:val="26025181"/>
    <w:rsid w:val="260678A5"/>
    <w:rsid w:val="260A7605"/>
    <w:rsid w:val="260E3B25"/>
    <w:rsid w:val="261165A1"/>
    <w:rsid w:val="26156F84"/>
    <w:rsid w:val="26177C7D"/>
    <w:rsid w:val="26193DDF"/>
    <w:rsid w:val="261949C4"/>
    <w:rsid w:val="26194F58"/>
    <w:rsid w:val="261F7DDA"/>
    <w:rsid w:val="262370AB"/>
    <w:rsid w:val="2624469E"/>
    <w:rsid w:val="262B1F3D"/>
    <w:rsid w:val="263B3587"/>
    <w:rsid w:val="263C00F4"/>
    <w:rsid w:val="263C29EC"/>
    <w:rsid w:val="263E6CD9"/>
    <w:rsid w:val="264015A2"/>
    <w:rsid w:val="2641214D"/>
    <w:rsid w:val="264C0167"/>
    <w:rsid w:val="264E3002"/>
    <w:rsid w:val="26501125"/>
    <w:rsid w:val="26525637"/>
    <w:rsid w:val="26537B35"/>
    <w:rsid w:val="26553068"/>
    <w:rsid w:val="26565914"/>
    <w:rsid w:val="265E675E"/>
    <w:rsid w:val="26602189"/>
    <w:rsid w:val="2661459D"/>
    <w:rsid w:val="266403D2"/>
    <w:rsid w:val="266A5FD2"/>
    <w:rsid w:val="26764332"/>
    <w:rsid w:val="26774FE0"/>
    <w:rsid w:val="26785A04"/>
    <w:rsid w:val="267A7CC4"/>
    <w:rsid w:val="267E0F4E"/>
    <w:rsid w:val="267F7778"/>
    <w:rsid w:val="268235E0"/>
    <w:rsid w:val="26847DD7"/>
    <w:rsid w:val="26942A08"/>
    <w:rsid w:val="269B72EA"/>
    <w:rsid w:val="269D3B7D"/>
    <w:rsid w:val="26A21634"/>
    <w:rsid w:val="26AC748A"/>
    <w:rsid w:val="26B17E75"/>
    <w:rsid w:val="26BD62EF"/>
    <w:rsid w:val="26C207D8"/>
    <w:rsid w:val="26C57B2D"/>
    <w:rsid w:val="26C84815"/>
    <w:rsid w:val="26CB5F11"/>
    <w:rsid w:val="26CD1820"/>
    <w:rsid w:val="26D040CC"/>
    <w:rsid w:val="26D40CC8"/>
    <w:rsid w:val="26D83C33"/>
    <w:rsid w:val="26EC3B56"/>
    <w:rsid w:val="26ED31EF"/>
    <w:rsid w:val="270C4509"/>
    <w:rsid w:val="270F1450"/>
    <w:rsid w:val="27131FF9"/>
    <w:rsid w:val="271C3B7A"/>
    <w:rsid w:val="2720259E"/>
    <w:rsid w:val="27206FB3"/>
    <w:rsid w:val="27224528"/>
    <w:rsid w:val="27250E5C"/>
    <w:rsid w:val="27283CA0"/>
    <w:rsid w:val="272B1FD5"/>
    <w:rsid w:val="272B7390"/>
    <w:rsid w:val="272C0BB7"/>
    <w:rsid w:val="272E6D1E"/>
    <w:rsid w:val="273220DD"/>
    <w:rsid w:val="273570C2"/>
    <w:rsid w:val="27472100"/>
    <w:rsid w:val="27481268"/>
    <w:rsid w:val="2750265F"/>
    <w:rsid w:val="27565BBB"/>
    <w:rsid w:val="27581235"/>
    <w:rsid w:val="2758490A"/>
    <w:rsid w:val="275D7A8B"/>
    <w:rsid w:val="27632289"/>
    <w:rsid w:val="27657641"/>
    <w:rsid w:val="27694E08"/>
    <w:rsid w:val="276E0D20"/>
    <w:rsid w:val="27735875"/>
    <w:rsid w:val="277A1C97"/>
    <w:rsid w:val="277A7965"/>
    <w:rsid w:val="277C2FB0"/>
    <w:rsid w:val="277F44AE"/>
    <w:rsid w:val="27814EF7"/>
    <w:rsid w:val="278204E3"/>
    <w:rsid w:val="27834B74"/>
    <w:rsid w:val="278354F2"/>
    <w:rsid w:val="27884B2A"/>
    <w:rsid w:val="2790672A"/>
    <w:rsid w:val="27952750"/>
    <w:rsid w:val="279A1615"/>
    <w:rsid w:val="279D429C"/>
    <w:rsid w:val="27A110F5"/>
    <w:rsid w:val="27A356D4"/>
    <w:rsid w:val="27AD1898"/>
    <w:rsid w:val="27AD7DAF"/>
    <w:rsid w:val="27B11360"/>
    <w:rsid w:val="27B23B7B"/>
    <w:rsid w:val="27CE2FC5"/>
    <w:rsid w:val="27D61CD9"/>
    <w:rsid w:val="27DB2DBB"/>
    <w:rsid w:val="27DC32C5"/>
    <w:rsid w:val="27E160A9"/>
    <w:rsid w:val="27EB1383"/>
    <w:rsid w:val="27EB7EFF"/>
    <w:rsid w:val="27EF0676"/>
    <w:rsid w:val="27EF2CE2"/>
    <w:rsid w:val="27F85A95"/>
    <w:rsid w:val="27F93F48"/>
    <w:rsid w:val="28036C1D"/>
    <w:rsid w:val="2806483F"/>
    <w:rsid w:val="280C26D8"/>
    <w:rsid w:val="281239F6"/>
    <w:rsid w:val="28125BB8"/>
    <w:rsid w:val="281D0DA7"/>
    <w:rsid w:val="281E54FB"/>
    <w:rsid w:val="28245DBB"/>
    <w:rsid w:val="28367CD6"/>
    <w:rsid w:val="2841100D"/>
    <w:rsid w:val="284E13D7"/>
    <w:rsid w:val="28534F99"/>
    <w:rsid w:val="28546F0A"/>
    <w:rsid w:val="286155E4"/>
    <w:rsid w:val="286F2AE3"/>
    <w:rsid w:val="28701D26"/>
    <w:rsid w:val="28701FC6"/>
    <w:rsid w:val="28716AA0"/>
    <w:rsid w:val="28847070"/>
    <w:rsid w:val="28870B4E"/>
    <w:rsid w:val="289327F7"/>
    <w:rsid w:val="28944720"/>
    <w:rsid w:val="28996392"/>
    <w:rsid w:val="289B3CB2"/>
    <w:rsid w:val="28AD70D1"/>
    <w:rsid w:val="28B55A7F"/>
    <w:rsid w:val="28BD1316"/>
    <w:rsid w:val="28CA01D8"/>
    <w:rsid w:val="28DC304D"/>
    <w:rsid w:val="28E333E3"/>
    <w:rsid w:val="28E478D8"/>
    <w:rsid w:val="28EB6F79"/>
    <w:rsid w:val="28F13D9D"/>
    <w:rsid w:val="28F21420"/>
    <w:rsid w:val="28F51E9C"/>
    <w:rsid w:val="28F61BC4"/>
    <w:rsid w:val="29080E0F"/>
    <w:rsid w:val="2909710D"/>
    <w:rsid w:val="29101C92"/>
    <w:rsid w:val="291F023A"/>
    <w:rsid w:val="292E0B92"/>
    <w:rsid w:val="292F727B"/>
    <w:rsid w:val="29363D3F"/>
    <w:rsid w:val="293A2AD9"/>
    <w:rsid w:val="293B3290"/>
    <w:rsid w:val="29406243"/>
    <w:rsid w:val="29406E35"/>
    <w:rsid w:val="2940731E"/>
    <w:rsid w:val="29422464"/>
    <w:rsid w:val="294E705B"/>
    <w:rsid w:val="294F4E8E"/>
    <w:rsid w:val="29515C42"/>
    <w:rsid w:val="29590E7E"/>
    <w:rsid w:val="295A5B77"/>
    <w:rsid w:val="296E7335"/>
    <w:rsid w:val="297220CC"/>
    <w:rsid w:val="29791FD7"/>
    <w:rsid w:val="2988533A"/>
    <w:rsid w:val="29893481"/>
    <w:rsid w:val="298A2703"/>
    <w:rsid w:val="298E607B"/>
    <w:rsid w:val="298E6724"/>
    <w:rsid w:val="29941EAE"/>
    <w:rsid w:val="299836B2"/>
    <w:rsid w:val="29A12E16"/>
    <w:rsid w:val="29BB1618"/>
    <w:rsid w:val="29BC393D"/>
    <w:rsid w:val="29BD0395"/>
    <w:rsid w:val="29C633A3"/>
    <w:rsid w:val="29D6404D"/>
    <w:rsid w:val="29E20F25"/>
    <w:rsid w:val="29E57A95"/>
    <w:rsid w:val="29E67B2A"/>
    <w:rsid w:val="2A007C29"/>
    <w:rsid w:val="2A0925D8"/>
    <w:rsid w:val="2A0F1500"/>
    <w:rsid w:val="2A1657F3"/>
    <w:rsid w:val="2A1E4A84"/>
    <w:rsid w:val="2A1F427D"/>
    <w:rsid w:val="2A200C82"/>
    <w:rsid w:val="2A24097C"/>
    <w:rsid w:val="2A2A2750"/>
    <w:rsid w:val="2A2D22C7"/>
    <w:rsid w:val="2A2F0750"/>
    <w:rsid w:val="2A2F172E"/>
    <w:rsid w:val="2A2F592F"/>
    <w:rsid w:val="2A435F0E"/>
    <w:rsid w:val="2A440A15"/>
    <w:rsid w:val="2A4439AA"/>
    <w:rsid w:val="2A446E37"/>
    <w:rsid w:val="2A4E648A"/>
    <w:rsid w:val="2A5276AD"/>
    <w:rsid w:val="2A53019E"/>
    <w:rsid w:val="2A557BBB"/>
    <w:rsid w:val="2A651779"/>
    <w:rsid w:val="2A715AA1"/>
    <w:rsid w:val="2A7303CF"/>
    <w:rsid w:val="2A78364C"/>
    <w:rsid w:val="2A826A75"/>
    <w:rsid w:val="2A857B98"/>
    <w:rsid w:val="2A87437B"/>
    <w:rsid w:val="2A885AA2"/>
    <w:rsid w:val="2A8F2BE7"/>
    <w:rsid w:val="2A950A66"/>
    <w:rsid w:val="2A9830F1"/>
    <w:rsid w:val="2A9C1960"/>
    <w:rsid w:val="2AA12620"/>
    <w:rsid w:val="2AA312BC"/>
    <w:rsid w:val="2AAD52ED"/>
    <w:rsid w:val="2AAD5AB3"/>
    <w:rsid w:val="2AB675EE"/>
    <w:rsid w:val="2ABD74FE"/>
    <w:rsid w:val="2AC1796D"/>
    <w:rsid w:val="2ADD7936"/>
    <w:rsid w:val="2ADF5F60"/>
    <w:rsid w:val="2AE01122"/>
    <w:rsid w:val="2AEE6B07"/>
    <w:rsid w:val="2AF32918"/>
    <w:rsid w:val="2AF86C0D"/>
    <w:rsid w:val="2AFF0153"/>
    <w:rsid w:val="2B0122A2"/>
    <w:rsid w:val="2B0169DA"/>
    <w:rsid w:val="2B1319D8"/>
    <w:rsid w:val="2B146D14"/>
    <w:rsid w:val="2B1663F0"/>
    <w:rsid w:val="2B1E7FF9"/>
    <w:rsid w:val="2B1F5024"/>
    <w:rsid w:val="2B241DC2"/>
    <w:rsid w:val="2B293E78"/>
    <w:rsid w:val="2B31714B"/>
    <w:rsid w:val="2B3222F2"/>
    <w:rsid w:val="2B367CB8"/>
    <w:rsid w:val="2B381B9F"/>
    <w:rsid w:val="2B3C36D0"/>
    <w:rsid w:val="2B3F244C"/>
    <w:rsid w:val="2B4408B7"/>
    <w:rsid w:val="2B47538D"/>
    <w:rsid w:val="2B5432CC"/>
    <w:rsid w:val="2B5903D4"/>
    <w:rsid w:val="2B5C3407"/>
    <w:rsid w:val="2B6C1A1A"/>
    <w:rsid w:val="2B6C6233"/>
    <w:rsid w:val="2B724C67"/>
    <w:rsid w:val="2B767379"/>
    <w:rsid w:val="2B782A1F"/>
    <w:rsid w:val="2B7C07F9"/>
    <w:rsid w:val="2B81525B"/>
    <w:rsid w:val="2B854F92"/>
    <w:rsid w:val="2B874619"/>
    <w:rsid w:val="2B8876E9"/>
    <w:rsid w:val="2B937CDC"/>
    <w:rsid w:val="2BAF553A"/>
    <w:rsid w:val="2BC260E3"/>
    <w:rsid w:val="2BC85439"/>
    <w:rsid w:val="2BD109BC"/>
    <w:rsid w:val="2BD32BEB"/>
    <w:rsid w:val="2BD706B7"/>
    <w:rsid w:val="2BDC76EF"/>
    <w:rsid w:val="2BE44A92"/>
    <w:rsid w:val="2BE76C10"/>
    <w:rsid w:val="2BEA2DDE"/>
    <w:rsid w:val="2BEE7CF9"/>
    <w:rsid w:val="2BF01018"/>
    <w:rsid w:val="2BF805CA"/>
    <w:rsid w:val="2C015E10"/>
    <w:rsid w:val="2C022A0F"/>
    <w:rsid w:val="2C0255C8"/>
    <w:rsid w:val="2C03656F"/>
    <w:rsid w:val="2C04259F"/>
    <w:rsid w:val="2C0F387A"/>
    <w:rsid w:val="2C116AD1"/>
    <w:rsid w:val="2C123597"/>
    <w:rsid w:val="2C151DB2"/>
    <w:rsid w:val="2C155C49"/>
    <w:rsid w:val="2C173C1F"/>
    <w:rsid w:val="2C1D3306"/>
    <w:rsid w:val="2C283019"/>
    <w:rsid w:val="2C2B7F3C"/>
    <w:rsid w:val="2C2F12FD"/>
    <w:rsid w:val="2C2F4D9C"/>
    <w:rsid w:val="2C334BF4"/>
    <w:rsid w:val="2C34648E"/>
    <w:rsid w:val="2C351919"/>
    <w:rsid w:val="2C370B57"/>
    <w:rsid w:val="2C3840B1"/>
    <w:rsid w:val="2C3841C9"/>
    <w:rsid w:val="2C3D7DA5"/>
    <w:rsid w:val="2C3F5903"/>
    <w:rsid w:val="2C4226F6"/>
    <w:rsid w:val="2C466CE1"/>
    <w:rsid w:val="2C473DBF"/>
    <w:rsid w:val="2C501E5F"/>
    <w:rsid w:val="2C5400F7"/>
    <w:rsid w:val="2C5815F5"/>
    <w:rsid w:val="2C616AEB"/>
    <w:rsid w:val="2C661E87"/>
    <w:rsid w:val="2C6A4A41"/>
    <w:rsid w:val="2C6A5997"/>
    <w:rsid w:val="2C6E62CA"/>
    <w:rsid w:val="2C7410DD"/>
    <w:rsid w:val="2C851C3E"/>
    <w:rsid w:val="2C855DAC"/>
    <w:rsid w:val="2C8A793B"/>
    <w:rsid w:val="2C8C3CC3"/>
    <w:rsid w:val="2C9C73BE"/>
    <w:rsid w:val="2CA62993"/>
    <w:rsid w:val="2CA91024"/>
    <w:rsid w:val="2CB361A5"/>
    <w:rsid w:val="2CC60430"/>
    <w:rsid w:val="2CC9235F"/>
    <w:rsid w:val="2CE101E6"/>
    <w:rsid w:val="2CE364B1"/>
    <w:rsid w:val="2CEC0004"/>
    <w:rsid w:val="2CF11158"/>
    <w:rsid w:val="2CF123E7"/>
    <w:rsid w:val="2CF42E26"/>
    <w:rsid w:val="2D025C22"/>
    <w:rsid w:val="2D0D7222"/>
    <w:rsid w:val="2D0E0FF4"/>
    <w:rsid w:val="2D144DCB"/>
    <w:rsid w:val="2D1E62AE"/>
    <w:rsid w:val="2D26521F"/>
    <w:rsid w:val="2D2B3E74"/>
    <w:rsid w:val="2D3519ED"/>
    <w:rsid w:val="2D352B2B"/>
    <w:rsid w:val="2D376058"/>
    <w:rsid w:val="2D3D42D8"/>
    <w:rsid w:val="2D434484"/>
    <w:rsid w:val="2D443A60"/>
    <w:rsid w:val="2D445E75"/>
    <w:rsid w:val="2D4C0108"/>
    <w:rsid w:val="2D5D2C5F"/>
    <w:rsid w:val="2D66111E"/>
    <w:rsid w:val="2D6B2B7E"/>
    <w:rsid w:val="2D742C36"/>
    <w:rsid w:val="2D756D21"/>
    <w:rsid w:val="2D790C9D"/>
    <w:rsid w:val="2D7E6359"/>
    <w:rsid w:val="2D82438E"/>
    <w:rsid w:val="2D8B648E"/>
    <w:rsid w:val="2D9B65E7"/>
    <w:rsid w:val="2DA06097"/>
    <w:rsid w:val="2DAE5282"/>
    <w:rsid w:val="2DB67D65"/>
    <w:rsid w:val="2DC42501"/>
    <w:rsid w:val="2DC51ADF"/>
    <w:rsid w:val="2DC932F1"/>
    <w:rsid w:val="2DCD5D54"/>
    <w:rsid w:val="2DCE7001"/>
    <w:rsid w:val="2DE060E7"/>
    <w:rsid w:val="2DE50C0B"/>
    <w:rsid w:val="2DE81822"/>
    <w:rsid w:val="2DED6F14"/>
    <w:rsid w:val="2DEE06CA"/>
    <w:rsid w:val="2DFC7586"/>
    <w:rsid w:val="2DFD48F8"/>
    <w:rsid w:val="2DFE6C08"/>
    <w:rsid w:val="2DFF209B"/>
    <w:rsid w:val="2E05277A"/>
    <w:rsid w:val="2E0820DC"/>
    <w:rsid w:val="2E0C0560"/>
    <w:rsid w:val="2E0D38E6"/>
    <w:rsid w:val="2E0E6F74"/>
    <w:rsid w:val="2E175298"/>
    <w:rsid w:val="2E187866"/>
    <w:rsid w:val="2E27089B"/>
    <w:rsid w:val="2E2B5150"/>
    <w:rsid w:val="2E2B5417"/>
    <w:rsid w:val="2E30646F"/>
    <w:rsid w:val="2E3265B7"/>
    <w:rsid w:val="2E345F60"/>
    <w:rsid w:val="2E366541"/>
    <w:rsid w:val="2E3D4D5D"/>
    <w:rsid w:val="2E441C63"/>
    <w:rsid w:val="2E444903"/>
    <w:rsid w:val="2E4B5344"/>
    <w:rsid w:val="2E513FEB"/>
    <w:rsid w:val="2E557D41"/>
    <w:rsid w:val="2E575CE5"/>
    <w:rsid w:val="2E6544B1"/>
    <w:rsid w:val="2E750BE6"/>
    <w:rsid w:val="2E76632B"/>
    <w:rsid w:val="2E842231"/>
    <w:rsid w:val="2E864FF0"/>
    <w:rsid w:val="2E903BE6"/>
    <w:rsid w:val="2E9845C1"/>
    <w:rsid w:val="2E9D1236"/>
    <w:rsid w:val="2E9F13AA"/>
    <w:rsid w:val="2EA562CC"/>
    <w:rsid w:val="2EA94D33"/>
    <w:rsid w:val="2EBA24F1"/>
    <w:rsid w:val="2EBA7103"/>
    <w:rsid w:val="2ECC043E"/>
    <w:rsid w:val="2EDA171F"/>
    <w:rsid w:val="2EDC2A13"/>
    <w:rsid w:val="2EE240FD"/>
    <w:rsid w:val="2EE41CAB"/>
    <w:rsid w:val="2EFA62AE"/>
    <w:rsid w:val="2F0D7070"/>
    <w:rsid w:val="2F0E1B74"/>
    <w:rsid w:val="2F1228E1"/>
    <w:rsid w:val="2F1405EB"/>
    <w:rsid w:val="2F144C68"/>
    <w:rsid w:val="2F1A1C1B"/>
    <w:rsid w:val="2F1B3C8D"/>
    <w:rsid w:val="2F2373E7"/>
    <w:rsid w:val="2F25798D"/>
    <w:rsid w:val="2F2B7701"/>
    <w:rsid w:val="2F335A70"/>
    <w:rsid w:val="2F3A5581"/>
    <w:rsid w:val="2F3E0D20"/>
    <w:rsid w:val="2F3F0889"/>
    <w:rsid w:val="2F3F2E91"/>
    <w:rsid w:val="2F425474"/>
    <w:rsid w:val="2F431340"/>
    <w:rsid w:val="2F4701C9"/>
    <w:rsid w:val="2F4C1A23"/>
    <w:rsid w:val="2F511653"/>
    <w:rsid w:val="2F5164AC"/>
    <w:rsid w:val="2F611AF8"/>
    <w:rsid w:val="2F6263FB"/>
    <w:rsid w:val="2F662935"/>
    <w:rsid w:val="2F7073CF"/>
    <w:rsid w:val="2F722771"/>
    <w:rsid w:val="2F72279F"/>
    <w:rsid w:val="2F78196E"/>
    <w:rsid w:val="2F7D3914"/>
    <w:rsid w:val="2F80253D"/>
    <w:rsid w:val="2F87443F"/>
    <w:rsid w:val="2F880D3B"/>
    <w:rsid w:val="2F884F0D"/>
    <w:rsid w:val="2F8D08C3"/>
    <w:rsid w:val="2FA771DF"/>
    <w:rsid w:val="2FB35E69"/>
    <w:rsid w:val="2FB90FA6"/>
    <w:rsid w:val="2FC46540"/>
    <w:rsid w:val="2FC56B8D"/>
    <w:rsid w:val="2FCD0CD8"/>
    <w:rsid w:val="2FD505B1"/>
    <w:rsid w:val="2FD50C59"/>
    <w:rsid w:val="2FD960EE"/>
    <w:rsid w:val="2FDA7D84"/>
    <w:rsid w:val="2FED5B33"/>
    <w:rsid w:val="2FF461F3"/>
    <w:rsid w:val="2FF528D0"/>
    <w:rsid w:val="2FF953E8"/>
    <w:rsid w:val="3000564F"/>
    <w:rsid w:val="30020133"/>
    <w:rsid w:val="30021E05"/>
    <w:rsid w:val="300B584C"/>
    <w:rsid w:val="300C346B"/>
    <w:rsid w:val="3012162E"/>
    <w:rsid w:val="30163FB8"/>
    <w:rsid w:val="301D02B9"/>
    <w:rsid w:val="301D4FF0"/>
    <w:rsid w:val="302133F3"/>
    <w:rsid w:val="302177F7"/>
    <w:rsid w:val="302864B6"/>
    <w:rsid w:val="302A703C"/>
    <w:rsid w:val="302E438D"/>
    <w:rsid w:val="302F7242"/>
    <w:rsid w:val="3037035F"/>
    <w:rsid w:val="303E2A22"/>
    <w:rsid w:val="303F7929"/>
    <w:rsid w:val="30415560"/>
    <w:rsid w:val="30475E30"/>
    <w:rsid w:val="305158FB"/>
    <w:rsid w:val="3059273D"/>
    <w:rsid w:val="30592B8D"/>
    <w:rsid w:val="305A6949"/>
    <w:rsid w:val="305E00A1"/>
    <w:rsid w:val="3065539F"/>
    <w:rsid w:val="3067240B"/>
    <w:rsid w:val="30675BBA"/>
    <w:rsid w:val="307F7AFA"/>
    <w:rsid w:val="30823C57"/>
    <w:rsid w:val="30837582"/>
    <w:rsid w:val="308B2A8D"/>
    <w:rsid w:val="30931E34"/>
    <w:rsid w:val="30970638"/>
    <w:rsid w:val="309F019C"/>
    <w:rsid w:val="30AA530F"/>
    <w:rsid w:val="30AD075B"/>
    <w:rsid w:val="30B02567"/>
    <w:rsid w:val="30B04E27"/>
    <w:rsid w:val="30B24378"/>
    <w:rsid w:val="30B47711"/>
    <w:rsid w:val="30BC5BB7"/>
    <w:rsid w:val="30C93A93"/>
    <w:rsid w:val="30C974DF"/>
    <w:rsid w:val="30CE1022"/>
    <w:rsid w:val="30CF5178"/>
    <w:rsid w:val="30D04057"/>
    <w:rsid w:val="30D21F19"/>
    <w:rsid w:val="30D276C2"/>
    <w:rsid w:val="30D547AA"/>
    <w:rsid w:val="30E11543"/>
    <w:rsid w:val="30E739B9"/>
    <w:rsid w:val="30F06C49"/>
    <w:rsid w:val="30FA2A1D"/>
    <w:rsid w:val="30FA33DC"/>
    <w:rsid w:val="31011519"/>
    <w:rsid w:val="310B7829"/>
    <w:rsid w:val="310E5FC1"/>
    <w:rsid w:val="311931DD"/>
    <w:rsid w:val="311C7DB5"/>
    <w:rsid w:val="311D4B1B"/>
    <w:rsid w:val="31264B65"/>
    <w:rsid w:val="312D54CE"/>
    <w:rsid w:val="31440C3E"/>
    <w:rsid w:val="314961B6"/>
    <w:rsid w:val="314B73F8"/>
    <w:rsid w:val="314F3376"/>
    <w:rsid w:val="31564C8D"/>
    <w:rsid w:val="315D551A"/>
    <w:rsid w:val="315F36AD"/>
    <w:rsid w:val="31643F7C"/>
    <w:rsid w:val="31662C71"/>
    <w:rsid w:val="31693816"/>
    <w:rsid w:val="316D3427"/>
    <w:rsid w:val="316D3DF6"/>
    <w:rsid w:val="31762E8B"/>
    <w:rsid w:val="31856705"/>
    <w:rsid w:val="31883E38"/>
    <w:rsid w:val="31905A3E"/>
    <w:rsid w:val="319D58BB"/>
    <w:rsid w:val="31B250A0"/>
    <w:rsid w:val="31B5097C"/>
    <w:rsid w:val="31C32EBE"/>
    <w:rsid w:val="31C67850"/>
    <w:rsid w:val="31CA4F64"/>
    <w:rsid w:val="31CA55D1"/>
    <w:rsid w:val="31D435C3"/>
    <w:rsid w:val="31D458BC"/>
    <w:rsid w:val="31D9128A"/>
    <w:rsid w:val="31E7620B"/>
    <w:rsid w:val="31F12B1F"/>
    <w:rsid w:val="31F710C5"/>
    <w:rsid w:val="32031BC2"/>
    <w:rsid w:val="3203475A"/>
    <w:rsid w:val="32043258"/>
    <w:rsid w:val="321628F9"/>
    <w:rsid w:val="321A667D"/>
    <w:rsid w:val="321E1D8E"/>
    <w:rsid w:val="32221A5D"/>
    <w:rsid w:val="32230E64"/>
    <w:rsid w:val="322967FB"/>
    <w:rsid w:val="322B0A9D"/>
    <w:rsid w:val="322E0888"/>
    <w:rsid w:val="322E531D"/>
    <w:rsid w:val="32362973"/>
    <w:rsid w:val="323C2A55"/>
    <w:rsid w:val="324C3F22"/>
    <w:rsid w:val="325F5CA1"/>
    <w:rsid w:val="3268332E"/>
    <w:rsid w:val="326A2FB3"/>
    <w:rsid w:val="328262C8"/>
    <w:rsid w:val="328272AC"/>
    <w:rsid w:val="32964B09"/>
    <w:rsid w:val="329A0462"/>
    <w:rsid w:val="329B32CA"/>
    <w:rsid w:val="329B4860"/>
    <w:rsid w:val="32A0392B"/>
    <w:rsid w:val="32AD3782"/>
    <w:rsid w:val="32C1540C"/>
    <w:rsid w:val="32C269FE"/>
    <w:rsid w:val="32D85708"/>
    <w:rsid w:val="32DE43A0"/>
    <w:rsid w:val="32E35ECC"/>
    <w:rsid w:val="32E823F8"/>
    <w:rsid w:val="32EA4E03"/>
    <w:rsid w:val="32EB6FE9"/>
    <w:rsid w:val="32F64BA7"/>
    <w:rsid w:val="32F94234"/>
    <w:rsid w:val="3302692D"/>
    <w:rsid w:val="330C3F2D"/>
    <w:rsid w:val="330C7FBD"/>
    <w:rsid w:val="33101F81"/>
    <w:rsid w:val="33165E32"/>
    <w:rsid w:val="331B7576"/>
    <w:rsid w:val="332252C4"/>
    <w:rsid w:val="332579A8"/>
    <w:rsid w:val="332720D8"/>
    <w:rsid w:val="33311E1D"/>
    <w:rsid w:val="333C27E7"/>
    <w:rsid w:val="333D01B9"/>
    <w:rsid w:val="33401C41"/>
    <w:rsid w:val="33404766"/>
    <w:rsid w:val="33431AC2"/>
    <w:rsid w:val="33593268"/>
    <w:rsid w:val="335F5700"/>
    <w:rsid w:val="336E595D"/>
    <w:rsid w:val="33763C22"/>
    <w:rsid w:val="33796643"/>
    <w:rsid w:val="3381316C"/>
    <w:rsid w:val="33832FA7"/>
    <w:rsid w:val="33894900"/>
    <w:rsid w:val="338D4F9C"/>
    <w:rsid w:val="3399714F"/>
    <w:rsid w:val="339E3A3C"/>
    <w:rsid w:val="33A643B4"/>
    <w:rsid w:val="33A81A86"/>
    <w:rsid w:val="33AA71E7"/>
    <w:rsid w:val="33B07A44"/>
    <w:rsid w:val="33B4667C"/>
    <w:rsid w:val="33C702ED"/>
    <w:rsid w:val="33CC1241"/>
    <w:rsid w:val="33D1062F"/>
    <w:rsid w:val="33D131C4"/>
    <w:rsid w:val="33D223EF"/>
    <w:rsid w:val="33DF0711"/>
    <w:rsid w:val="33E10ACB"/>
    <w:rsid w:val="33F128D3"/>
    <w:rsid w:val="33F12A50"/>
    <w:rsid w:val="33F321BA"/>
    <w:rsid w:val="33FC5905"/>
    <w:rsid w:val="33FE5F09"/>
    <w:rsid w:val="3400529A"/>
    <w:rsid w:val="34015D1F"/>
    <w:rsid w:val="34057516"/>
    <w:rsid w:val="340D5C9C"/>
    <w:rsid w:val="3411331F"/>
    <w:rsid w:val="341215B4"/>
    <w:rsid w:val="342B79A6"/>
    <w:rsid w:val="342C3983"/>
    <w:rsid w:val="342E0EC7"/>
    <w:rsid w:val="343047D3"/>
    <w:rsid w:val="34335C86"/>
    <w:rsid w:val="34351DB2"/>
    <w:rsid w:val="34413517"/>
    <w:rsid w:val="34452346"/>
    <w:rsid w:val="345E108F"/>
    <w:rsid w:val="346741E2"/>
    <w:rsid w:val="346A6596"/>
    <w:rsid w:val="346D5D12"/>
    <w:rsid w:val="346F4F4A"/>
    <w:rsid w:val="349009B1"/>
    <w:rsid w:val="34922548"/>
    <w:rsid w:val="34A26947"/>
    <w:rsid w:val="34A371B1"/>
    <w:rsid w:val="34A86587"/>
    <w:rsid w:val="34A9060C"/>
    <w:rsid w:val="34AA327A"/>
    <w:rsid w:val="34AA5005"/>
    <w:rsid w:val="34BD2CCA"/>
    <w:rsid w:val="34BF0E0C"/>
    <w:rsid w:val="34BF33E7"/>
    <w:rsid w:val="34C100BA"/>
    <w:rsid w:val="34E46BB5"/>
    <w:rsid w:val="34E52C99"/>
    <w:rsid w:val="34EF2C76"/>
    <w:rsid w:val="34F1749A"/>
    <w:rsid w:val="34F5115F"/>
    <w:rsid w:val="34FA54B2"/>
    <w:rsid w:val="34FF15BB"/>
    <w:rsid w:val="34FF53C5"/>
    <w:rsid w:val="35086A71"/>
    <w:rsid w:val="350A1DCF"/>
    <w:rsid w:val="350C7E79"/>
    <w:rsid w:val="35143874"/>
    <w:rsid w:val="351466FC"/>
    <w:rsid w:val="35197E42"/>
    <w:rsid w:val="352152C8"/>
    <w:rsid w:val="3522139B"/>
    <w:rsid w:val="352A41A8"/>
    <w:rsid w:val="352E1AEE"/>
    <w:rsid w:val="353642AB"/>
    <w:rsid w:val="353C46C2"/>
    <w:rsid w:val="354562EB"/>
    <w:rsid w:val="3545752B"/>
    <w:rsid w:val="354A6005"/>
    <w:rsid w:val="35530079"/>
    <w:rsid w:val="35550D90"/>
    <w:rsid w:val="356E6CE1"/>
    <w:rsid w:val="35770921"/>
    <w:rsid w:val="357A177D"/>
    <w:rsid w:val="357E11AF"/>
    <w:rsid w:val="357F677C"/>
    <w:rsid w:val="358223B5"/>
    <w:rsid w:val="359C73A0"/>
    <w:rsid w:val="359F09EB"/>
    <w:rsid w:val="35A050B0"/>
    <w:rsid w:val="35A52F92"/>
    <w:rsid w:val="35A94BDD"/>
    <w:rsid w:val="35AA4EA3"/>
    <w:rsid w:val="35AC2B09"/>
    <w:rsid w:val="35AF0064"/>
    <w:rsid w:val="35B77D36"/>
    <w:rsid w:val="35C03996"/>
    <w:rsid w:val="35C50ABB"/>
    <w:rsid w:val="35C961DE"/>
    <w:rsid w:val="35D801BB"/>
    <w:rsid w:val="35D92FA2"/>
    <w:rsid w:val="35E84D10"/>
    <w:rsid w:val="35EB5811"/>
    <w:rsid w:val="35F506BF"/>
    <w:rsid w:val="35FF44CF"/>
    <w:rsid w:val="36045036"/>
    <w:rsid w:val="36143A97"/>
    <w:rsid w:val="3616289B"/>
    <w:rsid w:val="36163333"/>
    <w:rsid w:val="361C403D"/>
    <w:rsid w:val="36355306"/>
    <w:rsid w:val="36395E3D"/>
    <w:rsid w:val="363A23BC"/>
    <w:rsid w:val="365B2DB7"/>
    <w:rsid w:val="365F29A9"/>
    <w:rsid w:val="366962DF"/>
    <w:rsid w:val="367152F7"/>
    <w:rsid w:val="36907D8F"/>
    <w:rsid w:val="36973A0B"/>
    <w:rsid w:val="369F20F2"/>
    <w:rsid w:val="36A3210C"/>
    <w:rsid w:val="36A91057"/>
    <w:rsid w:val="36B778B1"/>
    <w:rsid w:val="36BB1878"/>
    <w:rsid w:val="36D57254"/>
    <w:rsid w:val="36D6086F"/>
    <w:rsid w:val="36DA091C"/>
    <w:rsid w:val="36EC64C1"/>
    <w:rsid w:val="36F476F6"/>
    <w:rsid w:val="37047B9A"/>
    <w:rsid w:val="370D524E"/>
    <w:rsid w:val="371A766D"/>
    <w:rsid w:val="371B3D08"/>
    <w:rsid w:val="371D1FF3"/>
    <w:rsid w:val="37220948"/>
    <w:rsid w:val="372771DE"/>
    <w:rsid w:val="37286E64"/>
    <w:rsid w:val="372C0F03"/>
    <w:rsid w:val="372C4131"/>
    <w:rsid w:val="372E51E4"/>
    <w:rsid w:val="37321D6A"/>
    <w:rsid w:val="373339AD"/>
    <w:rsid w:val="37350E90"/>
    <w:rsid w:val="375B331A"/>
    <w:rsid w:val="375F04D5"/>
    <w:rsid w:val="375F6936"/>
    <w:rsid w:val="376614D0"/>
    <w:rsid w:val="37672F20"/>
    <w:rsid w:val="37674BA9"/>
    <w:rsid w:val="37695B54"/>
    <w:rsid w:val="376C4B50"/>
    <w:rsid w:val="376F3D58"/>
    <w:rsid w:val="377157E3"/>
    <w:rsid w:val="377242E3"/>
    <w:rsid w:val="377A4D19"/>
    <w:rsid w:val="37833BE3"/>
    <w:rsid w:val="37836CC9"/>
    <w:rsid w:val="37836F05"/>
    <w:rsid w:val="37852C94"/>
    <w:rsid w:val="378557A7"/>
    <w:rsid w:val="37861616"/>
    <w:rsid w:val="378946C5"/>
    <w:rsid w:val="378B610A"/>
    <w:rsid w:val="37947C4A"/>
    <w:rsid w:val="379D4B9D"/>
    <w:rsid w:val="37A74CF1"/>
    <w:rsid w:val="37B42691"/>
    <w:rsid w:val="37B63C1C"/>
    <w:rsid w:val="37BB23FF"/>
    <w:rsid w:val="37C2506F"/>
    <w:rsid w:val="37CB454D"/>
    <w:rsid w:val="37D868A7"/>
    <w:rsid w:val="37DD1EC9"/>
    <w:rsid w:val="37E26AA1"/>
    <w:rsid w:val="37E56787"/>
    <w:rsid w:val="37E81203"/>
    <w:rsid w:val="37E869F0"/>
    <w:rsid w:val="37F1019A"/>
    <w:rsid w:val="37F8082F"/>
    <w:rsid w:val="37F92A1F"/>
    <w:rsid w:val="37FC411A"/>
    <w:rsid w:val="38080E4C"/>
    <w:rsid w:val="380D00E1"/>
    <w:rsid w:val="3817408E"/>
    <w:rsid w:val="38194BC0"/>
    <w:rsid w:val="38272B94"/>
    <w:rsid w:val="38273D02"/>
    <w:rsid w:val="382C1FE9"/>
    <w:rsid w:val="38503863"/>
    <w:rsid w:val="385F2B13"/>
    <w:rsid w:val="386862D0"/>
    <w:rsid w:val="386A78AA"/>
    <w:rsid w:val="386D0B7F"/>
    <w:rsid w:val="38714DEC"/>
    <w:rsid w:val="38773614"/>
    <w:rsid w:val="387C0DC3"/>
    <w:rsid w:val="38811766"/>
    <w:rsid w:val="3890446B"/>
    <w:rsid w:val="389F7487"/>
    <w:rsid w:val="38A807AA"/>
    <w:rsid w:val="38AE462F"/>
    <w:rsid w:val="38B04C5F"/>
    <w:rsid w:val="38B54187"/>
    <w:rsid w:val="38BA1153"/>
    <w:rsid w:val="38BD2E93"/>
    <w:rsid w:val="38BE2B69"/>
    <w:rsid w:val="38BF2A66"/>
    <w:rsid w:val="38C011F2"/>
    <w:rsid w:val="38C26C10"/>
    <w:rsid w:val="38CA2742"/>
    <w:rsid w:val="38DF05E7"/>
    <w:rsid w:val="38E04B22"/>
    <w:rsid w:val="38E1363B"/>
    <w:rsid w:val="38E3317A"/>
    <w:rsid w:val="38E96AA5"/>
    <w:rsid w:val="38F922D2"/>
    <w:rsid w:val="39024102"/>
    <w:rsid w:val="39052414"/>
    <w:rsid w:val="390631ED"/>
    <w:rsid w:val="39074B30"/>
    <w:rsid w:val="39083EAB"/>
    <w:rsid w:val="390973DE"/>
    <w:rsid w:val="390A324A"/>
    <w:rsid w:val="390A55CA"/>
    <w:rsid w:val="3911206E"/>
    <w:rsid w:val="39132A9B"/>
    <w:rsid w:val="392055E9"/>
    <w:rsid w:val="392F4262"/>
    <w:rsid w:val="39413994"/>
    <w:rsid w:val="3947568C"/>
    <w:rsid w:val="394D4E2F"/>
    <w:rsid w:val="395B0187"/>
    <w:rsid w:val="396935D5"/>
    <w:rsid w:val="397107F4"/>
    <w:rsid w:val="39725D3F"/>
    <w:rsid w:val="39872F22"/>
    <w:rsid w:val="39873CDB"/>
    <w:rsid w:val="3995388E"/>
    <w:rsid w:val="39A06546"/>
    <w:rsid w:val="39A23F5E"/>
    <w:rsid w:val="39A3641C"/>
    <w:rsid w:val="39A71D01"/>
    <w:rsid w:val="39AB0F30"/>
    <w:rsid w:val="39AF09E0"/>
    <w:rsid w:val="39B64039"/>
    <w:rsid w:val="39B87E2E"/>
    <w:rsid w:val="39BB7D9F"/>
    <w:rsid w:val="39BC6836"/>
    <w:rsid w:val="39C05339"/>
    <w:rsid w:val="39C548E4"/>
    <w:rsid w:val="39C71362"/>
    <w:rsid w:val="39C944DB"/>
    <w:rsid w:val="39CF674E"/>
    <w:rsid w:val="39D81032"/>
    <w:rsid w:val="39DB2318"/>
    <w:rsid w:val="39DF2EE9"/>
    <w:rsid w:val="39DF4383"/>
    <w:rsid w:val="39E1426C"/>
    <w:rsid w:val="3A093AAD"/>
    <w:rsid w:val="3A174E99"/>
    <w:rsid w:val="3A1759FE"/>
    <w:rsid w:val="3A1D1BA0"/>
    <w:rsid w:val="3A1E40A8"/>
    <w:rsid w:val="3A1F14E8"/>
    <w:rsid w:val="3A237DED"/>
    <w:rsid w:val="3A26573E"/>
    <w:rsid w:val="3A27209F"/>
    <w:rsid w:val="3A2A6087"/>
    <w:rsid w:val="3A317516"/>
    <w:rsid w:val="3A356783"/>
    <w:rsid w:val="3A3A3E66"/>
    <w:rsid w:val="3A46429E"/>
    <w:rsid w:val="3A471B5A"/>
    <w:rsid w:val="3A4A1BC6"/>
    <w:rsid w:val="3A4B0633"/>
    <w:rsid w:val="3A4B58FB"/>
    <w:rsid w:val="3A53320E"/>
    <w:rsid w:val="3A5A6721"/>
    <w:rsid w:val="3A5C7F6C"/>
    <w:rsid w:val="3A5F717C"/>
    <w:rsid w:val="3A6D219C"/>
    <w:rsid w:val="3A7249C8"/>
    <w:rsid w:val="3A762CD3"/>
    <w:rsid w:val="3A7922AF"/>
    <w:rsid w:val="3A86326B"/>
    <w:rsid w:val="3A87282F"/>
    <w:rsid w:val="3A883655"/>
    <w:rsid w:val="3A922914"/>
    <w:rsid w:val="3A980367"/>
    <w:rsid w:val="3AA664E9"/>
    <w:rsid w:val="3AD67FD2"/>
    <w:rsid w:val="3AD80B27"/>
    <w:rsid w:val="3ADD4E79"/>
    <w:rsid w:val="3AE50EA1"/>
    <w:rsid w:val="3AF011E5"/>
    <w:rsid w:val="3AFB5C9C"/>
    <w:rsid w:val="3B004A51"/>
    <w:rsid w:val="3B034398"/>
    <w:rsid w:val="3B0408F8"/>
    <w:rsid w:val="3B0979F7"/>
    <w:rsid w:val="3B0C3829"/>
    <w:rsid w:val="3B226923"/>
    <w:rsid w:val="3B2428F4"/>
    <w:rsid w:val="3B2F05B0"/>
    <w:rsid w:val="3B370F6F"/>
    <w:rsid w:val="3B3711F4"/>
    <w:rsid w:val="3B3779E1"/>
    <w:rsid w:val="3B395AAF"/>
    <w:rsid w:val="3B461160"/>
    <w:rsid w:val="3B4A487B"/>
    <w:rsid w:val="3B540C9C"/>
    <w:rsid w:val="3B5A6803"/>
    <w:rsid w:val="3B5B5444"/>
    <w:rsid w:val="3B64067A"/>
    <w:rsid w:val="3B656F7C"/>
    <w:rsid w:val="3B6A74DA"/>
    <w:rsid w:val="3B6B0847"/>
    <w:rsid w:val="3B6B451D"/>
    <w:rsid w:val="3B7B5335"/>
    <w:rsid w:val="3B873B67"/>
    <w:rsid w:val="3B90157C"/>
    <w:rsid w:val="3B942FA4"/>
    <w:rsid w:val="3B9D57F6"/>
    <w:rsid w:val="3BA56A4E"/>
    <w:rsid w:val="3BA90B37"/>
    <w:rsid w:val="3BAF6483"/>
    <w:rsid w:val="3BB00237"/>
    <w:rsid w:val="3BB030AC"/>
    <w:rsid w:val="3BBC19F2"/>
    <w:rsid w:val="3BC36BC5"/>
    <w:rsid w:val="3BD5188A"/>
    <w:rsid w:val="3BD620C8"/>
    <w:rsid w:val="3BDC7478"/>
    <w:rsid w:val="3BDD33A3"/>
    <w:rsid w:val="3BDF0986"/>
    <w:rsid w:val="3BE8274F"/>
    <w:rsid w:val="3BEC05A6"/>
    <w:rsid w:val="3BF03F1C"/>
    <w:rsid w:val="3BF33075"/>
    <w:rsid w:val="3BF611BA"/>
    <w:rsid w:val="3C00279B"/>
    <w:rsid w:val="3C123480"/>
    <w:rsid w:val="3C127211"/>
    <w:rsid w:val="3C15441F"/>
    <w:rsid w:val="3C155E34"/>
    <w:rsid w:val="3C2317D2"/>
    <w:rsid w:val="3C341093"/>
    <w:rsid w:val="3C385A1D"/>
    <w:rsid w:val="3C3A346E"/>
    <w:rsid w:val="3C403CF2"/>
    <w:rsid w:val="3C410578"/>
    <w:rsid w:val="3C414DA5"/>
    <w:rsid w:val="3C466358"/>
    <w:rsid w:val="3C5E44CC"/>
    <w:rsid w:val="3C602DED"/>
    <w:rsid w:val="3C6333F1"/>
    <w:rsid w:val="3C6D41FE"/>
    <w:rsid w:val="3C7D6C7C"/>
    <w:rsid w:val="3C836BC3"/>
    <w:rsid w:val="3C8A1D00"/>
    <w:rsid w:val="3C921760"/>
    <w:rsid w:val="3C965B2E"/>
    <w:rsid w:val="3C9977B9"/>
    <w:rsid w:val="3C9C6FE7"/>
    <w:rsid w:val="3C9E090A"/>
    <w:rsid w:val="3CA424EB"/>
    <w:rsid w:val="3CB43221"/>
    <w:rsid w:val="3CC30C2F"/>
    <w:rsid w:val="3CC5060A"/>
    <w:rsid w:val="3CC65269"/>
    <w:rsid w:val="3CC75D28"/>
    <w:rsid w:val="3CCD61C9"/>
    <w:rsid w:val="3CD0064E"/>
    <w:rsid w:val="3CD316A0"/>
    <w:rsid w:val="3CE21A02"/>
    <w:rsid w:val="3CEA40E7"/>
    <w:rsid w:val="3CEB4AD7"/>
    <w:rsid w:val="3CF216D3"/>
    <w:rsid w:val="3CF73F9A"/>
    <w:rsid w:val="3CFD432D"/>
    <w:rsid w:val="3CFE5A5C"/>
    <w:rsid w:val="3D0E6843"/>
    <w:rsid w:val="3D144FB3"/>
    <w:rsid w:val="3D171DD9"/>
    <w:rsid w:val="3D191DAA"/>
    <w:rsid w:val="3D2502C8"/>
    <w:rsid w:val="3D271151"/>
    <w:rsid w:val="3D2A1601"/>
    <w:rsid w:val="3D371C50"/>
    <w:rsid w:val="3D3B124C"/>
    <w:rsid w:val="3D3B64BA"/>
    <w:rsid w:val="3D433BC2"/>
    <w:rsid w:val="3D490A1B"/>
    <w:rsid w:val="3D4B6905"/>
    <w:rsid w:val="3D4D1D31"/>
    <w:rsid w:val="3D4D75DF"/>
    <w:rsid w:val="3D501A9C"/>
    <w:rsid w:val="3D502287"/>
    <w:rsid w:val="3D506C30"/>
    <w:rsid w:val="3D5979EF"/>
    <w:rsid w:val="3D5C3939"/>
    <w:rsid w:val="3D601C75"/>
    <w:rsid w:val="3D705C19"/>
    <w:rsid w:val="3D7A26EB"/>
    <w:rsid w:val="3D7E094F"/>
    <w:rsid w:val="3D87608A"/>
    <w:rsid w:val="3D8F7406"/>
    <w:rsid w:val="3D971650"/>
    <w:rsid w:val="3D9730E1"/>
    <w:rsid w:val="3D980C3C"/>
    <w:rsid w:val="3D9A3968"/>
    <w:rsid w:val="3DA32A96"/>
    <w:rsid w:val="3DAA0078"/>
    <w:rsid w:val="3DC24854"/>
    <w:rsid w:val="3DC576AD"/>
    <w:rsid w:val="3DCA3D01"/>
    <w:rsid w:val="3DD16D47"/>
    <w:rsid w:val="3DD31485"/>
    <w:rsid w:val="3DD86A15"/>
    <w:rsid w:val="3DEB25E0"/>
    <w:rsid w:val="3DF5406A"/>
    <w:rsid w:val="3DFC57FB"/>
    <w:rsid w:val="3E01119B"/>
    <w:rsid w:val="3E022F49"/>
    <w:rsid w:val="3E0A6511"/>
    <w:rsid w:val="3E0E2FD5"/>
    <w:rsid w:val="3E132A08"/>
    <w:rsid w:val="3E247A20"/>
    <w:rsid w:val="3E2574A0"/>
    <w:rsid w:val="3E2616C1"/>
    <w:rsid w:val="3E272975"/>
    <w:rsid w:val="3E314B81"/>
    <w:rsid w:val="3E53532A"/>
    <w:rsid w:val="3E573E64"/>
    <w:rsid w:val="3E5978BF"/>
    <w:rsid w:val="3E5D0574"/>
    <w:rsid w:val="3E5D5542"/>
    <w:rsid w:val="3E601746"/>
    <w:rsid w:val="3E672DAD"/>
    <w:rsid w:val="3E6A2287"/>
    <w:rsid w:val="3E761F02"/>
    <w:rsid w:val="3E774506"/>
    <w:rsid w:val="3E7F547E"/>
    <w:rsid w:val="3E88074A"/>
    <w:rsid w:val="3E8A31E1"/>
    <w:rsid w:val="3E980449"/>
    <w:rsid w:val="3E983C64"/>
    <w:rsid w:val="3EA11C01"/>
    <w:rsid w:val="3EB06037"/>
    <w:rsid w:val="3EB3776D"/>
    <w:rsid w:val="3EB70DA6"/>
    <w:rsid w:val="3EC96711"/>
    <w:rsid w:val="3ECB4127"/>
    <w:rsid w:val="3ED15734"/>
    <w:rsid w:val="3ED72927"/>
    <w:rsid w:val="3EDF5067"/>
    <w:rsid w:val="3EE07013"/>
    <w:rsid w:val="3EE40396"/>
    <w:rsid w:val="3EE65880"/>
    <w:rsid w:val="3EEA4CDA"/>
    <w:rsid w:val="3EEB2CEE"/>
    <w:rsid w:val="3EEB5763"/>
    <w:rsid w:val="3EF15879"/>
    <w:rsid w:val="3EFA4CF0"/>
    <w:rsid w:val="3F001489"/>
    <w:rsid w:val="3F012400"/>
    <w:rsid w:val="3F070F45"/>
    <w:rsid w:val="3F170FC1"/>
    <w:rsid w:val="3F19374F"/>
    <w:rsid w:val="3F1C75CF"/>
    <w:rsid w:val="3F2645C1"/>
    <w:rsid w:val="3F376DC9"/>
    <w:rsid w:val="3F43318E"/>
    <w:rsid w:val="3F4F57E3"/>
    <w:rsid w:val="3F512FF6"/>
    <w:rsid w:val="3F5354C3"/>
    <w:rsid w:val="3F5974A7"/>
    <w:rsid w:val="3F620BFB"/>
    <w:rsid w:val="3F680B5F"/>
    <w:rsid w:val="3F770DFD"/>
    <w:rsid w:val="3F795F1D"/>
    <w:rsid w:val="3F7A0CD8"/>
    <w:rsid w:val="3F825126"/>
    <w:rsid w:val="3F842939"/>
    <w:rsid w:val="3F8B60EF"/>
    <w:rsid w:val="3F93596D"/>
    <w:rsid w:val="3F944ED4"/>
    <w:rsid w:val="3F9E16ED"/>
    <w:rsid w:val="3FA15A77"/>
    <w:rsid w:val="3FAA0AB2"/>
    <w:rsid w:val="3FAC7AF3"/>
    <w:rsid w:val="3FAE078D"/>
    <w:rsid w:val="3FB10395"/>
    <w:rsid w:val="3FB463BF"/>
    <w:rsid w:val="3FB80D9F"/>
    <w:rsid w:val="3FBB5040"/>
    <w:rsid w:val="3FC93641"/>
    <w:rsid w:val="3FD65AB3"/>
    <w:rsid w:val="3FD74631"/>
    <w:rsid w:val="3FD84BE6"/>
    <w:rsid w:val="3FDC23A1"/>
    <w:rsid w:val="3FDF0977"/>
    <w:rsid w:val="3FEA0D08"/>
    <w:rsid w:val="3FEA7230"/>
    <w:rsid w:val="3FEC0C1F"/>
    <w:rsid w:val="3FFE105B"/>
    <w:rsid w:val="3FFF28DB"/>
    <w:rsid w:val="400C3F57"/>
    <w:rsid w:val="401210FF"/>
    <w:rsid w:val="40140937"/>
    <w:rsid w:val="401B367F"/>
    <w:rsid w:val="401E4A6C"/>
    <w:rsid w:val="401E6A87"/>
    <w:rsid w:val="401F1F51"/>
    <w:rsid w:val="402C5C22"/>
    <w:rsid w:val="402F3C81"/>
    <w:rsid w:val="402F7D87"/>
    <w:rsid w:val="40392E75"/>
    <w:rsid w:val="403931E8"/>
    <w:rsid w:val="40497498"/>
    <w:rsid w:val="405215C2"/>
    <w:rsid w:val="405B68DB"/>
    <w:rsid w:val="407436A1"/>
    <w:rsid w:val="407E5B8F"/>
    <w:rsid w:val="40892FE2"/>
    <w:rsid w:val="408A0BC5"/>
    <w:rsid w:val="408E5864"/>
    <w:rsid w:val="4093314D"/>
    <w:rsid w:val="40985426"/>
    <w:rsid w:val="40A403A8"/>
    <w:rsid w:val="40A41ED3"/>
    <w:rsid w:val="40A51E9D"/>
    <w:rsid w:val="40A72F9D"/>
    <w:rsid w:val="40AF05BA"/>
    <w:rsid w:val="40B843D7"/>
    <w:rsid w:val="40B91FC5"/>
    <w:rsid w:val="40B9718A"/>
    <w:rsid w:val="40C37CEF"/>
    <w:rsid w:val="40CA2584"/>
    <w:rsid w:val="40CB1AEF"/>
    <w:rsid w:val="40CF2259"/>
    <w:rsid w:val="40D70710"/>
    <w:rsid w:val="40D81677"/>
    <w:rsid w:val="40DD2579"/>
    <w:rsid w:val="40DF5900"/>
    <w:rsid w:val="40E84C83"/>
    <w:rsid w:val="40F243B2"/>
    <w:rsid w:val="40F52203"/>
    <w:rsid w:val="40FF56B8"/>
    <w:rsid w:val="41037699"/>
    <w:rsid w:val="410522E3"/>
    <w:rsid w:val="41066C94"/>
    <w:rsid w:val="410E3CB8"/>
    <w:rsid w:val="41186BCD"/>
    <w:rsid w:val="41251E95"/>
    <w:rsid w:val="41371F50"/>
    <w:rsid w:val="413B50A6"/>
    <w:rsid w:val="413C37E5"/>
    <w:rsid w:val="413C758F"/>
    <w:rsid w:val="414875F7"/>
    <w:rsid w:val="414F153C"/>
    <w:rsid w:val="41517657"/>
    <w:rsid w:val="415715A2"/>
    <w:rsid w:val="4158397F"/>
    <w:rsid w:val="415D2655"/>
    <w:rsid w:val="41647537"/>
    <w:rsid w:val="4174093A"/>
    <w:rsid w:val="41765DBF"/>
    <w:rsid w:val="41834CBF"/>
    <w:rsid w:val="41882259"/>
    <w:rsid w:val="41910EF6"/>
    <w:rsid w:val="419541D6"/>
    <w:rsid w:val="419F4FA9"/>
    <w:rsid w:val="41AB0112"/>
    <w:rsid w:val="41B21150"/>
    <w:rsid w:val="41B86B8F"/>
    <w:rsid w:val="41BE2454"/>
    <w:rsid w:val="41BE7803"/>
    <w:rsid w:val="41CD1660"/>
    <w:rsid w:val="41D059A2"/>
    <w:rsid w:val="41D66B3F"/>
    <w:rsid w:val="41E236AA"/>
    <w:rsid w:val="41E3117C"/>
    <w:rsid w:val="41E546C0"/>
    <w:rsid w:val="41EB6A00"/>
    <w:rsid w:val="41FA4EFD"/>
    <w:rsid w:val="41FD6096"/>
    <w:rsid w:val="42062F0F"/>
    <w:rsid w:val="42064016"/>
    <w:rsid w:val="421B2F82"/>
    <w:rsid w:val="421E3CA7"/>
    <w:rsid w:val="42292D1B"/>
    <w:rsid w:val="422C120F"/>
    <w:rsid w:val="422E763F"/>
    <w:rsid w:val="4235176C"/>
    <w:rsid w:val="423545BF"/>
    <w:rsid w:val="424157EA"/>
    <w:rsid w:val="42427976"/>
    <w:rsid w:val="42454D18"/>
    <w:rsid w:val="42571FB2"/>
    <w:rsid w:val="425B33BA"/>
    <w:rsid w:val="425D457D"/>
    <w:rsid w:val="425E559F"/>
    <w:rsid w:val="42736187"/>
    <w:rsid w:val="4277235D"/>
    <w:rsid w:val="428A557B"/>
    <w:rsid w:val="428C2C05"/>
    <w:rsid w:val="42A13630"/>
    <w:rsid w:val="42A9499E"/>
    <w:rsid w:val="42AA1D1F"/>
    <w:rsid w:val="42CA288C"/>
    <w:rsid w:val="42CE7B6A"/>
    <w:rsid w:val="42D04AEA"/>
    <w:rsid w:val="42D25B81"/>
    <w:rsid w:val="42D31E6E"/>
    <w:rsid w:val="42E23253"/>
    <w:rsid w:val="42E75F7A"/>
    <w:rsid w:val="42EA3C26"/>
    <w:rsid w:val="42EC4F17"/>
    <w:rsid w:val="42F944B1"/>
    <w:rsid w:val="43070EC0"/>
    <w:rsid w:val="430867A7"/>
    <w:rsid w:val="430D71E7"/>
    <w:rsid w:val="43155FBD"/>
    <w:rsid w:val="431969CB"/>
    <w:rsid w:val="431A0AF5"/>
    <w:rsid w:val="431E6DBE"/>
    <w:rsid w:val="43332558"/>
    <w:rsid w:val="43437DA3"/>
    <w:rsid w:val="43445A59"/>
    <w:rsid w:val="434A3629"/>
    <w:rsid w:val="434B091B"/>
    <w:rsid w:val="435766B4"/>
    <w:rsid w:val="435D112A"/>
    <w:rsid w:val="436C15B0"/>
    <w:rsid w:val="436E4ACC"/>
    <w:rsid w:val="43740019"/>
    <w:rsid w:val="437A5AFE"/>
    <w:rsid w:val="43863346"/>
    <w:rsid w:val="43884ABF"/>
    <w:rsid w:val="438C79CF"/>
    <w:rsid w:val="438E300D"/>
    <w:rsid w:val="43922E0F"/>
    <w:rsid w:val="4395664D"/>
    <w:rsid w:val="43990EF7"/>
    <w:rsid w:val="43A0699B"/>
    <w:rsid w:val="43A22EBF"/>
    <w:rsid w:val="43AE14CE"/>
    <w:rsid w:val="43AF194F"/>
    <w:rsid w:val="43B42B37"/>
    <w:rsid w:val="43B61A64"/>
    <w:rsid w:val="43D3205C"/>
    <w:rsid w:val="43DE7CC0"/>
    <w:rsid w:val="43E03D2B"/>
    <w:rsid w:val="43E248C0"/>
    <w:rsid w:val="43E261DC"/>
    <w:rsid w:val="43F63370"/>
    <w:rsid w:val="43FE6C2B"/>
    <w:rsid w:val="44011DBB"/>
    <w:rsid w:val="440F6FBE"/>
    <w:rsid w:val="441719EB"/>
    <w:rsid w:val="44240C76"/>
    <w:rsid w:val="442B231B"/>
    <w:rsid w:val="44305CED"/>
    <w:rsid w:val="4431551A"/>
    <w:rsid w:val="443F2372"/>
    <w:rsid w:val="44400637"/>
    <w:rsid w:val="444529B0"/>
    <w:rsid w:val="444729C5"/>
    <w:rsid w:val="44483C7A"/>
    <w:rsid w:val="444B203F"/>
    <w:rsid w:val="444C5BD8"/>
    <w:rsid w:val="444D7FB7"/>
    <w:rsid w:val="4457071E"/>
    <w:rsid w:val="445A2B35"/>
    <w:rsid w:val="445A389E"/>
    <w:rsid w:val="44605AE4"/>
    <w:rsid w:val="446159B6"/>
    <w:rsid w:val="4465660B"/>
    <w:rsid w:val="4467071D"/>
    <w:rsid w:val="446B0669"/>
    <w:rsid w:val="446F5BD8"/>
    <w:rsid w:val="44713FCA"/>
    <w:rsid w:val="447E3533"/>
    <w:rsid w:val="448A4CC2"/>
    <w:rsid w:val="448E5F9A"/>
    <w:rsid w:val="44911DF8"/>
    <w:rsid w:val="44967BFE"/>
    <w:rsid w:val="449A1C1D"/>
    <w:rsid w:val="449B21E4"/>
    <w:rsid w:val="449B6040"/>
    <w:rsid w:val="449D6DA3"/>
    <w:rsid w:val="44C22C86"/>
    <w:rsid w:val="44C23C92"/>
    <w:rsid w:val="44C72128"/>
    <w:rsid w:val="44D16F97"/>
    <w:rsid w:val="44D94969"/>
    <w:rsid w:val="44E5592C"/>
    <w:rsid w:val="44F11F07"/>
    <w:rsid w:val="44F404F2"/>
    <w:rsid w:val="44F706A6"/>
    <w:rsid w:val="44F97EDF"/>
    <w:rsid w:val="44FA1C6B"/>
    <w:rsid w:val="44FF5C81"/>
    <w:rsid w:val="45036623"/>
    <w:rsid w:val="450E5098"/>
    <w:rsid w:val="451069BB"/>
    <w:rsid w:val="451A5FCC"/>
    <w:rsid w:val="451F1C5A"/>
    <w:rsid w:val="451F3A0C"/>
    <w:rsid w:val="4521341D"/>
    <w:rsid w:val="452203B0"/>
    <w:rsid w:val="452A29E2"/>
    <w:rsid w:val="45363909"/>
    <w:rsid w:val="45383F9A"/>
    <w:rsid w:val="453F4C31"/>
    <w:rsid w:val="455107D6"/>
    <w:rsid w:val="45596E1A"/>
    <w:rsid w:val="455E3146"/>
    <w:rsid w:val="45635248"/>
    <w:rsid w:val="456B45B3"/>
    <w:rsid w:val="457869BB"/>
    <w:rsid w:val="45796927"/>
    <w:rsid w:val="458B39EA"/>
    <w:rsid w:val="45971B12"/>
    <w:rsid w:val="459E1E4A"/>
    <w:rsid w:val="45A03FEA"/>
    <w:rsid w:val="45A40CCC"/>
    <w:rsid w:val="45A95269"/>
    <w:rsid w:val="45B50E2D"/>
    <w:rsid w:val="45B55DBE"/>
    <w:rsid w:val="45B56F4C"/>
    <w:rsid w:val="45B91D98"/>
    <w:rsid w:val="45BA3C32"/>
    <w:rsid w:val="45BC479E"/>
    <w:rsid w:val="45BD345F"/>
    <w:rsid w:val="45C6790F"/>
    <w:rsid w:val="45CB73EA"/>
    <w:rsid w:val="45E10D1A"/>
    <w:rsid w:val="45E21189"/>
    <w:rsid w:val="45ED1A15"/>
    <w:rsid w:val="45F75B92"/>
    <w:rsid w:val="45F8074A"/>
    <w:rsid w:val="45FB77C0"/>
    <w:rsid w:val="46056FA9"/>
    <w:rsid w:val="460613D2"/>
    <w:rsid w:val="460C2F81"/>
    <w:rsid w:val="46113D91"/>
    <w:rsid w:val="461710A9"/>
    <w:rsid w:val="46190276"/>
    <w:rsid w:val="46206138"/>
    <w:rsid w:val="46247BE6"/>
    <w:rsid w:val="462907DC"/>
    <w:rsid w:val="462E7BA0"/>
    <w:rsid w:val="46311916"/>
    <w:rsid w:val="46353441"/>
    <w:rsid w:val="463C09D6"/>
    <w:rsid w:val="464256CE"/>
    <w:rsid w:val="4644389C"/>
    <w:rsid w:val="46492822"/>
    <w:rsid w:val="464974A7"/>
    <w:rsid w:val="464D19FA"/>
    <w:rsid w:val="46501A9E"/>
    <w:rsid w:val="465869CB"/>
    <w:rsid w:val="465B6CDC"/>
    <w:rsid w:val="46640DEC"/>
    <w:rsid w:val="467367E9"/>
    <w:rsid w:val="46845CF0"/>
    <w:rsid w:val="468C14A5"/>
    <w:rsid w:val="468F441E"/>
    <w:rsid w:val="4694043F"/>
    <w:rsid w:val="469644E4"/>
    <w:rsid w:val="4699331B"/>
    <w:rsid w:val="469B3A69"/>
    <w:rsid w:val="46A303E3"/>
    <w:rsid w:val="46AB0F36"/>
    <w:rsid w:val="46AC242C"/>
    <w:rsid w:val="46B01AA8"/>
    <w:rsid w:val="46BA3992"/>
    <w:rsid w:val="46C439DA"/>
    <w:rsid w:val="46C573D6"/>
    <w:rsid w:val="46CC11C4"/>
    <w:rsid w:val="46DC04DD"/>
    <w:rsid w:val="46DC3A1C"/>
    <w:rsid w:val="46E030F0"/>
    <w:rsid w:val="46E37D30"/>
    <w:rsid w:val="46E44C50"/>
    <w:rsid w:val="46F83C1C"/>
    <w:rsid w:val="46FD10DB"/>
    <w:rsid w:val="470A6855"/>
    <w:rsid w:val="470F63B2"/>
    <w:rsid w:val="47101AA3"/>
    <w:rsid w:val="471C3305"/>
    <w:rsid w:val="472337E4"/>
    <w:rsid w:val="47302A21"/>
    <w:rsid w:val="47317D28"/>
    <w:rsid w:val="47324EEB"/>
    <w:rsid w:val="47370611"/>
    <w:rsid w:val="473C0F95"/>
    <w:rsid w:val="47411B55"/>
    <w:rsid w:val="474451A1"/>
    <w:rsid w:val="474915C6"/>
    <w:rsid w:val="474D7DEA"/>
    <w:rsid w:val="474F28FD"/>
    <w:rsid w:val="475A57C4"/>
    <w:rsid w:val="475B09D1"/>
    <w:rsid w:val="4761779A"/>
    <w:rsid w:val="47625972"/>
    <w:rsid w:val="4764659D"/>
    <w:rsid w:val="476C6589"/>
    <w:rsid w:val="47725D8D"/>
    <w:rsid w:val="47754567"/>
    <w:rsid w:val="477A708F"/>
    <w:rsid w:val="478203C0"/>
    <w:rsid w:val="47892B47"/>
    <w:rsid w:val="47953F3F"/>
    <w:rsid w:val="479868D5"/>
    <w:rsid w:val="479E5AFC"/>
    <w:rsid w:val="479F0B4C"/>
    <w:rsid w:val="47AC37AD"/>
    <w:rsid w:val="47AC7CE1"/>
    <w:rsid w:val="47C32D45"/>
    <w:rsid w:val="47C34168"/>
    <w:rsid w:val="47CA3CF4"/>
    <w:rsid w:val="47DE447E"/>
    <w:rsid w:val="47F26A53"/>
    <w:rsid w:val="47FF2206"/>
    <w:rsid w:val="48013227"/>
    <w:rsid w:val="481837F4"/>
    <w:rsid w:val="48194A85"/>
    <w:rsid w:val="481C2C29"/>
    <w:rsid w:val="481F0AAE"/>
    <w:rsid w:val="48202EE1"/>
    <w:rsid w:val="482368FF"/>
    <w:rsid w:val="482450C1"/>
    <w:rsid w:val="48292250"/>
    <w:rsid w:val="482B1AC5"/>
    <w:rsid w:val="482B47D0"/>
    <w:rsid w:val="482B6784"/>
    <w:rsid w:val="482D1E67"/>
    <w:rsid w:val="482F1F8F"/>
    <w:rsid w:val="482F25FC"/>
    <w:rsid w:val="483C39D2"/>
    <w:rsid w:val="483F0081"/>
    <w:rsid w:val="48427BA9"/>
    <w:rsid w:val="48434575"/>
    <w:rsid w:val="48496A08"/>
    <w:rsid w:val="485563D1"/>
    <w:rsid w:val="48641537"/>
    <w:rsid w:val="4869728F"/>
    <w:rsid w:val="486C1FA6"/>
    <w:rsid w:val="486C3DF4"/>
    <w:rsid w:val="48724CD7"/>
    <w:rsid w:val="48797E28"/>
    <w:rsid w:val="4883298C"/>
    <w:rsid w:val="4883624B"/>
    <w:rsid w:val="4884619D"/>
    <w:rsid w:val="48873598"/>
    <w:rsid w:val="488D0B47"/>
    <w:rsid w:val="4898364B"/>
    <w:rsid w:val="489D0455"/>
    <w:rsid w:val="48A02ABD"/>
    <w:rsid w:val="48A66DA7"/>
    <w:rsid w:val="48AC661B"/>
    <w:rsid w:val="48AD29BC"/>
    <w:rsid w:val="48B873AD"/>
    <w:rsid w:val="48BA0713"/>
    <w:rsid w:val="48BB7763"/>
    <w:rsid w:val="48BC3F0F"/>
    <w:rsid w:val="48C33D54"/>
    <w:rsid w:val="48E2096B"/>
    <w:rsid w:val="48E62261"/>
    <w:rsid w:val="48E736C0"/>
    <w:rsid w:val="48E82175"/>
    <w:rsid w:val="48E834DC"/>
    <w:rsid w:val="48E870E7"/>
    <w:rsid w:val="48F8587B"/>
    <w:rsid w:val="49064D95"/>
    <w:rsid w:val="49070198"/>
    <w:rsid w:val="490E1168"/>
    <w:rsid w:val="491938EE"/>
    <w:rsid w:val="492023FE"/>
    <w:rsid w:val="49223D69"/>
    <w:rsid w:val="49227198"/>
    <w:rsid w:val="49253D95"/>
    <w:rsid w:val="492A6E99"/>
    <w:rsid w:val="492D3B9B"/>
    <w:rsid w:val="492E734A"/>
    <w:rsid w:val="49364091"/>
    <w:rsid w:val="4948541D"/>
    <w:rsid w:val="49492A12"/>
    <w:rsid w:val="494B5FDF"/>
    <w:rsid w:val="494F284F"/>
    <w:rsid w:val="49536643"/>
    <w:rsid w:val="49543341"/>
    <w:rsid w:val="495A6CBC"/>
    <w:rsid w:val="49626449"/>
    <w:rsid w:val="49724388"/>
    <w:rsid w:val="49730A87"/>
    <w:rsid w:val="497D10C9"/>
    <w:rsid w:val="4981067A"/>
    <w:rsid w:val="49822DDB"/>
    <w:rsid w:val="498463E6"/>
    <w:rsid w:val="49871D8E"/>
    <w:rsid w:val="49A318DC"/>
    <w:rsid w:val="49A548D8"/>
    <w:rsid w:val="49A623D7"/>
    <w:rsid w:val="49A95BC3"/>
    <w:rsid w:val="49B126F7"/>
    <w:rsid w:val="49C26027"/>
    <w:rsid w:val="49CC7EB8"/>
    <w:rsid w:val="49CF52EF"/>
    <w:rsid w:val="49D208D1"/>
    <w:rsid w:val="49D43B9F"/>
    <w:rsid w:val="49E54FED"/>
    <w:rsid w:val="49EA607D"/>
    <w:rsid w:val="49F5275A"/>
    <w:rsid w:val="49F94354"/>
    <w:rsid w:val="4A0126FF"/>
    <w:rsid w:val="4A0E12DC"/>
    <w:rsid w:val="4A104B24"/>
    <w:rsid w:val="4A11580F"/>
    <w:rsid w:val="4A1B0B94"/>
    <w:rsid w:val="4A1D70C6"/>
    <w:rsid w:val="4A1F35A9"/>
    <w:rsid w:val="4A2238B2"/>
    <w:rsid w:val="4A2B1C94"/>
    <w:rsid w:val="4A2E6920"/>
    <w:rsid w:val="4A3426A9"/>
    <w:rsid w:val="4A366346"/>
    <w:rsid w:val="4A386146"/>
    <w:rsid w:val="4A38723F"/>
    <w:rsid w:val="4A3A4C36"/>
    <w:rsid w:val="4A3C1562"/>
    <w:rsid w:val="4A410448"/>
    <w:rsid w:val="4A46626A"/>
    <w:rsid w:val="4A475D6D"/>
    <w:rsid w:val="4A512227"/>
    <w:rsid w:val="4A594E71"/>
    <w:rsid w:val="4A5B073A"/>
    <w:rsid w:val="4A666F7F"/>
    <w:rsid w:val="4A6A70B5"/>
    <w:rsid w:val="4A6E3899"/>
    <w:rsid w:val="4A6E4189"/>
    <w:rsid w:val="4A6F4C2B"/>
    <w:rsid w:val="4A71390E"/>
    <w:rsid w:val="4A736C2E"/>
    <w:rsid w:val="4A745066"/>
    <w:rsid w:val="4A777B9B"/>
    <w:rsid w:val="4A79448B"/>
    <w:rsid w:val="4A7B5708"/>
    <w:rsid w:val="4A7C12C9"/>
    <w:rsid w:val="4A8178F4"/>
    <w:rsid w:val="4A863638"/>
    <w:rsid w:val="4A9C0CF3"/>
    <w:rsid w:val="4AA476FB"/>
    <w:rsid w:val="4AA55B56"/>
    <w:rsid w:val="4AA72BCC"/>
    <w:rsid w:val="4AA92229"/>
    <w:rsid w:val="4AAB11CD"/>
    <w:rsid w:val="4AAC3789"/>
    <w:rsid w:val="4AAE7155"/>
    <w:rsid w:val="4AB356AE"/>
    <w:rsid w:val="4AB44AA5"/>
    <w:rsid w:val="4ABC25B5"/>
    <w:rsid w:val="4AC9433B"/>
    <w:rsid w:val="4ACE4959"/>
    <w:rsid w:val="4AD870BB"/>
    <w:rsid w:val="4AD912C4"/>
    <w:rsid w:val="4AE20F42"/>
    <w:rsid w:val="4AE35A25"/>
    <w:rsid w:val="4AE503DF"/>
    <w:rsid w:val="4AFC02F6"/>
    <w:rsid w:val="4B005E57"/>
    <w:rsid w:val="4B095377"/>
    <w:rsid w:val="4B14730E"/>
    <w:rsid w:val="4B156F97"/>
    <w:rsid w:val="4B2262F7"/>
    <w:rsid w:val="4B3008FB"/>
    <w:rsid w:val="4B332897"/>
    <w:rsid w:val="4B3E1FC2"/>
    <w:rsid w:val="4B43453C"/>
    <w:rsid w:val="4B4B6D1D"/>
    <w:rsid w:val="4B513459"/>
    <w:rsid w:val="4B627FBB"/>
    <w:rsid w:val="4B66054D"/>
    <w:rsid w:val="4B742FDF"/>
    <w:rsid w:val="4B8645ED"/>
    <w:rsid w:val="4B8B76F3"/>
    <w:rsid w:val="4B8F6CB5"/>
    <w:rsid w:val="4BBE40D7"/>
    <w:rsid w:val="4BC03FC2"/>
    <w:rsid w:val="4BC1288C"/>
    <w:rsid w:val="4BCD5871"/>
    <w:rsid w:val="4BD74AC0"/>
    <w:rsid w:val="4BDD4510"/>
    <w:rsid w:val="4BDE1BD7"/>
    <w:rsid w:val="4BDF7760"/>
    <w:rsid w:val="4BE6529B"/>
    <w:rsid w:val="4BE81894"/>
    <w:rsid w:val="4BEA4A2D"/>
    <w:rsid w:val="4BEF03BD"/>
    <w:rsid w:val="4C0B7E16"/>
    <w:rsid w:val="4C2A61ED"/>
    <w:rsid w:val="4C30578A"/>
    <w:rsid w:val="4C320AAB"/>
    <w:rsid w:val="4C355A01"/>
    <w:rsid w:val="4C40612E"/>
    <w:rsid w:val="4C420970"/>
    <w:rsid w:val="4C4A2C16"/>
    <w:rsid w:val="4C4D1907"/>
    <w:rsid w:val="4C4E5CFD"/>
    <w:rsid w:val="4C4F75FB"/>
    <w:rsid w:val="4C541857"/>
    <w:rsid w:val="4C591B55"/>
    <w:rsid w:val="4C631822"/>
    <w:rsid w:val="4C637161"/>
    <w:rsid w:val="4C640EF1"/>
    <w:rsid w:val="4C6A51E6"/>
    <w:rsid w:val="4C6D509C"/>
    <w:rsid w:val="4C716889"/>
    <w:rsid w:val="4C793455"/>
    <w:rsid w:val="4C854B2D"/>
    <w:rsid w:val="4C857D18"/>
    <w:rsid w:val="4C86529F"/>
    <w:rsid w:val="4C871045"/>
    <w:rsid w:val="4C8A1C48"/>
    <w:rsid w:val="4C942A4A"/>
    <w:rsid w:val="4C94647F"/>
    <w:rsid w:val="4C9778BC"/>
    <w:rsid w:val="4C9C23DD"/>
    <w:rsid w:val="4CA32D0E"/>
    <w:rsid w:val="4CA64EBB"/>
    <w:rsid w:val="4CAA54B7"/>
    <w:rsid w:val="4CAF272A"/>
    <w:rsid w:val="4CB20ABB"/>
    <w:rsid w:val="4CC323D2"/>
    <w:rsid w:val="4CC96874"/>
    <w:rsid w:val="4CCD39AC"/>
    <w:rsid w:val="4CD8707A"/>
    <w:rsid w:val="4CDE6E75"/>
    <w:rsid w:val="4CE341E5"/>
    <w:rsid w:val="4CEB16C2"/>
    <w:rsid w:val="4CEF0CF6"/>
    <w:rsid w:val="4CF35613"/>
    <w:rsid w:val="4CF66575"/>
    <w:rsid w:val="4CF80609"/>
    <w:rsid w:val="4CFE350E"/>
    <w:rsid w:val="4D047FE3"/>
    <w:rsid w:val="4D093805"/>
    <w:rsid w:val="4D1C2C2F"/>
    <w:rsid w:val="4D230977"/>
    <w:rsid w:val="4D232FD6"/>
    <w:rsid w:val="4D3675BC"/>
    <w:rsid w:val="4D37311E"/>
    <w:rsid w:val="4D3847A6"/>
    <w:rsid w:val="4D457A31"/>
    <w:rsid w:val="4D4E7E7B"/>
    <w:rsid w:val="4D591707"/>
    <w:rsid w:val="4D5D2A92"/>
    <w:rsid w:val="4D5F738A"/>
    <w:rsid w:val="4D6B57D0"/>
    <w:rsid w:val="4D6F665A"/>
    <w:rsid w:val="4D722D18"/>
    <w:rsid w:val="4D7D7120"/>
    <w:rsid w:val="4D855668"/>
    <w:rsid w:val="4D8D46B1"/>
    <w:rsid w:val="4D9C1893"/>
    <w:rsid w:val="4D9C25AC"/>
    <w:rsid w:val="4DAD4D79"/>
    <w:rsid w:val="4DB3504A"/>
    <w:rsid w:val="4DB529E2"/>
    <w:rsid w:val="4DB52CE0"/>
    <w:rsid w:val="4DBC3764"/>
    <w:rsid w:val="4DBE31D7"/>
    <w:rsid w:val="4DC26901"/>
    <w:rsid w:val="4DC404CD"/>
    <w:rsid w:val="4DC40DEA"/>
    <w:rsid w:val="4DC77F2C"/>
    <w:rsid w:val="4DCD69BF"/>
    <w:rsid w:val="4DDA4CE5"/>
    <w:rsid w:val="4DE2123E"/>
    <w:rsid w:val="4DE33354"/>
    <w:rsid w:val="4DE51F45"/>
    <w:rsid w:val="4DEA4025"/>
    <w:rsid w:val="4DEB0029"/>
    <w:rsid w:val="4DEE0304"/>
    <w:rsid w:val="4DFB2FD4"/>
    <w:rsid w:val="4E0535C0"/>
    <w:rsid w:val="4E1B2451"/>
    <w:rsid w:val="4E1B3947"/>
    <w:rsid w:val="4E1D175A"/>
    <w:rsid w:val="4E1D6387"/>
    <w:rsid w:val="4E1E460B"/>
    <w:rsid w:val="4E223E49"/>
    <w:rsid w:val="4E384888"/>
    <w:rsid w:val="4E3A2BBF"/>
    <w:rsid w:val="4E3C2EAA"/>
    <w:rsid w:val="4E451E6C"/>
    <w:rsid w:val="4E4C26CB"/>
    <w:rsid w:val="4E4E70CE"/>
    <w:rsid w:val="4E51404B"/>
    <w:rsid w:val="4E5169E2"/>
    <w:rsid w:val="4E520EE9"/>
    <w:rsid w:val="4E524C4C"/>
    <w:rsid w:val="4E54127E"/>
    <w:rsid w:val="4E594AA6"/>
    <w:rsid w:val="4E5974FC"/>
    <w:rsid w:val="4E62289F"/>
    <w:rsid w:val="4E624796"/>
    <w:rsid w:val="4E73155E"/>
    <w:rsid w:val="4E745DED"/>
    <w:rsid w:val="4E7C4AEF"/>
    <w:rsid w:val="4E7E62BF"/>
    <w:rsid w:val="4E7E6E87"/>
    <w:rsid w:val="4E806936"/>
    <w:rsid w:val="4E8539BE"/>
    <w:rsid w:val="4E865E1F"/>
    <w:rsid w:val="4E946B2B"/>
    <w:rsid w:val="4E9749F2"/>
    <w:rsid w:val="4E9D491C"/>
    <w:rsid w:val="4EA222B8"/>
    <w:rsid w:val="4EA2428C"/>
    <w:rsid w:val="4EA55978"/>
    <w:rsid w:val="4EA63E59"/>
    <w:rsid w:val="4EB37A41"/>
    <w:rsid w:val="4EB90A76"/>
    <w:rsid w:val="4EC05459"/>
    <w:rsid w:val="4EC1685D"/>
    <w:rsid w:val="4EC50D48"/>
    <w:rsid w:val="4EC66288"/>
    <w:rsid w:val="4ED42FB1"/>
    <w:rsid w:val="4ED51F16"/>
    <w:rsid w:val="4EDC53FB"/>
    <w:rsid w:val="4EE60AA3"/>
    <w:rsid w:val="4EF7333A"/>
    <w:rsid w:val="4F0142EF"/>
    <w:rsid w:val="4F015D2B"/>
    <w:rsid w:val="4F0B6EFD"/>
    <w:rsid w:val="4F0F3DCE"/>
    <w:rsid w:val="4F1060AC"/>
    <w:rsid w:val="4F126505"/>
    <w:rsid w:val="4F1300E4"/>
    <w:rsid w:val="4F164CFA"/>
    <w:rsid w:val="4F275982"/>
    <w:rsid w:val="4F2A51C4"/>
    <w:rsid w:val="4F3527B6"/>
    <w:rsid w:val="4F3609A6"/>
    <w:rsid w:val="4F41268B"/>
    <w:rsid w:val="4F4C4C75"/>
    <w:rsid w:val="4F5A6570"/>
    <w:rsid w:val="4F621137"/>
    <w:rsid w:val="4F6E4C0C"/>
    <w:rsid w:val="4F785119"/>
    <w:rsid w:val="4F8056E8"/>
    <w:rsid w:val="4F82619A"/>
    <w:rsid w:val="4F911250"/>
    <w:rsid w:val="4F927079"/>
    <w:rsid w:val="4F9A06D3"/>
    <w:rsid w:val="4FA42C03"/>
    <w:rsid w:val="4FC82315"/>
    <w:rsid w:val="4FD87E22"/>
    <w:rsid w:val="4FDC2D5B"/>
    <w:rsid w:val="4FDD4DBE"/>
    <w:rsid w:val="4FDD6516"/>
    <w:rsid w:val="4FEA158C"/>
    <w:rsid w:val="4FEC179E"/>
    <w:rsid w:val="4FEC657E"/>
    <w:rsid w:val="4FF04DE6"/>
    <w:rsid w:val="4FF25367"/>
    <w:rsid w:val="4FF260E2"/>
    <w:rsid w:val="4FF55AFA"/>
    <w:rsid w:val="4FFB7115"/>
    <w:rsid w:val="500115A3"/>
    <w:rsid w:val="5002169D"/>
    <w:rsid w:val="5005242A"/>
    <w:rsid w:val="5007105B"/>
    <w:rsid w:val="50071467"/>
    <w:rsid w:val="50077153"/>
    <w:rsid w:val="500B5A98"/>
    <w:rsid w:val="50104011"/>
    <w:rsid w:val="50131F47"/>
    <w:rsid w:val="501C3ECE"/>
    <w:rsid w:val="5024270F"/>
    <w:rsid w:val="502F4032"/>
    <w:rsid w:val="50327A07"/>
    <w:rsid w:val="50355FCF"/>
    <w:rsid w:val="505430A6"/>
    <w:rsid w:val="505C57C5"/>
    <w:rsid w:val="50603411"/>
    <w:rsid w:val="506778E5"/>
    <w:rsid w:val="50691134"/>
    <w:rsid w:val="50694B06"/>
    <w:rsid w:val="507132C3"/>
    <w:rsid w:val="507A7B14"/>
    <w:rsid w:val="507D586F"/>
    <w:rsid w:val="509C7F0E"/>
    <w:rsid w:val="50A14337"/>
    <w:rsid w:val="50A52AE6"/>
    <w:rsid w:val="50AB5B9F"/>
    <w:rsid w:val="50AF18F3"/>
    <w:rsid w:val="50B11149"/>
    <w:rsid w:val="50BF4E62"/>
    <w:rsid w:val="50BF6AC2"/>
    <w:rsid w:val="50C41590"/>
    <w:rsid w:val="50C84AB4"/>
    <w:rsid w:val="50D24F0D"/>
    <w:rsid w:val="50D72740"/>
    <w:rsid w:val="50D756B2"/>
    <w:rsid w:val="50D832C9"/>
    <w:rsid w:val="50DB448D"/>
    <w:rsid w:val="50E170A2"/>
    <w:rsid w:val="50E377D9"/>
    <w:rsid w:val="50E644F5"/>
    <w:rsid w:val="50F6301B"/>
    <w:rsid w:val="51015C73"/>
    <w:rsid w:val="511120F2"/>
    <w:rsid w:val="51150CDA"/>
    <w:rsid w:val="511763FF"/>
    <w:rsid w:val="512C420C"/>
    <w:rsid w:val="512D06A0"/>
    <w:rsid w:val="512D4DA1"/>
    <w:rsid w:val="5137612B"/>
    <w:rsid w:val="513B1C40"/>
    <w:rsid w:val="513C7B24"/>
    <w:rsid w:val="514101E2"/>
    <w:rsid w:val="51426326"/>
    <w:rsid w:val="51430FD1"/>
    <w:rsid w:val="514352F7"/>
    <w:rsid w:val="51483BF9"/>
    <w:rsid w:val="51531B0C"/>
    <w:rsid w:val="515925CF"/>
    <w:rsid w:val="51691A00"/>
    <w:rsid w:val="51701BAE"/>
    <w:rsid w:val="51751F0F"/>
    <w:rsid w:val="51756D9F"/>
    <w:rsid w:val="517A5EA1"/>
    <w:rsid w:val="518B1CAD"/>
    <w:rsid w:val="519365B9"/>
    <w:rsid w:val="519810AA"/>
    <w:rsid w:val="519828A7"/>
    <w:rsid w:val="5198532A"/>
    <w:rsid w:val="519E6C32"/>
    <w:rsid w:val="51A22446"/>
    <w:rsid w:val="51B3353C"/>
    <w:rsid w:val="51B518BD"/>
    <w:rsid w:val="51BC6870"/>
    <w:rsid w:val="51C36C3F"/>
    <w:rsid w:val="51CA3B38"/>
    <w:rsid w:val="51CE1752"/>
    <w:rsid w:val="51E2686B"/>
    <w:rsid w:val="51E8766F"/>
    <w:rsid w:val="51EF1FED"/>
    <w:rsid w:val="51F649A1"/>
    <w:rsid w:val="51FB3766"/>
    <w:rsid w:val="51FC5939"/>
    <w:rsid w:val="52137D0E"/>
    <w:rsid w:val="521D2C74"/>
    <w:rsid w:val="52281131"/>
    <w:rsid w:val="522E0F28"/>
    <w:rsid w:val="522E1633"/>
    <w:rsid w:val="52341332"/>
    <w:rsid w:val="523972F2"/>
    <w:rsid w:val="523F36BA"/>
    <w:rsid w:val="524E56B3"/>
    <w:rsid w:val="525435D7"/>
    <w:rsid w:val="52632DA7"/>
    <w:rsid w:val="526F57C8"/>
    <w:rsid w:val="5274235A"/>
    <w:rsid w:val="527F703D"/>
    <w:rsid w:val="528F5047"/>
    <w:rsid w:val="52913DAF"/>
    <w:rsid w:val="52961FB9"/>
    <w:rsid w:val="529A3F2C"/>
    <w:rsid w:val="52A4638C"/>
    <w:rsid w:val="52A826F7"/>
    <w:rsid w:val="52AA6E83"/>
    <w:rsid w:val="52B12FBD"/>
    <w:rsid w:val="52BB15D0"/>
    <w:rsid w:val="52C53B9D"/>
    <w:rsid w:val="52C6413F"/>
    <w:rsid w:val="52C865D3"/>
    <w:rsid w:val="52D01FDF"/>
    <w:rsid w:val="52D10BA1"/>
    <w:rsid w:val="52D51579"/>
    <w:rsid w:val="52F05ADD"/>
    <w:rsid w:val="52F073C5"/>
    <w:rsid w:val="52F76A22"/>
    <w:rsid w:val="52FB23D4"/>
    <w:rsid w:val="52FD73EF"/>
    <w:rsid w:val="53065AAA"/>
    <w:rsid w:val="530C2E0B"/>
    <w:rsid w:val="53122FAE"/>
    <w:rsid w:val="531C2675"/>
    <w:rsid w:val="53206188"/>
    <w:rsid w:val="53356E1A"/>
    <w:rsid w:val="53377E5C"/>
    <w:rsid w:val="534311C8"/>
    <w:rsid w:val="53442327"/>
    <w:rsid w:val="536E758A"/>
    <w:rsid w:val="5379073A"/>
    <w:rsid w:val="537C7F86"/>
    <w:rsid w:val="537E55A7"/>
    <w:rsid w:val="537F7C63"/>
    <w:rsid w:val="53875B2B"/>
    <w:rsid w:val="538A6D90"/>
    <w:rsid w:val="538C1A63"/>
    <w:rsid w:val="538F54F6"/>
    <w:rsid w:val="53955B4C"/>
    <w:rsid w:val="539B0803"/>
    <w:rsid w:val="53AD06B7"/>
    <w:rsid w:val="53BB50AC"/>
    <w:rsid w:val="53C57B2D"/>
    <w:rsid w:val="53C65909"/>
    <w:rsid w:val="53C73585"/>
    <w:rsid w:val="53C95648"/>
    <w:rsid w:val="53D359C7"/>
    <w:rsid w:val="53D511A6"/>
    <w:rsid w:val="53D64BCB"/>
    <w:rsid w:val="53EC0BD9"/>
    <w:rsid w:val="54077CE5"/>
    <w:rsid w:val="540F5BDC"/>
    <w:rsid w:val="54135915"/>
    <w:rsid w:val="541B797B"/>
    <w:rsid w:val="542E68AD"/>
    <w:rsid w:val="54354B7E"/>
    <w:rsid w:val="54397FB7"/>
    <w:rsid w:val="543C2B59"/>
    <w:rsid w:val="5443213D"/>
    <w:rsid w:val="54447F99"/>
    <w:rsid w:val="544A30A3"/>
    <w:rsid w:val="544B1427"/>
    <w:rsid w:val="544F55EE"/>
    <w:rsid w:val="54537CB9"/>
    <w:rsid w:val="545C3B2A"/>
    <w:rsid w:val="545F3DFB"/>
    <w:rsid w:val="545F569B"/>
    <w:rsid w:val="54674AE5"/>
    <w:rsid w:val="5474356A"/>
    <w:rsid w:val="54756987"/>
    <w:rsid w:val="547B7CDD"/>
    <w:rsid w:val="547C43A0"/>
    <w:rsid w:val="547E2D97"/>
    <w:rsid w:val="547E7DC7"/>
    <w:rsid w:val="548771D4"/>
    <w:rsid w:val="54900442"/>
    <w:rsid w:val="54927FDC"/>
    <w:rsid w:val="549472EB"/>
    <w:rsid w:val="549942BB"/>
    <w:rsid w:val="54A354B4"/>
    <w:rsid w:val="54A529FA"/>
    <w:rsid w:val="54A77B63"/>
    <w:rsid w:val="54A84FC1"/>
    <w:rsid w:val="54AA4C87"/>
    <w:rsid w:val="54AC65A5"/>
    <w:rsid w:val="54B4091C"/>
    <w:rsid w:val="54B67B86"/>
    <w:rsid w:val="54B935D1"/>
    <w:rsid w:val="54BE4BAD"/>
    <w:rsid w:val="54CA3189"/>
    <w:rsid w:val="54D17464"/>
    <w:rsid w:val="54D658E7"/>
    <w:rsid w:val="54DA6330"/>
    <w:rsid w:val="54DB6964"/>
    <w:rsid w:val="54DD5A7F"/>
    <w:rsid w:val="54E01F6A"/>
    <w:rsid w:val="54E34C84"/>
    <w:rsid w:val="54E51762"/>
    <w:rsid w:val="54E71C4B"/>
    <w:rsid w:val="54EB118B"/>
    <w:rsid w:val="54F845A7"/>
    <w:rsid w:val="54FD5F5A"/>
    <w:rsid w:val="54FE5688"/>
    <w:rsid w:val="55052CC3"/>
    <w:rsid w:val="550724DE"/>
    <w:rsid w:val="550B1FA2"/>
    <w:rsid w:val="550B4597"/>
    <w:rsid w:val="55192AC3"/>
    <w:rsid w:val="55327986"/>
    <w:rsid w:val="553B449B"/>
    <w:rsid w:val="553E263A"/>
    <w:rsid w:val="55441857"/>
    <w:rsid w:val="55450C41"/>
    <w:rsid w:val="55483976"/>
    <w:rsid w:val="55520D50"/>
    <w:rsid w:val="55597613"/>
    <w:rsid w:val="555E0A5F"/>
    <w:rsid w:val="555E5B0D"/>
    <w:rsid w:val="55692305"/>
    <w:rsid w:val="55722D88"/>
    <w:rsid w:val="557B2677"/>
    <w:rsid w:val="557B44E2"/>
    <w:rsid w:val="557E4084"/>
    <w:rsid w:val="55813304"/>
    <w:rsid w:val="55845D3B"/>
    <w:rsid w:val="558713E9"/>
    <w:rsid w:val="55892450"/>
    <w:rsid w:val="558C66CE"/>
    <w:rsid w:val="558E564B"/>
    <w:rsid w:val="55910011"/>
    <w:rsid w:val="55970326"/>
    <w:rsid w:val="55993C2E"/>
    <w:rsid w:val="559C2307"/>
    <w:rsid w:val="559C3590"/>
    <w:rsid w:val="55A854A0"/>
    <w:rsid w:val="55A94A7D"/>
    <w:rsid w:val="55A972FB"/>
    <w:rsid w:val="55AC79AC"/>
    <w:rsid w:val="55B056F1"/>
    <w:rsid w:val="55B14967"/>
    <w:rsid w:val="55BB6F76"/>
    <w:rsid w:val="55C33F14"/>
    <w:rsid w:val="55C51D6D"/>
    <w:rsid w:val="55C74577"/>
    <w:rsid w:val="55CD1F6F"/>
    <w:rsid w:val="55CF7A91"/>
    <w:rsid w:val="55DB5C78"/>
    <w:rsid w:val="55DD363A"/>
    <w:rsid w:val="55DF0231"/>
    <w:rsid w:val="55E76D80"/>
    <w:rsid w:val="56147E60"/>
    <w:rsid w:val="56184A9E"/>
    <w:rsid w:val="56213224"/>
    <w:rsid w:val="56277430"/>
    <w:rsid w:val="56292132"/>
    <w:rsid w:val="562E7D16"/>
    <w:rsid w:val="562F04C3"/>
    <w:rsid w:val="5637455C"/>
    <w:rsid w:val="56434CBC"/>
    <w:rsid w:val="564542F5"/>
    <w:rsid w:val="564F1DD0"/>
    <w:rsid w:val="565D31A8"/>
    <w:rsid w:val="566C12EF"/>
    <w:rsid w:val="5671356F"/>
    <w:rsid w:val="56751058"/>
    <w:rsid w:val="567B7F58"/>
    <w:rsid w:val="567C5B8B"/>
    <w:rsid w:val="567F297D"/>
    <w:rsid w:val="56810C74"/>
    <w:rsid w:val="568B3C8D"/>
    <w:rsid w:val="56963F1B"/>
    <w:rsid w:val="5697107B"/>
    <w:rsid w:val="569932D3"/>
    <w:rsid w:val="569F358A"/>
    <w:rsid w:val="569F52FF"/>
    <w:rsid w:val="56A43C0D"/>
    <w:rsid w:val="56A47A0A"/>
    <w:rsid w:val="56AF28F7"/>
    <w:rsid w:val="56B179DD"/>
    <w:rsid w:val="56B52F1D"/>
    <w:rsid w:val="56C26874"/>
    <w:rsid w:val="56CC174A"/>
    <w:rsid w:val="56CD5575"/>
    <w:rsid w:val="56CE1415"/>
    <w:rsid w:val="56CF69F7"/>
    <w:rsid w:val="56DD54F7"/>
    <w:rsid w:val="56E76D43"/>
    <w:rsid w:val="56F04877"/>
    <w:rsid w:val="56F17D4E"/>
    <w:rsid w:val="56F448BD"/>
    <w:rsid w:val="56F4656B"/>
    <w:rsid w:val="56FA2146"/>
    <w:rsid w:val="56FD22AA"/>
    <w:rsid w:val="57066AA7"/>
    <w:rsid w:val="570E6A90"/>
    <w:rsid w:val="571F0CDE"/>
    <w:rsid w:val="572C1D4D"/>
    <w:rsid w:val="57392044"/>
    <w:rsid w:val="573B14C2"/>
    <w:rsid w:val="573C5F8B"/>
    <w:rsid w:val="57417A0B"/>
    <w:rsid w:val="574B7272"/>
    <w:rsid w:val="57587E7C"/>
    <w:rsid w:val="57613FE3"/>
    <w:rsid w:val="5765318A"/>
    <w:rsid w:val="57675A05"/>
    <w:rsid w:val="5769323C"/>
    <w:rsid w:val="576E4920"/>
    <w:rsid w:val="578152FA"/>
    <w:rsid w:val="57833DCE"/>
    <w:rsid w:val="578B2EAF"/>
    <w:rsid w:val="578D1A23"/>
    <w:rsid w:val="579B6778"/>
    <w:rsid w:val="57A529AE"/>
    <w:rsid w:val="57B819BF"/>
    <w:rsid w:val="57B90B24"/>
    <w:rsid w:val="57C31664"/>
    <w:rsid w:val="57C437A9"/>
    <w:rsid w:val="57C52852"/>
    <w:rsid w:val="57D74837"/>
    <w:rsid w:val="57DA102D"/>
    <w:rsid w:val="57DF2E26"/>
    <w:rsid w:val="57E44D88"/>
    <w:rsid w:val="57E611E8"/>
    <w:rsid w:val="57EC12FA"/>
    <w:rsid w:val="57EE4E37"/>
    <w:rsid w:val="57F145CA"/>
    <w:rsid w:val="57F315D5"/>
    <w:rsid w:val="57F65D5C"/>
    <w:rsid w:val="57F94CA0"/>
    <w:rsid w:val="580044F4"/>
    <w:rsid w:val="58087351"/>
    <w:rsid w:val="580F7219"/>
    <w:rsid w:val="58204228"/>
    <w:rsid w:val="58244E33"/>
    <w:rsid w:val="58257937"/>
    <w:rsid w:val="582800FF"/>
    <w:rsid w:val="58307E68"/>
    <w:rsid w:val="5832169E"/>
    <w:rsid w:val="58340778"/>
    <w:rsid w:val="58360B36"/>
    <w:rsid w:val="5839755E"/>
    <w:rsid w:val="583C17F4"/>
    <w:rsid w:val="583E3225"/>
    <w:rsid w:val="583E4ECF"/>
    <w:rsid w:val="584B6339"/>
    <w:rsid w:val="58521F9E"/>
    <w:rsid w:val="58692147"/>
    <w:rsid w:val="586B1B13"/>
    <w:rsid w:val="586B42FC"/>
    <w:rsid w:val="587271C1"/>
    <w:rsid w:val="587D65BA"/>
    <w:rsid w:val="58807CD8"/>
    <w:rsid w:val="588E4E09"/>
    <w:rsid w:val="58934125"/>
    <w:rsid w:val="589936D6"/>
    <w:rsid w:val="589B54E0"/>
    <w:rsid w:val="58A0050D"/>
    <w:rsid w:val="58A3358C"/>
    <w:rsid w:val="58B210C3"/>
    <w:rsid w:val="58B34857"/>
    <w:rsid w:val="58B7240B"/>
    <w:rsid w:val="58BB22E5"/>
    <w:rsid w:val="58BE6380"/>
    <w:rsid w:val="58C800C8"/>
    <w:rsid w:val="58EF4F2B"/>
    <w:rsid w:val="58F70DD9"/>
    <w:rsid w:val="58F717F7"/>
    <w:rsid w:val="58F740FA"/>
    <w:rsid w:val="58FB58BB"/>
    <w:rsid w:val="590F3861"/>
    <w:rsid w:val="59226F33"/>
    <w:rsid w:val="592765A9"/>
    <w:rsid w:val="59330D4C"/>
    <w:rsid w:val="59391E5A"/>
    <w:rsid w:val="59397C7F"/>
    <w:rsid w:val="593A697F"/>
    <w:rsid w:val="59405F5F"/>
    <w:rsid w:val="594233B9"/>
    <w:rsid w:val="59440359"/>
    <w:rsid w:val="5944340C"/>
    <w:rsid w:val="594B1005"/>
    <w:rsid w:val="59562E89"/>
    <w:rsid w:val="59615096"/>
    <w:rsid w:val="596E41C9"/>
    <w:rsid w:val="598335D5"/>
    <w:rsid w:val="599454E3"/>
    <w:rsid w:val="5998078D"/>
    <w:rsid w:val="5998521B"/>
    <w:rsid w:val="59A83F2F"/>
    <w:rsid w:val="59B22479"/>
    <w:rsid w:val="59B24DA4"/>
    <w:rsid w:val="59B56188"/>
    <w:rsid w:val="59C10E3B"/>
    <w:rsid w:val="59C748A7"/>
    <w:rsid w:val="59C94729"/>
    <w:rsid w:val="59C96E8A"/>
    <w:rsid w:val="59CA1A0B"/>
    <w:rsid w:val="59CA2CED"/>
    <w:rsid w:val="59D3626A"/>
    <w:rsid w:val="59D530E9"/>
    <w:rsid w:val="59D84C06"/>
    <w:rsid w:val="59D87266"/>
    <w:rsid w:val="59D97167"/>
    <w:rsid w:val="59DB3E39"/>
    <w:rsid w:val="59DF0B89"/>
    <w:rsid w:val="59EA4AF8"/>
    <w:rsid w:val="59EC08C2"/>
    <w:rsid w:val="59F22011"/>
    <w:rsid w:val="59FA04F3"/>
    <w:rsid w:val="59FB35BA"/>
    <w:rsid w:val="59FB3A4A"/>
    <w:rsid w:val="5A0E1D6B"/>
    <w:rsid w:val="5A137270"/>
    <w:rsid w:val="5A17494B"/>
    <w:rsid w:val="5A1841B6"/>
    <w:rsid w:val="5A1C2BD5"/>
    <w:rsid w:val="5A2A74AD"/>
    <w:rsid w:val="5A2E41BB"/>
    <w:rsid w:val="5A315424"/>
    <w:rsid w:val="5A31629C"/>
    <w:rsid w:val="5A354B11"/>
    <w:rsid w:val="5A3A38E2"/>
    <w:rsid w:val="5A4B3CAE"/>
    <w:rsid w:val="5A5B7813"/>
    <w:rsid w:val="5A601E9A"/>
    <w:rsid w:val="5A621082"/>
    <w:rsid w:val="5A650FC0"/>
    <w:rsid w:val="5A673932"/>
    <w:rsid w:val="5A6931AE"/>
    <w:rsid w:val="5A7476F4"/>
    <w:rsid w:val="5A785F98"/>
    <w:rsid w:val="5A796880"/>
    <w:rsid w:val="5A8072DC"/>
    <w:rsid w:val="5A81078E"/>
    <w:rsid w:val="5A820645"/>
    <w:rsid w:val="5A825C33"/>
    <w:rsid w:val="5A8D0F14"/>
    <w:rsid w:val="5A937EA9"/>
    <w:rsid w:val="5A9756BD"/>
    <w:rsid w:val="5A9E0772"/>
    <w:rsid w:val="5A9E2199"/>
    <w:rsid w:val="5AA2476F"/>
    <w:rsid w:val="5AAE0342"/>
    <w:rsid w:val="5AB03693"/>
    <w:rsid w:val="5AB65004"/>
    <w:rsid w:val="5AB7537F"/>
    <w:rsid w:val="5ABD62CE"/>
    <w:rsid w:val="5ACA04C6"/>
    <w:rsid w:val="5AD7316F"/>
    <w:rsid w:val="5ADB005D"/>
    <w:rsid w:val="5ADD2038"/>
    <w:rsid w:val="5AEC0BE8"/>
    <w:rsid w:val="5AEF20A5"/>
    <w:rsid w:val="5AF77CE8"/>
    <w:rsid w:val="5AF86ED4"/>
    <w:rsid w:val="5B0C4119"/>
    <w:rsid w:val="5B1C04B7"/>
    <w:rsid w:val="5B200AF6"/>
    <w:rsid w:val="5B2447FF"/>
    <w:rsid w:val="5B2568B6"/>
    <w:rsid w:val="5B280010"/>
    <w:rsid w:val="5B2A07F1"/>
    <w:rsid w:val="5B501F0F"/>
    <w:rsid w:val="5B520761"/>
    <w:rsid w:val="5B5F7700"/>
    <w:rsid w:val="5B697343"/>
    <w:rsid w:val="5B6D4370"/>
    <w:rsid w:val="5B6F6839"/>
    <w:rsid w:val="5B740512"/>
    <w:rsid w:val="5B7A6F8C"/>
    <w:rsid w:val="5B7C460E"/>
    <w:rsid w:val="5B815448"/>
    <w:rsid w:val="5B832292"/>
    <w:rsid w:val="5B8552D4"/>
    <w:rsid w:val="5B8A78C3"/>
    <w:rsid w:val="5B8C4224"/>
    <w:rsid w:val="5B912F28"/>
    <w:rsid w:val="5B983002"/>
    <w:rsid w:val="5BAA1356"/>
    <w:rsid w:val="5BAA4B2B"/>
    <w:rsid w:val="5BB055E7"/>
    <w:rsid w:val="5BB64E0F"/>
    <w:rsid w:val="5BB70892"/>
    <w:rsid w:val="5BB9179D"/>
    <w:rsid w:val="5BBF5677"/>
    <w:rsid w:val="5BCD7313"/>
    <w:rsid w:val="5BCF180A"/>
    <w:rsid w:val="5BD22C51"/>
    <w:rsid w:val="5BD80550"/>
    <w:rsid w:val="5BD934E5"/>
    <w:rsid w:val="5BDF37E0"/>
    <w:rsid w:val="5BE87958"/>
    <w:rsid w:val="5BEA05C4"/>
    <w:rsid w:val="5BED5718"/>
    <w:rsid w:val="5BF02FC3"/>
    <w:rsid w:val="5BF20804"/>
    <w:rsid w:val="5BF77987"/>
    <w:rsid w:val="5C007A19"/>
    <w:rsid w:val="5C061599"/>
    <w:rsid w:val="5C0A3FE8"/>
    <w:rsid w:val="5C0F7CEF"/>
    <w:rsid w:val="5C1A213D"/>
    <w:rsid w:val="5C265405"/>
    <w:rsid w:val="5C273938"/>
    <w:rsid w:val="5C285F49"/>
    <w:rsid w:val="5C2A09D3"/>
    <w:rsid w:val="5C3276F5"/>
    <w:rsid w:val="5C404BEC"/>
    <w:rsid w:val="5C4060D0"/>
    <w:rsid w:val="5C4921B5"/>
    <w:rsid w:val="5C4E7C1C"/>
    <w:rsid w:val="5C593F21"/>
    <w:rsid w:val="5C697295"/>
    <w:rsid w:val="5C6E2BA7"/>
    <w:rsid w:val="5C713A4E"/>
    <w:rsid w:val="5C7A5843"/>
    <w:rsid w:val="5C7E1FA3"/>
    <w:rsid w:val="5C8439CA"/>
    <w:rsid w:val="5C845717"/>
    <w:rsid w:val="5C847229"/>
    <w:rsid w:val="5C8B3CE0"/>
    <w:rsid w:val="5C8E04AF"/>
    <w:rsid w:val="5C915592"/>
    <w:rsid w:val="5CA12846"/>
    <w:rsid w:val="5CA7171D"/>
    <w:rsid w:val="5CB11139"/>
    <w:rsid w:val="5CB76F4D"/>
    <w:rsid w:val="5CCA3F23"/>
    <w:rsid w:val="5CEC2697"/>
    <w:rsid w:val="5CEC6D18"/>
    <w:rsid w:val="5CF357A4"/>
    <w:rsid w:val="5D0273EA"/>
    <w:rsid w:val="5D094C2B"/>
    <w:rsid w:val="5D0E5BDE"/>
    <w:rsid w:val="5D1E62BE"/>
    <w:rsid w:val="5D2240FB"/>
    <w:rsid w:val="5D226F8B"/>
    <w:rsid w:val="5D3107BF"/>
    <w:rsid w:val="5D360271"/>
    <w:rsid w:val="5D41329E"/>
    <w:rsid w:val="5D4C6B10"/>
    <w:rsid w:val="5D4E6A06"/>
    <w:rsid w:val="5D590CFA"/>
    <w:rsid w:val="5D65396B"/>
    <w:rsid w:val="5D65540A"/>
    <w:rsid w:val="5D6D6F6B"/>
    <w:rsid w:val="5D6F0B0D"/>
    <w:rsid w:val="5D6F44CF"/>
    <w:rsid w:val="5D753156"/>
    <w:rsid w:val="5D7831A7"/>
    <w:rsid w:val="5D7C1176"/>
    <w:rsid w:val="5D80303B"/>
    <w:rsid w:val="5D824E2D"/>
    <w:rsid w:val="5D85430B"/>
    <w:rsid w:val="5D8916F9"/>
    <w:rsid w:val="5D967494"/>
    <w:rsid w:val="5DA2115E"/>
    <w:rsid w:val="5DA440D0"/>
    <w:rsid w:val="5DA87E54"/>
    <w:rsid w:val="5DAA3B58"/>
    <w:rsid w:val="5DAD4973"/>
    <w:rsid w:val="5DAF4FB2"/>
    <w:rsid w:val="5DB828EB"/>
    <w:rsid w:val="5DC16031"/>
    <w:rsid w:val="5DC726D6"/>
    <w:rsid w:val="5DD03F80"/>
    <w:rsid w:val="5DD13497"/>
    <w:rsid w:val="5DD51A11"/>
    <w:rsid w:val="5DDA05F9"/>
    <w:rsid w:val="5DE248E5"/>
    <w:rsid w:val="5DE352BC"/>
    <w:rsid w:val="5DE51A4E"/>
    <w:rsid w:val="5DE6209F"/>
    <w:rsid w:val="5DEB6DAA"/>
    <w:rsid w:val="5DED6625"/>
    <w:rsid w:val="5DFC414B"/>
    <w:rsid w:val="5E0303E5"/>
    <w:rsid w:val="5E112E3A"/>
    <w:rsid w:val="5E11430E"/>
    <w:rsid w:val="5E122AEE"/>
    <w:rsid w:val="5E1B185E"/>
    <w:rsid w:val="5E210F0E"/>
    <w:rsid w:val="5E287173"/>
    <w:rsid w:val="5E2D6D72"/>
    <w:rsid w:val="5E2E0A54"/>
    <w:rsid w:val="5E2E4FDD"/>
    <w:rsid w:val="5E327113"/>
    <w:rsid w:val="5E407C7E"/>
    <w:rsid w:val="5E492982"/>
    <w:rsid w:val="5E501D1F"/>
    <w:rsid w:val="5E602996"/>
    <w:rsid w:val="5E6120B7"/>
    <w:rsid w:val="5E61260F"/>
    <w:rsid w:val="5E64633E"/>
    <w:rsid w:val="5E6647E7"/>
    <w:rsid w:val="5E682BDC"/>
    <w:rsid w:val="5E6914BF"/>
    <w:rsid w:val="5E6D224A"/>
    <w:rsid w:val="5E712498"/>
    <w:rsid w:val="5E7319AD"/>
    <w:rsid w:val="5E766C89"/>
    <w:rsid w:val="5E853A63"/>
    <w:rsid w:val="5E853E15"/>
    <w:rsid w:val="5E861119"/>
    <w:rsid w:val="5E9141B8"/>
    <w:rsid w:val="5E976686"/>
    <w:rsid w:val="5E9B5B97"/>
    <w:rsid w:val="5E9C2D95"/>
    <w:rsid w:val="5E9D6C98"/>
    <w:rsid w:val="5EA105C2"/>
    <w:rsid w:val="5EB00A79"/>
    <w:rsid w:val="5EBA2640"/>
    <w:rsid w:val="5EC84A4A"/>
    <w:rsid w:val="5EC921A7"/>
    <w:rsid w:val="5ECC63BE"/>
    <w:rsid w:val="5ED1337F"/>
    <w:rsid w:val="5ED35620"/>
    <w:rsid w:val="5EE05CDC"/>
    <w:rsid w:val="5EE4176B"/>
    <w:rsid w:val="5EEF38FF"/>
    <w:rsid w:val="5EF255A8"/>
    <w:rsid w:val="5EFA3673"/>
    <w:rsid w:val="5EFE2AC0"/>
    <w:rsid w:val="5F044C11"/>
    <w:rsid w:val="5F0C4F19"/>
    <w:rsid w:val="5F182567"/>
    <w:rsid w:val="5F1D4215"/>
    <w:rsid w:val="5F3061A5"/>
    <w:rsid w:val="5F391525"/>
    <w:rsid w:val="5F3A27F1"/>
    <w:rsid w:val="5F497FAD"/>
    <w:rsid w:val="5F75109E"/>
    <w:rsid w:val="5F7A3694"/>
    <w:rsid w:val="5F7C4067"/>
    <w:rsid w:val="5F8D4F6E"/>
    <w:rsid w:val="5F900267"/>
    <w:rsid w:val="5F97792E"/>
    <w:rsid w:val="5F993E2F"/>
    <w:rsid w:val="5F9C6526"/>
    <w:rsid w:val="5FA50C64"/>
    <w:rsid w:val="5FAD3AEA"/>
    <w:rsid w:val="5FAF18FA"/>
    <w:rsid w:val="5FB00978"/>
    <w:rsid w:val="5FB16D7D"/>
    <w:rsid w:val="5FB418A3"/>
    <w:rsid w:val="5FB55AA7"/>
    <w:rsid w:val="5FB65991"/>
    <w:rsid w:val="5FBD2D7A"/>
    <w:rsid w:val="5FBF5A45"/>
    <w:rsid w:val="5FC267C6"/>
    <w:rsid w:val="5FCD1D80"/>
    <w:rsid w:val="5FD50BDC"/>
    <w:rsid w:val="5FDA348C"/>
    <w:rsid w:val="5FDF5CF3"/>
    <w:rsid w:val="5FE55BBE"/>
    <w:rsid w:val="5FE61832"/>
    <w:rsid w:val="5FE751EB"/>
    <w:rsid w:val="5FEE7A29"/>
    <w:rsid w:val="5FF57CB0"/>
    <w:rsid w:val="5FFC1A9A"/>
    <w:rsid w:val="600A23F9"/>
    <w:rsid w:val="60147B0F"/>
    <w:rsid w:val="60157BC5"/>
    <w:rsid w:val="601767F2"/>
    <w:rsid w:val="601D4F9E"/>
    <w:rsid w:val="601D76E6"/>
    <w:rsid w:val="602A161A"/>
    <w:rsid w:val="602A619A"/>
    <w:rsid w:val="60312D7B"/>
    <w:rsid w:val="60313CC9"/>
    <w:rsid w:val="603A17DC"/>
    <w:rsid w:val="60430D8F"/>
    <w:rsid w:val="604443B0"/>
    <w:rsid w:val="60513C2D"/>
    <w:rsid w:val="60537357"/>
    <w:rsid w:val="60596882"/>
    <w:rsid w:val="606478AE"/>
    <w:rsid w:val="607656AE"/>
    <w:rsid w:val="60777F4B"/>
    <w:rsid w:val="607A64DA"/>
    <w:rsid w:val="607E12CC"/>
    <w:rsid w:val="60884EB9"/>
    <w:rsid w:val="608B3797"/>
    <w:rsid w:val="60902A86"/>
    <w:rsid w:val="60922FDE"/>
    <w:rsid w:val="609C4C59"/>
    <w:rsid w:val="60A55C79"/>
    <w:rsid w:val="60A73951"/>
    <w:rsid w:val="60B53009"/>
    <w:rsid w:val="60BB633E"/>
    <w:rsid w:val="60BB7F81"/>
    <w:rsid w:val="60CF3392"/>
    <w:rsid w:val="60CF4F43"/>
    <w:rsid w:val="60D1519C"/>
    <w:rsid w:val="60D30B01"/>
    <w:rsid w:val="60DA71BB"/>
    <w:rsid w:val="60DB1C73"/>
    <w:rsid w:val="60EA61FA"/>
    <w:rsid w:val="60EC658F"/>
    <w:rsid w:val="60F179C2"/>
    <w:rsid w:val="60F50A49"/>
    <w:rsid w:val="60F61B9F"/>
    <w:rsid w:val="60F67D23"/>
    <w:rsid w:val="60FA6BA5"/>
    <w:rsid w:val="60FC7F06"/>
    <w:rsid w:val="60FD43BF"/>
    <w:rsid w:val="61004374"/>
    <w:rsid w:val="6102390F"/>
    <w:rsid w:val="610A03BD"/>
    <w:rsid w:val="610B1D55"/>
    <w:rsid w:val="611D4713"/>
    <w:rsid w:val="6123315D"/>
    <w:rsid w:val="61254C4A"/>
    <w:rsid w:val="61263C34"/>
    <w:rsid w:val="612F7616"/>
    <w:rsid w:val="6136171F"/>
    <w:rsid w:val="613F224D"/>
    <w:rsid w:val="61484C0F"/>
    <w:rsid w:val="61640BFD"/>
    <w:rsid w:val="617417BD"/>
    <w:rsid w:val="61844F37"/>
    <w:rsid w:val="61874A08"/>
    <w:rsid w:val="618A57FE"/>
    <w:rsid w:val="61971244"/>
    <w:rsid w:val="619A1C39"/>
    <w:rsid w:val="619C08C2"/>
    <w:rsid w:val="61A52EA9"/>
    <w:rsid w:val="61AA552C"/>
    <w:rsid w:val="61B6603A"/>
    <w:rsid w:val="61C15914"/>
    <w:rsid w:val="61CB1220"/>
    <w:rsid w:val="61D70F48"/>
    <w:rsid w:val="61DF5A12"/>
    <w:rsid w:val="61E46D57"/>
    <w:rsid w:val="61F37242"/>
    <w:rsid w:val="61F52B2A"/>
    <w:rsid w:val="61F649E3"/>
    <w:rsid w:val="61FA6816"/>
    <w:rsid w:val="61FE33FA"/>
    <w:rsid w:val="61FF4C7C"/>
    <w:rsid w:val="620233AE"/>
    <w:rsid w:val="620A2AC5"/>
    <w:rsid w:val="62122B7D"/>
    <w:rsid w:val="62157374"/>
    <w:rsid w:val="621B03CC"/>
    <w:rsid w:val="621D2B4A"/>
    <w:rsid w:val="622639C9"/>
    <w:rsid w:val="622D38FA"/>
    <w:rsid w:val="6238661A"/>
    <w:rsid w:val="62444B97"/>
    <w:rsid w:val="6247143C"/>
    <w:rsid w:val="624721BC"/>
    <w:rsid w:val="624E7206"/>
    <w:rsid w:val="62554F9C"/>
    <w:rsid w:val="6256562A"/>
    <w:rsid w:val="62566F5C"/>
    <w:rsid w:val="625B2FC4"/>
    <w:rsid w:val="62605727"/>
    <w:rsid w:val="62626C1C"/>
    <w:rsid w:val="626F5DF9"/>
    <w:rsid w:val="62796FC5"/>
    <w:rsid w:val="627A4A82"/>
    <w:rsid w:val="627B74AB"/>
    <w:rsid w:val="62862020"/>
    <w:rsid w:val="62864468"/>
    <w:rsid w:val="628818ED"/>
    <w:rsid w:val="629B73AC"/>
    <w:rsid w:val="62A464DE"/>
    <w:rsid w:val="62AA4ADD"/>
    <w:rsid w:val="62AE1283"/>
    <w:rsid w:val="62C01E12"/>
    <w:rsid w:val="62C3700D"/>
    <w:rsid w:val="62CE765A"/>
    <w:rsid w:val="62D53FFF"/>
    <w:rsid w:val="62D62590"/>
    <w:rsid w:val="62E1389C"/>
    <w:rsid w:val="62E319FD"/>
    <w:rsid w:val="62E32076"/>
    <w:rsid w:val="62E661BF"/>
    <w:rsid w:val="62EB776E"/>
    <w:rsid w:val="62F822B8"/>
    <w:rsid w:val="631E7E42"/>
    <w:rsid w:val="63264190"/>
    <w:rsid w:val="6331107E"/>
    <w:rsid w:val="63372290"/>
    <w:rsid w:val="63394B25"/>
    <w:rsid w:val="633A74F8"/>
    <w:rsid w:val="634761CF"/>
    <w:rsid w:val="634E4ACE"/>
    <w:rsid w:val="63503374"/>
    <w:rsid w:val="63530EB3"/>
    <w:rsid w:val="636367F6"/>
    <w:rsid w:val="636522D0"/>
    <w:rsid w:val="636B7B77"/>
    <w:rsid w:val="63705E01"/>
    <w:rsid w:val="637123C4"/>
    <w:rsid w:val="63763294"/>
    <w:rsid w:val="63775A99"/>
    <w:rsid w:val="63827EB5"/>
    <w:rsid w:val="6388305A"/>
    <w:rsid w:val="639C03E7"/>
    <w:rsid w:val="639D7752"/>
    <w:rsid w:val="639F596D"/>
    <w:rsid w:val="63AC41F0"/>
    <w:rsid w:val="63B3794F"/>
    <w:rsid w:val="63B42878"/>
    <w:rsid w:val="63B81B91"/>
    <w:rsid w:val="63C61AA5"/>
    <w:rsid w:val="63CA4565"/>
    <w:rsid w:val="63CF5B4B"/>
    <w:rsid w:val="63D23E09"/>
    <w:rsid w:val="63D8429F"/>
    <w:rsid w:val="63DE3267"/>
    <w:rsid w:val="63DF6211"/>
    <w:rsid w:val="63E201FF"/>
    <w:rsid w:val="63F253AA"/>
    <w:rsid w:val="63F774B7"/>
    <w:rsid w:val="63FB7A69"/>
    <w:rsid w:val="63FE67A4"/>
    <w:rsid w:val="63FF13EF"/>
    <w:rsid w:val="63FF7190"/>
    <w:rsid w:val="64002FB4"/>
    <w:rsid w:val="640B491E"/>
    <w:rsid w:val="641259E3"/>
    <w:rsid w:val="641465AB"/>
    <w:rsid w:val="642373DB"/>
    <w:rsid w:val="642F5478"/>
    <w:rsid w:val="64312767"/>
    <w:rsid w:val="64390546"/>
    <w:rsid w:val="64390F94"/>
    <w:rsid w:val="643B19AE"/>
    <w:rsid w:val="644E6B79"/>
    <w:rsid w:val="645D6ABC"/>
    <w:rsid w:val="6462414A"/>
    <w:rsid w:val="647510EE"/>
    <w:rsid w:val="647F655C"/>
    <w:rsid w:val="64840930"/>
    <w:rsid w:val="64921EE0"/>
    <w:rsid w:val="649336DE"/>
    <w:rsid w:val="64953978"/>
    <w:rsid w:val="649E796C"/>
    <w:rsid w:val="64A32C49"/>
    <w:rsid w:val="64AF31D6"/>
    <w:rsid w:val="64B21EF7"/>
    <w:rsid w:val="64B944F5"/>
    <w:rsid w:val="64C5315D"/>
    <w:rsid w:val="64C56ADD"/>
    <w:rsid w:val="64CD502C"/>
    <w:rsid w:val="64CF7B00"/>
    <w:rsid w:val="64D01BE6"/>
    <w:rsid w:val="64D46D4B"/>
    <w:rsid w:val="64DA065F"/>
    <w:rsid w:val="64E24B62"/>
    <w:rsid w:val="64E77A56"/>
    <w:rsid w:val="64F1206D"/>
    <w:rsid w:val="64F135CA"/>
    <w:rsid w:val="64F362C3"/>
    <w:rsid w:val="65093FA0"/>
    <w:rsid w:val="650D59AF"/>
    <w:rsid w:val="650D7AE1"/>
    <w:rsid w:val="65251BC2"/>
    <w:rsid w:val="652E420B"/>
    <w:rsid w:val="65354B29"/>
    <w:rsid w:val="65464764"/>
    <w:rsid w:val="654B6F57"/>
    <w:rsid w:val="65510D5D"/>
    <w:rsid w:val="6559178C"/>
    <w:rsid w:val="655A49FF"/>
    <w:rsid w:val="655D3287"/>
    <w:rsid w:val="655E50CC"/>
    <w:rsid w:val="65640929"/>
    <w:rsid w:val="65792FD8"/>
    <w:rsid w:val="65812033"/>
    <w:rsid w:val="659264E6"/>
    <w:rsid w:val="65971923"/>
    <w:rsid w:val="65984645"/>
    <w:rsid w:val="659943C1"/>
    <w:rsid w:val="65A57BD4"/>
    <w:rsid w:val="65A920E1"/>
    <w:rsid w:val="65B66E04"/>
    <w:rsid w:val="65B71C6B"/>
    <w:rsid w:val="65B9781F"/>
    <w:rsid w:val="65C51326"/>
    <w:rsid w:val="65CC4882"/>
    <w:rsid w:val="65D57E01"/>
    <w:rsid w:val="65DA35DE"/>
    <w:rsid w:val="65DA5B91"/>
    <w:rsid w:val="65DC7380"/>
    <w:rsid w:val="65DF525A"/>
    <w:rsid w:val="65E064BA"/>
    <w:rsid w:val="65EB0D8F"/>
    <w:rsid w:val="65EB77B3"/>
    <w:rsid w:val="65F42AF2"/>
    <w:rsid w:val="65F6604D"/>
    <w:rsid w:val="65F964E7"/>
    <w:rsid w:val="65FB66B6"/>
    <w:rsid w:val="65FE4D88"/>
    <w:rsid w:val="66007F27"/>
    <w:rsid w:val="661374A0"/>
    <w:rsid w:val="662238A4"/>
    <w:rsid w:val="66223A26"/>
    <w:rsid w:val="66265EE1"/>
    <w:rsid w:val="662B6476"/>
    <w:rsid w:val="66331AEC"/>
    <w:rsid w:val="66362435"/>
    <w:rsid w:val="66382EC7"/>
    <w:rsid w:val="663F1085"/>
    <w:rsid w:val="664752E4"/>
    <w:rsid w:val="664F24CC"/>
    <w:rsid w:val="66514E5D"/>
    <w:rsid w:val="66540400"/>
    <w:rsid w:val="66560D21"/>
    <w:rsid w:val="665C7523"/>
    <w:rsid w:val="665F6FA0"/>
    <w:rsid w:val="666040F8"/>
    <w:rsid w:val="66666CE6"/>
    <w:rsid w:val="667017DC"/>
    <w:rsid w:val="66745BD9"/>
    <w:rsid w:val="667C5CB2"/>
    <w:rsid w:val="667F061F"/>
    <w:rsid w:val="66814D52"/>
    <w:rsid w:val="668B16F9"/>
    <w:rsid w:val="668F4BCC"/>
    <w:rsid w:val="66A303BA"/>
    <w:rsid w:val="66A46C6D"/>
    <w:rsid w:val="66A678C7"/>
    <w:rsid w:val="66B86B37"/>
    <w:rsid w:val="66C50DC3"/>
    <w:rsid w:val="66C76EAF"/>
    <w:rsid w:val="66CB4281"/>
    <w:rsid w:val="66D0264F"/>
    <w:rsid w:val="66D86216"/>
    <w:rsid w:val="66D947DA"/>
    <w:rsid w:val="66DE5D57"/>
    <w:rsid w:val="66E31DE0"/>
    <w:rsid w:val="66FE217B"/>
    <w:rsid w:val="67017F95"/>
    <w:rsid w:val="670435BC"/>
    <w:rsid w:val="670E33AA"/>
    <w:rsid w:val="67172E9E"/>
    <w:rsid w:val="671C051D"/>
    <w:rsid w:val="672062A2"/>
    <w:rsid w:val="672162C1"/>
    <w:rsid w:val="67272774"/>
    <w:rsid w:val="673D69A5"/>
    <w:rsid w:val="67403A9D"/>
    <w:rsid w:val="674925EE"/>
    <w:rsid w:val="674D3148"/>
    <w:rsid w:val="67541724"/>
    <w:rsid w:val="67597747"/>
    <w:rsid w:val="675C7210"/>
    <w:rsid w:val="675D7639"/>
    <w:rsid w:val="675F64FD"/>
    <w:rsid w:val="67696CA9"/>
    <w:rsid w:val="67705E13"/>
    <w:rsid w:val="67770FBA"/>
    <w:rsid w:val="677B0314"/>
    <w:rsid w:val="67845246"/>
    <w:rsid w:val="678650ED"/>
    <w:rsid w:val="67871107"/>
    <w:rsid w:val="67873A76"/>
    <w:rsid w:val="678C7530"/>
    <w:rsid w:val="678C75D6"/>
    <w:rsid w:val="67925BB3"/>
    <w:rsid w:val="67947BE6"/>
    <w:rsid w:val="67A16D3E"/>
    <w:rsid w:val="67AC19E7"/>
    <w:rsid w:val="67AE53FA"/>
    <w:rsid w:val="67B34A57"/>
    <w:rsid w:val="67BC2520"/>
    <w:rsid w:val="67BF2D39"/>
    <w:rsid w:val="67C66474"/>
    <w:rsid w:val="67CB32B7"/>
    <w:rsid w:val="67E87ACB"/>
    <w:rsid w:val="67EE2F7F"/>
    <w:rsid w:val="67F3681D"/>
    <w:rsid w:val="67F64D7B"/>
    <w:rsid w:val="67FB0E31"/>
    <w:rsid w:val="67FC0B42"/>
    <w:rsid w:val="67FF7C70"/>
    <w:rsid w:val="68091278"/>
    <w:rsid w:val="681516E3"/>
    <w:rsid w:val="6816694D"/>
    <w:rsid w:val="681B5481"/>
    <w:rsid w:val="681C4628"/>
    <w:rsid w:val="681D0B01"/>
    <w:rsid w:val="68280F25"/>
    <w:rsid w:val="68297D70"/>
    <w:rsid w:val="683E19F5"/>
    <w:rsid w:val="68451EFB"/>
    <w:rsid w:val="684A3EDE"/>
    <w:rsid w:val="685145B7"/>
    <w:rsid w:val="685900A8"/>
    <w:rsid w:val="685A4792"/>
    <w:rsid w:val="68675A2B"/>
    <w:rsid w:val="68676C99"/>
    <w:rsid w:val="686D5AAB"/>
    <w:rsid w:val="686E7C18"/>
    <w:rsid w:val="686F1CF6"/>
    <w:rsid w:val="6871070A"/>
    <w:rsid w:val="687115DC"/>
    <w:rsid w:val="68730C4A"/>
    <w:rsid w:val="687C02D2"/>
    <w:rsid w:val="68906E9A"/>
    <w:rsid w:val="68936EA6"/>
    <w:rsid w:val="689A7E1A"/>
    <w:rsid w:val="689A7FBF"/>
    <w:rsid w:val="68A25576"/>
    <w:rsid w:val="68A37A4F"/>
    <w:rsid w:val="68A51AEC"/>
    <w:rsid w:val="68A742ED"/>
    <w:rsid w:val="68AA2317"/>
    <w:rsid w:val="68BD1276"/>
    <w:rsid w:val="68C9429B"/>
    <w:rsid w:val="68CA6CF5"/>
    <w:rsid w:val="68CF6E50"/>
    <w:rsid w:val="68D31C2B"/>
    <w:rsid w:val="68D468E2"/>
    <w:rsid w:val="68E52DE0"/>
    <w:rsid w:val="68EE0AE2"/>
    <w:rsid w:val="68EE4FFF"/>
    <w:rsid w:val="68F0087B"/>
    <w:rsid w:val="68F175E3"/>
    <w:rsid w:val="68FD28B6"/>
    <w:rsid w:val="69004988"/>
    <w:rsid w:val="690B032C"/>
    <w:rsid w:val="691D4FDD"/>
    <w:rsid w:val="69216906"/>
    <w:rsid w:val="69281281"/>
    <w:rsid w:val="692B0AF1"/>
    <w:rsid w:val="69355460"/>
    <w:rsid w:val="69406367"/>
    <w:rsid w:val="695505FB"/>
    <w:rsid w:val="69564490"/>
    <w:rsid w:val="6956463D"/>
    <w:rsid w:val="69592BD8"/>
    <w:rsid w:val="696F237A"/>
    <w:rsid w:val="697676AB"/>
    <w:rsid w:val="69787545"/>
    <w:rsid w:val="69841DF5"/>
    <w:rsid w:val="69904FC0"/>
    <w:rsid w:val="699C144B"/>
    <w:rsid w:val="699C6C9F"/>
    <w:rsid w:val="699F351D"/>
    <w:rsid w:val="69B44997"/>
    <w:rsid w:val="69BD6D3C"/>
    <w:rsid w:val="69C277E9"/>
    <w:rsid w:val="69C8369D"/>
    <w:rsid w:val="69DF6D01"/>
    <w:rsid w:val="69E00A91"/>
    <w:rsid w:val="69E319DF"/>
    <w:rsid w:val="69E45F17"/>
    <w:rsid w:val="69E84274"/>
    <w:rsid w:val="69F24236"/>
    <w:rsid w:val="69F616D6"/>
    <w:rsid w:val="69F74F22"/>
    <w:rsid w:val="6A0E2F31"/>
    <w:rsid w:val="6A1011E7"/>
    <w:rsid w:val="6A161E4A"/>
    <w:rsid w:val="6A1975F8"/>
    <w:rsid w:val="6A1A702A"/>
    <w:rsid w:val="6A1D062B"/>
    <w:rsid w:val="6A207D45"/>
    <w:rsid w:val="6A2269AF"/>
    <w:rsid w:val="6A2C4EB5"/>
    <w:rsid w:val="6A2F11B5"/>
    <w:rsid w:val="6A3168B5"/>
    <w:rsid w:val="6A3469EF"/>
    <w:rsid w:val="6A3F454C"/>
    <w:rsid w:val="6A3F68F3"/>
    <w:rsid w:val="6A412B25"/>
    <w:rsid w:val="6A460625"/>
    <w:rsid w:val="6A46361D"/>
    <w:rsid w:val="6A4F2F78"/>
    <w:rsid w:val="6A5070C8"/>
    <w:rsid w:val="6A5938C8"/>
    <w:rsid w:val="6A5B4F4E"/>
    <w:rsid w:val="6A6006DF"/>
    <w:rsid w:val="6A626AB3"/>
    <w:rsid w:val="6A651249"/>
    <w:rsid w:val="6A6A3D28"/>
    <w:rsid w:val="6A6F4751"/>
    <w:rsid w:val="6A7D13B5"/>
    <w:rsid w:val="6A7E784C"/>
    <w:rsid w:val="6A841BD5"/>
    <w:rsid w:val="6A8D5266"/>
    <w:rsid w:val="6A933E3C"/>
    <w:rsid w:val="6A943738"/>
    <w:rsid w:val="6A991E86"/>
    <w:rsid w:val="6A99728C"/>
    <w:rsid w:val="6AA71BFF"/>
    <w:rsid w:val="6AA74886"/>
    <w:rsid w:val="6AA831AF"/>
    <w:rsid w:val="6AA86636"/>
    <w:rsid w:val="6AA869A2"/>
    <w:rsid w:val="6AAC6016"/>
    <w:rsid w:val="6AAF202A"/>
    <w:rsid w:val="6AAF24F9"/>
    <w:rsid w:val="6AC646B6"/>
    <w:rsid w:val="6ACB4713"/>
    <w:rsid w:val="6AD11B09"/>
    <w:rsid w:val="6AE0129D"/>
    <w:rsid w:val="6AEA3C83"/>
    <w:rsid w:val="6AF3063E"/>
    <w:rsid w:val="6B04426E"/>
    <w:rsid w:val="6B04596C"/>
    <w:rsid w:val="6B064084"/>
    <w:rsid w:val="6B093F9E"/>
    <w:rsid w:val="6B0A18F9"/>
    <w:rsid w:val="6B0A6AC7"/>
    <w:rsid w:val="6B0E4935"/>
    <w:rsid w:val="6B0F5DCE"/>
    <w:rsid w:val="6B141EA4"/>
    <w:rsid w:val="6B1B5180"/>
    <w:rsid w:val="6B202BE8"/>
    <w:rsid w:val="6B377480"/>
    <w:rsid w:val="6B3875FD"/>
    <w:rsid w:val="6B3D236A"/>
    <w:rsid w:val="6B3D58CD"/>
    <w:rsid w:val="6B4B3F8A"/>
    <w:rsid w:val="6B501191"/>
    <w:rsid w:val="6B574A9F"/>
    <w:rsid w:val="6B5A22FA"/>
    <w:rsid w:val="6B6031D2"/>
    <w:rsid w:val="6B710AFA"/>
    <w:rsid w:val="6B762CC0"/>
    <w:rsid w:val="6B8046B7"/>
    <w:rsid w:val="6B824366"/>
    <w:rsid w:val="6B84540C"/>
    <w:rsid w:val="6B883A2A"/>
    <w:rsid w:val="6B8A6784"/>
    <w:rsid w:val="6B965409"/>
    <w:rsid w:val="6BA76C48"/>
    <w:rsid w:val="6BA84938"/>
    <w:rsid w:val="6BA852ED"/>
    <w:rsid w:val="6BB0210D"/>
    <w:rsid w:val="6BB93380"/>
    <w:rsid w:val="6BBC11E2"/>
    <w:rsid w:val="6BBD18FB"/>
    <w:rsid w:val="6BBF0ED5"/>
    <w:rsid w:val="6BC5783D"/>
    <w:rsid w:val="6BC91B11"/>
    <w:rsid w:val="6BCC61E5"/>
    <w:rsid w:val="6BD16686"/>
    <w:rsid w:val="6BDB1118"/>
    <w:rsid w:val="6BE40C26"/>
    <w:rsid w:val="6BE44BFB"/>
    <w:rsid w:val="6BF06994"/>
    <w:rsid w:val="6BF44B49"/>
    <w:rsid w:val="6BF65189"/>
    <w:rsid w:val="6BFE2B33"/>
    <w:rsid w:val="6C027DAF"/>
    <w:rsid w:val="6C067803"/>
    <w:rsid w:val="6C080E98"/>
    <w:rsid w:val="6C0A0CE6"/>
    <w:rsid w:val="6C141E23"/>
    <w:rsid w:val="6C201888"/>
    <w:rsid w:val="6C2213CC"/>
    <w:rsid w:val="6C225C60"/>
    <w:rsid w:val="6C2878F8"/>
    <w:rsid w:val="6C3F1FCF"/>
    <w:rsid w:val="6C415154"/>
    <w:rsid w:val="6C45780A"/>
    <w:rsid w:val="6C4909E0"/>
    <w:rsid w:val="6C4961D8"/>
    <w:rsid w:val="6C4D0C93"/>
    <w:rsid w:val="6C4E2900"/>
    <w:rsid w:val="6C51479E"/>
    <w:rsid w:val="6C564528"/>
    <w:rsid w:val="6C592551"/>
    <w:rsid w:val="6C6440D1"/>
    <w:rsid w:val="6C6677B9"/>
    <w:rsid w:val="6C702411"/>
    <w:rsid w:val="6C7A6553"/>
    <w:rsid w:val="6C863D15"/>
    <w:rsid w:val="6C894147"/>
    <w:rsid w:val="6C8F2770"/>
    <w:rsid w:val="6C8F396D"/>
    <w:rsid w:val="6C933DF1"/>
    <w:rsid w:val="6C937955"/>
    <w:rsid w:val="6C9736F1"/>
    <w:rsid w:val="6CA079C3"/>
    <w:rsid w:val="6CA918BA"/>
    <w:rsid w:val="6CAF646E"/>
    <w:rsid w:val="6CBF7D83"/>
    <w:rsid w:val="6CC04222"/>
    <w:rsid w:val="6CC30618"/>
    <w:rsid w:val="6CC421DF"/>
    <w:rsid w:val="6CC52FAB"/>
    <w:rsid w:val="6CC53523"/>
    <w:rsid w:val="6CC831E8"/>
    <w:rsid w:val="6CD57A5D"/>
    <w:rsid w:val="6CDC362B"/>
    <w:rsid w:val="6CE56C3C"/>
    <w:rsid w:val="6CE61DDC"/>
    <w:rsid w:val="6CE711D1"/>
    <w:rsid w:val="6CF163C2"/>
    <w:rsid w:val="6CF3451B"/>
    <w:rsid w:val="6CF555B0"/>
    <w:rsid w:val="6CFD40DA"/>
    <w:rsid w:val="6D023972"/>
    <w:rsid w:val="6D064B23"/>
    <w:rsid w:val="6D0B4BA4"/>
    <w:rsid w:val="6D127C0D"/>
    <w:rsid w:val="6D151CC7"/>
    <w:rsid w:val="6D171E64"/>
    <w:rsid w:val="6D1E3E67"/>
    <w:rsid w:val="6D2D5F6A"/>
    <w:rsid w:val="6D2E56F5"/>
    <w:rsid w:val="6D34557B"/>
    <w:rsid w:val="6D456E39"/>
    <w:rsid w:val="6D4E25B3"/>
    <w:rsid w:val="6D531F00"/>
    <w:rsid w:val="6D5347AA"/>
    <w:rsid w:val="6D575167"/>
    <w:rsid w:val="6D580EDE"/>
    <w:rsid w:val="6D5A3A66"/>
    <w:rsid w:val="6D5F34A8"/>
    <w:rsid w:val="6D6717D1"/>
    <w:rsid w:val="6D6718D6"/>
    <w:rsid w:val="6D694271"/>
    <w:rsid w:val="6D783C3D"/>
    <w:rsid w:val="6D8013CD"/>
    <w:rsid w:val="6D810EED"/>
    <w:rsid w:val="6D83104B"/>
    <w:rsid w:val="6D8B79CB"/>
    <w:rsid w:val="6D8C4F88"/>
    <w:rsid w:val="6D8D58AC"/>
    <w:rsid w:val="6D8D7CDD"/>
    <w:rsid w:val="6D935989"/>
    <w:rsid w:val="6D9511A4"/>
    <w:rsid w:val="6D9B53CF"/>
    <w:rsid w:val="6D9F1D42"/>
    <w:rsid w:val="6DB374DF"/>
    <w:rsid w:val="6DB67DAC"/>
    <w:rsid w:val="6DC76061"/>
    <w:rsid w:val="6DCA33BA"/>
    <w:rsid w:val="6DDB314F"/>
    <w:rsid w:val="6DDD2DDA"/>
    <w:rsid w:val="6DEB3A0D"/>
    <w:rsid w:val="6DF05061"/>
    <w:rsid w:val="6DFB4E16"/>
    <w:rsid w:val="6E041B89"/>
    <w:rsid w:val="6E0805C3"/>
    <w:rsid w:val="6E153CAD"/>
    <w:rsid w:val="6E2C1522"/>
    <w:rsid w:val="6E2D011E"/>
    <w:rsid w:val="6E3D1064"/>
    <w:rsid w:val="6E450A66"/>
    <w:rsid w:val="6E4A51A6"/>
    <w:rsid w:val="6E4F22DD"/>
    <w:rsid w:val="6E4F6F6B"/>
    <w:rsid w:val="6E5136FB"/>
    <w:rsid w:val="6E590FD0"/>
    <w:rsid w:val="6E5A1B37"/>
    <w:rsid w:val="6E5B0D7C"/>
    <w:rsid w:val="6E5B5AF5"/>
    <w:rsid w:val="6E5D5F9E"/>
    <w:rsid w:val="6E5E128A"/>
    <w:rsid w:val="6E6209D6"/>
    <w:rsid w:val="6E654A29"/>
    <w:rsid w:val="6E6A36DE"/>
    <w:rsid w:val="6E773F5F"/>
    <w:rsid w:val="6E781D7D"/>
    <w:rsid w:val="6E7B0E75"/>
    <w:rsid w:val="6E825966"/>
    <w:rsid w:val="6E831CF1"/>
    <w:rsid w:val="6E891F3E"/>
    <w:rsid w:val="6E8B77F9"/>
    <w:rsid w:val="6E8D44D0"/>
    <w:rsid w:val="6E8E59C8"/>
    <w:rsid w:val="6E9C4AAF"/>
    <w:rsid w:val="6E9D1075"/>
    <w:rsid w:val="6EA10E7C"/>
    <w:rsid w:val="6EA2729E"/>
    <w:rsid w:val="6EA27DB2"/>
    <w:rsid w:val="6EA941D3"/>
    <w:rsid w:val="6EAC2091"/>
    <w:rsid w:val="6EB41993"/>
    <w:rsid w:val="6EC6084B"/>
    <w:rsid w:val="6EC620FB"/>
    <w:rsid w:val="6ECB6676"/>
    <w:rsid w:val="6ECC7A27"/>
    <w:rsid w:val="6ED23659"/>
    <w:rsid w:val="6ED42267"/>
    <w:rsid w:val="6EDA46C8"/>
    <w:rsid w:val="6EE175F6"/>
    <w:rsid w:val="6EE7256D"/>
    <w:rsid w:val="6EEA4AA3"/>
    <w:rsid w:val="6EFF6BB4"/>
    <w:rsid w:val="6F005670"/>
    <w:rsid w:val="6F1956C5"/>
    <w:rsid w:val="6F1E1834"/>
    <w:rsid w:val="6F2025A2"/>
    <w:rsid w:val="6F207A32"/>
    <w:rsid w:val="6F213ACC"/>
    <w:rsid w:val="6F2474E3"/>
    <w:rsid w:val="6F2A2D4B"/>
    <w:rsid w:val="6F311D71"/>
    <w:rsid w:val="6F342E0D"/>
    <w:rsid w:val="6F370C5A"/>
    <w:rsid w:val="6F4218C4"/>
    <w:rsid w:val="6F4F4C55"/>
    <w:rsid w:val="6F573185"/>
    <w:rsid w:val="6F5F65E6"/>
    <w:rsid w:val="6F636632"/>
    <w:rsid w:val="6F647352"/>
    <w:rsid w:val="6F6B2930"/>
    <w:rsid w:val="6F6E72BF"/>
    <w:rsid w:val="6F721A1D"/>
    <w:rsid w:val="6F7A5B09"/>
    <w:rsid w:val="6F8751AE"/>
    <w:rsid w:val="6F8A7E17"/>
    <w:rsid w:val="6F990006"/>
    <w:rsid w:val="6F9E5B7A"/>
    <w:rsid w:val="6FA456F1"/>
    <w:rsid w:val="6FA57D10"/>
    <w:rsid w:val="6FB315DD"/>
    <w:rsid w:val="6FB31D2A"/>
    <w:rsid w:val="6FBA7B7B"/>
    <w:rsid w:val="6FBB52CE"/>
    <w:rsid w:val="6FC10258"/>
    <w:rsid w:val="6FC43948"/>
    <w:rsid w:val="6FCA0CA1"/>
    <w:rsid w:val="6FCA17FB"/>
    <w:rsid w:val="6FCA558F"/>
    <w:rsid w:val="6FD15974"/>
    <w:rsid w:val="6FD74CAA"/>
    <w:rsid w:val="6FDE579B"/>
    <w:rsid w:val="6FE10119"/>
    <w:rsid w:val="6FE82DDD"/>
    <w:rsid w:val="6FE94659"/>
    <w:rsid w:val="6FEE0771"/>
    <w:rsid w:val="6FF3299C"/>
    <w:rsid w:val="6FF344EC"/>
    <w:rsid w:val="6FF6672A"/>
    <w:rsid w:val="6FFE4EBC"/>
    <w:rsid w:val="700621B2"/>
    <w:rsid w:val="70067337"/>
    <w:rsid w:val="700C4AC7"/>
    <w:rsid w:val="70122A52"/>
    <w:rsid w:val="70140382"/>
    <w:rsid w:val="70152A9A"/>
    <w:rsid w:val="70154822"/>
    <w:rsid w:val="701B4314"/>
    <w:rsid w:val="701F1568"/>
    <w:rsid w:val="70224660"/>
    <w:rsid w:val="702978D9"/>
    <w:rsid w:val="702D1A02"/>
    <w:rsid w:val="70343755"/>
    <w:rsid w:val="703B1BFA"/>
    <w:rsid w:val="704961CB"/>
    <w:rsid w:val="704D17A4"/>
    <w:rsid w:val="704E624B"/>
    <w:rsid w:val="70510654"/>
    <w:rsid w:val="705108E7"/>
    <w:rsid w:val="70593D07"/>
    <w:rsid w:val="705B4D51"/>
    <w:rsid w:val="706169BF"/>
    <w:rsid w:val="70696D35"/>
    <w:rsid w:val="706F6FB6"/>
    <w:rsid w:val="70723F41"/>
    <w:rsid w:val="70746A69"/>
    <w:rsid w:val="707E42B2"/>
    <w:rsid w:val="708A3272"/>
    <w:rsid w:val="708F23E0"/>
    <w:rsid w:val="70973E3F"/>
    <w:rsid w:val="709E20B7"/>
    <w:rsid w:val="70A561FC"/>
    <w:rsid w:val="70B0586D"/>
    <w:rsid w:val="70B42C80"/>
    <w:rsid w:val="70B61689"/>
    <w:rsid w:val="70B667EF"/>
    <w:rsid w:val="70BB200E"/>
    <w:rsid w:val="70BF6BE9"/>
    <w:rsid w:val="70C2558C"/>
    <w:rsid w:val="70C34D81"/>
    <w:rsid w:val="70C56EDC"/>
    <w:rsid w:val="70E44655"/>
    <w:rsid w:val="70EA3271"/>
    <w:rsid w:val="70EA5177"/>
    <w:rsid w:val="70EA53DD"/>
    <w:rsid w:val="70ED6A0E"/>
    <w:rsid w:val="70ED6EE1"/>
    <w:rsid w:val="70F26D36"/>
    <w:rsid w:val="70F44AB2"/>
    <w:rsid w:val="71002FFA"/>
    <w:rsid w:val="71045367"/>
    <w:rsid w:val="710464C7"/>
    <w:rsid w:val="710C79B5"/>
    <w:rsid w:val="710E0D94"/>
    <w:rsid w:val="710E7D3D"/>
    <w:rsid w:val="711C3BD6"/>
    <w:rsid w:val="711D3A76"/>
    <w:rsid w:val="71267738"/>
    <w:rsid w:val="7127284A"/>
    <w:rsid w:val="712C30A4"/>
    <w:rsid w:val="712E2DAE"/>
    <w:rsid w:val="713A5172"/>
    <w:rsid w:val="713E0C60"/>
    <w:rsid w:val="713F68C9"/>
    <w:rsid w:val="71471BBB"/>
    <w:rsid w:val="714A4E3B"/>
    <w:rsid w:val="714D0D2E"/>
    <w:rsid w:val="71544EF5"/>
    <w:rsid w:val="71575A63"/>
    <w:rsid w:val="71672F6D"/>
    <w:rsid w:val="717C1858"/>
    <w:rsid w:val="71851496"/>
    <w:rsid w:val="71881B56"/>
    <w:rsid w:val="719018FB"/>
    <w:rsid w:val="71922240"/>
    <w:rsid w:val="719466DA"/>
    <w:rsid w:val="719853C5"/>
    <w:rsid w:val="719873B6"/>
    <w:rsid w:val="719E1F73"/>
    <w:rsid w:val="719E5E73"/>
    <w:rsid w:val="71A34739"/>
    <w:rsid w:val="71A81B2B"/>
    <w:rsid w:val="71A94A2A"/>
    <w:rsid w:val="71CF2FF9"/>
    <w:rsid w:val="71D30C04"/>
    <w:rsid w:val="71D45CA0"/>
    <w:rsid w:val="71F10427"/>
    <w:rsid w:val="71F24A43"/>
    <w:rsid w:val="71F34E40"/>
    <w:rsid w:val="71F72600"/>
    <w:rsid w:val="72080C09"/>
    <w:rsid w:val="72132004"/>
    <w:rsid w:val="72146C9C"/>
    <w:rsid w:val="721714AB"/>
    <w:rsid w:val="722332F3"/>
    <w:rsid w:val="722943C8"/>
    <w:rsid w:val="72347A3D"/>
    <w:rsid w:val="72385BE1"/>
    <w:rsid w:val="724B6551"/>
    <w:rsid w:val="724B6EAE"/>
    <w:rsid w:val="724E0FB5"/>
    <w:rsid w:val="724F157F"/>
    <w:rsid w:val="72580B01"/>
    <w:rsid w:val="72624E1F"/>
    <w:rsid w:val="726A2BE1"/>
    <w:rsid w:val="726F09BF"/>
    <w:rsid w:val="7275252F"/>
    <w:rsid w:val="727D0311"/>
    <w:rsid w:val="7282073F"/>
    <w:rsid w:val="72833999"/>
    <w:rsid w:val="7287629D"/>
    <w:rsid w:val="72906405"/>
    <w:rsid w:val="729B7E5F"/>
    <w:rsid w:val="729C2E11"/>
    <w:rsid w:val="72A032FE"/>
    <w:rsid w:val="72A037B9"/>
    <w:rsid w:val="72A83C28"/>
    <w:rsid w:val="72AB4D76"/>
    <w:rsid w:val="72AB53A5"/>
    <w:rsid w:val="72AE28BF"/>
    <w:rsid w:val="72B86224"/>
    <w:rsid w:val="72C07BB3"/>
    <w:rsid w:val="72D03618"/>
    <w:rsid w:val="72E04021"/>
    <w:rsid w:val="72E12494"/>
    <w:rsid w:val="72E56C0B"/>
    <w:rsid w:val="72E77059"/>
    <w:rsid w:val="72EA532F"/>
    <w:rsid w:val="72EE3F0A"/>
    <w:rsid w:val="72F5135C"/>
    <w:rsid w:val="72F57B87"/>
    <w:rsid w:val="72F66F24"/>
    <w:rsid w:val="73027BE5"/>
    <w:rsid w:val="7305367D"/>
    <w:rsid w:val="73092A4F"/>
    <w:rsid w:val="73092B2D"/>
    <w:rsid w:val="732B7F0D"/>
    <w:rsid w:val="73333595"/>
    <w:rsid w:val="73406B38"/>
    <w:rsid w:val="7342612F"/>
    <w:rsid w:val="73432899"/>
    <w:rsid w:val="73450F08"/>
    <w:rsid w:val="73563A14"/>
    <w:rsid w:val="735A7802"/>
    <w:rsid w:val="736109B8"/>
    <w:rsid w:val="7361387E"/>
    <w:rsid w:val="73685F85"/>
    <w:rsid w:val="736B0067"/>
    <w:rsid w:val="7370719A"/>
    <w:rsid w:val="73765B39"/>
    <w:rsid w:val="7381303B"/>
    <w:rsid w:val="738A42F1"/>
    <w:rsid w:val="738E3AD7"/>
    <w:rsid w:val="739160E8"/>
    <w:rsid w:val="73923409"/>
    <w:rsid w:val="7392420E"/>
    <w:rsid w:val="739B168F"/>
    <w:rsid w:val="739B5225"/>
    <w:rsid w:val="739D3B88"/>
    <w:rsid w:val="73A16CFB"/>
    <w:rsid w:val="73A255C1"/>
    <w:rsid w:val="73A41A43"/>
    <w:rsid w:val="73A63A13"/>
    <w:rsid w:val="73AC4D6A"/>
    <w:rsid w:val="73B334AF"/>
    <w:rsid w:val="73B6082C"/>
    <w:rsid w:val="73B86482"/>
    <w:rsid w:val="73B86888"/>
    <w:rsid w:val="73BB69CA"/>
    <w:rsid w:val="73C72919"/>
    <w:rsid w:val="73C803D5"/>
    <w:rsid w:val="73D80A5D"/>
    <w:rsid w:val="73D82E38"/>
    <w:rsid w:val="73DD6FA2"/>
    <w:rsid w:val="73E075FD"/>
    <w:rsid w:val="73E57241"/>
    <w:rsid w:val="73E65DE6"/>
    <w:rsid w:val="73E90332"/>
    <w:rsid w:val="73F314E3"/>
    <w:rsid w:val="74000191"/>
    <w:rsid w:val="74002953"/>
    <w:rsid w:val="740360F6"/>
    <w:rsid w:val="7406416F"/>
    <w:rsid w:val="74100036"/>
    <w:rsid w:val="74152E80"/>
    <w:rsid w:val="7419117C"/>
    <w:rsid w:val="74233085"/>
    <w:rsid w:val="742F777F"/>
    <w:rsid w:val="743007E8"/>
    <w:rsid w:val="74340423"/>
    <w:rsid w:val="744523D5"/>
    <w:rsid w:val="744C627E"/>
    <w:rsid w:val="745042EC"/>
    <w:rsid w:val="745132C7"/>
    <w:rsid w:val="74564FD7"/>
    <w:rsid w:val="74577DD0"/>
    <w:rsid w:val="74583784"/>
    <w:rsid w:val="745C4488"/>
    <w:rsid w:val="745E1E22"/>
    <w:rsid w:val="745E310E"/>
    <w:rsid w:val="746D5F5D"/>
    <w:rsid w:val="746F2FAE"/>
    <w:rsid w:val="747113B7"/>
    <w:rsid w:val="74780D5A"/>
    <w:rsid w:val="748B22B6"/>
    <w:rsid w:val="74A36E05"/>
    <w:rsid w:val="74AE63D8"/>
    <w:rsid w:val="74AF13CC"/>
    <w:rsid w:val="74B418DA"/>
    <w:rsid w:val="74B51313"/>
    <w:rsid w:val="74B84FD9"/>
    <w:rsid w:val="74B91EC3"/>
    <w:rsid w:val="74BB0B97"/>
    <w:rsid w:val="74BB0C08"/>
    <w:rsid w:val="74BD3BC5"/>
    <w:rsid w:val="74D25126"/>
    <w:rsid w:val="74D51D89"/>
    <w:rsid w:val="74D86D7D"/>
    <w:rsid w:val="74E37335"/>
    <w:rsid w:val="74E91888"/>
    <w:rsid w:val="74EA0887"/>
    <w:rsid w:val="74EB2FFE"/>
    <w:rsid w:val="74ED696F"/>
    <w:rsid w:val="74F33B9F"/>
    <w:rsid w:val="74F50029"/>
    <w:rsid w:val="74F676B3"/>
    <w:rsid w:val="75010D37"/>
    <w:rsid w:val="75053818"/>
    <w:rsid w:val="751025EE"/>
    <w:rsid w:val="7514475E"/>
    <w:rsid w:val="75193067"/>
    <w:rsid w:val="7520013D"/>
    <w:rsid w:val="75263FB5"/>
    <w:rsid w:val="752D085A"/>
    <w:rsid w:val="752D5510"/>
    <w:rsid w:val="754674E3"/>
    <w:rsid w:val="75485924"/>
    <w:rsid w:val="7549076F"/>
    <w:rsid w:val="75513D0C"/>
    <w:rsid w:val="755F0E42"/>
    <w:rsid w:val="75644E7A"/>
    <w:rsid w:val="75664870"/>
    <w:rsid w:val="75685E27"/>
    <w:rsid w:val="756C354C"/>
    <w:rsid w:val="756F75B5"/>
    <w:rsid w:val="75722D56"/>
    <w:rsid w:val="7574616C"/>
    <w:rsid w:val="75825CF1"/>
    <w:rsid w:val="75915B7A"/>
    <w:rsid w:val="759167FC"/>
    <w:rsid w:val="759430D6"/>
    <w:rsid w:val="75955D0A"/>
    <w:rsid w:val="759664FE"/>
    <w:rsid w:val="75970A0E"/>
    <w:rsid w:val="75984F37"/>
    <w:rsid w:val="75AE38BE"/>
    <w:rsid w:val="75B36542"/>
    <w:rsid w:val="75B57E24"/>
    <w:rsid w:val="75BA79F6"/>
    <w:rsid w:val="75C43331"/>
    <w:rsid w:val="75C91039"/>
    <w:rsid w:val="75CF553F"/>
    <w:rsid w:val="75E45F38"/>
    <w:rsid w:val="75EB6AAF"/>
    <w:rsid w:val="75EC7E9C"/>
    <w:rsid w:val="75F63580"/>
    <w:rsid w:val="75F7293A"/>
    <w:rsid w:val="75FB1725"/>
    <w:rsid w:val="75FE6FB3"/>
    <w:rsid w:val="76085578"/>
    <w:rsid w:val="760C61B1"/>
    <w:rsid w:val="761C0E19"/>
    <w:rsid w:val="76201226"/>
    <w:rsid w:val="76236070"/>
    <w:rsid w:val="762A1217"/>
    <w:rsid w:val="762C6017"/>
    <w:rsid w:val="763040B0"/>
    <w:rsid w:val="763846F5"/>
    <w:rsid w:val="76385CDB"/>
    <w:rsid w:val="763B1BDB"/>
    <w:rsid w:val="76490095"/>
    <w:rsid w:val="76520BEB"/>
    <w:rsid w:val="76563BF7"/>
    <w:rsid w:val="765775DC"/>
    <w:rsid w:val="765F070B"/>
    <w:rsid w:val="76657574"/>
    <w:rsid w:val="76663BC7"/>
    <w:rsid w:val="767A7900"/>
    <w:rsid w:val="76805E30"/>
    <w:rsid w:val="768A1200"/>
    <w:rsid w:val="7692076A"/>
    <w:rsid w:val="769C05DC"/>
    <w:rsid w:val="769F72CE"/>
    <w:rsid w:val="76A319F7"/>
    <w:rsid w:val="76A5253D"/>
    <w:rsid w:val="76A52E1C"/>
    <w:rsid w:val="76A6331F"/>
    <w:rsid w:val="76A95E5C"/>
    <w:rsid w:val="76B2657C"/>
    <w:rsid w:val="76B37E55"/>
    <w:rsid w:val="76C832F2"/>
    <w:rsid w:val="76CD1C75"/>
    <w:rsid w:val="76D401CA"/>
    <w:rsid w:val="76E35DC4"/>
    <w:rsid w:val="76E73652"/>
    <w:rsid w:val="76F10026"/>
    <w:rsid w:val="76F73D82"/>
    <w:rsid w:val="76F9035F"/>
    <w:rsid w:val="76F9356A"/>
    <w:rsid w:val="76FA7664"/>
    <w:rsid w:val="77024EE0"/>
    <w:rsid w:val="77046296"/>
    <w:rsid w:val="770756BD"/>
    <w:rsid w:val="770C453C"/>
    <w:rsid w:val="77111E60"/>
    <w:rsid w:val="77144FD9"/>
    <w:rsid w:val="771B7994"/>
    <w:rsid w:val="771F2A69"/>
    <w:rsid w:val="772811ED"/>
    <w:rsid w:val="772A3442"/>
    <w:rsid w:val="772D1A2B"/>
    <w:rsid w:val="7733272D"/>
    <w:rsid w:val="77384E9E"/>
    <w:rsid w:val="7738674E"/>
    <w:rsid w:val="773B18F4"/>
    <w:rsid w:val="773D29E6"/>
    <w:rsid w:val="77460382"/>
    <w:rsid w:val="77461862"/>
    <w:rsid w:val="7749282D"/>
    <w:rsid w:val="775F6961"/>
    <w:rsid w:val="77621C97"/>
    <w:rsid w:val="7762588F"/>
    <w:rsid w:val="77626DFA"/>
    <w:rsid w:val="77702DA7"/>
    <w:rsid w:val="777451B5"/>
    <w:rsid w:val="7789446C"/>
    <w:rsid w:val="778E21E5"/>
    <w:rsid w:val="77904E20"/>
    <w:rsid w:val="7793325C"/>
    <w:rsid w:val="779730C6"/>
    <w:rsid w:val="7797763C"/>
    <w:rsid w:val="7798054D"/>
    <w:rsid w:val="779E5603"/>
    <w:rsid w:val="77A47C46"/>
    <w:rsid w:val="77AC296D"/>
    <w:rsid w:val="77B6528F"/>
    <w:rsid w:val="77B95B1E"/>
    <w:rsid w:val="77BB54BC"/>
    <w:rsid w:val="77BC01AB"/>
    <w:rsid w:val="77C04CAE"/>
    <w:rsid w:val="77C30AF7"/>
    <w:rsid w:val="77C3412B"/>
    <w:rsid w:val="77C91F54"/>
    <w:rsid w:val="77CD48BE"/>
    <w:rsid w:val="77CD56CB"/>
    <w:rsid w:val="77CF71D3"/>
    <w:rsid w:val="77D520FE"/>
    <w:rsid w:val="77D83648"/>
    <w:rsid w:val="77DE4AC8"/>
    <w:rsid w:val="77E05745"/>
    <w:rsid w:val="77E25AD1"/>
    <w:rsid w:val="77EB42BE"/>
    <w:rsid w:val="77EC4A78"/>
    <w:rsid w:val="77EE370F"/>
    <w:rsid w:val="77F64BCC"/>
    <w:rsid w:val="77F95593"/>
    <w:rsid w:val="77FD437B"/>
    <w:rsid w:val="780743F5"/>
    <w:rsid w:val="780A1709"/>
    <w:rsid w:val="780B759B"/>
    <w:rsid w:val="780D503B"/>
    <w:rsid w:val="781173A2"/>
    <w:rsid w:val="78117B55"/>
    <w:rsid w:val="781312E5"/>
    <w:rsid w:val="781C1A10"/>
    <w:rsid w:val="78254A51"/>
    <w:rsid w:val="782C4112"/>
    <w:rsid w:val="7831284C"/>
    <w:rsid w:val="784756B4"/>
    <w:rsid w:val="785B5D23"/>
    <w:rsid w:val="785F5D9A"/>
    <w:rsid w:val="78685257"/>
    <w:rsid w:val="786C35A6"/>
    <w:rsid w:val="78745BC3"/>
    <w:rsid w:val="78747991"/>
    <w:rsid w:val="788A01FF"/>
    <w:rsid w:val="788A485A"/>
    <w:rsid w:val="788C59AA"/>
    <w:rsid w:val="78A0481B"/>
    <w:rsid w:val="78A37082"/>
    <w:rsid w:val="78A62FD0"/>
    <w:rsid w:val="78A87484"/>
    <w:rsid w:val="78B258F0"/>
    <w:rsid w:val="78B56C4E"/>
    <w:rsid w:val="78D46946"/>
    <w:rsid w:val="78D94A34"/>
    <w:rsid w:val="78DA23F2"/>
    <w:rsid w:val="78DD6158"/>
    <w:rsid w:val="78E12E6A"/>
    <w:rsid w:val="78E81966"/>
    <w:rsid w:val="79004525"/>
    <w:rsid w:val="79062A38"/>
    <w:rsid w:val="790E687D"/>
    <w:rsid w:val="791200C5"/>
    <w:rsid w:val="79137E3E"/>
    <w:rsid w:val="791B709B"/>
    <w:rsid w:val="79297456"/>
    <w:rsid w:val="79343E69"/>
    <w:rsid w:val="793624A8"/>
    <w:rsid w:val="793A3CCB"/>
    <w:rsid w:val="79444E65"/>
    <w:rsid w:val="794609C5"/>
    <w:rsid w:val="794A7689"/>
    <w:rsid w:val="795127E8"/>
    <w:rsid w:val="79530561"/>
    <w:rsid w:val="79565203"/>
    <w:rsid w:val="795A1D48"/>
    <w:rsid w:val="795D4643"/>
    <w:rsid w:val="79643EB4"/>
    <w:rsid w:val="79702739"/>
    <w:rsid w:val="797502ED"/>
    <w:rsid w:val="797D0EFA"/>
    <w:rsid w:val="798F1375"/>
    <w:rsid w:val="79913163"/>
    <w:rsid w:val="79921906"/>
    <w:rsid w:val="799B1BAA"/>
    <w:rsid w:val="799E5249"/>
    <w:rsid w:val="79A47D7B"/>
    <w:rsid w:val="79B3039D"/>
    <w:rsid w:val="79BD1B41"/>
    <w:rsid w:val="79BF1566"/>
    <w:rsid w:val="79D20267"/>
    <w:rsid w:val="79DB3867"/>
    <w:rsid w:val="79E24C63"/>
    <w:rsid w:val="79E87773"/>
    <w:rsid w:val="79F0190C"/>
    <w:rsid w:val="79F06AC5"/>
    <w:rsid w:val="79FC7D53"/>
    <w:rsid w:val="79FE090D"/>
    <w:rsid w:val="79FF4D98"/>
    <w:rsid w:val="7A056508"/>
    <w:rsid w:val="7A0E7234"/>
    <w:rsid w:val="7A0F25A2"/>
    <w:rsid w:val="7A104535"/>
    <w:rsid w:val="7A106484"/>
    <w:rsid w:val="7A175707"/>
    <w:rsid w:val="7A1D6DFB"/>
    <w:rsid w:val="7A3259FD"/>
    <w:rsid w:val="7A3A208F"/>
    <w:rsid w:val="7A421098"/>
    <w:rsid w:val="7A513FB6"/>
    <w:rsid w:val="7A5502B8"/>
    <w:rsid w:val="7A553ABC"/>
    <w:rsid w:val="7A5621E4"/>
    <w:rsid w:val="7A5F3E8D"/>
    <w:rsid w:val="7A783AD7"/>
    <w:rsid w:val="7A892B86"/>
    <w:rsid w:val="7A8E5847"/>
    <w:rsid w:val="7A9262BD"/>
    <w:rsid w:val="7A9764B4"/>
    <w:rsid w:val="7A9A127E"/>
    <w:rsid w:val="7A9D6321"/>
    <w:rsid w:val="7AAD14F0"/>
    <w:rsid w:val="7AAF323E"/>
    <w:rsid w:val="7AB07079"/>
    <w:rsid w:val="7ABD24C9"/>
    <w:rsid w:val="7ABD2B94"/>
    <w:rsid w:val="7ABF4CF2"/>
    <w:rsid w:val="7ACB31FB"/>
    <w:rsid w:val="7ACC3C99"/>
    <w:rsid w:val="7AD2380C"/>
    <w:rsid w:val="7AD635D1"/>
    <w:rsid w:val="7ADB2991"/>
    <w:rsid w:val="7ADB62FC"/>
    <w:rsid w:val="7ADD672A"/>
    <w:rsid w:val="7ADE6568"/>
    <w:rsid w:val="7AE419D8"/>
    <w:rsid w:val="7AE661A6"/>
    <w:rsid w:val="7AE8102A"/>
    <w:rsid w:val="7AED4A83"/>
    <w:rsid w:val="7AEF22DC"/>
    <w:rsid w:val="7AF51F4C"/>
    <w:rsid w:val="7AFC1F28"/>
    <w:rsid w:val="7B041F6B"/>
    <w:rsid w:val="7B04743F"/>
    <w:rsid w:val="7B0703E4"/>
    <w:rsid w:val="7B1038BA"/>
    <w:rsid w:val="7B336432"/>
    <w:rsid w:val="7B34756A"/>
    <w:rsid w:val="7B3B22DE"/>
    <w:rsid w:val="7B41177B"/>
    <w:rsid w:val="7B417928"/>
    <w:rsid w:val="7B4A4E20"/>
    <w:rsid w:val="7B4B3BBB"/>
    <w:rsid w:val="7B4B6523"/>
    <w:rsid w:val="7B5711C1"/>
    <w:rsid w:val="7B5A23B4"/>
    <w:rsid w:val="7B5A6870"/>
    <w:rsid w:val="7B602807"/>
    <w:rsid w:val="7B645BD1"/>
    <w:rsid w:val="7B6902E7"/>
    <w:rsid w:val="7B744E08"/>
    <w:rsid w:val="7B757C68"/>
    <w:rsid w:val="7B797AEC"/>
    <w:rsid w:val="7B7D02AB"/>
    <w:rsid w:val="7B8D2A94"/>
    <w:rsid w:val="7B907B7C"/>
    <w:rsid w:val="7B947F77"/>
    <w:rsid w:val="7B9664B7"/>
    <w:rsid w:val="7BA6024E"/>
    <w:rsid w:val="7BA870BA"/>
    <w:rsid w:val="7BAB0EF2"/>
    <w:rsid w:val="7BB82C64"/>
    <w:rsid w:val="7BBD20C2"/>
    <w:rsid w:val="7BBD4F47"/>
    <w:rsid w:val="7BC003BA"/>
    <w:rsid w:val="7BC063F8"/>
    <w:rsid w:val="7BC801EF"/>
    <w:rsid w:val="7BD6749D"/>
    <w:rsid w:val="7BD85994"/>
    <w:rsid w:val="7BE06CB6"/>
    <w:rsid w:val="7BE5250D"/>
    <w:rsid w:val="7BE725A8"/>
    <w:rsid w:val="7BE905FB"/>
    <w:rsid w:val="7BF4360B"/>
    <w:rsid w:val="7BF56B78"/>
    <w:rsid w:val="7BFD332A"/>
    <w:rsid w:val="7C0A0777"/>
    <w:rsid w:val="7C0A4849"/>
    <w:rsid w:val="7C152B1A"/>
    <w:rsid w:val="7C1831CF"/>
    <w:rsid w:val="7C2330FA"/>
    <w:rsid w:val="7C2B02E0"/>
    <w:rsid w:val="7C312183"/>
    <w:rsid w:val="7C312A12"/>
    <w:rsid w:val="7C32169D"/>
    <w:rsid w:val="7C43679E"/>
    <w:rsid w:val="7C4841A6"/>
    <w:rsid w:val="7C5903E5"/>
    <w:rsid w:val="7C60629D"/>
    <w:rsid w:val="7C66388D"/>
    <w:rsid w:val="7C6656E3"/>
    <w:rsid w:val="7C726333"/>
    <w:rsid w:val="7C756991"/>
    <w:rsid w:val="7C790345"/>
    <w:rsid w:val="7C792E46"/>
    <w:rsid w:val="7C80291E"/>
    <w:rsid w:val="7C831E26"/>
    <w:rsid w:val="7C8B4917"/>
    <w:rsid w:val="7C8F3CC3"/>
    <w:rsid w:val="7C905790"/>
    <w:rsid w:val="7C933A06"/>
    <w:rsid w:val="7CA64A0C"/>
    <w:rsid w:val="7CAF6554"/>
    <w:rsid w:val="7CB629A0"/>
    <w:rsid w:val="7CCD55CF"/>
    <w:rsid w:val="7CCF2FD8"/>
    <w:rsid w:val="7CD21FCC"/>
    <w:rsid w:val="7CD61693"/>
    <w:rsid w:val="7CDD1FEF"/>
    <w:rsid w:val="7CDD2433"/>
    <w:rsid w:val="7CE3569C"/>
    <w:rsid w:val="7CEA6033"/>
    <w:rsid w:val="7CED695D"/>
    <w:rsid w:val="7CF11C01"/>
    <w:rsid w:val="7CF236C4"/>
    <w:rsid w:val="7CF41DF2"/>
    <w:rsid w:val="7CF87176"/>
    <w:rsid w:val="7CFC7790"/>
    <w:rsid w:val="7CFD1A8E"/>
    <w:rsid w:val="7D2A0678"/>
    <w:rsid w:val="7D2A2498"/>
    <w:rsid w:val="7D2E7EAA"/>
    <w:rsid w:val="7D33335B"/>
    <w:rsid w:val="7D373F62"/>
    <w:rsid w:val="7D406B9A"/>
    <w:rsid w:val="7D437647"/>
    <w:rsid w:val="7D456622"/>
    <w:rsid w:val="7D4D311D"/>
    <w:rsid w:val="7D581C9A"/>
    <w:rsid w:val="7D5865FD"/>
    <w:rsid w:val="7D677171"/>
    <w:rsid w:val="7D691C86"/>
    <w:rsid w:val="7D6D601C"/>
    <w:rsid w:val="7D6E545C"/>
    <w:rsid w:val="7D71419C"/>
    <w:rsid w:val="7D716342"/>
    <w:rsid w:val="7D743657"/>
    <w:rsid w:val="7D755603"/>
    <w:rsid w:val="7D815F37"/>
    <w:rsid w:val="7D831878"/>
    <w:rsid w:val="7D853519"/>
    <w:rsid w:val="7D860272"/>
    <w:rsid w:val="7D8951A5"/>
    <w:rsid w:val="7D8B623A"/>
    <w:rsid w:val="7DA0067C"/>
    <w:rsid w:val="7DA82296"/>
    <w:rsid w:val="7DA93CA3"/>
    <w:rsid w:val="7DAE53D8"/>
    <w:rsid w:val="7DB149CD"/>
    <w:rsid w:val="7DB32AE0"/>
    <w:rsid w:val="7DB35EB5"/>
    <w:rsid w:val="7DB766B7"/>
    <w:rsid w:val="7DC061E7"/>
    <w:rsid w:val="7DC51384"/>
    <w:rsid w:val="7DC8626C"/>
    <w:rsid w:val="7DCD22D5"/>
    <w:rsid w:val="7DD2286B"/>
    <w:rsid w:val="7DD94F0B"/>
    <w:rsid w:val="7DE253DF"/>
    <w:rsid w:val="7DE33E78"/>
    <w:rsid w:val="7DE82A43"/>
    <w:rsid w:val="7DE95621"/>
    <w:rsid w:val="7DEB4663"/>
    <w:rsid w:val="7DF616B0"/>
    <w:rsid w:val="7DF74F04"/>
    <w:rsid w:val="7DFA58FA"/>
    <w:rsid w:val="7DFF04D3"/>
    <w:rsid w:val="7DFF4AA2"/>
    <w:rsid w:val="7E005F52"/>
    <w:rsid w:val="7E19325F"/>
    <w:rsid w:val="7E23789C"/>
    <w:rsid w:val="7E2534C9"/>
    <w:rsid w:val="7E2750F0"/>
    <w:rsid w:val="7E2D125A"/>
    <w:rsid w:val="7E35729A"/>
    <w:rsid w:val="7E3643BE"/>
    <w:rsid w:val="7E3755F0"/>
    <w:rsid w:val="7E41649F"/>
    <w:rsid w:val="7E453946"/>
    <w:rsid w:val="7E4E5D00"/>
    <w:rsid w:val="7E603611"/>
    <w:rsid w:val="7E620E58"/>
    <w:rsid w:val="7E65715A"/>
    <w:rsid w:val="7E682493"/>
    <w:rsid w:val="7E7057F6"/>
    <w:rsid w:val="7E822261"/>
    <w:rsid w:val="7E8C67BE"/>
    <w:rsid w:val="7E8D7F72"/>
    <w:rsid w:val="7E935800"/>
    <w:rsid w:val="7E965555"/>
    <w:rsid w:val="7E980E05"/>
    <w:rsid w:val="7E9A1056"/>
    <w:rsid w:val="7EA779C5"/>
    <w:rsid w:val="7EB85B2F"/>
    <w:rsid w:val="7EC6048A"/>
    <w:rsid w:val="7EC71C88"/>
    <w:rsid w:val="7ECD724F"/>
    <w:rsid w:val="7ECF6F64"/>
    <w:rsid w:val="7EE64A4C"/>
    <w:rsid w:val="7EE8052D"/>
    <w:rsid w:val="7EE93649"/>
    <w:rsid w:val="7F0151DA"/>
    <w:rsid w:val="7F035411"/>
    <w:rsid w:val="7F037201"/>
    <w:rsid w:val="7F087EE6"/>
    <w:rsid w:val="7F0B02FE"/>
    <w:rsid w:val="7F0F1726"/>
    <w:rsid w:val="7F0F3452"/>
    <w:rsid w:val="7F145E5A"/>
    <w:rsid w:val="7F173E6E"/>
    <w:rsid w:val="7F1B5C9C"/>
    <w:rsid w:val="7F2910D3"/>
    <w:rsid w:val="7F296E2C"/>
    <w:rsid w:val="7F33140F"/>
    <w:rsid w:val="7F380944"/>
    <w:rsid w:val="7F4446BC"/>
    <w:rsid w:val="7F474DBE"/>
    <w:rsid w:val="7F4D1EA6"/>
    <w:rsid w:val="7F507E7E"/>
    <w:rsid w:val="7F516E5F"/>
    <w:rsid w:val="7F56130A"/>
    <w:rsid w:val="7F582073"/>
    <w:rsid w:val="7F592236"/>
    <w:rsid w:val="7F600685"/>
    <w:rsid w:val="7F6023B5"/>
    <w:rsid w:val="7F635E92"/>
    <w:rsid w:val="7F647FD1"/>
    <w:rsid w:val="7F676843"/>
    <w:rsid w:val="7F744B82"/>
    <w:rsid w:val="7F803AAA"/>
    <w:rsid w:val="7F822B9D"/>
    <w:rsid w:val="7F942CCD"/>
    <w:rsid w:val="7F9A4EAC"/>
    <w:rsid w:val="7F9B1FBF"/>
    <w:rsid w:val="7F9C14C5"/>
    <w:rsid w:val="7FA55609"/>
    <w:rsid w:val="7FA676B9"/>
    <w:rsid w:val="7FAA3F16"/>
    <w:rsid w:val="7FB8600D"/>
    <w:rsid w:val="7FCF1433"/>
    <w:rsid w:val="7FD22721"/>
    <w:rsid w:val="7FD23D2A"/>
    <w:rsid w:val="7FD56015"/>
    <w:rsid w:val="7FD91B3E"/>
    <w:rsid w:val="7FDD54EB"/>
    <w:rsid w:val="7FE77193"/>
    <w:rsid w:val="7FF355F3"/>
    <w:rsid w:val="7FF5542B"/>
    <w:rsid w:val="7FFE005C"/>
    <w:rsid w:val="7FFF65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18"/>
    <w:qFormat/>
    <w:uiPriority w:val="0"/>
    <w:pPr>
      <w:keepNext/>
      <w:keepLines/>
      <w:adjustRightInd w:val="0"/>
      <w:spacing w:before="120" w:line="360" w:lineRule="auto"/>
      <w:jc w:val="center"/>
      <w:textAlignment w:val="baseline"/>
      <w:outlineLvl w:val="0"/>
    </w:pPr>
    <w:rPr>
      <w:b/>
      <w:bCs/>
      <w:kern w:val="44"/>
      <w:sz w:val="32"/>
      <w:szCs w:val="20"/>
    </w:rPr>
  </w:style>
  <w:style w:type="paragraph" w:styleId="6">
    <w:name w:val="heading 2"/>
    <w:basedOn w:val="1"/>
    <w:next w:val="1"/>
    <w:link w:val="66"/>
    <w:qFormat/>
    <w:uiPriority w:val="0"/>
    <w:pPr>
      <w:keepNext/>
      <w:keepLines/>
      <w:spacing w:line="416" w:lineRule="auto"/>
      <w:outlineLvl w:val="1"/>
    </w:pPr>
    <w:rPr>
      <w:rFonts w:ascii="Arial" w:hAnsi="Arial"/>
      <w:b/>
      <w:bCs/>
      <w:szCs w:val="32"/>
    </w:rPr>
  </w:style>
  <w:style w:type="paragraph" w:styleId="7">
    <w:name w:val="heading 3"/>
    <w:basedOn w:val="1"/>
    <w:next w:val="1"/>
    <w:qFormat/>
    <w:uiPriority w:val="0"/>
    <w:pPr>
      <w:keepNext/>
      <w:keepLines/>
      <w:snapToGrid w:val="0"/>
      <w:spacing w:line="360" w:lineRule="auto"/>
      <w:jc w:val="left"/>
      <w:outlineLvl w:val="2"/>
    </w:pPr>
    <w:rPr>
      <w:b/>
      <w:bCs/>
      <w:sz w:val="24"/>
      <w:szCs w:val="32"/>
    </w:rPr>
  </w:style>
  <w:style w:type="paragraph" w:styleId="8">
    <w:name w:val="heading 4"/>
    <w:basedOn w:val="1"/>
    <w:next w:val="1"/>
    <w:link w:val="67"/>
    <w:qFormat/>
    <w:uiPriority w:val="0"/>
    <w:pPr>
      <w:keepNext/>
      <w:keepLines/>
      <w:spacing w:before="280" w:after="290" w:line="376" w:lineRule="auto"/>
      <w:outlineLvl w:val="3"/>
    </w:pPr>
    <w:rPr>
      <w:rFonts w:ascii="Cambria" w:hAnsi="Cambria"/>
      <w:b/>
      <w:bCs/>
      <w:sz w:val="28"/>
      <w:szCs w:val="28"/>
    </w:rPr>
  </w:style>
  <w:style w:type="paragraph" w:styleId="9">
    <w:name w:val="heading 5"/>
    <w:basedOn w:val="1"/>
    <w:next w:val="1"/>
    <w:link w:val="68"/>
    <w:qFormat/>
    <w:uiPriority w:val="0"/>
    <w:pPr>
      <w:keepNext/>
      <w:keepLines/>
      <w:spacing w:before="280" w:after="290" w:line="376" w:lineRule="auto"/>
      <w:outlineLvl w:val="4"/>
    </w:pPr>
    <w:rPr>
      <w:b/>
      <w:bCs/>
      <w:sz w:val="28"/>
      <w:szCs w:val="28"/>
    </w:rPr>
  </w:style>
  <w:style w:type="paragraph" w:styleId="10">
    <w:name w:val="heading 6"/>
    <w:basedOn w:val="1"/>
    <w:next w:val="1"/>
    <w:link w:val="69"/>
    <w:qFormat/>
    <w:uiPriority w:val="0"/>
    <w:pPr>
      <w:keepNext/>
      <w:keepLines/>
      <w:spacing w:before="240" w:after="64" w:line="320" w:lineRule="auto"/>
      <w:outlineLvl w:val="5"/>
    </w:pPr>
    <w:rPr>
      <w:rFonts w:ascii="Cambria" w:hAnsi="Cambria"/>
      <w:b/>
      <w:bCs/>
      <w:sz w:val="24"/>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pPr>
    <w:rPr>
      <w:rFonts w:cs="宋体"/>
      <w:szCs w:val="21"/>
    </w:rPr>
  </w:style>
  <w:style w:type="paragraph" w:styleId="3">
    <w:name w:val="Body Text Indent"/>
    <w:basedOn w:val="1"/>
    <w:next w:val="4"/>
    <w:link w:val="76"/>
    <w:qFormat/>
    <w:uiPriority w:val="0"/>
    <w:pPr>
      <w:spacing w:after="120"/>
      <w:ind w:left="420" w:leftChars="200"/>
    </w:pPr>
  </w:style>
  <w:style w:type="paragraph" w:styleId="4">
    <w:name w:val="envelope return"/>
    <w:basedOn w:val="1"/>
    <w:qFormat/>
    <w:uiPriority w:val="0"/>
    <w:pPr>
      <w:snapToGrid w:val="0"/>
    </w:pPr>
    <w:rPr>
      <w:rFonts w:ascii="Arial" w:hAnsi="Arial"/>
    </w:rPr>
  </w:style>
  <w:style w:type="paragraph" w:styleId="11">
    <w:name w:val="toc 7"/>
    <w:basedOn w:val="1"/>
    <w:next w:val="1"/>
    <w:qFormat/>
    <w:uiPriority w:val="0"/>
    <w:pPr>
      <w:ind w:left="2520" w:leftChars="1200"/>
    </w:pPr>
    <w:rPr>
      <w:rFonts w:ascii="Calibri" w:hAnsi="Calibri"/>
      <w:szCs w:val="22"/>
    </w:rPr>
  </w:style>
  <w:style w:type="paragraph" w:styleId="12">
    <w:name w:val="List Number"/>
    <w:basedOn w:val="1"/>
    <w:qFormat/>
    <w:uiPriority w:val="0"/>
    <w:pPr>
      <w:widowControl/>
      <w:tabs>
        <w:tab w:val="left" w:pos="454"/>
        <w:tab w:val="left" w:pos="525"/>
        <w:tab w:val="left" w:pos="720"/>
      </w:tabs>
      <w:spacing w:after="50" w:afterLines="50"/>
      <w:ind w:left="454" w:hanging="284"/>
      <w:jc w:val="left"/>
    </w:pPr>
    <w:rPr>
      <w:kern w:val="0"/>
      <w:sz w:val="24"/>
      <w:szCs w:val="20"/>
    </w:rPr>
  </w:style>
  <w:style w:type="paragraph" w:styleId="13">
    <w:name w:val="Normal Indent"/>
    <w:basedOn w:val="1"/>
    <w:link w:val="70"/>
    <w:qFormat/>
    <w:uiPriority w:val="0"/>
    <w:pPr>
      <w:ind w:firstLine="420"/>
    </w:pPr>
    <w:rPr>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Document Map"/>
    <w:basedOn w:val="1"/>
    <w:link w:val="71"/>
    <w:qFormat/>
    <w:uiPriority w:val="0"/>
    <w:rPr>
      <w:rFonts w:ascii="宋体"/>
      <w:sz w:val="18"/>
      <w:szCs w:val="18"/>
    </w:rPr>
  </w:style>
  <w:style w:type="paragraph" w:styleId="16">
    <w:name w:val="toa heading"/>
    <w:basedOn w:val="1"/>
    <w:next w:val="1"/>
    <w:semiHidden/>
    <w:qFormat/>
    <w:uiPriority w:val="0"/>
    <w:pPr>
      <w:spacing w:before="120"/>
    </w:pPr>
    <w:rPr>
      <w:rFonts w:ascii="Arial" w:hAnsi="Arial" w:cs="Arial"/>
      <w:sz w:val="24"/>
    </w:rPr>
  </w:style>
  <w:style w:type="paragraph" w:styleId="17">
    <w:name w:val="annotation text"/>
    <w:basedOn w:val="1"/>
    <w:link w:val="72"/>
    <w:qFormat/>
    <w:uiPriority w:val="0"/>
    <w:pPr>
      <w:jc w:val="left"/>
    </w:pPr>
  </w:style>
  <w:style w:type="paragraph" w:styleId="18">
    <w:name w:val="Body Text 3"/>
    <w:basedOn w:val="1"/>
    <w:link w:val="73"/>
    <w:qFormat/>
    <w:uiPriority w:val="0"/>
    <w:pPr>
      <w:spacing w:after="120"/>
    </w:pPr>
    <w:rPr>
      <w:sz w:val="16"/>
      <w:szCs w:val="16"/>
    </w:rPr>
  </w:style>
  <w:style w:type="paragraph" w:styleId="19">
    <w:name w:val="Body Text"/>
    <w:basedOn w:val="1"/>
    <w:next w:val="20"/>
    <w:link w:val="74"/>
    <w:qFormat/>
    <w:uiPriority w:val="0"/>
    <w:pPr>
      <w:spacing w:after="120"/>
    </w:pPr>
  </w:style>
  <w:style w:type="paragraph" w:styleId="20">
    <w:name w:val="Body Text First Indent"/>
    <w:basedOn w:val="19"/>
    <w:next w:val="21"/>
    <w:link w:val="75"/>
    <w:qFormat/>
    <w:uiPriority w:val="0"/>
    <w:pPr>
      <w:ind w:firstLine="420" w:firstLineChars="100"/>
    </w:pPr>
    <w:rPr>
      <w:szCs w:val="22"/>
    </w:rPr>
  </w:style>
  <w:style w:type="paragraph" w:styleId="21">
    <w:name w:val="toc 6"/>
    <w:basedOn w:val="1"/>
    <w:next w:val="1"/>
    <w:qFormat/>
    <w:uiPriority w:val="0"/>
    <w:pPr>
      <w:ind w:left="2100" w:leftChars="1000"/>
    </w:pPr>
    <w:rPr>
      <w:rFonts w:ascii="Calibri" w:hAnsi="Calibri"/>
      <w:szCs w:val="22"/>
    </w:rPr>
  </w:style>
  <w:style w:type="paragraph" w:styleId="22">
    <w:name w:val="List 2"/>
    <w:basedOn w:val="1"/>
    <w:qFormat/>
    <w:uiPriority w:val="0"/>
    <w:pPr>
      <w:ind w:left="100" w:leftChars="200" w:hanging="200" w:hangingChars="200"/>
    </w:pPr>
  </w:style>
  <w:style w:type="paragraph" w:styleId="23">
    <w:name w:val="toc 5"/>
    <w:basedOn w:val="1"/>
    <w:next w:val="1"/>
    <w:qFormat/>
    <w:uiPriority w:val="0"/>
    <w:pPr>
      <w:ind w:left="1680" w:leftChars="800"/>
    </w:pPr>
    <w:rPr>
      <w:rFonts w:ascii="Calibri" w:hAnsi="Calibri"/>
      <w:szCs w:val="22"/>
    </w:rPr>
  </w:style>
  <w:style w:type="paragraph" w:styleId="24">
    <w:name w:val="toc 3"/>
    <w:basedOn w:val="1"/>
    <w:next w:val="1"/>
    <w:qFormat/>
    <w:uiPriority w:val="39"/>
    <w:pPr>
      <w:ind w:left="840" w:leftChars="400"/>
    </w:pPr>
  </w:style>
  <w:style w:type="paragraph" w:styleId="25">
    <w:name w:val="Plain Text"/>
    <w:basedOn w:val="1"/>
    <w:next w:val="1"/>
    <w:link w:val="77"/>
    <w:qFormat/>
    <w:uiPriority w:val="0"/>
    <w:pPr>
      <w:spacing w:before="156" w:beforeLines="50" w:after="156" w:afterLines="50" w:line="400" w:lineRule="exact"/>
    </w:pPr>
    <w:rPr>
      <w:rFonts w:ascii="宋体" w:hAnsi="Courier New"/>
      <w:sz w:val="24"/>
    </w:rPr>
  </w:style>
  <w:style w:type="paragraph" w:styleId="26">
    <w:name w:val="toc 8"/>
    <w:basedOn w:val="1"/>
    <w:next w:val="1"/>
    <w:qFormat/>
    <w:uiPriority w:val="0"/>
    <w:pPr>
      <w:ind w:left="2940" w:leftChars="1400"/>
    </w:pPr>
    <w:rPr>
      <w:rFonts w:ascii="Calibri" w:hAnsi="Calibri"/>
      <w:szCs w:val="22"/>
    </w:rPr>
  </w:style>
  <w:style w:type="paragraph" w:styleId="27">
    <w:name w:val="Date"/>
    <w:basedOn w:val="1"/>
    <w:next w:val="1"/>
    <w:link w:val="78"/>
    <w:qFormat/>
    <w:uiPriority w:val="0"/>
    <w:pPr>
      <w:ind w:left="100" w:leftChars="2500"/>
    </w:pPr>
  </w:style>
  <w:style w:type="paragraph" w:styleId="28">
    <w:name w:val="Body Text Indent 2"/>
    <w:basedOn w:val="1"/>
    <w:link w:val="79"/>
    <w:qFormat/>
    <w:uiPriority w:val="0"/>
    <w:pPr>
      <w:snapToGrid w:val="0"/>
      <w:ind w:firstLine="542" w:firstLineChars="225"/>
    </w:pPr>
    <w:rPr>
      <w:rFonts w:ascii="仿宋_GB2312" w:hAnsi="宋体"/>
      <w:b/>
      <w:bCs/>
      <w:color w:val="000000"/>
      <w:sz w:val="24"/>
    </w:rPr>
  </w:style>
  <w:style w:type="paragraph" w:styleId="29">
    <w:name w:val="Balloon Text"/>
    <w:basedOn w:val="1"/>
    <w:link w:val="80"/>
    <w:qFormat/>
    <w:uiPriority w:val="0"/>
    <w:rPr>
      <w:sz w:val="18"/>
      <w:szCs w:val="18"/>
    </w:rPr>
  </w:style>
  <w:style w:type="paragraph" w:styleId="30">
    <w:name w:val="footer"/>
    <w:basedOn w:val="1"/>
    <w:link w:val="81"/>
    <w:qFormat/>
    <w:uiPriority w:val="0"/>
    <w:pPr>
      <w:tabs>
        <w:tab w:val="center" w:pos="4153"/>
        <w:tab w:val="right" w:pos="8306"/>
      </w:tabs>
      <w:snapToGrid w:val="0"/>
      <w:jc w:val="left"/>
    </w:pPr>
    <w:rPr>
      <w:rFonts w:eastAsia="黑体"/>
      <w:snapToGrid w:val="0"/>
      <w:kern w:val="0"/>
      <w:sz w:val="18"/>
      <w:szCs w:val="18"/>
    </w:rPr>
  </w:style>
  <w:style w:type="paragraph" w:styleId="31">
    <w:name w:val="header"/>
    <w:basedOn w:val="1"/>
    <w:link w:val="82"/>
    <w:qFormat/>
    <w:uiPriority w:val="0"/>
    <w:pPr>
      <w:pBdr>
        <w:bottom w:val="single" w:color="auto" w:sz="6" w:space="1"/>
      </w:pBdr>
      <w:tabs>
        <w:tab w:val="center" w:pos="4153"/>
        <w:tab w:val="right" w:pos="8306"/>
      </w:tabs>
      <w:snapToGrid w:val="0"/>
      <w:jc w:val="center"/>
    </w:pPr>
    <w:rPr>
      <w:sz w:val="18"/>
      <w:szCs w:val="18"/>
    </w:rPr>
  </w:style>
  <w:style w:type="paragraph" w:styleId="32">
    <w:name w:val="toc 1"/>
    <w:basedOn w:val="1"/>
    <w:next w:val="1"/>
    <w:qFormat/>
    <w:uiPriority w:val="39"/>
    <w:pPr>
      <w:tabs>
        <w:tab w:val="right" w:leader="dot" w:pos="9060"/>
      </w:tabs>
      <w:spacing w:before="10" w:after="10"/>
    </w:pPr>
  </w:style>
  <w:style w:type="paragraph" w:styleId="33">
    <w:name w:val="toc 4"/>
    <w:basedOn w:val="1"/>
    <w:next w:val="1"/>
    <w:qFormat/>
    <w:uiPriority w:val="0"/>
    <w:pPr>
      <w:ind w:left="1260" w:leftChars="600"/>
    </w:pPr>
    <w:rPr>
      <w:rFonts w:ascii="Calibri" w:hAnsi="Calibri"/>
      <w:szCs w:val="22"/>
    </w:rPr>
  </w:style>
  <w:style w:type="paragraph" w:styleId="34">
    <w:name w:val="List"/>
    <w:basedOn w:val="1"/>
    <w:qFormat/>
    <w:uiPriority w:val="0"/>
    <w:pPr>
      <w:ind w:left="200" w:hanging="200" w:hangingChars="200"/>
    </w:pPr>
  </w:style>
  <w:style w:type="paragraph" w:styleId="35">
    <w:name w:val="footnote text"/>
    <w:basedOn w:val="1"/>
    <w:link w:val="83"/>
    <w:qFormat/>
    <w:uiPriority w:val="0"/>
    <w:pPr>
      <w:snapToGrid w:val="0"/>
      <w:jc w:val="left"/>
    </w:pPr>
    <w:rPr>
      <w:rFonts w:ascii="Tahoma" w:hAnsi="Tahoma"/>
      <w:sz w:val="18"/>
      <w:szCs w:val="18"/>
    </w:rPr>
  </w:style>
  <w:style w:type="paragraph" w:styleId="36">
    <w:name w:val="Body Text Indent 3"/>
    <w:basedOn w:val="1"/>
    <w:link w:val="84"/>
    <w:qFormat/>
    <w:uiPriority w:val="0"/>
    <w:pPr>
      <w:spacing w:line="360" w:lineRule="auto"/>
      <w:ind w:firstLine="420" w:firstLineChars="200"/>
    </w:pPr>
    <w:rPr>
      <w:szCs w:val="20"/>
    </w:rPr>
  </w:style>
  <w:style w:type="paragraph" w:styleId="37">
    <w:name w:val="toc 2"/>
    <w:basedOn w:val="1"/>
    <w:next w:val="1"/>
    <w:qFormat/>
    <w:uiPriority w:val="39"/>
    <w:pPr>
      <w:tabs>
        <w:tab w:val="left" w:pos="1470"/>
        <w:tab w:val="right" w:leader="dot" w:pos="9060"/>
      </w:tabs>
      <w:ind w:left="420" w:leftChars="200" w:firstLine="430" w:firstLineChars="205"/>
    </w:pPr>
  </w:style>
  <w:style w:type="paragraph" w:styleId="38">
    <w:name w:val="toc 9"/>
    <w:basedOn w:val="1"/>
    <w:next w:val="1"/>
    <w:qFormat/>
    <w:uiPriority w:val="0"/>
    <w:pPr>
      <w:ind w:left="3360" w:leftChars="1600"/>
    </w:pPr>
    <w:rPr>
      <w:rFonts w:ascii="Calibri" w:hAnsi="Calibri"/>
      <w:szCs w:val="22"/>
    </w:rPr>
  </w:style>
  <w:style w:type="paragraph" w:styleId="39">
    <w:name w:val="HTML Preformatted"/>
    <w:basedOn w:val="1"/>
    <w:link w:val="8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4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1">
    <w:name w:val="Title"/>
    <w:basedOn w:val="1"/>
    <w:next w:val="1"/>
    <w:link w:val="86"/>
    <w:qFormat/>
    <w:uiPriority w:val="0"/>
    <w:pPr>
      <w:spacing w:before="240" w:after="60"/>
      <w:jc w:val="center"/>
      <w:outlineLvl w:val="0"/>
    </w:pPr>
    <w:rPr>
      <w:rFonts w:ascii="Arial" w:hAnsi="Arial"/>
      <w:b/>
      <w:bCs/>
      <w:sz w:val="32"/>
      <w:szCs w:val="32"/>
    </w:rPr>
  </w:style>
  <w:style w:type="paragraph" w:styleId="42">
    <w:name w:val="annotation subject"/>
    <w:basedOn w:val="17"/>
    <w:next w:val="17"/>
    <w:link w:val="87"/>
    <w:qFormat/>
    <w:uiPriority w:val="0"/>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basedOn w:val="45"/>
    <w:qFormat/>
    <w:uiPriority w:val="22"/>
    <w:rPr>
      <w:rFonts w:ascii="Times New Roman" w:hAnsi="Times New Roman" w:eastAsia="宋体" w:cs="Times New Roman"/>
      <w:b/>
    </w:rPr>
  </w:style>
  <w:style w:type="character" w:styleId="47">
    <w:name w:val="page number"/>
    <w:qFormat/>
    <w:uiPriority w:val="0"/>
    <w:rPr>
      <w:rFonts w:ascii="Times New Roman" w:hAnsi="Times New Roman" w:eastAsia="宋体" w:cs="Times New Roman"/>
    </w:rPr>
  </w:style>
  <w:style w:type="character" w:styleId="48">
    <w:name w:val="FollowedHyperlink"/>
    <w:qFormat/>
    <w:uiPriority w:val="0"/>
    <w:rPr>
      <w:rFonts w:ascii="Times New Roman" w:hAnsi="Times New Roman" w:eastAsia="宋体" w:cs="Times New Roman"/>
      <w:color w:val="000000"/>
      <w:u w:val="none"/>
    </w:rPr>
  </w:style>
  <w:style w:type="character" w:styleId="49">
    <w:name w:val="Emphasis"/>
    <w:qFormat/>
    <w:uiPriority w:val="0"/>
    <w:rPr>
      <w:rFonts w:ascii="Times New Roman" w:hAnsi="Times New Roman" w:eastAsia="幼圆" w:cs="Times New Roman"/>
      <w:b/>
      <w:caps/>
      <w:spacing w:val="10"/>
      <w:sz w:val="18"/>
    </w:rPr>
  </w:style>
  <w:style w:type="character" w:styleId="50">
    <w:name w:val="Hyperlink"/>
    <w:qFormat/>
    <w:uiPriority w:val="99"/>
    <w:rPr>
      <w:rFonts w:ascii="Times New Roman" w:hAnsi="Times New Roman" w:eastAsia="宋体" w:cs="Times New Roman"/>
      <w:color w:val="000000"/>
      <w:u w:val="none"/>
    </w:rPr>
  </w:style>
  <w:style w:type="character" w:styleId="51">
    <w:name w:val="annotation reference"/>
    <w:qFormat/>
    <w:uiPriority w:val="0"/>
    <w:rPr>
      <w:rFonts w:ascii="Times New Roman" w:hAnsi="Times New Roman" w:eastAsia="宋体" w:cs="Times New Roman"/>
      <w:sz w:val="21"/>
      <w:szCs w:val="21"/>
    </w:rPr>
  </w:style>
  <w:style w:type="character" w:styleId="52">
    <w:name w:val="footnote reference"/>
    <w:qFormat/>
    <w:uiPriority w:val="0"/>
    <w:rPr>
      <w:rFonts w:ascii="Tahoma" w:hAnsi="Tahoma" w:eastAsia="宋体" w:cs="Times New Roman"/>
      <w:kern w:val="2"/>
      <w:sz w:val="24"/>
      <w:szCs w:val="24"/>
      <w:vertAlign w:val="superscript"/>
      <w:lang w:val="en-US" w:eastAsia="zh-CN" w:bidi="ar-SA"/>
    </w:rPr>
  </w:style>
  <w:style w:type="paragraph" w:customStyle="1" w:styleId="53">
    <w:name w:val="正文缩进1"/>
    <w:basedOn w:val="1"/>
    <w:link w:val="58"/>
    <w:qFormat/>
    <w:uiPriority w:val="0"/>
    <w:pPr>
      <w:widowControl/>
      <w:ind w:firstLine="420"/>
      <w:jc w:val="left"/>
    </w:pPr>
    <w:rPr>
      <w:kern w:val="0"/>
      <w:sz w:val="20"/>
      <w:szCs w:val="20"/>
    </w:rPr>
  </w:style>
  <w:style w:type="paragraph" w:styleId="54">
    <w:name w:val="List Paragraph"/>
    <w:basedOn w:val="1"/>
    <w:next w:val="1"/>
    <w:qFormat/>
    <w:uiPriority w:val="99"/>
    <w:pPr>
      <w:ind w:firstLine="420" w:firstLineChars="200"/>
    </w:pPr>
  </w:style>
  <w:style w:type="paragraph" w:customStyle="1" w:styleId="55">
    <w:name w:val="样式 正文文本缩进 + 左  0 字符"/>
    <w:basedOn w:val="1"/>
    <w:qFormat/>
    <w:uiPriority w:val="0"/>
    <w:pPr>
      <w:spacing w:line="360" w:lineRule="auto"/>
      <w:ind w:firstLine="250" w:firstLineChars="250"/>
    </w:pPr>
    <w:rPr>
      <w:rFonts w:cs="宋体"/>
      <w:sz w:val="24"/>
    </w:rPr>
  </w:style>
  <w:style w:type="paragraph" w:customStyle="1" w:styleId="56">
    <w:name w:val="正文首行缩进 21"/>
    <w:basedOn w:val="57"/>
    <w:qFormat/>
    <w:uiPriority w:val="0"/>
    <w:pPr>
      <w:spacing w:afterLines="0" w:line="240" w:lineRule="auto"/>
      <w:ind w:left="420" w:leftChars="200" w:firstLine="420"/>
    </w:pPr>
    <w:rPr>
      <w:rFonts w:ascii="Times New Roman" w:hAnsi="Times New Roman" w:eastAsia="宋体" w:cs="宋体"/>
      <w:sz w:val="21"/>
      <w:szCs w:val="21"/>
    </w:rPr>
  </w:style>
  <w:style w:type="paragraph" w:customStyle="1" w:styleId="57">
    <w:name w:val="正文文本缩进1"/>
    <w:basedOn w:val="1"/>
    <w:next w:val="1"/>
    <w:qFormat/>
    <w:uiPriority w:val="0"/>
    <w:pPr>
      <w:spacing w:afterLines="0"/>
      <w:ind w:left="420" w:leftChars="200"/>
    </w:pPr>
    <w:rPr>
      <w:color w:val="000000"/>
      <w:sz w:val="21"/>
      <w:szCs w:val="21"/>
    </w:rPr>
  </w:style>
  <w:style w:type="character" w:customStyle="1" w:styleId="58">
    <w:name w:val="正文缩进 Char1"/>
    <w:link w:val="53"/>
    <w:qFormat/>
    <w:uiPriority w:val="0"/>
    <w:rPr>
      <w:rFonts w:ascii="Times New Roman" w:hAnsi="Times New Roman" w:eastAsia="宋体" w:cs="Times New Roman"/>
    </w:rPr>
  </w:style>
  <w:style w:type="character" w:customStyle="1" w:styleId="59">
    <w:name w:val="font61"/>
    <w:qFormat/>
    <w:uiPriority w:val="0"/>
    <w:rPr>
      <w:rFonts w:hint="eastAsia" w:ascii="微软雅黑" w:hAnsi="微软雅黑" w:eastAsia="微软雅黑" w:cs="微软雅黑"/>
      <w:color w:val="000000"/>
      <w:sz w:val="20"/>
      <w:szCs w:val="20"/>
      <w:u w:val="none"/>
    </w:rPr>
  </w:style>
  <w:style w:type="character" w:customStyle="1" w:styleId="60">
    <w:name w:val="cpxl1"/>
    <w:qFormat/>
    <w:uiPriority w:val="0"/>
    <w:rPr>
      <w:rFonts w:ascii="Times New Roman" w:hAnsi="Times New Roman" w:eastAsia="宋体" w:cs="Times New Roman"/>
      <w:color w:val="000000"/>
      <w:sz w:val="24"/>
      <w:szCs w:val="24"/>
      <w:u w:val="none"/>
    </w:rPr>
  </w:style>
  <w:style w:type="character" w:customStyle="1" w:styleId="61">
    <w:name w:val="hui"/>
    <w:qFormat/>
    <w:uiPriority w:val="0"/>
    <w:rPr>
      <w:rFonts w:ascii="Times New Roman" w:hAnsi="Times New Roman" w:eastAsia="宋体" w:cs="Times New Roman"/>
    </w:rPr>
  </w:style>
  <w:style w:type="character" w:customStyle="1" w:styleId="62">
    <w:name w:val="日期 Char"/>
    <w:qFormat/>
    <w:uiPriority w:val="0"/>
    <w:rPr>
      <w:rFonts w:ascii="Times New Roman" w:hAnsi="Times New Roman" w:eastAsia="宋体" w:cs="Times New Roman"/>
      <w:kern w:val="2"/>
      <w:sz w:val="24"/>
    </w:rPr>
  </w:style>
  <w:style w:type="character" w:customStyle="1" w:styleId="63">
    <w:name w:val="apple-style-span"/>
    <w:qFormat/>
    <w:uiPriority w:val="0"/>
    <w:rPr>
      <w:rFonts w:ascii="Times New Roman" w:hAnsi="Times New Roman" w:eastAsia="宋体" w:cs="Times New Roman"/>
    </w:rPr>
  </w:style>
  <w:style w:type="character" w:customStyle="1" w:styleId="64">
    <w:name w:val="apple-converted-space"/>
    <w:qFormat/>
    <w:uiPriority w:val="0"/>
    <w:rPr>
      <w:rFonts w:ascii="Times New Roman" w:hAnsi="Times New Roman" w:eastAsia="宋体" w:cs="Times New Roman"/>
    </w:rPr>
  </w:style>
  <w:style w:type="character" w:customStyle="1" w:styleId="65">
    <w:name w:val="标题 1 Char"/>
    <w:link w:val="5"/>
    <w:qFormat/>
    <w:uiPriority w:val="0"/>
    <w:rPr>
      <w:rFonts w:ascii="Times New Roman" w:hAnsi="Times New Roman" w:eastAsia="宋体" w:cs="Times New Roman"/>
      <w:b/>
      <w:bCs/>
      <w:kern w:val="44"/>
      <w:sz w:val="32"/>
      <w:lang w:val="en-US" w:eastAsia="zh-CN" w:bidi="ar-SA"/>
    </w:rPr>
  </w:style>
  <w:style w:type="character" w:customStyle="1" w:styleId="66">
    <w:name w:val="标题 2 Char1"/>
    <w:link w:val="6"/>
    <w:qFormat/>
    <w:uiPriority w:val="0"/>
    <w:rPr>
      <w:rFonts w:ascii="Arial" w:hAnsi="Arial" w:eastAsia="宋体" w:cs="Times New Roman"/>
      <w:b/>
      <w:bCs/>
      <w:kern w:val="2"/>
      <w:sz w:val="21"/>
      <w:szCs w:val="32"/>
    </w:rPr>
  </w:style>
  <w:style w:type="character" w:customStyle="1" w:styleId="67">
    <w:name w:val="标题 4 Char"/>
    <w:link w:val="8"/>
    <w:qFormat/>
    <w:uiPriority w:val="0"/>
    <w:rPr>
      <w:rFonts w:ascii="Cambria" w:hAnsi="Cambria" w:eastAsia="宋体" w:cs="Times New Roman"/>
      <w:b/>
      <w:bCs/>
      <w:kern w:val="2"/>
      <w:sz w:val="28"/>
      <w:szCs w:val="28"/>
    </w:rPr>
  </w:style>
  <w:style w:type="character" w:customStyle="1" w:styleId="68">
    <w:name w:val="标题 5 Char"/>
    <w:link w:val="9"/>
    <w:qFormat/>
    <w:uiPriority w:val="0"/>
    <w:rPr>
      <w:rFonts w:ascii="Times New Roman" w:hAnsi="Times New Roman" w:eastAsia="宋体" w:cs="Times New Roman"/>
      <w:b/>
      <w:bCs/>
      <w:kern w:val="2"/>
      <w:sz w:val="28"/>
      <w:szCs w:val="28"/>
    </w:rPr>
  </w:style>
  <w:style w:type="character" w:customStyle="1" w:styleId="69">
    <w:name w:val="标题 6 Char"/>
    <w:link w:val="10"/>
    <w:qFormat/>
    <w:uiPriority w:val="0"/>
    <w:rPr>
      <w:rFonts w:ascii="Cambria" w:hAnsi="Cambria" w:eastAsia="宋体" w:cs="Times New Roman"/>
      <w:b/>
      <w:bCs/>
      <w:kern w:val="2"/>
      <w:sz w:val="24"/>
      <w:szCs w:val="24"/>
    </w:rPr>
  </w:style>
  <w:style w:type="character" w:customStyle="1" w:styleId="70">
    <w:name w:val="正文缩进 Char"/>
    <w:link w:val="13"/>
    <w:qFormat/>
    <w:uiPriority w:val="0"/>
    <w:rPr>
      <w:rFonts w:ascii="Times New Roman" w:hAnsi="Times New Roman" w:eastAsia="宋体" w:cs="Times New Roman"/>
      <w:kern w:val="2"/>
      <w:sz w:val="21"/>
      <w:lang w:val="en-US" w:eastAsia="zh-CN" w:bidi="ar-SA"/>
    </w:rPr>
  </w:style>
  <w:style w:type="character" w:customStyle="1" w:styleId="71">
    <w:name w:val="文档结构图 Char1"/>
    <w:link w:val="15"/>
    <w:qFormat/>
    <w:uiPriority w:val="0"/>
    <w:rPr>
      <w:rFonts w:ascii="宋体" w:hAnsi="Times New Roman" w:eastAsia="宋体" w:cs="Times New Roman"/>
      <w:kern w:val="2"/>
      <w:sz w:val="18"/>
      <w:szCs w:val="18"/>
    </w:rPr>
  </w:style>
  <w:style w:type="character" w:customStyle="1" w:styleId="72">
    <w:name w:val="批注文字 Char"/>
    <w:link w:val="17"/>
    <w:qFormat/>
    <w:uiPriority w:val="0"/>
    <w:rPr>
      <w:rFonts w:ascii="Times New Roman" w:hAnsi="Times New Roman" w:eastAsia="宋体" w:cs="Times New Roman"/>
      <w:kern w:val="2"/>
      <w:sz w:val="21"/>
      <w:szCs w:val="24"/>
    </w:rPr>
  </w:style>
  <w:style w:type="character" w:customStyle="1" w:styleId="73">
    <w:name w:val="正文文本 3 Char"/>
    <w:link w:val="18"/>
    <w:qFormat/>
    <w:uiPriority w:val="0"/>
    <w:rPr>
      <w:rFonts w:ascii="Times New Roman" w:hAnsi="Times New Roman" w:eastAsia="宋体" w:cs="Times New Roman"/>
      <w:kern w:val="2"/>
      <w:sz w:val="16"/>
      <w:szCs w:val="16"/>
    </w:rPr>
  </w:style>
  <w:style w:type="character" w:customStyle="1" w:styleId="74">
    <w:name w:val="正文文本 Char1"/>
    <w:link w:val="19"/>
    <w:qFormat/>
    <w:uiPriority w:val="0"/>
    <w:rPr>
      <w:rFonts w:ascii="Times New Roman" w:hAnsi="Times New Roman" w:eastAsia="宋体" w:cs="Times New Roman"/>
      <w:kern w:val="2"/>
      <w:sz w:val="21"/>
      <w:szCs w:val="24"/>
    </w:rPr>
  </w:style>
  <w:style w:type="character" w:customStyle="1" w:styleId="75">
    <w:name w:val="正文首行缩进 Char"/>
    <w:link w:val="20"/>
    <w:qFormat/>
    <w:uiPriority w:val="0"/>
    <w:rPr>
      <w:rFonts w:ascii="Times New Roman" w:hAnsi="Times New Roman" w:eastAsia="宋体" w:cs="Times New Roman"/>
      <w:kern w:val="2"/>
      <w:sz w:val="21"/>
      <w:szCs w:val="22"/>
    </w:rPr>
  </w:style>
  <w:style w:type="character" w:customStyle="1" w:styleId="76">
    <w:name w:val="正文文本缩进 Char"/>
    <w:link w:val="3"/>
    <w:qFormat/>
    <w:uiPriority w:val="0"/>
    <w:rPr>
      <w:rFonts w:ascii="Times New Roman" w:hAnsi="Times New Roman" w:eastAsia="宋体" w:cs="Times New Roman"/>
      <w:kern w:val="2"/>
      <w:sz w:val="21"/>
      <w:szCs w:val="24"/>
    </w:rPr>
  </w:style>
  <w:style w:type="character" w:customStyle="1" w:styleId="77">
    <w:name w:val="纯文本 Char"/>
    <w:link w:val="25"/>
    <w:qFormat/>
    <w:uiPriority w:val="0"/>
    <w:rPr>
      <w:rFonts w:ascii="宋体" w:hAnsi="Courier New" w:eastAsia="宋体" w:cs="Times New Roman"/>
      <w:kern w:val="2"/>
      <w:sz w:val="24"/>
      <w:szCs w:val="24"/>
      <w:lang w:val="en-US" w:eastAsia="zh-CN" w:bidi="ar-SA"/>
    </w:rPr>
  </w:style>
  <w:style w:type="character" w:customStyle="1" w:styleId="78">
    <w:name w:val="日期 Char1"/>
    <w:link w:val="27"/>
    <w:qFormat/>
    <w:uiPriority w:val="0"/>
    <w:rPr>
      <w:rFonts w:ascii="Times New Roman" w:hAnsi="Times New Roman" w:eastAsia="宋体" w:cs="Times New Roman"/>
      <w:kern w:val="2"/>
      <w:sz w:val="21"/>
      <w:szCs w:val="24"/>
    </w:rPr>
  </w:style>
  <w:style w:type="character" w:customStyle="1" w:styleId="79">
    <w:name w:val="正文文本缩进 2 Char"/>
    <w:link w:val="28"/>
    <w:qFormat/>
    <w:uiPriority w:val="0"/>
    <w:rPr>
      <w:rFonts w:ascii="仿宋_GB2312" w:hAnsi="宋体" w:eastAsia="宋体" w:cs="Arial"/>
      <w:b/>
      <w:bCs/>
      <w:color w:val="000000"/>
      <w:kern w:val="2"/>
      <w:sz w:val="24"/>
      <w:szCs w:val="24"/>
    </w:rPr>
  </w:style>
  <w:style w:type="character" w:customStyle="1" w:styleId="80">
    <w:name w:val="批注框文本 Char"/>
    <w:link w:val="29"/>
    <w:qFormat/>
    <w:uiPriority w:val="0"/>
    <w:rPr>
      <w:rFonts w:ascii="Times New Roman" w:hAnsi="Times New Roman" w:eastAsia="宋体" w:cs="Times New Roman"/>
      <w:kern w:val="2"/>
      <w:sz w:val="18"/>
      <w:szCs w:val="18"/>
    </w:rPr>
  </w:style>
  <w:style w:type="character" w:customStyle="1" w:styleId="81">
    <w:name w:val="页脚 Char"/>
    <w:link w:val="30"/>
    <w:qFormat/>
    <w:uiPriority w:val="0"/>
    <w:rPr>
      <w:rFonts w:ascii="Times New Roman" w:hAnsi="Times New Roman" w:eastAsia="黑体" w:cs="Times New Roman"/>
      <w:snapToGrid w:val="0"/>
      <w:sz w:val="18"/>
      <w:szCs w:val="18"/>
    </w:rPr>
  </w:style>
  <w:style w:type="character" w:customStyle="1" w:styleId="82">
    <w:name w:val="页眉 Char"/>
    <w:link w:val="31"/>
    <w:qFormat/>
    <w:uiPriority w:val="0"/>
    <w:rPr>
      <w:rFonts w:ascii="Times New Roman" w:hAnsi="Times New Roman" w:eastAsia="宋体" w:cs="Times New Roman"/>
      <w:kern w:val="2"/>
      <w:sz w:val="18"/>
      <w:szCs w:val="18"/>
    </w:rPr>
  </w:style>
  <w:style w:type="character" w:customStyle="1" w:styleId="83">
    <w:name w:val="脚注文本 Char"/>
    <w:link w:val="35"/>
    <w:qFormat/>
    <w:uiPriority w:val="0"/>
    <w:rPr>
      <w:rFonts w:ascii="Tahoma" w:hAnsi="Tahoma" w:eastAsia="宋体" w:cs="Times New Roman"/>
      <w:kern w:val="2"/>
      <w:sz w:val="18"/>
      <w:szCs w:val="18"/>
    </w:rPr>
  </w:style>
  <w:style w:type="character" w:customStyle="1" w:styleId="84">
    <w:name w:val="正文文本缩进 3 Char"/>
    <w:link w:val="36"/>
    <w:qFormat/>
    <w:uiPriority w:val="0"/>
    <w:rPr>
      <w:rFonts w:ascii="Times New Roman" w:hAnsi="Times New Roman" w:eastAsia="宋体" w:cs="Times New Roman"/>
      <w:kern w:val="2"/>
      <w:sz w:val="21"/>
    </w:rPr>
  </w:style>
  <w:style w:type="character" w:customStyle="1" w:styleId="85">
    <w:name w:val="HTML 预设格式 Char"/>
    <w:link w:val="39"/>
    <w:qFormat/>
    <w:uiPriority w:val="0"/>
    <w:rPr>
      <w:rFonts w:ascii="Arial" w:hAnsi="Arial" w:eastAsia="宋体" w:cs="Arial"/>
      <w:sz w:val="24"/>
      <w:szCs w:val="24"/>
    </w:rPr>
  </w:style>
  <w:style w:type="character" w:customStyle="1" w:styleId="86">
    <w:name w:val="标题 Char"/>
    <w:link w:val="41"/>
    <w:qFormat/>
    <w:uiPriority w:val="0"/>
    <w:rPr>
      <w:rFonts w:ascii="Arial" w:hAnsi="Arial" w:eastAsia="宋体" w:cs="Arial"/>
      <w:b/>
      <w:bCs/>
      <w:kern w:val="2"/>
      <w:sz w:val="32"/>
      <w:szCs w:val="32"/>
    </w:rPr>
  </w:style>
  <w:style w:type="character" w:customStyle="1" w:styleId="87">
    <w:name w:val="批注主题 Char"/>
    <w:link w:val="42"/>
    <w:qFormat/>
    <w:uiPriority w:val="0"/>
    <w:rPr>
      <w:rFonts w:ascii="Times New Roman" w:hAnsi="Times New Roman" w:eastAsia="宋体" w:cs="Times New Roman"/>
      <w:kern w:val="2"/>
      <w:sz w:val="21"/>
      <w:szCs w:val="24"/>
    </w:rPr>
  </w:style>
  <w:style w:type="character" w:customStyle="1" w:styleId="88">
    <w:name w:val="标题 1 Char Char"/>
    <w:qFormat/>
    <w:uiPriority w:val="0"/>
    <w:rPr>
      <w:rFonts w:ascii="Times New Roman" w:hAnsi="Times New Roman" w:eastAsia="宋体" w:cs="Times New Roman"/>
      <w:b/>
      <w:spacing w:val="-2"/>
      <w:sz w:val="24"/>
      <w:lang w:val="en-US" w:eastAsia="zh-CN" w:bidi="ar-SA"/>
    </w:rPr>
  </w:style>
  <w:style w:type="character" w:customStyle="1" w:styleId="89">
    <w:name w:val="正文小标题 Char"/>
    <w:qFormat/>
    <w:uiPriority w:val="0"/>
    <w:rPr>
      <w:rFonts w:ascii="Times New Roman" w:hAnsi="Times New Roman" w:eastAsia="宋体" w:cs="Times New Roman"/>
      <w:kern w:val="2"/>
      <w:sz w:val="21"/>
      <w:szCs w:val="24"/>
    </w:rPr>
  </w:style>
  <w:style w:type="character" w:customStyle="1" w:styleId="90">
    <w:name w:val="ca-39"/>
    <w:qFormat/>
    <w:uiPriority w:val="0"/>
    <w:rPr>
      <w:rFonts w:ascii="Times New Roman" w:hAnsi="Times New Roman" w:eastAsia="宋体" w:cs="Times New Roman"/>
    </w:rPr>
  </w:style>
  <w:style w:type="character" w:customStyle="1" w:styleId="91">
    <w:name w:val="List Paragraph Char"/>
    <w:link w:val="92"/>
    <w:qFormat/>
    <w:uiPriority w:val="0"/>
    <w:rPr>
      <w:rFonts w:ascii="Calibri" w:hAnsi="Calibri" w:eastAsia="宋体" w:cs="Times New Roman"/>
      <w:kern w:val="2"/>
      <w:sz w:val="21"/>
      <w:szCs w:val="22"/>
    </w:rPr>
  </w:style>
  <w:style w:type="paragraph" w:customStyle="1" w:styleId="92">
    <w:name w:val="列出段落1"/>
    <w:basedOn w:val="1"/>
    <w:link w:val="91"/>
    <w:qFormat/>
    <w:uiPriority w:val="0"/>
    <w:pPr>
      <w:ind w:firstLine="420" w:firstLineChars="200"/>
    </w:pPr>
    <w:rPr>
      <w:rFonts w:ascii="Calibri" w:hAnsi="Calibri"/>
      <w:szCs w:val="22"/>
    </w:rPr>
  </w:style>
  <w:style w:type="character" w:customStyle="1" w:styleId="93">
    <w:name w:val="文档结构图 Char"/>
    <w:link w:val="94"/>
    <w:qFormat/>
    <w:uiPriority w:val="0"/>
    <w:rPr>
      <w:rFonts w:ascii="宋体" w:hAnsi="Times New Roman" w:eastAsia="宋体" w:cs="Times New Roman"/>
      <w:sz w:val="18"/>
      <w:szCs w:val="18"/>
    </w:rPr>
  </w:style>
  <w:style w:type="paragraph" w:customStyle="1" w:styleId="94">
    <w:name w:val="文档结构图1"/>
    <w:basedOn w:val="1"/>
    <w:link w:val="93"/>
    <w:qFormat/>
    <w:uiPriority w:val="0"/>
    <w:rPr>
      <w:rFonts w:ascii="宋体"/>
      <w:kern w:val="0"/>
      <w:sz w:val="18"/>
      <w:szCs w:val="18"/>
    </w:rPr>
  </w:style>
  <w:style w:type="character" w:customStyle="1" w:styleId="95">
    <w:name w:val="标书1 Char"/>
    <w:qFormat/>
    <w:uiPriority w:val="0"/>
    <w:rPr>
      <w:rFonts w:hint="eastAsia" w:ascii="宋体" w:hAnsi="宋体" w:eastAsia="宋体" w:cs="宋体"/>
      <w:bCs/>
      <w:kern w:val="44"/>
      <w:sz w:val="44"/>
      <w:lang w:val="en-US" w:eastAsia="zh-CN" w:bidi="ar"/>
    </w:rPr>
  </w:style>
  <w:style w:type="character" w:customStyle="1" w:styleId="96">
    <w:name w:val="p141"/>
    <w:qFormat/>
    <w:uiPriority w:val="0"/>
    <w:rPr>
      <w:rFonts w:ascii="Times New Roman" w:hAnsi="Times New Roman" w:eastAsia="宋体" w:cs="Times New Roman"/>
      <w:sz w:val="21"/>
      <w:szCs w:val="21"/>
      <w:u w:val="none"/>
    </w:rPr>
  </w:style>
  <w:style w:type="character" w:customStyle="1" w:styleId="97">
    <w:name w:val="无间距字符"/>
    <w:link w:val="98"/>
    <w:qFormat/>
    <w:uiPriority w:val="0"/>
    <w:rPr>
      <w:sz w:val="22"/>
      <w:szCs w:val="22"/>
      <w:lang w:val="en-US" w:eastAsia="zh-CN" w:bidi="ar-SA"/>
    </w:rPr>
  </w:style>
  <w:style w:type="paragraph" w:customStyle="1" w:styleId="98">
    <w:name w:val="无间距"/>
    <w:link w:val="97"/>
    <w:qFormat/>
    <w:uiPriority w:val="0"/>
    <w:rPr>
      <w:rFonts w:ascii="Times New Roman" w:hAnsi="Times New Roman" w:eastAsia="宋体" w:cs="Times New Roman"/>
      <w:sz w:val="22"/>
      <w:szCs w:val="22"/>
      <w:lang w:val="en-US" w:eastAsia="zh-CN" w:bidi="ar-SA"/>
    </w:rPr>
  </w:style>
  <w:style w:type="character" w:customStyle="1" w:styleId="99">
    <w:name w:val="普通文字 Char Char1"/>
    <w:qFormat/>
    <w:uiPriority w:val="0"/>
    <w:rPr>
      <w:rFonts w:hint="eastAsia" w:ascii="宋体" w:hAnsi="Courier New" w:eastAsia="宋体" w:cs="宋体"/>
      <w:kern w:val="2"/>
      <w:sz w:val="24"/>
      <w:szCs w:val="24"/>
      <w:lang w:val="en-US" w:eastAsia="zh-CN" w:bidi="ar"/>
    </w:rPr>
  </w:style>
  <w:style w:type="character" w:customStyle="1" w:styleId="100">
    <w:name w:val="列出段落 Char"/>
    <w:link w:val="101"/>
    <w:qFormat/>
    <w:uiPriority w:val="0"/>
    <w:rPr>
      <w:rFonts w:ascii="Times New Roman" w:hAnsi="Times New Roman" w:eastAsia="宋体" w:cs="Times New Roman"/>
      <w:kern w:val="2"/>
      <w:sz w:val="21"/>
      <w:szCs w:val="24"/>
    </w:rPr>
  </w:style>
  <w:style w:type="paragraph" w:customStyle="1" w:styleId="101">
    <w:name w:val="列出段落2"/>
    <w:basedOn w:val="1"/>
    <w:link w:val="100"/>
    <w:qFormat/>
    <w:uiPriority w:val="0"/>
    <w:pPr>
      <w:ind w:firstLine="420" w:firstLineChars="200"/>
    </w:pPr>
  </w:style>
  <w:style w:type="character" w:customStyle="1" w:styleId="102">
    <w:name w:val="正文二级标题 Char"/>
    <w:qFormat/>
    <w:uiPriority w:val="0"/>
    <w:rPr>
      <w:rFonts w:hint="default" w:ascii="Arial" w:hAnsi="Arial" w:eastAsia="黑体" w:cs="Arial"/>
      <w:b/>
      <w:kern w:val="2"/>
      <w:sz w:val="32"/>
      <w:szCs w:val="32"/>
      <w:lang w:val="en-US" w:eastAsia="zh-CN" w:bidi="ar"/>
    </w:rPr>
  </w:style>
  <w:style w:type="character" w:customStyle="1" w:styleId="103">
    <w:name w:val="正文文本 Char"/>
    <w:qFormat/>
    <w:uiPriority w:val="0"/>
    <w:rPr>
      <w:rFonts w:ascii="Times New Roman" w:hAnsi="Times New Roman" w:eastAsia="宋体" w:cs="Times New Roman"/>
      <w:kern w:val="2"/>
      <w:sz w:val="21"/>
      <w:szCs w:val="24"/>
    </w:rPr>
  </w:style>
  <w:style w:type="character" w:styleId="104">
    <w:name w:val="Placeholder Text"/>
    <w:qFormat/>
    <w:uiPriority w:val="0"/>
    <w:rPr>
      <w:rFonts w:ascii="Times New Roman" w:hAnsi="Times New Roman" w:eastAsia="宋体" w:cs="Times New Roman"/>
      <w:color w:val="808080"/>
    </w:rPr>
  </w:style>
  <w:style w:type="character" w:customStyle="1" w:styleId="105">
    <w:name w:val="正文文本缩进 3 Char1"/>
    <w:qFormat/>
    <w:uiPriority w:val="0"/>
    <w:rPr>
      <w:rFonts w:ascii="Times New Roman" w:hAnsi="Times New Roman" w:eastAsia="宋体" w:cs="Times New Roman"/>
      <w:kern w:val="2"/>
      <w:sz w:val="16"/>
      <w:szCs w:val="16"/>
    </w:rPr>
  </w:style>
  <w:style w:type="character" w:customStyle="1" w:styleId="106">
    <w:name w:val="NormalCharacter"/>
    <w:semiHidden/>
    <w:qFormat/>
    <w:uiPriority w:val="0"/>
  </w:style>
  <w:style w:type="character" w:customStyle="1" w:styleId="107">
    <w:name w:val="样式 首行缩进:  0.74 厘米 Char"/>
    <w:link w:val="108"/>
    <w:qFormat/>
    <w:uiPriority w:val="0"/>
    <w:rPr>
      <w:rFonts w:ascii="宋体" w:hAnsi="宋体" w:eastAsia="宋体" w:cs="宋体"/>
      <w:b/>
      <w:kern w:val="2"/>
      <w:sz w:val="24"/>
      <w:szCs w:val="24"/>
    </w:rPr>
  </w:style>
  <w:style w:type="paragraph" w:customStyle="1" w:styleId="108">
    <w:name w:val="样式 首行缩进:  0.74 厘米"/>
    <w:basedOn w:val="1"/>
    <w:link w:val="107"/>
    <w:qFormat/>
    <w:uiPriority w:val="0"/>
    <w:pPr>
      <w:tabs>
        <w:tab w:val="left" w:pos="851"/>
      </w:tabs>
      <w:spacing w:line="360" w:lineRule="auto"/>
    </w:pPr>
    <w:rPr>
      <w:rFonts w:ascii="宋体" w:hAnsi="宋体"/>
      <w:b/>
      <w:sz w:val="24"/>
    </w:rPr>
  </w:style>
  <w:style w:type="character" w:customStyle="1" w:styleId="109">
    <w:name w:val="标题 Char1"/>
    <w:qFormat/>
    <w:uiPriority w:val="0"/>
    <w:rPr>
      <w:rFonts w:ascii="Cambria" w:hAnsi="Cambria" w:eastAsia="宋体" w:cs="Times New Roman"/>
      <w:b/>
      <w:bCs/>
      <w:kern w:val="2"/>
      <w:sz w:val="32"/>
      <w:szCs w:val="32"/>
    </w:rPr>
  </w:style>
  <w:style w:type="character" w:customStyle="1" w:styleId="110">
    <w:name w:val="纯文本 Char1"/>
    <w:qFormat/>
    <w:uiPriority w:val="0"/>
    <w:rPr>
      <w:rFonts w:ascii="宋体" w:hAnsi="Courier New" w:eastAsia="宋体" w:cs="Times New Roman"/>
      <w:szCs w:val="20"/>
    </w:rPr>
  </w:style>
  <w:style w:type="character" w:customStyle="1" w:styleId="111">
    <w:name w:val="h2 Char"/>
    <w:qFormat/>
    <w:uiPriority w:val="0"/>
    <w:rPr>
      <w:rFonts w:ascii="Arial" w:hAnsi="Arial" w:eastAsia="黑体" w:cs="Times New Roman"/>
      <w:b/>
      <w:bCs/>
      <w:kern w:val="2"/>
      <w:sz w:val="32"/>
      <w:szCs w:val="32"/>
      <w:lang w:val="en-US" w:eastAsia="zh-CN" w:bidi="ar-SA"/>
    </w:rPr>
  </w:style>
  <w:style w:type="character" w:customStyle="1" w:styleId="112">
    <w:name w:val="Heading 2 Hidden Char2"/>
    <w:qFormat/>
    <w:uiPriority w:val="0"/>
    <w:rPr>
      <w:rFonts w:ascii="Arial" w:hAnsi="Arial" w:eastAsia="黑体" w:cs="Times New Roman"/>
      <w:b/>
      <w:bCs/>
      <w:kern w:val="2"/>
      <w:sz w:val="32"/>
      <w:szCs w:val="32"/>
      <w:lang w:val="en-US" w:eastAsia="zh-CN" w:bidi="ar-SA"/>
    </w:rPr>
  </w:style>
  <w:style w:type="character" w:customStyle="1" w:styleId="113">
    <w:name w:val="font01"/>
    <w:qFormat/>
    <w:uiPriority w:val="0"/>
    <w:rPr>
      <w:rFonts w:hint="eastAsia" w:ascii="宋体" w:hAnsi="宋体" w:eastAsia="宋体" w:cs="宋体"/>
      <w:color w:val="000000"/>
      <w:kern w:val="0"/>
      <w:sz w:val="24"/>
      <w:szCs w:val="24"/>
      <w:u w:val="none"/>
    </w:rPr>
  </w:style>
  <w:style w:type="character" w:customStyle="1" w:styleId="114">
    <w:name w:val="标题 1字符"/>
    <w:qFormat/>
    <w:uiPriority w:val="0"/>
    <w:rPr>
      <w:rFonts w:ascii="Times New Roman" w:hAnsi="Times New Roman" w:eastAsia="宋体" w:cs="Times New Roman"/>
      <w:b/>
      <w:bCs/>
      <w:kern w:val="44"/>
      <w:sz w:val="32"/>
      <w:lang w:val="en-US" w:eastAsia="zh-CN" w:bidi="ar-SA"/>
    </w:rPr>
  </w:style>
  <w:style w:type="character" w:customStyle="1" w:styleId="115">
    <w:name w:val="批注主题 Char1"/>
    <w:qFormat/>
    <w:uiPriority w:val="0"/>
    <w:rPr>
      <w:rFonts w:ascii="Times New Roman" w:hAnsi="Times New Roman" w:eastAsia="宋体" w:cs="Times New Roman"/>
      <w:b/>
      <w:bCs/>
      <w:kern w:val="2"/>
      <w:sz w:val="21"/>
      <w:szCs w:val="24"/>
    </w:rPr>
  </w:style>
  <w:style w:type="character" w:customStyle="1" w:styleId="116">
    <w:name w:val="标题 2 Char"/>
    <w:qFormat/>
    <w:uiPriority w:val="0"/>
    <w:rPr>
      <w:rFonts w:hint="eastAsia" w:ascii="文鼎小标宋简" w:hAnsi="Times New Roman" w:eastAsia="文鼎小标宋简" w:cs="Times New Roman"/>
      <w:b/>
      <w:sz w:val="36"/>
      <w:lang w:val="en-US" w:eastAsia="zh-CN" w:bidi="ar-SA"/>
    </w:rPr>
  </w:style>
  <w:style w:type="character" w:customStyle="1" w:styleId="117">
    <w:name w:val="脚注文本 Char1"/>
    <w:qFormat/>
    <w:uiPriority w:val="0"/>
    <w:rPr>
      <w:rFonts w:ascii="Times New Roman" w:hAnsi="Times New Roman" w:eastAsia="宋体" w:cs="Times New Roman"/>
      <w:kern w:val="2"/>
      <w:sz w:val="18"/>
      <w:szCs w:val="18"/>
    </w:rPr>
  </w:style>
  <w:style w:type="character" w:customStyle="1" w:styleId="118">
    <w:name w:val="标题 3 Char"/>
    <w:qFormat/>
    <w:uiPriority w:val="0"/>
    <w:rPr>
      <w:rFonts w:ascii="Times New Roman" w:hAnsi="Times New Roman" w:eastAsia="黑体" w:cs="Times New Roman"/>
      <w:b/>
      <w:sz w:val="28"/>
      <w:lang w:val="en-US" w:eastAsia="zh-CN" w:bidi="ar-SA"/>
    </w:rPr>
  </w:style>
  <w:style w:type="paragraph" w:customStyle="1" w:styleId="119">
    <w:name w:val="def正文"/>
    <w:basedOn w:val="19"/>
    <w:qFormat/>
    <w:uiPriority w:val="0"/>
    <w:pPr>
      <w:widowControl/>
      <w:spacing w:after="0" w:line="360" w:lineRule="auto"/>
      <w:ind w:firstLine="510"/>
      <w:jc w:val="left"/>
    </w:pPr>
    <w:rPr>
      <w:rFonts w:hAnsi="Calibri"/>
      <w:kern w:val="0"/>
      <w:sz w:val="24"/>
      <w:szCs w:val="22"/>
    </w:rPr>
  </w:style>
  <w:style w:type="paragraph" w:customStyle="1" w:styleId="120">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21">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22">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
    <w:name w:val="GP正文(首行缩进)"/>
    <w:basedOn w:val="1"/>
    <w:qFormat/>
    <w:uiPriority w:val="0"/>
    <w:pPr>
      <w:spacing w:line="360" w:lineRule="auto"/>
      <w:ind w:firstLine="200" w:firstLineChars="200"/>
      <w:jc w:val="left"/>
    </w:pPr>
    <w:rPr>
      <w:sz w:val="24"/>
      <w:szCs w:val="21"/>
    </w:rPr>
  </w:style>
  <w:style w:type="paragraph" w:customStyle="1" w:styleId="124">
    <w:name w:val="纯文本1"/>
    <w:basedOn w:val="1"/>
    <w:qFormat/>
    <w:uiPriority w:val="0"/>
    <w:pPr>
      <w:adjustRightInd w:val="0"/>
      <w:jc w:val="left"/>
      <w:textAlignment w:val="baseline"/>
    </w:pPr>
    <w:rPr>
      <w:rFonts w:ascii="宋体" w:hAnsi="Courier New"/>
      <w:sz w:val="24"/>
      <w:szCs w:val="20"/>
    </w:rPr>
  </w:style>
  <w:style w:type="paragraph" w:customStyle="1" w:styleId="125">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26">
    <w:name w:val="S4-L15-C"/>
    <w:basedOn w:val="1"/>
    <w:qFormat/>
    <w:uiPriority w:val="0"/>
    <w:pPr>
      <w:spacing w:after="120" w:line="360" w:lineRule="auto"/>
      <w:jc w:val="center"/>
    </w:pPr>
    <w:rPr>
      <w:szCs w:val="20"/>
    </w:rPr>
  </w:style>
  <w:style w:type="paragraph" w:customStyle="1" w:styleId="127">
    <w:name w:val="paragraph1"/>
    <w:basedOn w:val="1"/>
    <w:qFormat/>
    <w:uiPriority w:val="0"/>
    <w:pPr>
      <w:spacing w:after="93" w:afterLines="30" w:line="360" w:lineRule="auto"/>
      <w:ind w:firstLine="480" w:firstLineChars="200"/>
    </w:pPr>
    <w:rPr>
      <w:rFonts w:ascii="Arial" w:hAnsi="Arial"/>
      <w:sz w:val="24"/>
    </w:rPr>
  </w:style>
  <w:style w:type="paragraph" w:customStyle="1" w:styleId="128">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9">
    <w:name w:val="Paragraph Text"/>
    <w:basedOn w:val="1"/>
    <w:qFormat/>
    <w:uiPriority w:val="0"/>
    <w:pPr>
      <w:widowControl/>
      <w:spacing w:line="320" w:lineRule="exact"/>
      <w:jc w:val="left"/>
    </w:pPr>
    <w:rPr>
      <w:rFonts w:ascii="Beijing" w:eastAsia="Times New Roman"/>
      <w:kern w:val="0"/>
      <w:sz w:val="18"/>
      <w:szCs w:val="18"/>
    </w:rPr>
  </w:style>
  <w:style w:type="paragraph" w:customStyle="1" w:styleId="130">
    <w:name w:val="正文_1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1">
    <w:name w:val="正文_1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3">
    <w:name w:val="reader-word-layer reader-word-s11-6"/>
    <w:basedOn w:val="1"/>
    <w:qFormat/>
    <w:uiPriority w:val="0"/>
    <w:pPr>
      <w:widowControl/>
      <w:spacing w:before="100" w:beforeAutospacing="1" w:after="100" w:afterAutospacing="1"/>
      <w:jc w:val="left"/>
    </w:pPr>
    <w:rPr>
      <w:rFonts w:ascii="宋体" w:hAnsi="宋体" w:cs="宋体"/>
      <w:kern w:val="0"/>
      <w:sz w:val="24"/>
    </w:rPr>
  </w:style>
  <w:style w:type="paragraph" w:customStyle="1" w:styleId="134">
    <w:name w:val="font10"/>
    <w:basedOn w:val="1"/>
    <w:qFormat/>
    <w:uiPriority w:val="0"/>
    <w:pPr>
      <w:widowControl/>
      <w:spacing w:before="100" w:beforeAutospacing="1" w:after="100" w:afterAutospacing="1"/>
      <w:jc w:val="left"/>
    </w:pPr>
    <w:rPr>
      <w:rFonts w:ascii="Gulim" w:hAnsi="Gulim" w:eastAsia="Gulim" w:cs="宋体"/>
      <w:b/>
      <w:bCs/>
      <w:kern w:val="0"/>
      <w:sz w:val="20"/>
      <w:szCs w:val="20"/>
    </w:rPr>
  </w:style>
  <w:style w:type="paragraph" w:customStyle="1" w:styleId="135">
    <w:name w:val="xl84"/>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cs="宋体"/>
      <w:b/>
      <w:bCs/>
      <w:kern w:val="0"/>
      <w:sz w:val="20"/>
      <w:szCs w:val="20"/>
    </w:rPr>
  </w:style>
  <w:style w:type="paragraph" w:customStyle="1" w:styleId="136">
    <w:name w:val="样式1"/>
    <w:basedOn w:val="1"/>
    <w:qFormat/>
    <w:uiPriority w:val="0"/>
    <w:pPr>
      <w:tabs>
        <w:tab w:val="left" w:pos="960"/>
      </w:tabs>
      <w:adjustRightInd w:val="0"/>
      <w:ind w:left="960" w:hanging="420"/>
      <w:textAlignment w:val="baseline"/>
    </w:pPr>
    <w:rPr>
      <w:rFonts w:ascii="宋体" w:hAnsi="宋体"/>
      <w:kern w:val="0"/>
      <w:szCs w:val="20"/>
    </w:rPr>
  </w:style>
  <w:style w:type="paragraph" w:customStyle="1" w:styleId="137">
    <w:name w:val="正文文字缩进 2"/>
    <w:basedOn w:val="1"/>
    <w:next w:val="1"/>
    <w:qFormat/>
    <w:uiPriority w:val="0"/>
    <w:pPr>
      <w:widowControl/>
      <w:spacing w:after="120" w:line="480" w:lineRule="auto"/>
      <w:ind w:left="420"/>
    </w:pPr>
    <w:rPr>
      <w:color w:val="000000"/>
      <w:szCs w:val="20"/>
    </w:rPr>
  </w:style>
  <w:style w:type="paragraph" w:customStyle="1" w:styleId="138">
    <w:name w:val="Char Char Char"/>
    <w:basedOn w:val="15"/>
    <w:qFormat/>
    <w:uiPriority w:val="0"/>
    <w:pPr>
      <w:shd w:val="clear" w:color="auto" w:fill="000080"/>
    </w:pPr>
    <w:rPr>
      <w:rFonts w:ascii="Times New Roman"/>
      <w:sz w:val="21"/>
      <w:szCs w:val="24"/>
    </w:rPr>
  </w:style>
  <w:style w:type="paragraph" w:customStyle="1" w:styleId="139">
    <w:name w:val="font9"/>
    <w:basedOn w:val="1"/>
    <w:qFormat/>
    <w:uiPriority w:val="0"/>
    <w:pPr>
      <w:widowControl/>
      <w:spacing w:before="100" w:beforeAutospacing="1" w:after="100" w:afterAutospacing="1"/>
      <w:jc w:val="left"/>
    </w:pPr>
    <w:rPr>
      <w:rFonts w:ascii="新宋体" w:hAnsi="新宋体" w:eastAsia="新宋体" w:cs="宋体"/>
      <w:kern w:val="0"/>
      <w:sz w:val="20"/>
      <w:szCs w:val="20"/>
    </w:rPr>
  </w:style>
  <w:style w:type="paragraph" w:customStyle="1" w:styleId="140">
    <w:name w:val="Table Paragraph"/>
    <w:basedOn w:val="1"/>
    <w:unhideWhenUsed/>
    <w:qFormat/>
    <w:uiPriority w:val="1"/>
    <w:pPr>
      <w:spacing w:before="120"/>
      <w:jc w:val="center"/>
    </w:pPr>
    <w:rPr>
      <w:rFonts w:hint="eastAsia"/>
      <w:sz w:val="24"/>
    </w:rPr>
  </w:style>
  <w:style w:type="paragraph" w:customStyle="1" w:styleId="141">
    <w:name w:val="Char Char1 Char Char Char Char Char Char Char"/>
    <w:basedOn w:val="1"/>
    <w:qFormat/>
    <w:uiPriority w:val="0"/>
    <w:rPr>
      <w:rFonts w:ascii="Tahoma" w:hAnsi="Tahoma"/>
      <w:sz w:val="24"/>
    </w:rPr>
  </w:style>
  <w:style w:type="paragraph" w:customStyle="1" w:styleId="142">
    <w:name w:val="文档正文"/>
    <w:basedOn w:val="1"/>
    <w:qFormat/>
    <w:uiPriority w:val="0"/>
    <w:pPr>
      <w:adjustRightInd w:val="0"/>
      <w:spacing w:line="480" w:lineRule="atLeast"/>
      <w:ind w:firstLine="567"/>
      <w:textAlignment w:val="baseline"/>
    </w:pPr>
    <w:rPr>
      <w:rFonts w:ascii="长城仿宋"/>
      <w:kern w:val="0"/>
      <w:sz w:val="24"/>
      <w:szCs w:val="20"/>
    </w:rPr>
  </w:style>
  <w:style w:type="paragraph" w:customStyle="1" w:styleId="143">
    <w:name w:val="Char2"/>
    <w:basedOn w:val="1"/>
    <w:qFormat/>
    <w:uiPriority w:val="0"/>
    <w:rPr>
      <w:rFonts w:ascii="仿宋_GB2312" w:eastAsia="仿宋_GB2312"/>
      <w:b/>
      <w:sz w:val="32"/>
      <w:szCs w:val="32"/>
    </w:rPr>
  </w:style>
  <w:style w:type="paragraph" w:customStyle="1" w:styleId="1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45">
    <w:name w:val="msonormalcxspmiddle"/>
    <w:basedOn w:val="1"/>
    <w:qFormat/>
    <w:uiPriority w:val="0"/>
    <w:pPr>
      <w:widowControl/>
      <w:spacing w:before="100" w:beforeAutospacing="1" w:after="100" w:afterAutospacing="1"/>
      <w:jc w:val="left"/>
    </w:pPr>
    <w:rPr>
      <w:rFonts w:ascii="宋体" w:hAnsi="宋体" w:cs="宋体"/>
      <w:kern w:val="0"/>
      <w:sz w:val="24"/>
    </w:rPr>
  </w:style>
  <w:style w:type="paragraph" w:customStyle="1" w:styleId="146">
    <w:name w:val="xl108"/>
    <w:basedOn w:val="1"/>
    <w:qFormat/>
    <w:uiPriority w:val="0"/>
    <w:pPr>
      <w:widowControl/>
      <w:spacing w:before="100" w:beforeAutospacing="1" w:after="100" w:afterAutospacing="1"/>
      <w:jc w:val="center"/>
      <w:textAlignment w:val="center"/>
    </w:pPr>
    <w:rPr>
      <w:rFonts w:ascii="宋体" w:hAnsi="宋体" w:cs="宋体"/>
      <w:kern w:val="0"/>
      <w:sz w:val="20"/>
      <w:szCs w:val="20"/>
    </w:rPr>
  </w:style>
  <w:style w:type="paragraph" w:customStyle="1" w:styleId="147">
    <w:name w:val="xl86"/>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b/>
      <w:bCs/>
      <w:kern w:val="0"/>
      <w:sz w:val="20"/>
      <w:szCs w:val="20"/>
    </w:rPr>
  </w:style>
  <w:style w:type="paragraph" w:customStyle="1" w:styleId="148">
    <w:name w:val="GP标题2"/>
    <w:basedOn w:val="1"/>
    <w:next w:val="1"/>
    <w:qFormat/>
    <w:uiPriority w:val="0"/>
    <w:pPr>
      <w:spacing w:before="156" w:beforeLines="50" w:after="156" w:afterLines="50" w:line="360" w:lineRule="auto"/>
      <w:jc w:val="left"/>
      <w:outlineLvl w:val="1"/>
    </w:pPr>
    <w:rPr>
      <w:rFonts w:ascii="华文细黑" w:hAnsi="华文细黑" w:eastAsia="华文细黑"/>
      <w:b/>
      <w:sz w:val="32"/>
      <w:szCs w:val="21"/>
    </w:rPr>
  </w:style>
  <w:style w:type="paragraph" w:customStyle="1" w:styleId="149">
    <w:name w:val="xl85"/>
    <w:basedOn w:val="1"/>
    <w:qFormat/>
    <w:uiPriority w:val="0"/>
    <w:pPr>
      <w:widowControl/>
      <w:spacing w:before="100" w:beforeAutospacing="1" w:after="100" w:afterAutospacing="1"/>
      <w:jc w:val="left"/>
      <w:textAlignment w:val="center"/>
    </w:pPr>
    <w:rPr>
      <w:rFonts w:ascii="宋体" w:hAnsi="宋体" w:cs="宋体"/>
      <w:kern w:val="0"/>
      <w:sz w:val="20"/>
      <w:szCs w:val="20"/>
    </w:rPr>
  </w:style>
  <w:style w:type="paragraph" w:customStyle="1" w:styleId="150">
    <w:name w:val="HT_正文缩进"/>
    <w:basedOn w:val="1"/>
    <w:qFormat/>
    <w:uiPriority w:val="0"/>
    <w:pPr>
      <w:spacing w:before="156" w:beforeLines="50" w:line="300" w:lineRule="auto"/>
      <w:ind w:firstLine="480" w:firstLineChars="200"/>
    </w:pPr>
    <w:rPr>
      <w:sz w:val="24"/>
      <w:szCs w:val="20"/>
    </w:rPr>
  </w:style>
  <w:style w:type="paragraph" w:customStyle="1" w:styleId="151">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52">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ulim" w:hAnsi="Gulim" w:eastAsia="Gulim" w:cs="宋体"/>
      <w:b/>
      <w:bCs/>
      <w:kern w:val="0"/>
      <w:sz w:val="20"/>
      <w:szCs w:val="20"/>
    </w:rPr>
  </w:style>
  <w:style w:type="paragraph" w:customStyle="1" w:styleId="153">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b/>
      <w:bCs/>
      <w:kern w:val="0"/>
      <w:sz w:val="20"/>
      <w:szCs w:val="20"/>
    </w:rPr>
  </w:style>
  <w:style w:type="paragraph" w:customStyle="1" w:styleId="154">
    <w:name w:val="font8"/>
    <w:basedOn w:val="1"/>
    <w:qFormat/>
    <w:uiPriority w:val="0"/>
    <w:pPr>
      <w:widowControl/>
      <w:spacing w:before="100" w:beforeAutospacing="1" w:after="100" w:afterAutospacing="1"/>
      <w:jc w:val="left"/>
    </w:pPr>
    <w:rPr>
      <w:rFonts w:ascii="Gulim" w:hAnsi="Gulim" w:eastAsia="Gulim" w:cs="宋体"/>
      <w:kern w:val="0"/>
      <w:sz w:val="20"/>
      <w:szCs w:val="20"/>
    </w:rPr>
  </w:style>
  <w:style w:type="paragraph" w:customStyle="1" w:styleId="155">
    <w:name w:val="reader-word-layer reader-word-s1-10"/>
    <w:basedOn w:val="1"/>
    <w:qFormat/>
    <w:uiPriority w:val="0"/>
    <w:pPr>
      <w:widowControl/>
      <w:spacing w:before="100" w:beforeAutospacing="1" w:after="100" w:afterAutospacing="1"/>
      <w:jc w:val="left"/>
    </w:pPr>
    <w:rPr>
      <w:rFonts w:ascii="宋体" w:hAnsi="宋体" w:cs="宋体"/>
      <w:kern w:val="0"/>
      <w:sz w:val="24"/>
    </w:rPr>
  </w:style>
  <w:style w:type="paragraph" w:customStyle="1" w:styleId="156">
    <w:name w:val="xl94"/>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ulim" w:hAnsi="Gulim" w:eastAsia="Gulim" w:cs="宋体"/>
      <w:b/>
      <w:bCs/>
      <w:kern w:val="0"/>
      <w:sz w:val="20"/>
      <w:szCs w:val="20"/>
    </w:rPr>
  </w:style>
  <w:style w:type="paragraph" w:customStyle="1" w:styleId="157">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8">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5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kern w:val="0"/>
      <w:sz w:val="20"/>
      <w:szCs w:val="20"/>
    </w:rPr>
  </w:style>
  <w:style w:type="paragraph" w:customStyle="1" w:styleId="160">
    <w:name w:val="默认段落字体 Para Char Char Char Char"/>
    <w:basedOn w:val="1"/>
    <w:qFormat/>
    <w:uiPriority w:val="0"/>
  </w:style>
  <w:style w:type="paragraph" w:customStyle="1" w:styleId="161">
    <w:name w:val="xl105"/>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cs="宋体"/>
      <w:b/>
      <w:bCs/>
      <w:kern w:val="0"/>
      <w:sz w:val="20"/>
      <w:szCs w:val="20"/>
    </w:rPr>
  </w:style>
  <w:style w:type="paragraph" w:customStyle="1" w:styleId="162">
    <w:name w:val="Normal Indent1"/>
    <w:basedOn w:val="1"/>
    <w:qFormat/>
    <w:uiPriority w:val="0"/>
    <w:pPr>
      <w:ind w:firstLine="420" w:firstLineChars="200"/>
    </w:pPr>
  </w:style>
  <w:style w:type="paragraph" w:customStyle="1" w:styleId="16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4">
    <w:name w:val="二级条标题"/>
    <w:basedOn w:val="1"/>
    <w:next w:val="1"/>
    <w:qFormat/>
    <w:uiPriority w:val="0"/>
    <w:pPr>
      <w:widowControl/>
      <w:numPr>
        <w:ilvl w:val="2"/>
        <w:numId w:val="1"/>
      </w:numPr>
      <w:spacing w:before="50" w:after="50"/>
      <w:jc w:val="left"/>
      <w:outlineLvl w:val="3"/>
    </w:pPr>
    <w:rPr>
      <w:rFonts w:ascii="黑体" w:eastAsia="黑体"/>
      <w:kern w:val="0"/>
      <w:szCs w:val="21"/>
    </w:rPr>
  </w:style>
  <w:style w:type="paragraph" w:customStyle="1" w:styleId="165">
    <w:name w:val="Char Char Char1 Char"/>
    <w:basedOn w:val="1"/>
    <w:qFormat/>
    <w:uiPriority w:val="0"/>
    <w:rPr>
      <w:szCs w:val="20"/>
    </w:rPr>
  </w:style>
  <w:style w:type="paragraph" w:customStyle="1" w:styleId="166">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67">
    <w:name w:val="彩色底纹 - 强调文字颜色 61"/>
    <w:basedOn w:val="5"/>
    <w:next w:val="1"/>
    <w:qFormat/>
    <w:uiPriority w:val="0"/>
    <w:pPr>
      <w:widowControl/>
      <w:adjustRightInd/>
      <w:spacing w:before="480" w:line="276" w:lineRule="auto"/>
      <w:jc w:val="left"/>
      <w:textAlignment w:val="auto"/>
      <w:outlineLvl w:val="9"/>
    </w:pPr>
    <w:rPr>
      <w:rFonts w:ascii="Cambria" w:hAnsi="Cambria"/>
      <w:b w:val="0"/>
      <w:color w:val="365F91"/>
      <w:kern w:val="0"/>
      <w:sz w:val="28"/>
      <w:szCs w:val="28"/>
    </w:rPr>
  </w:style>
  <w:style w:type="paragraph" w:customStyle="1" w:styleId="168">
    <w:name w:val="纯文本_0_0"/>
    <w:basedOn w:val="132"/>
    <w:qFormat/>
    <w:uiPriority w:val="0"/>
    <w:rPr>
      <w:rFonts w:ascii="宋体" w:hAnsi="Courier New"/>
      <w:szCs w:val="21"/>
    </w:rPr>
  </w:style>
  <w:style w:type="paragraph" w:customStyle="1" w:styleId="169">
    <w:name w:val="列出段落3"/>
    <w:basedOn w:val="1"/>
    <w:qFormat/>
    <w:uiPriority w:val="0"/>
    <w:pPr>
      <w:ind w:firstLine="420" w:firstLineChars="200"/>
    </w:pPr>
    <w:rPr>
      <w:rFonts w:ascii="Calibri" w:hAnsi="Calibri"/>
      <w:szCs w:val="22"/>
    </w:rPr>
  </w:style>
  <w:style w:type="paragraph" w:customStyle="1" w:styleId="170">
    <w:name w:val="xl9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171">
    <w:name w:val="Char Char Char Char"/>
    <w:basedOn w:val="1"/>
    <w:qFormat/>
    <w:uiPriority w:val="0"/>
    <w:pPr>
      <w:ind w:left="-48"/>
    </w:pPr>
  </w:style>
  <w:style w:type="paragraph" w:customStyle="1" w:styleId="172">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73">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Gulim" w:hAnsi="Gulim" w:eastAsia="Gulim" w:cs="宋体"/>
      <w:kern w:val="0"/>
      <w:sz w:val="20"/>
      <w:szCs w:val="20"/>
    </w:rPr>
  </w:style>
  <w:style w:type="paragraph" w:customStyle="1" w:styleId="174">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75">
    <w:name w:val="Char1"/>
    <w:basedOn w:val="1"/>
    <w:qFormat/>
    <w:uiPriority w:val="0"/>
    <w:rPr>
      <w:rFonts w:ascii="仿宋_GB2312" w:eastAsia="仿宋_GB2312"/>
      <w:b/>
      <w:sz w:val="32"/>
      <w:szCs w:val="32"/>
    </w:rPr>
  </w:style>
  <w:style w:type="paragraph" w:customStyle="1" w:styleId="176">
    <w:name w:val="默认段落字体 Para Char Char Char Char Char Char Char Char Char1 Char Char Char Char"/>
    <w:basedOn w:val="1"/>
    <w:qFormat/>
    <w:uiPriority w:val="0"/>
    <w:rPr>
      <w:rFonts w:ascii="Tahoma" w:hAnsi="Tahoma"/>
      <w:sz w:val="24"/>
      <w:szCs w:val="20"/>
    </w:rPr>
  </w:style>
  <w:style w:type="paragraph" w:customStyle="1" w:styleId="17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kern w:val="0"/>
      <w:sz w:val="20"/>
      <w:szCs w:val="20"/>
    </w:rPr>
  </w:style>
  <w:style w:type="paragraph" w:customStyle="1" w:styleId="178">
    <w:name w:val="Table - Text"/>
    <w:basedOn w:val="1"/>
    <w:qFormat/>
    <w:uiPriority w:val="0"/>
    <w:pPr>
      <w:widowControl/>
      <w:spacing w:before="60" w:afterLines="50"/>
      <w:jc w:val="left"/>
    </w:pPr>
    <w:rPr>
      <w:kern w:val="0"/>
      <w:szCs w:val="20"/>
      <w:lang w:eastAsia="en-US"/>
    </w:rPr>
  </w:style>
  <w:style w:type="paragraph" w:customStyle="1" w:styleId="179">
    <w:name w:val="HT_列表项目编号2"/>
    <w:basedOn w:val="1"/>
    <w:next w:val="1"/>
    <w:qFormat/>
    <w:uiPriority w:val="0"/>
    <w:pPr>
      <w:spacing w:before="156" w:beforeLines="50" w:line="360" w:lineRule="auto"/>
      <w:contextualSpacing/>
    </w:pPr>
    <w:rPr>
      <w:b/>
      <w:sz w:val="24"/>
      <w:szCs w:val="20"/>
    </w:rPr>
  </w:style>
  <w:style w:type="paragraph" w:customStyle="1" w:styleId="180">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0"/>
      <w:szCs w:val="20"/>
    </w:rPr>
  </w:style>
  <w:style w:type="paragraph" w:customStyle="1" w:styleId="181">
    <w:name w:val="ZW"/>
    <w:basedOn w:val="1"/>
    <w:qFormat/>
    <w:uiPriority w:val="0"/>
    <w:pPr>
      <w:widowControl/>
      <w:shd w:val="clear" w:color="auto" w:fill="FFFFFF"/>
      <w:spacing w:line="540" w:lineRule="exact"/>
    </w:pPr>
    <w:rPr>
      <w:rFonts w:ascii="仿宋_GB2312" w:hAnsi="仿宋_GB2312" w:eastAsia="仿宋_GB2312"/>
      <w:bCs/>
      <w:kern w:val="0"/>
      <w:sz w:val="28"/>
      <w:szCs w:val="28"/>
    </w:rPr>
  </w:style>
  <w:style w:type="paragraph" w:customStyle="1" w:styleId="182">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83">
    <w:name w:val="Normal_21"/>
    <w:qFormat/>
    <w:uiPriority w:val="0"/>
    <w:rPr>
      <w:rFonts w:ascii="黑体" w:hAnsi="黑体" w:eastAsia="黑体" w:cs="Times New Roman"/>
      <w:b/>
      <w:sz w:val="32"/>
      <w:szCs w:val="24"/>
      <w:lang w:val="en-US" w:eastAsia="zh-CN" w:bidi="ar-SA"/>
    </w:rPr>
  </w:style>
  <w:style w:type="paragraph" w:customStyle="1" w:styleId="184">
    <w:name w:val="pa-18"/>
    <w:basedOn w:val="1"/>
    <w:qFormat/>
    <w:uiPriority w:val="0"/>
    <w:pPr>
      <w:widowControl/>
      <w:spacing w:before="150" w:after="150"/>
      <w:jc w:val="left"/>
    </w:pPr>
    <w:rPr>
      <w:rFonts w:ascii="宋体" w:hAnsi="宋体" w:cs="宋体"/>
      <w:kern w:val="0"/>
      <w:sz w:val="24"/>
    </w:rPr>
  </w:style>
  <w:style w:type="paragraph" w:customStyle="1" w:styleId="185">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186">
    <w:name w:val="reader-word-layer reader-word-s11-2"/>
    <w:basedOn w:val="1"/>
    <w:qFormat/>
    <w:uiPriority w:val="0"/>
    <w:pPr>
      <w:widowControl/>
      <w:spacing w:before="100" w:beforeAutospacing="1" w:after="100" w:afterAutospacing="1"/>
      <w:jc w:val="left"/>
    </w:pPr>
    <w:rPr>
      <w:rFonts w:ascii="宋体" w:hAnsi="宋体" w:cs="宋体"/>
      <w:kern w:val="0"/>
      <w:sz w:val="24"/>
    </w:rPr>
  </w:style>
  <w:style w:type="paragraph" w:customStyle="1" w:styleId="187">
    <w:name w:val="默认段落字体 Para Char"/>
    <w:basedOn w:val="1"/>
    <w:qFormat/>
    <w:uiPriority w:val="0"/>
    <w:pPr>
      <w:adjustRightInd w:val="0"/>
      <w:spacing w:line="360" w:lineRule="auto"/>
      <w:ind w:firstLine="480"/>
    </w:pPr>
    <w:rPr>
      <w:rFonts w:ascii="宋体" w:hAnsi="宋体"/>
      <w:kern w:val="0"/>
      <w:sz w:val="24"/>
      <w:szCs w:val="20"/>
    </w:rPr>
  </w:style>
  <w:style w:type="paragraph" w:customStyle="1" w:styleId="188">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189">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_Style 4"/>
    <w:basedOn w:val="1"/>
    <w:next w:val="1"/>
    <w:qFormat/>
    <w:uiPriority w:val="0"/>
    <w:pPr>
      <w:pBdr>
        <w:top w:val="single" w:color="auto" w:sz="6" w:space="1"/>
      </w:pBdr>
      <w:jc w:val="center"/>
    </w:pPr>
    <w:rPr>
      <w:rFonts w:ascii="Arial"/>
      <w:vanish/>
      <w:sz w:val="16"/>
    </w:rPr>
  </w:style>
  <w:style w:type="paragraph" w:customStyle="1" w:styleId="191">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b/>
      <w:bCs/>
      <w:kern w:val="0"/>
      <w:sz w:val="20"/>
      <w:szCs w:val="20"/>
    </w:rPr>
  </w:style>
  <w:style w:type="paragraph" w:customStyle="1" w:styleId="192">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93">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94">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ascii="宋体" w:hAnsi="宋体" w:cs="宋体"/>
      <w:kern w:val="0"/>
      <w:sz w:val="20"/>
      <w:szCs w:val="20"/>
    </w:rPr>
  </w:style>
  <w:style w:type="paragraph" w:customStyle="1" w:styleId="195">
    <w:name w:val="标题2"/>
    <w:basedOn w:val="7"/>
    <w:qFormat/>
    <w:uiPriority w:val="0"/>
    <w:pPr>
      <w:widowControl/>
      <w:spacing w:before="100" w:beforeLines="100" w:after="30" w:afterLines="30" w:line="540" w:lineRule="exact"/>
      <w:jc w:val="both"/>
      <w:outlineLvl w:val="1"/>
    </w:pPr>
    <w:rPr>
      <w:rFonts w:ascii="黑体" w:hAnsi="黑体" w:eastAsia="黑体" w:cs="黑体"/>
      <w:sz w:val="32"/>
      <w:lang w:val="zh-CN"/>
    </w:rPr>
  </w:style>
  <w:style w:type="paragraph" w:customStyle="1" w:styleId="196">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97">
    <w:name w:val="正文1"/>
    <w:qFormat/>
    <w:uiPriority w:val="0"/>
    <w:rPr>
      <w:rFonts w:ascii="Times New Roman" w:hAnsi="Times New Roman" w:eastAsia="Times New Roman" w:cs="Times New Roman"/>
      <w:sz w:val="24"/>
      <w:szCs w:val="24"/>
      <w:lang w:val="en-US" w:eastAsia="zh-CN" w:bidi="ar-SA"/>
    </w:rPr>
  </w:style>
  <w:style w:type="paragraph" w:customStyle="1" w:styleId="198">
    <w:name w:val="TableText"/>
    <w:basedOn w:val="1"/>
    <w:qFormat/>
    <w:uiPriority w:val="0"/>
    <w:pPr>
      <w:snapToGrid w:val="0"/>
      <w:spacing w:before="62" w:beforeLines="20" w:after="62" w:afterLines="20"/>
      <w:jc w:val="center"/>
    </w:pPr>
    <w:rPr>
      <w:rFonts w:hint="eastAsia"/>
      <w:szCs w:val="20"/>
    </w:rPr>
  </w:style>
  <w:style w:type="paragraph" w:customStyle="1" w:styleId="199">
    <w:name w:val="a正文"/>
    <w:basedOn w:val="1"/>
    <w:qFormat/>
    <w:uiPriority w:val="0"/>
    <w:pPr>
      <w:spacing w:line="360" w:lineRule="auto"/>
      <w:ind w:firstLine="480" w:firstLineChars="200"/>
    </w:pPr>
    <w:rPr>
      <w:rFonts w:ascii="宋体" w:hAnsi="宋体"/>
      <w:kern w:val="0"/>
      <w:sz w:val="24"/>
      <w:szCs w:val="20"/>
    </w:rPr>
  </w:style>
  <w:style w:type="paragraph" w:customStyle="1" w:styleId="200">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kern w:val="0"/>
      <w:sz w:val="20"/>
      <w:szCs w:val="20"/>
    </w:rPr>
  </w:style>
  <w:style w:type="paragraph" w:customStyle="1" w:styleId="201">
    <w:name w:val="Normal_22"/>
    <w:qFormat/>
    <w:uiPriority w:val="0"/>
    <w:pPr>
      <w:widowControl w:val="0"/>
      <w:jc w:val="both"/>
    </w:pPr>
    <w:rPr>
      <w:rFonts w:ascii="Times New Roman" w:hAnsi="Times New Roman" w:eastAsia="Times New Roman" w:cs="Times New Roman"/>
      <w:lang w:val="en-US" w:eastAsia="zh-CN" w:bidi="ar-SA"/>
    </w:rPr>
  </w:style>
  <w:style w:type="paragraph" w:customStyle="1" w:styleId="202">
    <w:name w:val="正文段"/>
    <w:basedOn w:val="1"/>
    <w:qFormat/>
    <w:uiPriority w:val="0"/>
    <w:pPr>
      <w:widowControl/>
      <w:snapToGrid w:val="0"/>
      <w:spacing w:after="50" w:afterLines="50"/>
      <w:ind w:firstLine="200" w:firstLineChars="200"/>
    </w:pPr>
    <w:rPr>
      <w:kern w:val="0"/>
      <w:sz w:val="24"/>
      <w:szCs w:val="20"/>
    </w:rPr>
  </w:style>
  <w:style w:type="paragraph" w:customStyle="1" w:styleId="203">
    <w:name w:val="正文2"/>
    <w:basedOn w:val="1"/>
    <w:qFormat/>
    <w:uiPriority w:val="0"/>
    <w:pPr>
      <w:spacing w:before="156" w:line="360" w:lineRule="auto"/>
      <w:ind w:firstLine="510" w:firstLineChars="200"/>
    </w:pPr>
    <w:rPr>
      <w:sz w:val="24"/>
      <w:szCs w:val="20"/>
    </w:rPr>
  </w:style>
  <w:style w:type="paragraph" w:customStyle="1" w:styleId="204">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05">
    <w:name w:val="font11"/>
    <w:basedOn w:val="1"/>
    <w:qFormat/>
    <w:uiPriority w:val="0"/>
    <w:pPr>
      <w:widowControl/>
      <w:spacing w:before="100" w:beforeAutospacing="1" w:after="100" w:afterAutospacing="1"/>
      <w:jc w:val="left"/>
    </w:pPr>
    <w:rPr>
      <w:rFonts w:ascii="新宋体" w:hAnsi="新宋体" w:eastAsia="新宋体" w:cs="宋体"/>
      <w:b/>
      <w:bCs/>
      <w:kern w:val="0"/>
      <w:sz w:val="20"/>
      <w:szCs w:val="20"/>
    </w:rPr>
  </w:style>
  <w:style w:type="paragraph" w:customStyle="1" w:styleId="206">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kern w:val="0"/>
      <w:sz w:val="20"/>
      <w:szCs w:val="20"/>
    </w:rPr>
  </w:style>
  <w:style w:type="paragraph" w:customStyle="1" w:styleId="207">
    <w:name w:val="_Style 3"/>
    <w:basedOn w:val="1"/>
    <w:next w:val="1"/>
    <w:qFormat/>
    <w:uiPriority w:val="0"/>
    <w:pPr>
      <w:pBdr>
        <w:bottom w:val="single" w:color="auto" w:sz="6" w:space="1"/>
      </w:pBdr>
      <w:jc w:val="center"/>
    </w:pPr>
    <w:rPr>
      <w:rFonts w:ascii="Arial"/>
      <w:vanish/>
      <w:sz w:val="16"/>
    </w:rPr>
  </w:style>
  <w:style w:type="paragraph" w:customStyle="1" w:styleId="20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9">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kern w:val="0"/>
      <w:sz w:val="20"/>
      <w:szCs w:val="20"/>
    </w:rPr>
  </w:style>
  <w:style w:type="paragraph" w:customStyle="1" w:styleId="210">
    <w:name w:val="标题3333"/>
    <w:basedOn w:val="1"/>
    <w:qFormat/>
    <w:uiPriority w:val="0"/>
    <w:pPr>
      <w:ind w:left="-171" w:leftChars="-171" w:hanging="359" w:hangingChars="149"/>
    </w:pPr>
    <w:rPr>
      <w:rFonts w:ascii="宋体" w:hAnsi="宋体"/>
      <w:b/>
      <w:sz w:val="24"/>
      <w:szCs w:val="20"/>
    </w:rPr>
  </w:style>
  <w:style w:type="paragraph" w:customStyle="1" w:styleId="211">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b/>
      <w:bCs/>
      <w:kern w:val="0"/>
      <w:sz w:val="20"/>
      <w:szCs w:val="20"/>
    </w:rPr>
  </w:style>
  <w:style w:type="paragraph" w:customStyle="1" w:styleId="212">
    <w:name w:val="xl8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213">
    <w:name w:val="Plain Text"/>
    <w:basedOn w:val="1"/>
    <w:qFormat/>
    <w:uiPriority w:val="0"/>
    <w:pPr>
      <w:adjustRightInd w:val="0"/>
      <w:jc w:val="left"/>
      <w:textAlignment w:val="baseline"/>
    </w:pPr>
    <w:rPr>
      <w:rFonts w:ascii="宋体" w:hAnsi="Courier New" w:eastAsia="宋体" w:cs="Times New Roman"/>
      <w:sz w:val="24"/>
      <w:szCs w:val="20"/>
    </w:rPr>
  </w:style>
  <w:style w:type="paragraph" w:customStyle="1" w:styleId="214">
    <w:name w:val="CM26"/>
    <w:basedOn w:val="1"/>
    <w:next w:val="1"/>
    <w:qFormat/>
    <w:uiPriority w:val="0"/>
    <w:pPr>
      <w:autoSpaceDE w:val="0"/>
      <w:autoSpaceDN w:val="0"/>
      <w:adjustRightInd w:val="0"/>
      <w:spacing w:line="400" w:lineRule="atLeast"/>
      <w:ind w:firstLine="0" w:firstLineChars="0"/>
      <w:jc w:val="left"/>
    </w:pPr>
    <w:rPr>
      <w:rFonts w:ascii="宋体" w:hAnsi="宋体"/>
      <w:kern w:val="0"/>
      <w:szCs w:val="24"/>
    </w:rPr>
  </w:style>
  <w:style w:type="paragraph" w:customStyle="1" w:styleId="215">
    <w:name w:val="普通(网站)_0"/>
    <w:basedOn w:val="1"/>
    <w:unhideWhenUsed/>
    <w:qFormat/>
    <w:uiPriority w:val="0"/>
    <w:pPr>
      <w:spacing w:before="100" w:beforeAutospacing="1" w:after="100" w:afterAutospacing="1"/>
    </w:pPr>
    <w:rPr>
      <w:rFonts w:ascii="宋体" w:eastAsia="宋体"/>
      <w:color w:val="auto"/>
      <w:sz w:val="24"/>
      <w:szCs w:val="22"/>
    </w:rPr>
  </w:style>
  <w:style w:type="paragraph" w:customStyle="1" w:styleId="216">
    <w:name w:val="样式 标题 31.1.1标题 333rd levelBOD 0Bold HeadCTH3H31Heading ...1"/>
    <w:basedOn w:val="7"/>
    <w:qFormat/>
    <w:uiPriority w:val="0"/>
    <w:pPr>
      <w:spacing w:before="0" w:after="0"/>
      <w:ind w:firstLine="0" w:firstLineChars="0"/>
    </w:pPr>
    <w:rPr>
      <w:rFonts w:hAnsi="宋体" w:cs="宋体"/>
      <w:sz w:val="24"/>
    </w:rPr>
  </w:style>
  <w:style w:type="paragraph" w:customStyle="1" w:styleId="217">
    <w:name w:val="索引 11"/>
    <w:basedOn w:val="1"/>
    <w:next w:val="1"/>
    <w:qFormat/>
    <w:uiPriority w:val="0"/>
    <w:pPr>
      <w:spacing w:line="360" w:lineRule="auto"/>
    </w:pPr>
    <w:rPr>
      <w:rFonts w:ascii="仿宋_GB2312" w:hAnsi="Times New Roman" w:eastAsia="仿宋_GB2312"/>
      <w:sz w:val="24"/>
      <w:szCs w:val="20"/>
    </w:rPr>
  </w:style>
  <w:style w:type="character" w:customStyle="1" w:styleId="218">
    <w:name w:val="标题 1 字符"/>
    <w:link w:val="5"/>
    <w:qFormat/>
    <w:uiPriority w:val="0"/>
    <w:rPr>
      <w:rFonts w:ascii="Times New Roman" w:hAnsi="Times New Roman" w:eastAsia="宋体" w:cs="Times New Roman"/>
      <w:b/>
      <w:bCs/>
      <w:kern w:val="44"/>
      <w:sz w:val="32"/>
      <w:lang w:val="en-US" w:eastAsia="zh-CN" w:bidi="ar-SA"/>
    </w:rPr>
  </w:style>
  <w:style w:type="paragraph" w:customStyle="1" w:styleId="219">
    <w:name w:val="表格"/>
    <w:basedOn w:val="1"/>
    <w:qFormat/>
    <w:uiPriority w:val="0"/>
    <w:pPr>
      <w:snapToGrid w:val="0"/>
      <w:ind w:firstLine="21" w:firstLineChars="21"/>
    </w:pPr>
    <w:rPr>
      <w:rFonts w:ascii="宋体"/>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6700</Words>
  <Characters>8279</Characters>
  <Lines>320</Lines>
  <Paragraphs>90</Paragraphs>
  <TotalTime>60</TotalTime>
  <ScaleCrop>false</ScaleCrop>
  <LinksUpToDate>false</LinksUpToDate>
  <CharactersWithSpaces>8446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2022-02-21T01:13:00Z</dcterms:created>
  <dc:creator>oempc</dc:creator>
  <cp:lastModifiedBy>NTKO</cp:lastModifiedBy>
  <cp:lastPrinted>2025-03-04T07:03:00Z</cp:lastPrinted>
  <dcterms:modified xsi:type="dcterms:W3CDTF">2025-04-11T03:08:55Z</dcterms:modified>
  <dc:title>青田县政府采购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CF11502A672E4168B2D5B605D8B3DCCA_13</vt:lpwstr>
  </property>
  <property fmtid="{D5CDD505-2E9C-101B-9397-08002B2CF9AE}" pid="4" name="KSOTemplateDocerSaveRecord">
    <vt:lpwstr>eyJoZGlkIjoiYzYzMGJhMTA2MDFkYjAxNGUzM2VkM2E3ZTU1OTMzYjkiLCJ1c2VySWQiOiI4ODE1ODg4MzAifQ==</vt:lpwstr>
  </property>
</Properties>
</file>