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ECDFF">
      <w:pPr>
        <w:pStyle w:val="15"/>
        <w:ind w:firstLine="0"/>
        <w:rPr>
          <w:rFonts w:eastAsia="宋体" w:cs="宋体"/>
          <w:color w:val="000000" w:themeColor="text1"/>
          <w14:textFill>
            <w14:solidFill>
              <w14:schemeClr w14:val="tx1"/>
            </w14:solidFill>
          </w14:textFill>
        </w:rPr>
      </w:pPr>
    </w:p>
    <w:p w14:paraId="4E3E20FE">
      <w:pPr>
        <w:rPr>
          <w:rFonts w:ascii="宋体" w:hAnsi="宋体" w:cs="宋体"/>
          <w:color w:val="000000" w:themeColor="text1"/>
          <w14:textFill>
            <w14:solidFill>
              <w14:schemeClr w14:val="tx1"/>
            </w14:solidFill>
          </w14:textFill>
        </w:rPr>
      </w:pPr>
    </w:p>
    <w:p w14:paraId="378C70BB">
      <w:pPr>
        <w:pStyle w:val="3"/>
        <w:rPr>
          <w:rFonts w:ascii="宋体" w:hAnsi="宋体" w:eastAsia="宋体" w:cs="宋体"/>
          <w:color w:val="000000" w:themeColor="text1"/>
          <w14:textFill>
            <w14:solidFill>
              <w14:schemeClr w14:val="tx1"/>
            </w14:solidFill>
          </w14:textFill>
        </w:rPr>
      </w:pPr>
    </w:p>
    <w:p w14:paraId="6C04FFB2">
      <w:pPr>
        <w:rPr>
          <w:rFonts w:ascii="宋体" w:hAnsi="宋体" w:cs="宋体"/>
          <w:color w:val="000000" w:themeColor="text1"/>
          <w14:textFill>
            <w14:solidFill>
              <w14:schemeClr w14:val="tx1"/>
            </w14:solidFill>
          </w14:textFill>
        </w:rPr>
      </w:pPr>
    </w:p>
    <w:p w14:paraId="38DFDC47">
      <w:pPr>
        <w:autoSpaceDE w:val="0"/>
        <w:autoSpaceDN w:val="0"/>
        <w:spacing w:line="360" w:lineRule="auto"/>
        <w:jc w:val="center"/>
        <w:textAlignment w:val="bottom"/>
        <w:rPr>
          <w:rFonts w:ascii="宋体" w:hAnsi="宋体" w:cs="宋体"/>
          <w:color w:val="000000" w:themeColor="text1"/>
          <w:sz w:val="72"/>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宋体"/>
          <w:b/>
          <w:color w:val="000000" w:themeColor="text1"/>
          <w:sz w:val="84"/>
          <w14:shadow w14:blurRad="50800" w14:dist="38100" w14:dir="2700000" w14:sx="100000" w14:sy="100000" w14:kx="0" w14:ky="0" w14:algn="tl">
            <w14:srgbClr w14:val="000000">
              <w14:alpha w14:val="60000"/>
            </w14:srgbClr>
          </w14:shadow>
          <w14:textFill>
            <w14:solidFill>
              <w14:schemeClr w14:val="tx1"/>
            </w14:solidFill>
          </w14:textFill>
        </w:rPr>
        <w:t>招  标  文  件</w:t>
      </w:r>
    </w:p>
    <w:p w14:paraId="3DDFBEDC">
      <w:pPr>
        <w:pStyle w:val="15"/>
        <w:ind w:firstLine="0"/>
        <w:rPr>
          <w:rFonts w:eastAsia="宋体" w:cs="宋体"/>
          <w:color w:val="000000" w:themeColor="text1"/>
          <w14:textFill>
            <w14:solidFill>
              <w14:schemeClr w14:val="tx1"/>
            </w14:solidFill>
          </w14:textFill>
        </w:rPr>
      </w:pPr>
    </w:p>
    <w:p w14:paraId="3F3B9755">
      <w:pPr>
        <w:pStyle w:val="15"/>
        <w:rPr>
          <w:rFonts w:eastAsia="宋体" w:cs="宋体"/>
          <w:color w:val="000000" w:themeColor="text1"/>
          <w14:textFill>
            <w14:solidFill>
              <w14:schemeClr w14:val="tx1"/>
            </w14:solidFill>
          </w14:textFill>
        </w:rPr>
      </w:pPr>
    </w:p>
    <w:p w14:paraId="77FBD371">
      <w:pPr>
        <w:spacing w:line="360" w:lineRule="auto"/>
        <w:rPr>
          <w:rFonts w:ascii="宋体" w:hAnsi="宋体" w:cs="宋体"/>
          <w:b/>
          <w:color w:val="000000" w:themeColor="text1"/>
          <w:sz w:val="30"/>
          <w:szCs w:val="30"/>
          <w14:textFill>
            <w14:solidFill>
              <w14:schemeClr w14:val="tx1"/>
            </w14:solidFill>
          </w14:textFill>
        </w:rPr>
      </w:pPr>
    </w:p>
    <w:p w14:paraId="3083F21D">
      <w:pPr>
        <w:spacing w:line="360" w:lineRule="auto"/>
        <w:ind w:firstLine="723" w:firstLineChars="2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采购编号: JY分散公开2024-</w:t>
      </w:r>
      <w:r>
        <w:rPr>
          <w:rFonts w:hint="eastAsia" w:ascii="宋体" w:hAnsi="宋体" w:cs="宋体"/>
          <w:b/>
          <w:color w:val="000000" w:themeColor="text1"/>
          <w:sz w:val="36"/>
          <w:szCs w:val="36"/>
          <w:lang w:val="en-US" w:eastAsia="zh-CN"/>
          <w14:textFill>
            <w14:solidFill>
              <w14:schemeClr w14:val="tx1"/>
            </w14:solidFill>
          </w14:textFill>
        </w:rPr>
        <w:t>37</w:t>
      </w:r>
      <w:r>
        <w:rPr>
          <w:rFonts w:hint="eastAsia" w:ascii="宋体" w:hAnsi="宋体" w:cs="宋体"/>
          <w:b/>
          <w:color w:val="000000" w:themeColor="text1"/>
          <w:sz w:val="36"/>
          <w:szCs w:val="36"/>
          <w14:textFill>
            <w14:solidFill>
              <w14:schemeClr w14:val="tx1"/>
            </w14:solidFill>
          </w14:textFill>
        </w:rPr>
        <w:t xml:space="preserve"> </w:t>
      </w:r>
    </w:p>
    <w:p w14:paraId="3B769A2F">
      <w:pPr>
        <w:spacing w:line="360" w:lineRule="auto"/>
        <w:jc w:val="center"/>
        <w:rPr>
          <w:rFonts w:ascii="宋体" w:hAnsi="宋体" w:cs="宋体"/>
          <w:b/>
          <w:color w:val="000000" w:themeColor="text1"/>
          <w:sz w:val="36"/>
          <w:szCs w:val="36"/>
          <w14:textFill>
            <w14:solidFill>
              <w14:schemeClr w14:val="tx1"/>
            </w14:solidFill>
          </w14:textFill>
        </w:rPr>
      </w:pPr>
    </w:p>
    <w:p w14:paraId="3FFFDB4C">
      <w:pPr>
        <w:spacing w:line="360" w:lineRule="auto"/>
        <w:ind w:left="2525" w:leftChars="342" w:hanging="1807" w:hangingChars="5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项目名称</w:t>
      </w:r>
      <w:r>
        <w:rPr>
          <w:rFonts w:hint="eastAsia" w:ascii="宋体" w:hAnsi="宋体" w:cs="宋体"/>
          <w:b/>
          <w:color w:val="000000" w:themeColor="text1"/>
          <w:sz w:val="32"/>
          <w:szCs w:val="32"/>
          <w14:textFill>
            <w14:solidFill>
              <w14:schemeClr w14:val="tx1"/>
            </w14:solidFill>
          </w14:textFill>
        </w:rPr>
        <w:t>:</w:t>
      </w:r>
      <w:r>
        <w:rPr>
          <w:rFonts w:hint="eastAsia" w:ascii="宋体" w:hAnsi="宋体" w:cs="宋体"/>
          <w:b/>
          <w:color w:val="000000" w:themeColor="text1"/>
          <w:sz w:val="36"/>
          <w:szCs w:val="36"/>
          <w14:textFill>
            <w14:solidFill>
              <w14:schemeClr w14:val="tx1"/>
            </w14:solidFill>
          </w14:textFill>
        </w:rPr>
        <w:t>缙云县第二人民医院迁建项目污水设备及基础设施采购项目</w:t>
      </w:r>
    </w:p>
    <w:p w14:paraId="093DEB7E">
      <w:pPr>
        <w:spacing w:line="360" w:lineRule="auto"/>
        <w:ind w:firstLine="723" w:firstLineChars="200"/>
        <w:rPr>
          <w:rFonts w:ascii="宋体" w:hAnsi="宋体" w:cs="宋体"/>
          <w:b/>
          <w:color w:val="000000" w:themeColor="text1"/>
          <w:sz w:val="36"/>
          <w:szCs w:val="36"/>
          <w14:textFill>
            <w14:solidFill>
              <w14:schemeClr w14:val="tx1"/>
            </w14:solidFill>
          </w14:textFill>
        </w:rPr>
      </w:pPr>
    </w:p>
    <w:p w14:paraId="2EBC559F">
      <w:pPr>
        <w:spacing w:line="360" w:lineRule="auto"/>
        <w:ind w:firstLine="723" w:firstLineChars="200"/>
        <w:rPr>
          <w:rFonts w:ascii="宋体" w:hAnsi="宋体" w:cs="宋体"/>
          <w:b/>
          <w:color w:val="000000" w:themeColor="text1"/>
          <w:spacing w:val="-20"/>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采 购 人: </w:t>
      </w:r>
      <w:r>
        <w:rPr>
          <w:rFonts w:hint="eastAsia" w:ascii="宋体" w:hAnsi="宋体" w:cs="宋体"/>
          <w:b/>
          <w:color w:val="000000" w:themeColor="text1"/>
          <w:spacing w:val="-20"/>
          <w:sz w:val="36"/>
          <w:szCs w:val="36"/>
          <w14:textFill>
            <w14:solidFill>
              <w14:schemeClr w14:val="tx1"/>
            </w14:solidFill>
          </w14:textFill>
        </w:rPr>
        <w:t>缙云县第二人民医院</w:t>
      </w:r>
    </w:p>
    <w:p w14:paraId="1BB694CD">
      <w:pPr>
        <w:spacing w:line="360" w:lineRule="auto"/>
        <w:jc w:val="center"/>
        <w:rPr>
          <w:rFonts w:ascii="宋体" w:hAnsi="宋体" w:cs="宋体"/>
          <w:b/>
          <w:color w:val="000000" w:themeColor="text1"/>
          <w:sz w:val="36"/>
          <w:szCs w:val="36"/>
          <w14:textFill>
            <w14:solidFill>
              <w14:schemeClr w14:val="tx1"/>
            </w14:solidFill>
          </w14:textFill>
        </w:rPr>
      </w:pPr>
    </w:p>
    <w:p w14:paraId="600F3209">
      <w:pPr>
        <w:spacing w:line="360" w:lineRule="auto"/>
        <w:ind w:firstLine="723" w:firstLineChars="2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采购代理机构:浙江大兴建设项目管理咨询有限公司</w:t>
      </w:r>
    </w:p>
    <w:p w14:paraId="02FB2662">
      <w:pPr>
        <w:spacing w:line="360" w:lineRule="auto"/>
        <w:jc w:val="center"/>
        <w:rPr>
          <w:rFonts w:ascii="宋体" w:hAnsi="宋体" w:cs="宋体"/>
          <w:b/>
          <w:color w:val="000000" w:themeColor="text1"/>
          <w:sz w:val="36"/>
          <w:szCs w:val="36"/>
          <w14:textFill>
            <w14:solidFill>
              <w14:schemeClr w14:val="tx1"/>
            </w14:solidFill>
          </w14:textFill>
        </w:rPr>
      </w:pPr>
    </w:p>
    <w:p w14:paraId="0A2AC443">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2024年</w:t>
      </w:r>
      <w:r>
        <w:rPr>
          <w:rFonts w:hint="eastAsia" w:ascii="宋体" w:hAnsi="宋体" w:cs="宋体"/>
          <w:b/>
          <w:color w:val="000000" w:themeColor="text1"/>
          <w:sz w:val="36"/>
          <w:szCs w:val="36"/>
          <w:lang w:val="en-US" w:eastAsia="zh-CN"/>
          <w14:textFill>
            <w14:solidFill>
              <w14:schemeClr w14:val="tx1"/>
            </w14:solidFill>
          </w14:textFill>
        </w:rPr>
        <w:t>9</w:t>
      </w:r>
      <w:r>
        <w:rPr>
          <w:rFonts w:hint="eastAsia" w:ascii="宋体" w:hAnsi="宋体" w:cs="宋体"/>
          <w:b/>
          <w:color w:val="000000" w:themeColor="text1"/>
          <w:sz w:val="36"/>
          <w:szCs w:val="36"/>
          <w14:textFill>
            <w14:solidFill>
              <w14:schemeClr w14:val="tx1"/>
            </w14:solidFill>
          </w14:textFill>
        </w:rPr>
        <w:t>月</w:t>
      </w:r>
    </w:p>
    <w:p w14:paraId="7503AC98">
      <w:pPr>
        <w:pStyle w:val="15"/>
        <w:rPr>
          <w:rFonts w:eastAsia="宋体" w:cs="宋体"/>
          <w:color w:val="000000" w:themeColor="text1"/>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14:paraId="32296D1E">
      <w:pPr>
        <w:rPr>
          <w:rFonts w:ascii="宋体" w:hAnsi="宋体" w:cs="宋体"/>
          <w:color w:val="000000" w:themeColor="text1"/>
          <w14:textFill>
            <w14:solidFill>
              <w14:schemeClr w14:val="tx1"/>
            </w14:solidFill>
          </w14:textFill>
        </w:rPr>
      </w:pPr>
    </w:p>
    <w:sdt>
      <w:sdtPr>
        <w:rPr>
          <w:rFonts w:hint="eastAsia" w:ascii="宋体" w:hAnsi="宋体" w:cs="宋体"/>
          <w:color w:val="000000" w:themeColor="text1"/>
          <w14:textFill>
            <w14:solidFill>
              <w14:schemeClr w14:val="tx1"/>
            </w14:solidFill>
          </w14:textFill>
        </w:rPr>
        <w:id w:val="147464508"/>
        <w:docPartObj>
          <w:docPartGallery w:val="Table of Contents"/>
          <w:docPartUnique/>
        </w:docPartObj>
      </w:sdtPr>
      <w:sdtEndPr>
        <w:rPr>
          <w:rFonts w:hint="eastAsia" w:ascii="宋体" w:hAnsi="宋体" w:cs="宋体"/>
          <w:color w:val="auto"/>
          <w:sz w:val="22"/>
          <w:szCs w:val="28"/>
        </w:rPr>
      </w:sdtEndPr>
      <w:sdtContent>
        <w:p w14:paraId="1F238BEA">
          <w:pPr>
            <w:jc w:val="center"/>
            <w:rPr>
              <w:rFonts w:ascii="宋体" w:hAnsi="宋体" w:cs="宋体"/>
              <w:color w:val="000000" w:themeColor="text1"/>
              <w14:textFill>
                <w14:solidFill>
                  <w14:schemeClr w14:val="tx1"/>
                </w14:solidFill>
              </w14:textFill>
            </w:rPr>
          </w:pPr>
          <w:bookmarkStart w:id="0" w:name="_Toc3568_WPSOffice_Level1"/>
        </w:p>
        <w:p w14:paraId="18063EC8">
          <w:pPr>
            <w:jc w:val="center"/>
            <w:rPr>
              <w:rFonts w:ascii="宋体" w:hAnsi="宋体" w:cs="宋体"/>
              <w:color w:val="000000" w:themeColor="text1"/>
              <w14:textFill>
                <w14:solidFill>
                  <w14:schemeClr w14:val="tx1"/>
                </w14:solidFill>
              </w14:textFill>
            </w:rPr>
          </w:pPr>
        </w:p>
        <w:p w14:paraId="06F60B90">
          <w:pPr>
            <w:jc w:val="center"/>
            <w:rPr>
              <w:rFonts w:ascii="宋体" w:hAnsi="宋体" w:cs="宋体"/>
              <w:color w:val="000000" w:themeColor="text1"/>
              <w14:textFill>
                <w14:solidFill>
                  <w14:schemeClr w14:val="tx1"/>
                </w14:solidFill>
              </w14:textFill>
            </w:rPr>
          </w:pPr>
        </w:p>
        <w:p w14:paraId="289D2DD7">
          <w:pPr>
            <w:jc w:val="center"/>
            <w:rPr>
              <w:rFonts w:ascii="宋体" w:hAnsi="宋体" w:cs="宋体"/>
              <w:color w:val="000000" w:themeColor="text1"/>
              <w:sz w:val="40"/>
              <w:szCs w:val="48"/>
              <w14:textFill>
                <w14:solidFill>
                  <w14:schemeClr w14:val="tx1"/>
                </w14:solidFill>
              </w14:textFill>
            </w:rPr>
          </w:pPr>
          <w:r>
            <w:rPr>
              <w:rFonts w:hint="eastAsia" w:ascii="宋体" w:hAnsi="宋体" w:cs="宋体"/>
              <w:color w:val="000000" w:themeColor="text1"/>
              <w:sz w:val="40"/>
              <w:szCs w:val="48"/>
              <w14:textFill>
                <w14:solidFill>
                  <w14:schemeClr w14:val="tx1"/>
                </w14:solidFill>
              </w14:textFill>
            </w:rPr>
            <w:t>目 录</w:t>
          </w:r>
        </w:p>
        <w:p w14:paraId="3AB55586">
          <w:pPr>
            <w:pStyle w:val="15"/>
            <w:tabs>
              <w:tab w:val="right" w:leader="dot" w:pos="9026"/>
              <w:tab w:val="clear" w:pos="1470"/>
              <w:tab w:val="clear" w:pos="9016"/>
            </w:tabs>
            <w:spacing w:line="480" w:lineRule="auto"/>
            <w:rPr>
              <w:rFonts w:eastAsia="宋体" w:cs="宋体"/>
              <w:b w:val="0"/>
              <w:bCs/>
              <w:color w:val="000000" w:themeColor="text1"/>
              <w:sz w:val="22"/>
              <w:szCs w:val="22"/>
              <w14:textFill>
                <w14:solidFill>
                  <w14:schemeClr w14:val="tx1"/>
                </w14:solidFill>
              </w14:textFill>
            </w:rPr>
          </w:pPr>
        </w:p>
        <w:p w14:paraId="764DFA49">
          <w:pPr>
            <w:pStyle w:val="15"/>
            <w:tabs>
              <w:tab w:val="right" w:leader="dot" w:pos="9026"/>
              <w:tab w:val="clear" w:pos="1470"/>
              <w:tab w:val="clear" w:pos="9016"/>
            </w:tabs>
            <w:spacing w:line="480" w:lineRule="auto"/>
            <w:rPr>
              <w:rFonts w:eastAsia="宋体" w:cs="宋体"/>
              <w:b w:val="0"/>
              <w:bCs/>
              <w:color w:val="000000" w:themeColor="text1"/>
              <w:sz w:val="22"/>
              <w:szCs w:val="22"/>
              <w14:textFill>
                <w14:solidFill>
                  <w14:schemeClr w14:val="tx1"/>
                </w14:solidFill>
              </w14:textFill>
            </w:rPr>
          </w:pPr>
        </w:p>
        <w:p w14:paraId="79AF2622">
          <w:pPr>
            <w:pStyle w:val="15"/>
            <w:tabs>
              <w:tab w:val="right" w:leader="dot" w:pos="9026"/>
              <w:tab w:val="clear" w:pos="1470"/>
              <w:tab w:val="clear" w:pos="9016"/>
            </w:tabs>
            <w:spacing w:line="480" w:lineRule="auto"/>
            <w:rPr>
              <w:rFonts w:eastAsia="宋体" w:cs="宋体"/>
              <w:b w:val="0"/>
              <w:bCs/>
              <w:sz w:val="24"/>
              <w:szCs w:val="24"/>
            </w:rPr>
          </w:pPr>
          <w:r>
            <w:rPr>
              <w:rFonts w:hint="eastAsia" w:eastAsia="宋体" w:cs="宋体"/>
              <w:b w:val="0"/>
              <w:bCs/>
              <w:sz w:val="22"/>
              <w:szCs w:val="22"/>
            </w:rPr>
            <w:fldChar w:fldCharType="begin"/>
          </w:r>
          <w:r>
            <w:rPr>
              <w:rFonts w:hint="eastAsia" w:eastAsia="宋体" w:cs="宋体"/>
              <w:b w:val="0"/>
              <w:bCs/>
              <w:sz w:val="22"/>
              <w:szCs w:val="22"/>
            </w:rPr>
            <w:instrText xml:space="preserve">TOC \o "1-1" \h \u </w:instrText>
          </w:r>
          <w:r>
            <w:rPr>
              <w:rFonts w:hint="eastAsia" w:eastAsia="宋体" w:cs="宋体"/>
              <w:b w:val="0"/>
              <w:bCs/>
              <w:sz w:val="22"/>
              <w:szCs w:val="22"/>
            </w:rPr>
            <w:fldChar w:fldCharType="separate"/>
          </w:r>
          <w:r>
            <w:fldChar w:fldCharType="begin"/>
          </w:r>
          <w:r>
            <w:instrText xml:space="preserve"> HYPERLINK \l "_Toc30115" </w:instrText>
          </w:r>
          <w:r>
            <w:fldChar w:fldCharType="separate"/>
          </w:r>
          <w:r>
            <w:rPr>
              <w:rFonts w:hint="eastAsia" w:eastAsia="宋体" w:cs="宋体"/>
              <w:b w:val="0"/>
              <w:bCs/>
              <w:sz w:val="24"/>
              <w:szCs w:val="24"/>
            </w:rPr>
            <w:t>第一章  公开招标公告</w:t>
          </w:r>
          <w:r>
            <w:rPr>
              <w:rFonts w:hint="eastAsia" w:eastAsia="宋体" w:cs="宋体"/>
              <w:b w:val="0"/>
              <w:bCs/>
              <w:sz w:val="24"/>
              <w:szCs w:val="24"/>
            </w:rPr>
            <w:tab/>
          </w:r>
          <w:r>
            <w:rPr>
              <w:rFonts w:hint="eastAsia" w:eastAsia="宋体" w:cs="宋体"/>
              <w:b w:val="0"/>
              <w:bCs/>
              <w:sz w:val="24"/>
              <w:szCs w:val="24"/>
            </w:rPr>
            <w:t>2</w:t>
          </w:r>
          <w:r>
            <w:rPr>
              <w:rFonts w:hint="eastAsia" w:eastAsia="宋体" w:cs="宋体"/>
              <w:b w:val="0"/>
              <w:bCs/>
              <w:sz w:val="24"/>
              <w:szCs w:val="24"/>
            </w:rPr>
            <w:fldChar w:fldCharType="end"/>
          </w:r>
        </w:p>
        <w:p w14:paraId="24C944DB">
          <w:pPr>
            <w:pStyle w:val="15"/>
            <w:tabs>
              <w:tab w:val="right" w:leader="dot" w:pos="9026"/>
              <w:tab w:val="clear" w:pos="1470"/>
              <w:tab w:val="clear" w:pos="9016"/>
            </w:tabs>
            <w:spacing w:line="480" w:lineRule="auto"/>
            <w:rPr>
              <w:rFonts w:eastAsia="宋体" w:cs="宋体"/>
              <w:b w:val="0"/>
              <w:bCs/>
              <w:sz w:val="24"/>
              <w:szCs w:val="24"/>
            </w:rPr>
          </w:pPr>
          <w:r>
            <w:fldChar w:fldCharType="begin"/>
          </w:r>
          <w:r>
            <w:instrText xml:space="preserve"> HYPERLINK \l "_Toc32158" </w:instrText>
          </w:r>
          <w:r>
            <w:fldChar w:fldCharType="separate"/>
          </w:r>
          <w:r>
            <w:rPr>
              <w:rFonts w:hint="eastAsia" w:eastAsia="宋体" w:cs="宋体"/>
              <w:b w:val="0"/>
              <w:bCs/>
              <w:sz w:val="24"/>
              <w:szCs w:val="24"/>
            </w:rPr>
            <w:t>第二章  投标人须知</w:t>
          </w:r>
          <w:r>
            <w:rPr>
              <w:rFonts w:hint="eastAsia" w:eastAsia="宋体" w:cs="宋体"/>
              <w:b w:val="0"/>
              <w:bCs/>
              <w:sz w:val="24"/>
              <w:szCs w:val="24"/>
            </w:rPr>
            <w:tab/>
          </w:r>
          <w:r>
            <w:rPr>
              <w:rFonts w:hint="eastAsia" w:eastAsia="宋体" w:cs="宋体"/>
              <w:b w:val="0"/>
              <w:bCs/>
              <w:sz w:val="24"/>
              <w:szCs w:val="24"/>
            </w:rPr>
            <w:t>6</w:t>
          </w:r>
          <w:r>
            <w:rPr>
              <w:rFonts w:hint="eastAsia" w:eastAsia="宋体" w:cs="宋体"/>
              <w:b w:val="0"/>
              <w:bCs/>
              <w:sz w:val="24"/>
              <w:szCs w:val="24"/>
            </w:rPr>
            <w:fldChar w:fldCharType="end"/>
          </w:r>
        </w:p>
        <w:p w14:paraId="7BEAD76F">
          <w:pPr>
            <w:pStyle w:val="15"/>
            <w:tabs>
              <w:tab w:val="right" w:leader="dot" w:pos="9026"/>
              <w:tab w:val="clear" w:pos="1470"/>
              <w:tab w:val="clear" w:pos="9016"/>
            </w:tabs>
            <w:spacing w:line="480" w:lineRule="auto"/>
            <w:rPr>
              <w:rFonts w:eastAsia="宋体" w:cs="宋体"/>
              <w:b w:val="0"/>
              <w:bCs/>
              <w:sz w:val="24"/>
              <w:szCs w:val="24"/>
            </w:rPr>
          </w:pPr>
          <w:r>
            <w:fldChar w:fldCharType="begin"/>
          </w:r>
          <w:r>
            <w:instrText xml:space="preserve"> HYPERLINK \l "_Toc3459" </w:instrText>
          </w:r>
          <w:r>
            <w:fldChar w:fldCharType="separate"/>
          </w:r>
          <w:r>
            <w:rPr>
              <w:rFonts w:hint="eastAsia" w:eastAsia="宋体" w:cs="宋体"/>
              <w:b w:val="0"/>
              <w:bCs/>
              <w:sz w:val="24"/>
              <w:szCs w:val="24"/>
            </w:rPr>
            <w:t>第三章  采购需求</w:t>
          </w:r>
          <w:r>
            <w:rPr>
              <w:rFonts w:hint="eastAsia" w:eastAsia="宋体" w:cs="宋体"/>
              <w:b w:val="0"/>
              <w:bCs/>
              <w:sz w:val="24"/>
              <w:szCs w:val="24"/>
            </w:rPr>
            <w:tab/>
          </w:r>
          <w:r>
            <w:rPr>
              <w:rFonts w:hint="eastAsia" w:eastAsia="宋体" w:cs="宋体"/>
              <w:b w:val="0"/>
              <w:bCs/>
              <w:sz w:val="24"/>
              <w:szCs w:val="24"/>
            </w:rPr>
            <w:fldChar w:fldCharType="end"/>
          </w:r>
          <w:r>
            <w:rPr>
              <w:rFonts w:hint="eastAsia" w:eastAsia="宋体" w:cs="宋体"/>
              <w:b w:val="0"/>
              <w:bCs/>
              <w:sz w:val="24"/>
              <w:szCs w:val="24"/>
            </w:rPr>
            <w:t>21</w:t>
          </w:r>
        </w:p>
        <w:p w14:paraId="322CB040">
          <w:pPr>
            <w:pStyle w:val="15"/>
            <w:tabs>
              <w:tab w:val="right" w:leader="dot" w:pos="9026"/>
              <w:tab w:val="clear" w:pos="1470"/>
              <w:tab w:val="clear" w:pos="9016"/>
            </w:tabs>
            <w:spacing w:line="480" w:lineRule="auto"/>
            <w:rPr>
              <w:rFonts w:eastAsia="宋体" w:cs="宋体"/>
              <w:b w:val="0"/>
              <w:bCs/>
              <w:sz w:val="24"/>
              <w:szCs w:val="24"/>
            </w:rPr>
          </w:pPr>
          <w:r>
            <w:fldChar w:fldCharType="begin"/>
          </w:r>
          <w:r>
            <w:instrText xml:space="preserve"> HYPERLINK \l "_Toc1223" </w:instrText>
          </w:r>
          <w:r>
            <w:fldChar w:fldCharType="separate"/>
          </w:r>
          <w:r>
            <w:rPr>
              <w:rFonts w:hint="eastAsia" w:eastAsia="宋体" w:cs="宋体"/>
              <w:b w:val="0"/>
              <w:bCs/>
              <w:sz w:val="24"/>
              <w:szCs w:val="24"/>
            </w:rPr>
            <w:t>第四章　采购合同</w:t>
          </w:r>
          <w:r>
            <w:rPr>
              <w:rFonts w:hint="eastAsia" w:eastAsia="宋体" w:cs="宋体"/>
              <w:b w:val="0"/>
              <w:bCs/>
              <w:sz w:val="24"/>
              <w:szCs w:val="24"/>
            </w:rPr>
            <w:tab/>
          </w:r>
          <w:r>
            <w:rPr>
              <w:rFonts w:hint="eastAsia" w:eastAsia="宋体" w:cs="宋体"/>
              <w:b w:val="0"/>
              <w:bCs/>
              <w:sz w:val="24"/>
              <w:szCs w:val="24"/>
            </w:rPr>
            <w:t>2</w:t>
          </w:r>
          <w:r>
            <w:rPr>
              <w:rFonts w:hint="eastAsia" w:eastAsia="宋体" w:cs="宋体"/>
              <w:b w:val="0"/>
              <w:bCs/>
              <w:sz w:val="24"/>
              <w:szCs w:val="24"/>
            </w:rPr>
            <w:fldChar w:fldCharType="end"/>
          </w:r>
          <w:r>
            <w:rPr>
              <w:rFonts w:hint="eastAsia" w:eastAsia="宋体" w:cs="宋体"/>
              <w:b w:val="0"/>
              <w:bCs/>
              <w:sz w:val="24"/>
              <w:szCs w:val="24"/>
            </w:rPr>
            <w:t>9</w:t>
          </w:r>
        </w:p>
        <w:p w14:paraId="640BA11A">
          <w:pPr>
            <w:pStyle w:val="15"/>
            <w:tabs>
              <w:tab w:val="right" w:leader="dot" w:pos="9026"/>
              <w:tab w:val="clear" w:pos="1470"/>
              <w:tab w:val="clear" w:pos="9016"/>
            </w:tabs>
            <w:spacing w:line="480" w:lineRule="auto"/>
            <w:rPr>
              <w:rFonts w:eastAsia="宋体" w:cs="宋体"/>
              <w:b w:val="0"/>
              <w:bCs/>
              <w:sz w:val="22"/>
              <w:szCs w:val="22"/>
            </w:rPr>
          </w:pPr>
          <w:r>
            <w:fldChar w:fldCharType="begin"/>
          </w:r>
          <w:r>
            <w:instrText xml:space="preserve"> HYPERLINK \l "_Toc3798" </w:instrText>
          </w:r>
          <w:r>
            <w:fldChar w:fldCharType="separate"/>
          </w:r>
          <w:r>
            <w:rPr>
              <w:rFonts w:hint="eastAsia" w:eastAsia="宋体" w:cs="宋体"/>
              <w:b w:val="0"/>
              <w:bCs/>
              <w:sz w:val="24"/>
              <w:szCs w:val="24"/>
            </w:rPr>
            <w:t>第五章　投标相关文件格式</w:t>
          </w:r>
          <w:r>
            <w:rPr>
              <w:rFonts w:hint="eastAsia" w:eastAsia="宋体" w:cs="宋体"/>
              <w:b w:val="0"/>
              <w:bCs/>
              <w:sz w:val="24"/>
              <w:szCs w:val="24"/>
            </w:rPr>
            <w:tab/>
          </w:r>
          <w:r>
            <w:rPr>
              <w:rFonts w:hint="eastAsia" w:eastAsia="宋体" w:cs="宋体"/>
              <w:b w:val="0"/>
              <w:bCs/>
              <w:sz w:val="24"/>
              <w:szCs w:val="24"/>
            </w:rPr>
            <w:t>3</w:t>
          </w:r>
          <w:r>
            <w:rPr>
              <w:rFonts w:hint="eastAsia" w:eastAsia="宋体" w:cs="宋体"/>
              <w:b w:val="0"/>
              <w:bCs/>
              <w:sz w:val="24"/>
              <w:szCs w:val="24"/>
            </w:rPr>
            <w:fldChar w:fldCharType="end"/>
          </w:r>
          <w:r>
            <w:rPr>
              <w:rFonts w:hint="eastAsia" w:eastAsia="宋体" w:cs="宋体"/>
              <w:b w:val="0"/>
              <w:bCs/>
              <w:sz w:val="24"/>
              <w:szCs w:val="24"/>
            </w:rPr>
            <w:t>5</w:t>
          </w:r>
        </w:p>
        <w:p w14:paraId="7AE60E8D">
          <w:pPr>
            <w:pStyle w:val="15"/>
            <w:tabs>
              <w:tab w:val="right" w:leader="dot" w:pos="9026"/>
              <w:tab w:val="clear" w:pos="1470"/>
              <w:tab w:val="clear" w:pos="9016"/>
            </w:tabs>
            <w:spacing w:line="480" w:lineRule="auto"/>
            <w:rPr>
              <w:rFonts w:eastAsia="宋体" w:cs="宋体"/>
              <w:b w:val="0"/>
              <w:bCs/>
              <w:sz w:val="24"/>
              <w:szCs w:val="24"/>
            </w:rPr>
          </w:pPr>
          <w:r>
            <w:fldChar w:fldCharType="begin"/>
          </w:r>
          <w:r>
            <w:instrText xml:space="preserve"> HYPERLINK \l "_Toc13063" </w:instrText>
          </w:r>
          <w:r>
            <w:fldChar w:fldCharType="separate"/>
          </w:r>
          <w:r>
            <w:rPr>
              <w:rFonts w:hint="eastAsia" w:eastAsia="宋体" w:cs="宋体"/>
              <w:b w:val="0"/>
              <w:bCs/>
              <w:sz w:val="24"/>
              <w:szCs w:val="24"/>
            </w:rPr>
            <w:t>第六章  评标办法和细则</w:t>
          </w:r>
          <w:r>
            <w:rPr>
              <w:rFonts w:hint="eastAsia" w:eastAsia="宋体" w:cs="宋体"/>
              <w:b w:val="0"/>
              <w:bCs/>
              <w:sz w:val="24"/>
              <w:szCs w:val="24"/>
            </w:rPr>
            <w:tab/>
          </w:r>
          <w:r>
            <w:rPr>
              <w:rFonts w:hint="eastAsia" w:eastAsia="宋体" w:cs="宋体"/>
              <w:b w:val="0"/>
              <w:bCs/>
              <w:sz w:val="24"/>
              <w:szCs w:val="24"/>
            </w:rPr>
            <w:t>5</w:t>
          </w:r>
          <w:r>
            <w:rPr>
              <w:rFonts w:hint="eastAsia" w:eastAsia="宋体" w:cs="宋体"/>
              <w:b w:val="0"/>
              <w:bCs/>
              <w:sz w:val="24"/>
              <w:szCs w:val="24"/>
            </w:rPr>
            <w:fldChar w:fldCharType="end"/>
          </w:r>
          <w:r>
            <w:rPr>
              <w:rFonts w:hint="eastAsia" w:eastAsia="宋体" w:cs="宋体"/>
              <w:b w:val="0"/>
              <w:bCs/>
              <w:sz w:val="24"/>
              <w:szCs w:val="24"/>
            </w:rPr>
            <w:t>8</w:t>
          </w:r>
        </w:p>
        <w:p w14:paraId="0B75E88A">
          <w:pPr>
            <w:spacing w:line="480" w:lineRule="auto"/>
            <w:rPr>
              <w:rFonts w:ascii="宋体" w:hAnsi="宋体" w:cs="宋体"/>
              <w:sz w:val="22"/>
              <w:szCs w:val="28"/>
            </w:rPr>
          </w:pPr>
          <w:r>
            <w:rPr>
              <w:rFonts w:hint="eastAsia" w:ascii="宋体" w:hAnsi="宋体" w:cs="宋体"/>
              <w:bCs/>
              <w:sz w:val="22"/>
              <w:szCs w:val="22"/>
            </w:rPr>
            <w:fldChar w:fldCharType="end"/>
          </w:r>
        </w:p>
      </w:sdtContent>
    </w:sdt>
    <w:p w14:paraId="410D125C">
      <w:pPr>
        <w:spacing w:line="360" w:lineRule="auto"/>
        <w:jc w:val="center"/>
        <w:outlineLvl w:val="0"/>
        <w:rPr>
          <w:rFonts w:ascii="宋体" w:hAnsi="宋体" w:cs="宋体"/>
          <w:b/>
          <w:sz w:val="36"/>
          <w:szCs w:val="36"/>
        </w:rPr>
        <w:sectPr>
          <w:footerReference r:id="rId5" w:type="default"/>
          <w:pgSz w:w="11906" w:h="16838"/>
          <w:pgMar w:top="1440" w:right="1080" w:bottom="1440" w:left="1080" w:header="851" w:footer="992" w:gutter="0"/>
          <w:pgNumType w:start="1"/>
          <w:cols w:space="720" w:num="1"/>
          <w:docGrid w:linePitch="312" w:charSpace="0"/>
        </w:sectPr>
      </w:pPr>
      <w:bookmarkStart w:id="1" w:name="_Toc30115"/>
    </w:p>
    <w:p w14:paraId="60FCCDC1">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第一章  公开招标公告</w:t>
      </w:r>
      <w:bookmarkEnd w:id="0"/>
      <w:bookmarkEnd w:id="1"/>
    </w:p>
    <w:p w14:paraId="4FD9D2E7">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14:textFill>
            <w14:solidFill>
              <w14:schemeClr w14:val="tx1"/>
            </w14:solidFill>
          </w14:textFill>
        </w:rPr>
      </w:pPr>
      <w:bookmarkStart w:id="2" w:name="_Toc28359079"/>
      <w:bookmarkStart w:id="3" w:name="_Toc35393790"/>
      <w:bookmarkStart w:id="4" w:name="_Toc35393621"/>
      <w:bookmarkStart w:id="5" w:name="_Toc28359002"/>
      <w:bookmarkStart w:id="6" w:name="_Hlk24379207"/>
      <w:bookmarkStart w:id="7" w:name="EBf1e27c6183244f4a8f3fc355defd653e"/>
      <w:bookmarkStart w:id="8" w:name="OLE_LINK4"/>
      <w:r>
        <w:rPr>
          <w:rFonts w:hint="eastAsia" w:ascii="宋体" w:hAnsi="宋体" w:cs="宋体"/>
          <w:color w:val="000000" w:themeColor="text1"/>
          <w:sz w:val="24"/>
          <w14:textFill>
            <w14:solidFill>
              <w14:schemeClr w14:val="tx1"/>
            </w14:solidFill>
          </w14:textFill>
        </w:rPr>
        <w:t>项目概况：</w:t>
      </w:r>
    </w:p>
    <w:p w14:paraId="7546FE3A">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缙云县第二人民医院迁建项目污水设备及基础设施采购项目的潜在投标人应在政采云平台http://zfcg.czt.zj.gov.cn、丽水市公共资源交易网（http://lssggzy.lishui.gov.cn/jyweb/）获取（下载）招标文件，并于2024年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 09:00（北京时间）前递交（上传）投标文件。</w:t>
      </w:r>
    </w:p>
    <w:p w14:paraId="0AE9D798">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bookmarkEnd w:id="2"/>
      <w:bookmarkEnd w:id="3"/>
      <w:bookmarkEnd w:id="4"/>
      <w:bookmarkEnd w:id="5"/>
    </w:p>
    <w:bookmarkEnd w:id="6"/>
    <w:p w14:paraId="6FDA6CD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项目编号：JY分散公开2024-</w:t>
      </w:r>
      <w:r>
        <w:rPr>
          <w:rFonts w:hint="eastAsia" w:ascii="宋体" w:hAnsi="宋体" w:cs="宋体"/>
          <w:color w:val="000000" w:themeColor="text1"/>
          <w:sz w:val="24"/>
          <w:lang w:val="en-US" w:eastAsia="zh-CN"/>
          <w14:textFill>
            <w14:solidFill>
              <w14:schemeClr w14:val="tx1"/>
            </w14:solidFill>
          </w14:textFill>
        </w:rPr>
        <w:t>37</w:t>
      </w:r>
      <w:r>
        <w:rPr>
          <w:rFonts w:hint="eastAsia" w:ascii="宋体" w:hAnsi="宋体" w:cs="宋体"/>
          <w:color w:val="000000" w:themeColor="text1"/>
          <w:sz w:val="24"/>
          <w14:textFill>
            <w14:solidFill>
              <w14:schemeClr w14:val="tx1"/>
            </w14:solidFill>
          </w14:textFill>
        </w:rPr>
        <w:t xml:space="preserve">     </w:t>
      </w:r>
    </w:p>
    <w:p w14:paraId="05E9AAF2">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项目名称：缙云县第二人民医院迁建项目污水设备及基础设施采购项目</w:t>
      </w:r>
    </w:p>
    <w:p w14:paraId="78BF7059">
      <w:pPr>
        <w:wordWrap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预算金额（元）：2000000</w:t>
      </w:r>
    </w:p>
    <w:p w14:paraId="31DBC3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最高限价（元）：1391579 </w:t>
      </w:r>
    </w:p>
    <w:p w14:paraId="2FEB10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采购需求：缙云县第二人民医院迁建项目污水设备及基础设施采购。</w:t>
      </w:r>
    </w:p>
    <w:p w14:paraId="5FF036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详见招标文件第三部分采购需求</w:t>
      </w:r>
    </w:p>
    <w:p w14:paraId="29D6D9E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标项名称:缙云县第二人民医院迁建项目污水设备及基础设施采购项目</w:t>
      </w:r>
    </w:p>
    <w:p w14:paraId="46BEC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采购项目数量:1项</w:t>
      </w:r>
    </w:p>
    <w:p w14:paraId="670089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简要规格描述或项目基本概况介绍、用途：详见采购文件</w:t>
      </w:r>
    </w:p>
    <w:p w14:paraId="6E3880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1B61A3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合同履约期限：标项 1，详见采购文件</w:t>
      </w:r>
    </w:p>
    <w:p w14:paraId="42BB6C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w:t>
      </w:r>
      <w:r>
        <w:rPr>
          <w:rFonts w:hint="eastAsia" w:ascii="宋体" w:hAnsi="宋体" w:cs="宋体"/>
          <w:color w:val="000000" w:themeColor="text1"/>
          <w:sz w:val="24"/>
          <w:lang w:eastAsia="zh-CN"/>
          <w14:textFill>
            <w14:solidFill>
              <w14:schemeClr w14:val="tx1"/>
            </w14:solidFill>
          </w14:textFill>
        </w:rPr>
        <w:t>不</w:t>
      </w:r>
      <w:r>
        <w:rPr>
          <w:rFonts w:hint="eastAsia" w:ascii="宋体" w:hAnsi="宋体" w:cs="宋体"/>
          <w:color w:val="000000" w:themeColor="text1"/>
          <w:sz w:val="24"/>
          <w14:textFill>
            <w14:solidFill>
              <w14:schemeClr w14:val="tx1"/>
            </w14:solidFill>
          </w14:textFill>
        </w:rPr>
        <w:t>接受联合体投标。</w:t>
      </w:r>
    </w:p>
    <w:p w14:paraId="4AA79948">
      <w:pPr>
        <w:spacing w:line="360" w:lineRule="auto"/>
        <w:jc w:val="left"/>
        <w:rPr>
          <w:rFonts w:ascii="宋体" w:hAnsi="宋体" w:cs="宋体"/>
          <w:b/>
          <w:color w:val="000000" w:themeColor="text1"/>
          <w:sz w:val="24"/>
          <w14:textFill>
            <w14:solidFill>
              <w14:schemeClr w14:val="tx1"/>
            </w14:solidFill>
          </w14:textFill>
        </w:rPr>
      </w:pPr>
      <w:bookmarkStart w:id="9" w:name="_Toc28359080"/>
      <w:bookmarkStart w:id="10" w:name="_Toc28359003"/>
      <w:bookmarkStart w:id="11" w:name="_Toc35393622"/>
      <w:bookmarkStart w:id="12" w:name="_Toc35393791"/>
      <w:r>
        <w:rPr>
          <w:rFonts w:hint="eastAsia" w:ascii="宋体" w:hAnsi="宋体" w:cs="宋体"/>
          <w:b/>
          <w:color w:val="000000" w:themeColor="text1"/>
          <w:sz w:val="24"/>
          <w14:textFill>
            <w14:solidFill>
              <w14:schemeClr w14:val="tx1"/>
            </w14:solidFill>
          </w14:textFill>
        </w:rPr>
        <w:t>二、申请人的资格要求</w:t>
      </w:r>
      <w:bookmarkEnd w:id="9"/>
      <w:bookmarkEnd w:id="10"/>
      <w:bookmarkEnd w:id="11"/>
      <w:bookmarkEnd w:id="12"/>
    </w:p>
    <w:p w14:paraId="5476A2A1">
      <w:pPr>
        <w:wordWrap w:val="0"/>
        <w:spacing w:line="360" w:lineRule="auto"/>
        <w:ind w:firstLine="480" w:firstLineChars="200"/>
        <w:rPr>
          <w:rFonts w:ascii="宋体" w:hAnsi="宋体" w:cs="宋体"/>
          <w:color w:val="000000" w:themeColor="text1"/>
          <w:kern w:val="0"/>
          <w:sz w:val="24"/>
          <w14:textFill>
            <w14:solidFill>
              <w14:schemeClr w14:val="tx1"/>
            </w14:solidFill>
          </w14:textFill>
        </w:rPr>
      </w:pPr>
      <w:bookmarkStart w:id="13" w:name="_Toc28359004"/>
      <w:bookmarkStart w:id="14" w:name="_Toc35393792"/>
      <w:bookmarkStart w:id="15" w:name="_Toc28359081"/>
      <w:bookmarkStart w:id="16" w:name="_Toc35393623"/>
      <w:r>
        <w:rPr>
          <w:rFonts w:hint="eastAsia" w:ascii="宋体" w:hAnsi="宋体" w:cs="宋体"/>
          <w:color w:val="000000" w:themeColor="text1"/>
          <w:kern w:val="0"/>
          <w:sz w:val="24"/>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14:paraId="2DA0DBA7">
      <w:pPr>
        <w:wordWrap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2.落实政府采购政策需满足的资格要求：本项目是专门面向中小微企业采购。</w:t>
      </w:r>
    </w:p>
    <w:p w14:paraId="4647EAF4">
      <w:pPr>
        <w:wordWrap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3.本项目特定资格要求：</w:t>
      </w:r>
      <w:r>
        <w:rPr>
          <w:rFonts w:hint="eastAsia" w:ascii="宋体" w:hAnsi="宋体" w:cs="宋体"/>
          <w:color w:val="000000" w:themeColor="text1"/>
          <w:kern w:val="0"/>
          <w:sz w:val="24"/>
          <w:lang w:eastAsia="zh-CN"/>
          <w14:textFill>
            <w14:solidFill>
              <w14:schemeClr w14:val="tx1"/>
            </w14:solidFill>
          </w14:textFill>
        </w:rPr>
        <w:t>无</w:t>
      </w:r>
      <w:r>
        <w:rPr>
          <w:rFonts w:hint="eastAsia" w:ascii="宋体" w:hAnsi="宋体" w:cs="宋体"/>
          <w:color w:val="000000" w:themeColor="text1"/>
          <w:sz w:val="24"/>
          <w:lang w:eastAsia="zh-CN"/>
          <w14:textFill>
            <w14:solidFill>
              <w14:schemeClr w14:val="tx1"/>
            </w14:solidFill>
          </w14:textFill>
        </w:rPr>
        <w:t>。</w:t>
      </w:r>
    </w:p>
    <w:bookmarkEnd w:id="13"/>
    <w:bookmarkEnd w:id="14"/>
    <w:bookmarkEnd w:id="15"/>
    <w:bookmarkEnd w:id="16"/>
    <w:p w14:paraId="2EE41E6B">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p>
    <w:p w14:paraId="440A18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时间：/至</w:t>
      </w:r>
      <w:r>
        <w:rPr>
          <w:rFonts w:hint="eastAsia" w:ascii="宋体" w:hAnsi="宋体" w:cs="宋体"/>
          <w:bCs/>
          <w:snapToGrid w:val="0"/>
          <w:color w:val="000000" w:themeColor="text1"/>
          <w:sz w:val="24"/>
          <w:u w:val="single"/>
          <w14:textFill>
            <w14:solidFill>
              <w14:schemeClr w14:val="tx1"/>
            </w14:solidFill>
          </w14:textFill>
        </w:rPr>
        <w:t>2024</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val="en-US" w:eastAsia="zh-CN"/>
          <w14:textFill>
            <w14:solidFill>
              <w14:schemeClr w14:val="tx1"/>
            </w14:solidFill>
          </w14:textFill>
        </w:rPr>
        <w:t>9</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val="en-US" w:eastAsia="zh-CN"/>
          <w14:textFill>
            <w14:solidFill>
              <w14:schemeClr w14:val="tx1"/>
            </w14:solidFill>
          </w14:textFill>
        </w:rPr>
        <w:t>26</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，每天上午00:00至12:00，下午12:00至23:59（北京时间，线上获取法定节假日均可，线下获取文件法定节假日除外）</w:t>
      </w:r>
    </w:p>
    <w:p w14:paraId="6EFD47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地点（网址）：浙江政府采购网（</w:t>
      </w:r>
      <w:r>
        <w:rPr>
          <w:rFonts w:hint="eastAsia" w:ascii="宋体" w:hAnsi="宋体" w:cs="宋体"/>
          <w:color w:val="000000" w:themeColor="text1"/>
          <w:sz w:val="24"/>
          <w:u w:val="single"/>
          <w14:textFill>
            <w14:solidFill>
              <w14:schemeClr w14:val="tx1"/>
            </w14:solidFill>
          </w14:textFill>
        </w:rPr>
        <w:t>http://zfcg.czt.zj.gov.cn</w:t>
      </w:r>
      <w:r>
        <w:rPr>
          <w:rFonts w:hint="eastAsia" w:ascii="宋体" w:hAnsi="宋体" w:cs="宋体"/>
          <w:color w:val="000000" w:themeColor="text1"/>
          <w:sz w:val="24"/>
          <w14:textFill>
            <w14:solidFill>
              <w14:schemeClr w14:val="tx1"/>
            </w14:solidFill>
          </w14:textFill>
        </w:rPr>
        <w:t>），丽水市公共资源交易网</w:t>
      </w:r>
      <w:r>
        <w:rPr>
          <w:rFonts w:hint="eastAsia" w:ascii="宋体" w:hAnsi="宋体" w:cs="宋体"/>
          <w:color w:val="000000" w:themeColor="text1"/>
          <w:sz w:val="24"/>
          <w:u w:val="single"/>
          <w14:textFill>
            <w14:solidFill>
              <w14:schemeClr w14:val="tx1"/>
            </w14:solidFill>
          </w14:textFill>
        </w:rPr>
        <w:t>（http://lssggzy.lishui.gov.cn/jyweb/）</w:t>
      </w:r>
      <w:r>
        <w:rPr>
          <w:rFonts w:hint="eastAsia" w:ascii="宋体" w:hAnsi="宋体" w:cs="宋体"/>
          <w:color w:val="000000" w:themeColor="text1"/>
          <w:sz w:val="24"/>
          <w14:textFill>
            <w14:solidFill>
              <w14:schemeClr w14:val="tx1"/>
            </w14:solidFill>
          </w14:textFill>
        </w:rPr>
        <w:t>公告附件</w:t>
      </w:r>
    </w:p>
    <w:p w14:paraId="597154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方式：自行下载获取。</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⑴</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2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⑵</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3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⑶</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在浙江政府采购网采购公告附件中以“游客”身份（或丽水市公共资源交易网）获取的招标文件在仅供阅览；潜在供应商未按上述第</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⑴</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条方式获取招标文件的不得对招标文件提起质疑投诉；</w:t>
      </w:r>
    </w:p>
    <w:p w14:paraId="5C0D31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售价：0元</w:t>
      </w:r>
    </w:p>
    <w:p w14:paraId="0BEA05AE">
      <w:pPr>
        <w:spacing w:line="360" w:lineRule="auto"/>
        <w:rPr>
          <w:rFonts w:ascii="宋体" w:hAnsi="宋体" w:cs="宋体"/>
          <w:b/>
          <w:color w:val="000000" w:themeColor="text1"/>
          <w:sz w:val="24"/>
          <w14:textFill>
            <w14:solidFill>
              <w14:schemeClr w14:val="tx1"/>
            </w14:solidFill>
          </w14:textFill>
        </w:rPr>
      </w:pPr>
      <w:bookmarkStart w:id="17" w:name="_Toc35393794"/>
      <w:bookmarkStart w:id="18" w:name="_Toc28359084"/>
      <w:bookmarkStart w:id="19" w:name="_Toc35393625"/>
      <w:bookmarkStart w:id="20" w:name="_Toc28359007"/>
      <w:r>
        <w:rPr>
          <w:rFonts w:hint="eastAsia" w:ascii="宋体" w:hAnsi="宋体" w:cs="宋体"/>
          <w:b/>
          <w:color w:val="000000" w:themeColor="text1"/>
          <w:sz w:val="24"/>
          <w14:textFill>
            <w14:solidFill>
              <w14:schemeClr w14:val="tx1"/>
            </w14:solidFill>
          </w14:textFill>
        </w:rPr>
        <w:t>四、提交投标文件截止时间、开标时间和地点</w:t>
      </w:r>
    </w:p>
    <w:p w14:paraId="325AE8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1.提交投标文件截止时间：2024年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 09:00（北京时间）</w:t>
      </w:r>
    </w:p>
    <w:p w14:paraId="35B381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2.投标地点（网址）：应按照本项目招标文件和政采云平台的要求编制、加密并递交投标文件，前往政采云平台上传电子响应文件（http://zfcg.czt.zj.gov.cn）。 </w:t>
      </w:r>
    </w:p>
    <w:p w14:paraId="14080A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3.开标时间：2024年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 09:00（北京时间）</w:t>
      </w:r>
    </w:p>
    <w:p w14:paraId="058E027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4.开标地点（网址）：</w:t>
      </w:r>
      <w:r>
        <w:rPr>
          <w:rFonts w:hint="eastAsia" w:ascii="宋体" w:hAnsi="宋体" w:cs="宋体"/>
          <w:bCs/>
          <w:color w:val="000000" w:themeColor="text1"/>
          <w:sz w:val="24"/>
          <w14:textFill>
            <w14:solidFill>
              <w14:schemeClr w14:val="tx1"/>
            </w14:solidFill>
          </w14:textFill>
        </w:rPr>
        <w:t>缙云县公共资源交易中心（缙云县五云街道新区黄龙路广电大楼六楼）</w:t>
      </w:r>
    </w:p>
    <w:p w14:paraId="6431B265">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五、公告期限</w:t>
      </w:r>
      <w:bookmarkEnd w:id="17"/>
      <w:bookmarkEnd w:id="18"/>
      <w:bookmarkEnd w:id="19"/>
      <w:bookmarkEnd w:id="20"/>
    </w:p>
    <w:p w14:paraId="2E556D02">
      <w:pPr>
        <w:spacing w:line="360" w:lineRule="auto"/>
        <w:ind w:firstLine="480" w:firstLineChars="200"/>
        <w:rPr>
          <w:rFonts w:ascii="宋体" w:hAnsi="宋体" w:cs="宋体"/>
          <w:color w:val="000000" w:themeColor="text1"/>
          <w:sz w:val="24"/>
          <w14:textFill>
            <w14:solidFill>
              <w14:schemeClr w14:val="tx1"/>
            </w14:solidFill>
          </w14:textFill>
        </w:rPr>
      </w:pPr>
      <w:bookmarkStart w:id="21" w:name="_Toc35393795"/>
      <w:bookmarkStart w:id="22" w:name="_Toc35393626"/>
      <w:r>
        <w:rPr>
          <w:rFonts w:hint="eastAsia" w:ascii="宋体" w:hAnsi="宋体" w:cs="宋体"/>
          <w:color w:val="000000" w:themeColor="text1"/>
          <w:sz w:val="24"/>
          <w14:textFill>
            <w14:solidFill>
              <w14:schemeClr w14:val="tx1"/>
            </w14:solidFill>
          </w14:textFill>
        </w:rPr>
        <w:t>自本公告发布之日起5个工作日。</w:t>
      </w:r>
    </w:p>
    <w:p w14:paraId="71346703">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bookmarkEnd w:id="21"/>
      <w:bookmarkEnd w:id="22"/>
    </w:p>
    <w:p w14:paraId="6C4128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33CE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479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44791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14:paraId="78F84EAB">
      <w:pPr>
        <w:spacing w:line="360" w:lineRule="auto"/>
        <w:jc w:val="left"/>
        <w:rPr>
          <w:rFonts w:ascii="宋体" w:hAnsi="宋体" w:cs="宋体"/>
          <w:b/>
          <w:color w:val="000000" w:themeColor="text1"/>
          <w:sz w:val="24"/>
          <w14:textFill>
            <w14:solidFill>
              <w14:schemeClr w14:val="tx1"/>
            </w14:solidFill>
          </w14:textFill>
        </w:rPr>
      </w:pPr>
      <w:bookmarkStart w:id="23" w:name="_Toc35393627"/>
      <w:bookmarkStart w:id="24" w:name="_Toc35393796"/>
      <w:bookmarkStart w:id="25" w:name="_Toc28359008"/>
      <w:bookmarkStart w:id="26" w:name="_Toc28359085"/>
      <w:r>
        <w:rPr>
          <w:rFonts w:hint="eastAsia" w:ascii="宋体" w:hAnsi="宋体" w:cs="宋体"/>
          <w:b/>
          <w:color w:val="000000" w:themeColor="text1"/>
          <w:sz w:val="24"/>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14:textFill>
            <w14:solidFill>
              <w14:schemeClr w14:val="tx1"/>
            </w14:solidFill>
          </w14:textFill>
        </w:rPr>
        <w:t>对本次采购提出询问、质疑、投诉，请按以下方式联系</w:t>
      </w:r>
    </w:p>
    <w:p w14:paraId="63BB56AC">
      <w:pPr>
        <w:snapToGrid w:val="0"/>
        <w:spacing w:line="360" w:lineRule="auto"/>
        <w:ind w:firstLine="5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采购人信息</w:t>
      </w:r>
    </w:p>
    <w:p w14:paraId="20F3529B">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采购人名称：缙云县第二人民医院</w:t>
      </w:r>
    </w:p>
    <w:p w14:paraId="24A7BDC8">
      <w:pPr>
        <w:snapToGrid w:val="0"/>
        <w:spacing w:line="360" w:lineRule="auto"/>
        <w:ind w:lef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项目联系人：吕先生</w:t>
      </w:r>
    </w:p>
    <w:p w14:paraId="45407C1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联系电话： 13754260908 </w:t>
      </w:r>
    </w:p>
    <w:p w14:paraId="4106183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地址：缙云县壶镇镇</w:t>
      </w:r>
    </w:p>
    <w:p w14:paraId="67BDB08F">
      <w:pPr>
        <w:snapToGrid w:val="0"/>
        <w:spacing w:line="360" w:lineRule="auto"/>
        <w:ind w:firstLine="5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采购代理机构信息</w:t>
      </w:r>
    </w:p>
    <w:p w14:paraId="6B79F787">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采购代理机构名称：浙江大兴建设项目管理咨询有限公司</w:t>
      </w:r>
    </w:p>
    <w:p w14:paraId="08751EB7">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项目负责人：杜女士   联系电话：0578-3316115   </w:t>
      </w:r>
    </w:p>
    <w:p w14:paraId="5215EF9A">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质疑联系人：樊先生    联系电话：0578-3316115   </w:t>
      </w:r>
    </w:p>
    <w:p w14:paraId="00680BA5">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地址：浙江省丽水市缙云县五云街道黄龙路293号5单元202室</w:t>
      </w:r>
    </w:p>
    <w:p w14:paraId="31D7B911">
      <w:pPr>
        <w:pStyle w:val="8"/>
        <w:adjustRightInd w:val="0"/>
        <w:snapToGrid w:val="0"/>
        <w:spacing w:line="360" w:lineRule="auto"/>
        <w:ind w:firstLine="480" w:firstLineChars="200"/>
        <w:rPr>
          <w:rFonts w:hAnsi="宋体" w:eastAsia="宋体" w:cs="宋体"/>
          <w:bCs/>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 同级政府采购监督管理部门名称：</w:t>
      </w:r>
      <w:r>
        <w:rPr>
          <w:rFonts w:hint="eastAsia" w:hAnsi="宋体" w:eastAsia="宋体" w:cs="宋体"/>
          <w:bCs/>
          <w:color w:val="000000" w:themeColor="text1"/>
          <w:sz w:val="24"/>
          <w14:textFill>
            <w14:solidFill>
              <w14:schemeClr w14:val="tx1"/>
            </w14:solidFill>
          </w14:textFill>
        </w:rPr>
        <w:t>缙云县财政局政府采购监管科</w:t>
      </w:r>
    </w:p>
    <w:p w14:paraId="568FDCBB">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联系人：朱航    监督投诉电话：0578-3318985   传真：0578-3318985</w:t>
      </w:r>
    </w:p>
    <w:p w14:paraId="36F106A9">
      <w:pPr>
        <w:snapToGrid w:val="0"/>
        <w:spacing w:line="360" w:lineRule="auto"/>
        <w:ind w:firstLine="868" w:firstLineChars="36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bookmarkEnd w:id="7"/>
      <w:r>
        <w:rPr>
          <w:rFonts w:hint="eastAsia" w:ascii="宋体" w:hAnsi="宋体" w:cs="宋体"/>
          <w:color w:val="000000" w:themeColor="text1"/>
          <w:sz w:val="24"/>
          <w14:textFill>
            <w14:solidFill>
              <w14:schemeClr w14:val="tx1"/>
            </w14:solidFill>
          </w14:textFill>
        </w:rPr>
        <w:t>缙云县财政局7楼</w:t>
      </w:r>
    </w:p>
    <w:p w14:paraId="7A0ECFF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9D0CC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64341FFD">
      <w:pPr>
        <w:spacing w:line="360" w:lineRule="auto"/>
        <w:ind w:firstLine="470" w:firstLineChars="19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采购人：缙云县第二人民医院</w:t>
      </w:r>
    </w:p>
    <w:p w14:paraId="35444B66">
      <w:pPr>
        <w:spacing w:line="360" w:lineRule="auto"/>
        <w:ind w:firstLine="470" w:firstLineChars="196"/>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采购代理机构：浙江大兴建设项目管理咨询有限公司 </w:t>
      </w:r>
    </w:p>
    <w:p w14:paraId="00AAFA53">
      <w:pPr>
        <w:spacing w:line="360" w:lineRule="auto"/>
        <w:ind w:firstLine="470" w:firstLineChars="19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日期：2024年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w:t>
      </w:r>
    </w:p>
    <w:bookmarkEnd w:id="8"/>
    <w:p w14:paraId="333E3B22">
      <w:pPr>
        <w:spacing w:line="360" w:lineRule="auto"/>
        <w:ind w:firstLine="708" w:firstLineChars="196"/>
        <w:jc w:val="center"/>
        <w:rPr>
          <w:rFonts w:ascii="宋体" w:hAnsi="宋体" w:cs="宋体"/>
          <w:b/>
          <w:color w:val="000000" w:themeColor="text1"/>
          <w:sz w:val="36"/>
          <w:szCs w:val="36"/>
          <w14:textFill>
            <w14:solidFill>
              <w14:schemeClr w14:val="tx1"/>
            </w14:solidFill>
          </w14:textFill>
        </w:rPr>
      </w:pPr>
      <w:bookmarkStart w:id="27" w:name="_Toc26114"/>
      <w:bookmarkStart w:id="28" w:name="_Toc15754_WPSOffice_Level1"/>
      <w:bookmarkStart w:id="29" w:name="_Toc32158"/>
    </w:p>
    <w:p w14:paraId="4170C0D5">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7937AB8A">
      <w:pPr>
        <w:spacing w:line="360" w:lineRule="auto"/>
        <w:ind w:firstLine="708" w:firstLineChars="196"/>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第二章  投标人须知</w:t>
      </w:r>
      <w:bookmarkEnd w:id="27"/>
      <w:bookmarkEnd w:id="28"/>
      <w:bookmarkEnd w:id="29"/>
    </w:p>
    <w:p w14:paraId="1D63B096">
      <w:pPr>
        <w:pStyle w:val="6"/>
        <w:spacing w:before="240" w:after="240" w:line="240" w:lineRule="exact"/>
        <w:ind w:firstLine="0" w:firstLineChars="0"/>
        <w:jc w:val="center"/>
        <w:rPr>
          <w:rFonts w:ascii="宋体" w:hAnsi="宋体" w:eastAsia="宋体" w:cs="宋体"/>
          <w:color w:val="000000" w:themeColor="text1"/>
          <w:sz w:val="32"/>
          <w:szCs w:val="21"/>
          <w14:textFill>
            <w14:solidFill>
              <w14:schemeClr w14:val="tx1"/>
            </w14:solidFill>
          </w14:textFill>
        </w:rPr>
      </w:pPr>
      <w:bookmarkStart w:id="30" w:name="_Toc24898"/>
      <w:r>
        <w:rPr>
          <w:rFonts w:hint="eastAsia" w:ascii="宋体" w:hAnsi="宋体" w:eastAsia="宋体" w:cs="宋体"/>
          <w:color w:val="000000" w:themeColor="text1"/>
          <w:sz w:val="32"/>
          <w:szCs w:val="21"/>
          <w14:textFill>
            <w14:solidFill>
              <w14:schemeClr w14:val="tx1"/>
            </w14:solidFill>
          </w14:textFill>
        </w:rPr>
        <w:t>前列表</w:t>
      </w:r>
      <w:bookmarkEnd w:id="30"/>
    </w:p>
    <w:tbl>
      <w:tblPr>
        <w:tblStyle w:val="26"/>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26"/>
        <w:gridCol w:w="2392"/>
        <w:gridCol w:w="1262"/>
        <w:gridCol w:w="3921"/>
      </w:tblGrid>
      <w:tr w14:paraId="4E4A7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14:paraId="59F57883">
            <w:pPr>
              <w:jc w:val="center"/>
              <w:rPr>
                <w:rFonts w:ascii="宋体" w:hAnsi="宋体" w:cs="宋体"/>
                <w:b/>
                <w:bCs/>
                <w:snapToGrid w:val="0"/>
                <w:color w:val="000000" w:themeColor="text1"/>
                <w:sz w:val="24"/>
                <w14:textFill>
                  <w14:solidFill>
                    <w14:schemeClr w14:val="tx1"/>
                  </w14:solidFill>
                </w14:textFill>
              </w:rPr>
            </w:pPr>
            <w:r>
              <w:rPr>
                <w:rFonts w:hint="eastAsia" w:ascii="宋体" w:hAnsi="宋体" w:cs="宋体"/>
                <w:b/>
                <w:bCs/>
                <w:snapToGrid w:val="0"/>
                <w:color w:val="000000" w:themeColor="text1"/>
                <w:sz w:val="24"/>
                <w14:textFill>
                  <w14:solidFill>
                    <w14:schemeClr w14:val="tx1"/>
                  </w14:solidFill>
                </w14:textFill>
              </w:rPr>
              <w:t>序号</w:t>
            </w:r>
          </w:p>
        </w:tc>
        <w:tc>
          <w:tcPr>
            <w:tcW w:w="1226" w:type="dxa"/>
            <w:tcBorders>
              <w:top w:val="double" w:color="auto" w:sz="4" w:space="0"/>
              <w:left w:val="single" w:color="auto" w:sz="4" w:space="0"/>
              <w:bottom w:val="single" w:color="auto" w:sz="4" w:space="0"/>
            </w:tcBorders>
            <w:vAlign w:val="center"/>
          </w:tcPr>
          <w:p w14:paraId="1183F73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须知项目</w:t>
            </w:r>
          </w:p>
        </w:tc>
        <w:tc>
          <w:tcPr>
            <w:tcW w:w="7575" w:type="dxa"/>
            <w:gridSpan w:val="3"/>
            <w:tcBorders>
              <w:top w:val="double" w:color="auto" w:sz="4" w:space="0"/>
              <w:bottom w:val="single" w:color="auto" w:sz="4" w:space="0"/>
              <w:right w:val="double" w:color="auto" w:sz="4" w:space="0"/>
            </w:tcBorders>
            <w:vAlign w:val="center"/>
          </w:tcPr>
          <w:p w14:paraId="032E5FA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内容、要求和时间</w:t>
            </w:r>
          </w:p>
        </w:tc>
      </w:tr>
      <w:tr w14:paraId="61B46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14:paraId="7E1E8CEF">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w:t>
            </w:r>
          </w:p>
        </w:tc>
        <w:tc>
          <w:tcPr>
            <w:tcW w:w="1226" w:type="dxa"/>
            <w:tcBorders>
              <w:top w:val="single" w:color="auto" w:sz="4" w:space="0"/>
              <w:left w:val="single" w:color="auto" w:sz="4" w:space="0"/>
            </w:tcBorders>
            <w:vAlign w:val="center"/>
          </w:tcPr>
          <w:p w14:paraId="3077684F">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项目名称</w:t>
            </w:r>
          </w:p>
        </w:tc>
        <w:tc>
          <w:tcPr>
            <w:tcW w:w="7575" w:type="dxa"/>
            <w:gridSpan w:val="3"/>
            <w:tcBorders>
              <w:top w:val="single" w:color="auto" w:sz="4" w:space="0"/>
              <w:right w:val="double" w:color="auto" w:sz="4" w:space="0"/>
            </w:tcBorders>
            <w:vAlign w:val="center"/>
          </w:tcPr>
          <w:p w14:paraId="03FC8185">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缙云县第二人民医院迁建项目污水设备及基础设施采购项目</w:t>
            </w:r>
          </w:p>
        </w:tc>
      </w:tr>
      <w:tr w14:paraId="7A78C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14:paraId="56298124">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2</w:t>
            </w:r>
          </w:p>
        </w:tc>
        <w:tc>
          <w:tcPr>
            <w:tcW w:w="1226" w:type="dxa"/>
            <w:tcBorders>
              <w:left w:val="single" w:color="auto" w:sz="4" w:space="0"/>
            </w:tcBorders>
            <w:vAlign w:val="center"/>
          </w:tcPr>
          <w:p w14:paraId="0E43CF5F">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采购人</w:t>
            </w:r>
          </w:p>
        </w:tc>
        <w:tc>
          <w:tcPr>
            <w:tcW w:w="7575" w:type="dxa"/>
            <w:gridSpan w:val="3"/>
            <w:tcBorders>
              <w:right w:val="double" w:color="auto" w:sz="4" w:space="0"/>
            </w:tcBorders>
            <w:vAlign w:val="center"/>
          </w:tcPr>
          <w:p w14:paraId="4BEF22B5">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缙云县第二人民医院</w:t>
            </w:r>
          </w:p>
        </w:tc>
      </w:tr>
      <w:tr w14:paraId="63142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14:paraId="2F82DB6E">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3</w:t>
            </w:r>
          </w:p>
        </w:tc>
        <w:tc>
          <w:tcPr>
            <w:tcW w:w="1226" w:type="dxa"/>
            <w:tcBorders>
              <w:left w:val="single" w:color="auto" w:sz="4" w:space="0"/>
            </w:tcBorders>
            <w:vAlign w:val="center"/>
          </w:tcPr>
          <w:p w14:paraId="60BA6434">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采购代理机构</w:t>
            </w:r>
          </w:p>
        </w:tc>
        <w:tc>
          <w:tcPr>
            <w:tcW w:w="7575" w:type="dxa"/>
            <w:gridSpan w:val="3"/>
            <w:tcBorders>
              <w:right w:val="double" w:color="auto" w:sz="4" w:space="0"/>
            </w:tcBorders>
            <w:vAlign w:val="center"/>
          </w:tcPr>
          <w:p w14:paraId="62D6A56A">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浙江大兴建设项目管理咨询有限公司</w:t>
            </w:r>
          </w:p>
        </w:tc>
      </w:tr>
      <w:tr w14:paraId="45EB5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561DAB16">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4</w:t>
            </w:r>
          </w:p>
        </w:tc>
        <w:tc>
          <w:tcPr>
            <w:tcW w:w="1226" w:type="dxa"/>
            <w:tcBorders>
              <w:left w:val="single" w:color="auto" w:sz="4" w:space="0"/>
            </w:tcBorders>
            <w:vAlign w:val="center"/>
          </w:tcPr>
          <w:p w14:paraId="1130BD46">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采购方式</w:t>
            </w:r>
          </w:p>
        </w:tc>
        <w:tc>
          <w:tcPr>
            <w:tcW w:w="2392" w:type="dxa"/>
            <w:vAlign w:val="center"/>
          </w:tcPr>
          <w:p w14:paraId="27EB7861">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公开招标</w:t>
            </w:r>
          </w:p>
        </w:tc>
        <w:tc>
          <w:tcPr>
            <w:tcW w:w="1262" w:type="dxa"/>
            <w:vAlign w:val="center"/>
          </w:tcPr>
          <w:p w14:paraId="72ED1070">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组织方式</w:t>
            </w:r>
          </w:p>
        </w:tc>
        <w:tc>
          <w:tcPr>
            <w:tcW w:w="3921" w:type="dxa"/>
            <w:tcBorders>
              <w:right w:val="double" w:color="auto" w:sz="4" w:space="0"/>
            </w:tcBorders>
            <w:vAlign w:val="center"/>
          </w:tcPr>
          <w:p w14:paraId="703EED98">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分散采购委托中介</w:t>
            </w:r>
          </w:p>
        </w:tc>
      </w:tr>
      <w:tr w14:paraId="1FAEC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14:paraId="56733349">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5</w:t>
            </w:r>
          </w:p>
        </w:tc>
        <w:tc>
          <w:tcPr>
            <w:tcW w:w="1226" w:type="dxa"/>
            <w:tcBorders>
              <w:left w:val="single" w:color="auto" w:sz="4" w:space="0"/>
            </w:tcBorders>
            <w:vAlign w:val="center"/>
          </w:tcPr>
          <w:p w14:paraId="00EB3B60">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资格审查方式</w:t>
            </w:r>
          </w:p>
        </w:tc>
        <w:tc>
          <w:tcPr>
            <w:tcW w:w="7575" w:type="dxa"/>
            <w:gridSpan w:val="3"/>
            <w:tcBorders>
              <w:right w:val="double" w:color="auto" w:sz="4" w:space="0"/>
            </w:tcBorders>
            <w:vAlign w:val="center"/>
          </w:tcPr>
          <w:p w14:paraId="57DFF294">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采用资格后审。投标人获取招标文件或提交投标文件不表明已获取投标资格。开标会上通过资格审查的投标人才具有投标资格。</w:t>
            </w:r>
          </w:p>
        </w:tc>
      </w:tr>
      <w:tr w14:paraId="6AED1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14:paraId="2663C283">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6</w:t>
            </w:r>
          </w:p>
        </w:tc>
        <w:tc>
          <w:tcPr>
            <w:tcW w:w="1226" w:type="dxa"/>
            <w:tcBorders>
              <w:left w:val="single" w:color="auto" w:sz="4" w:space="0"/>
            </w:tcBorders>
            <w:vAlign w:val="center"/>
          </w:tcPr>
          <w:p w14:paraId="1E9DD382">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投标有效期</w:t>
            </w:r>
          </w:p>
        </w:tc>
        <w:tc>
          <w:tcPr>
            <w:tcW w:w="7575" w:type="dxa"/>
            <w:gridSpan w:val="3"/>
            <w:tcBorders>
              <w:right w:val="double" w:color="auto" w:sz="4" w:space="0"/>
            </w:tcBorders>
            <w:vAlign w:val="center"/>
          </w:tcPr>
          <w:p w14:paraId="0049F051">
            <w:pPr>
              <w:spacing w:line="312" w:lineRule="auto"/>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提交投标文件的截止之日起90天内有效</w:t>
            </w:r>
          </w:p>
        </w:tc>
      </w:tr>
      <w:tr w14:paraId="708FB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exact"/>
          <w:jc w:val="center"/>
        </w:trPr>
        <w:tc>
          <w:tcPr>
            <w:tcW w:w="805" w:type="dxa"/>
            <w:tcBorders>
              <w:left w:val="double" w:color="auto" w:sz="4" w:space="0"/>
              <w:right w:val="single" w:color="auto" w:sz="4" w:space="0"/>
            </w:tcBorders>
            <w:vAlign w:val="center"/>
          </w:tcPr>
          <w:p w14:paraId="68336E03">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7</w:t>
            </w:r>
          </w:p>
        </w:tc>
        <w:tc>
          <w:tcPr>
            <w:tcW w:w="1226" w:type="dxa"/>
            <w:tcBorders>
              <w:left w:val="single" w:color="auto" w:sz="4" w:space="0"/>
            </w:tcBorders>
            <w:vAlign w:val="center"/>
          </w:tcPr>
          <w:p w14:paraId="61239EE5">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招标文件质疑</w:t>
            </w:r>
          </w:p>
        </w:tc>
        <w:tc>
          <w:tcPr>
            <w:tcW w:w="7575" w:type="dxa"/>
            <w:gridSpan w:val="3"/>
            <w:tcBorders>
              <w:right w:val="double" w:color="auto" w:sz="4" w:space="0"/>
            </w:tcBorders>
            <w:vAlign w:val="center"/>
          </w:tcPr>
          <w:p w14:paraId="346D1E52">
            <w:pPr>
              <w:spacing w:line="312"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1、只有通过浙江政府采购网—用户入驻/登录—用户登录—项目采购—获取招标文件管理栏获取招标文件的投标人才能对招标文件提出质疑，否则不予受理。</w:t>
            </w:r>
          </w:p>
          <w:p w14:paraId="5C8BED46">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14:paraId="2225C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14:paraId="7CD6E172">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8</w:t>
            </w:r>
          </w:p>
        </w:tc>
        <w:tc>
          <w:tcPr>
            <w:tcW w:w="1226" w:type="dxa"/>
            <w:tcBorders>
              <w:left w:val="single" w:color="auto" w:sz="4" w:space="0"/>
            </w:tcBorders>
            <w:vAlign w:val="center"/>
          </w:tcPr>
          <w:p w14:paraId="6229BF2F">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招标文件澄清或修改时间</w:t>
            </w:r>
          </w:p>
        </w:tc>
        <w:tc>
          <w:tcPr>
            <w:tcW w:w="7575" w:type="dxa"/>
            <w:gridSpan w:val="3"/>
            <w:tcBorders>
              <w:right w:val="double" w:color="auto" w:sz="4" w:space="0"/>
            </w:tcBorders>
            <w:vAlign w:val="center"/>
          </w:tcPr>
          <w:p w14:paraId="0AF221A8">
            <w:pPr>
              <w:spacing w:line="312" w:lineRule="auto"/>
              <w:rPr>
                <w:rFonts w:ascii="宋体" w:hAnsi="宋体" w:cs="宋体"/>
                <w:bCs/>
                <w:snapToGrid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投标截止时间15天前，发布网址同招标公告发布网址。</w:t>
            </w:r>
          </w:p>
        </w:tc>
      </w:tr>
      <w:tr w14:paraId="0B7D5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14:paraId="229D4AA7">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9</w:t>
            </w:r>
          </w:p>
        </w:tc>
        <w:tc>
          <w:tcPr>
            <w:tcW w:w="1226" w:type="dxa"/>
            <w:tcBorders>
              <w:left w:val="single" w:color="auto" w:sz="4" w:space="0"/>
            </w:tcBorders>
            <w:vAlign w:val="center"/>
          </w:tcPr>
          <w:p w14:paraId="72CC02BA">
            <w:pPr>
              <w:spacing w:line="312" w:lineRule="auto"/>
              <w:jc w:val="left"/>
              <w:rPr>
                <w:rFonts w:ascii="宋体" w:hAnsi="宋体" w:cs="宋体"/>
                <w:b/>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投标文件提交</w:t>
            </w:r>
          </w:p>
        </w:tc>
        <w:tc>
          <w:tcPr>
            <w:tcW w:w="7575" w:type="dxa"/>
            <w:gridSpan w:val="3"/>
            <w:tcBorders>
              <w:right w:val="double" w:color="auto" w:sz="4" w:space="0"/>
            </w:tcBorders>
            <w:vAlign w:val="center"/>
          </w:tcPr>
          <w:p w14:paraId="07887F36">
            <w:pPr>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本项目实行电子招投标，供应商须在投标截止时间前，前往政采云平台上传电子响应文件，无需到达现场提交响应文件。 </w:t>
            </w:r>
          </w:p>
        </w:tc>
      </w:tr>
      <w:tr w14:paraId="084ED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14:paraId="0B5F6DB3">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10</w:t>
            </w:r>
          </w:p>
        </w:tc>
        <w:tc>
          <w:tcPr>
            <w:tcW w:w="1226" w:type="dxa"/>
            <w:tcBorders>
              <w:left w:val="single" w:color="auto" w:sz="4" w:space="0"/>
            </w:tcBorders>
            <w:vAlign w:val="center"/>
          </w:tcPr>
          <w:p w14:paraId="6B1DCE3D">
            <w:pPr>
              <w:spacing w:line="312" w:lineRule="auto"/>
              <w:jc w:val="left"/>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开标时间及地点</w:t>
            </w:r>
          </w:p>
        </w:tc>
        <w:tc>
          <w:tcPr>
            <w:tcW w:w="7575" w:type="dxa"/>
            <w:gridSpan w:val="3"/>
            <w:tcBorders>
              <w:right w:val="double" w:color="auto" w:sz="4" w:space="0"/>
            </w:tcBorders>
            <w:vAlign w:val="center"/>
          </w:tcPr>
          <w:p w14:paraId="514C06D9">
            <w:pPr>
              <w:spacing w:line="312" w:lineRule="auto"/>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开标时间：同投标截止时间。</w:t>
            </w:r>
          </w:p>
          <w:p w14:paraId="1A4A284E">
            <w:pPr>
              <w:spacing w:line="312" w:lineRule="auto"/>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开标地点：浙江政府采购网—用户入驻/登录—用户登录—项目采购—开标评标—进入开标大厅</w:t>
            </w:r>
          </w:p>
          <w:p w14:paraId="7C2E070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评标地点：缙云县公共资源交易中心（缙云县五云街道新区黄龙路广电大楼六楼）</w:t>
            </w:r>
          </w:p>
        </w:tc>
      </w:tr>
      <w:tr w14:paraId="2425F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14:paraId="7636D4F4">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11</w:t>
            </w:r>
          </w:p>
        </w:tc>
        <w:tc>
          <w:tcPr>
            <w:tcW w:w="1226" w:type="dxa"/>
            <w:tcBorders>
              <w:left w:val="single" w:color="auto" w:sz="4" w:space="0"/>
            </w:tcBorders>
            <w:vAlign w:val="center"/>
          </w:tcPr>
          <w:p w14:paraId="73805820">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中标结果公告及中标通知书</w:t>
            </w:r>
          </w:p>
        </w:tc>
        <w:tc>
          <w:tcPr>
            <w:tcW w:w="7575" w:type="dxa"/>
            <w:gridSpan w:val="3"/>
            <w:tcBorders>
              <w:right w:val="double" w:color="auto" w:sz="4" w:space="0"/>
            </w:tcBorders>
            <w:vAlign w:val="center"/>
          </w:tcPr>
          <w:p w14:paraId="77ABD297">
            <w:pPr>
              <w:snapToGrid w:val="0"/>
              <w:spacing w:line="312" w:lineRule="auto"/>
              <w:jc w:val="lef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评标报告经采购人确认后2个工作日内，中标公告在</w:t>
            </w:r>
            <w:r>
              <w:rPr>
                <w:rFonts w:hint="eastAsia" w:ascii="宋体" w:hAnsi="宋体" w:cs="宋体"/>
                <w:color w:val="000000" w:themeColor="text1"/>
                <w:sz w:val="24"/>
                <w14:textFill>
                  <w14:solidFill>
                    <w14:schemeClr w14:val="tx1"/>
                  </w14:solidFill>
                </w14:textFill>
              </w:rPr>
              <w:t>浙江政府采购网</w:t>
            </w:r>
            <w:r>
              <w:fldChar w:fldCharType="begin"/>
            </w:r>
            <w:r>
              <w:instrText xml:space="preserve"> HYPERLINK "http://60.190.126.3:8080/wcm/WCMV6/editor/editor/招标文件（新版）.doc" </w:instrText>
            </w:r>
            <w:r>
              <w:fldChar w:fldCharType="separate"/>
            </w:r>
            <w:r>
              <w:rPr>
                <w:rStyle w:val="30"/>
                <w:rFonts w:hint="eastAsia" w:ascii="宋体" w:hAnsi="宋体" w:cs="宋体"/>
                <w:color w:val="000000" w:themeColor="text1"/>
                <w:sz w:val="24"/>
                <w14:textFill>
                  <w14:solidFill>
                    <w14:schemeClr w14:val="tx1"/>
                  </w14:solidFill>
                </w14:textFill>
              </w:rPr>
              <w:t>http://zfcg.czt.zj.gov.cn/</w:t>
            </w:r>
            <w:r>
              <w:rPr>
                <w:rStyle w:val="30"/>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、丽水市公共资源交易网http://lssggzy.lishui.gov.cn/jyweb</w:t>
            </w:r>
            <w:r>
              <w:rPr>
                <w:rStyle w:val="30"/>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媒</w:t>
            </w:r>
            <w:r>
              <w:rPr>
                <w:rFonts w:hint="eastAsia" w:ascii="宋体" w:hAnsi="宋体" w:cs="宋体"/>
                <w:bCs/>
                <w:color w:val="000000" w:themeColor="text1"/>
                <w:kern w:val="0"/>
                <w:sz w:val="24"/>
                <w14:textFill>
                  <w14:solidFill>
                    <w14:schemeClr w14:val="tx1"/>
                  </w14:solidFill>
                </w14:textFill>
              </w:rPr>
              <w:t>体上发布，并同时发出中标通知书。</w:t>
            </w:r>
          </w:p>
        </w:tc>
      </w:tr>
      <w:tr w14:paraId="0D8BD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14:paraId="7694C4F0">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12</w:t>
            </w:r>
          </w:p>
        </w:tc>
        <w:tc>
          <w:tcPr>
            <w:tcW w:w="1226" w:type="dxa"/>
            <w:tcBorders>
              <w:left w:val="single" w:color="auto" w:sz="4" w:space="0"/>
            </w:tcBorders>
            <w:vAlign w:val="center"/>
          </w:tcPr>
          <w:p w14:paraId="6F72997B">
            <w:pPr>
              <w:spacing w:line="312" w:lineRule="auto"/>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评标办法和细则</w:t>
            </w:r>
          </w:p>
        </w:tc>
        <w:tc>
          <w:tcPr>
            <w:tcW w:w="7575" w:type="dxa"/>
            <w:gridSpan w:val="3"/>
            <w:tcBorders>
              <w:right w:val="double" w:color="auto" w:sz="4" w:space="0"/>
            </w:tcBorders>
            <w:vAlign w:val="center"/>
          </w:tcPr>
          <w:p w14:paraId="62B8681B">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详见本招标文件第六章</w:t>
            </w:r>
          </w:p>
        </w:tc>
      </w:tr>
      <w:tr w14:paraId="434F6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14:paraId="26D7CD13">
            <w:pPr>
              <w:spacing w:line="312" w:lineRule="auto"/>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13</w:t>
            </w:r>
          </w:p>
        </w:tc>
        <w:tc>
          <w:tcPr>
            <w:tcW w:w="1226" w:type="dxa"/>
            <w:tcBorders>
              <w:left w:val="single" w:color="auto" w:sz="4" w:space="0"/>
            </w:tcBorders>
            <w:vAlign w:val="center"/>
          </w:tcPr>
          <w:p w14:paraId="5FC2B6D8">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签订合同</w:t>
            </w:r>
          </w:p>
        </w:tc>
        <w:tc>
          <w:tcPr>
            <w:tcW w:w="7575" w:type="dxa"/>
            <w:gridSpan w:val="3"/>
            <w:tcBorders>
              <w:right w:val="double" w:color="auto" w:sz="4" w:space="0"/>
            </w:tcBorders>
            <w:vAlign w:val="center"/>
          </w:tcPr>
          <w:p w14:paraId="4F3FE963">
            <w:pPr>
              <w:pStyle w:val="37"/>
              <w:spacing w:line="312" w:lineRule="auto"/>
              <w:rPr>
                <w:rFonts w:ascii="宋体" w:hAnsi="宋体" w:cs="宋体"/>
                <w:bCs/>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中标通知书发出之日起30日内，按照采购文件确定的事项签订政府采购合同。</w:t>
            </w:r>
          </w:p>
        </w:tc>
      </w:tr>
      <w:tr w14:paraId="37EB4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14:paraId="13E90BFE">
            <w:pPr>
              <w:spacing w:line="312"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14</w:t>
            </w:r>
          </w:p>
        </w:tc>
        <w:tc>
          <w:tcPr>
            <w:tcW w:w="1226" w:type="dxa"/>
            <w:tcBorders>
              <w:left w:val="single" w:color="auto" w:sz="4" w:space="0"/>
            </w:tcBorders>
            <w:vAlign w:val="center"/>
          </w:tcPr>
          <w:p w14:paraId="740BD6C3">
            <w:pPr>
              <w:spacing w:line="312" w:lineRule="auto"/>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发布媒体</w:t>
            </w:r>
          </w:p>
        </w:tc>
        <w:tc>
          <w:tcPr>
            <w:tcW w:w="7575" w:type="dxa"/>
            <w:gridSpan w:val="3"/>
            <w:tcBorders>
              <w:right w:val="double" w:color="auto" w:sz="4" w:space="0"/>
            </w:tcBorders>
            <w:vAlign w:val="center"/>
          </w:tcPr>
          <w:p w14:paraId="09BE79B4">
            <w:pPr>
              <w:snapToGrid w:val="0"/>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浙江政府采购网</w:t>
            </w:r>
            <w:r>
              <w:fldChar w:fldCharType="begin"/>
            </w:r>
            <w:r>
              <w:instrText xml:space="preserve"> HYPERLINK "http://60.190.126.3:8080/wcm/WCMV6/editor/editor/招标文件（新版）.doc" </w:instrText>
            </w:r>
            <w:r>
              <w:fldChar w:fldCharType="separate"/>
            </w:r>
            <w:r>
              <w:rPr>
                <w:rFonts w:hint="eastAsia" w:ascii="宋体" w:hAnsi="宋体" w:cs="宋体"/>
                <w:color w:val="000000" w:themeColor="text1"/>
                <w:sz w:val="24"/>
                <w14:textFill>
                  <w14:solidFill>
                    <w14:schemeClr w14:val="tx1"/>
                  </w14:solidFill>
                </w14:textFill>
              </w:rPr>
              <w:t>http://zfcg.czt.zj.gov.cn/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w:t>
            </w:r>
          </w:p>
          <w:p w14:paraId="33A5E20B">
            <w:pPr>
              <w:snapToGrid w:val="0"/>
              <w:spacing w:line="312"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丽水市公共资源交易网http://lssggzy.lishui.gov.cn/jyweb/</w:t>
            </w:r>
          </w:p>
        </w:tc>
      </w:tr>
      <w:tr w14:paraId="3B227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14:paraId="4EA7A99B">
            <w:pPr>
              <w:spacing w:line="312" w:lineRule="auto"/>
              <w:ind w:left="-88" w:leftChars="-42" w:right="-113" w:rightChars="-54"/>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
                <w:bCs/>
                <w:snapToGrid w:val="0"/>
                <w:color w:val="000000" w:themeColor="text1"/>
                <w:sz w:val="24"/>
                <w14:textFill>
                  <w14:solidFill>
                    <w14:schemeClr w14:val="tx1"/>
                  </w14:solidFill>
                </w14:textFill>
              </w:rPr>
              <w:t>15</w:t>
            </w:r>
          </w:p>
        </w:tc>
        <w:tc>
          <w:tcPr>
            <w:tcW w:w="1226" w:type="dxa"/>
            <w:tcBorders>
              <w:left w:val="single" w:color="auto" w:sz="4" w:space="0"/>
            </w:tcBorders>
            <w:vAlign w:val="center"/>
          </w:tcPr>
          <w:p w14:paraId="3E55BA4A">
            <w:pPr>
              <w:spacing w:line="312"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采购文件解释</w:t>
            </w:r>
          </w:p>
        </w:tc>
        <w:tc>
          <w:tcPr>
            <w:tcW w:w="7575" w:type="dxa"/>
            <w:gridSpan w:val="3"/>
            <w:tcBorders>
              <w:right w:val="double" w:color="auto" w:sz="4" w:space="0"/>
            </w:tcBorders>
            <w:vAlign w:val="center"/>
          </w:tcPr>
          <w:p w14:paraId="69B46F48">
            <w:pPr>
              <w:spacing w:line="312"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本项目采购文件的解释权属于浙江大兴建设项目管理咨询有限公司</w:t>
            </w:r>
          </w:p>
        </w:tc>
      </w:tr>
      <w:tr w14:paraId="1805D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14:paraId="066509C6">
            <w:pPr>
              <w:spacing w:line="312" w:lineRule="auto"/>
              <w:ind w:left="-88" w:leftChars="-42" w:right="-113" w:rightChars="-54"/>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16</w:t>
            </w:r>
          </w:p>
        </w:tc>
        <w:tc>
          <w:tcPr>
            <w:tcW w:w="1226" w:type="dxa"/>
            <w:tcBorders>
              <w:left w:val="single" w:color="auto" w:sz="4" w:space="0"/>
            </w:tcBorders>
            <w:vAlign w:val="center"/>
          </w:tcPr>
          <w:p w14:paraId="6C3D5C3E">
            <w:pPr>
              <w:spacing w:line="312" w:lineRule="auto"/>
              <w:ind w:left="-44" w:leftChars="-53" w:right="-65" w:rightChars="-31" w:hanging="67" w:hangingChars="28"/>
              <w:jc w:val="center"/>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投标人硬件准备</w:t>
            </w:r>
          </w:p>
        </w:tc>
        <w:tc>
          <w:tcPr>
            <w:tcW w:w="7575" w:type="dxa"/>
            <w:gridSpan w:val="3"/>
            <w:tcBorders>
              <w:right w:val="double" w:color="auto" w:sz="4" w:space="0"/>
            </w:tcBorders>
            <w:vAlign w:val="center"/>
          </w:tcPr>
          <w:p w14:paraId="78D6D7D7">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1.电脑、网络（供电子投标文件解密和澄清答疑使用）；</w:t>
            </w:r>
          </w:p>
          <w:p w14:paraId="749FCB9E">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2.电子投标文件解密CA锁(即原编制电子投标文件加密的CA锁)；</w:t>
            </w:r>
          </w:p>
        </w:tc>
      </w:tr>
      <w:tr w14:paraId="41E79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14:paraId="70E43C2B">
            <w:pPr>
              <w:snapToGrid w:val="0"/>
              <w:spacing w:line="312"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w:t>
            </w:r>
          </w:p>
        </w:tc>
        <w:tc>
          <w:tcPr>
            <w:tcW w:w="1226" w:type="dxa"/>
            <w:tcBorders>
              <w:left w:val="single" w:color="auto" w:sz="4" w:space="0"/>
            </w:tcBorders>
            <w:vAlign w:val="center"/>
          </w:tcPr>
          <w:p w14:paraId="178B36D8">
            <w:pPr>
              <w:spacing w:line="312" w:lineRule="auto"/>
              <w:ind w:left="-44" w:leftChars="-53" w:right="-65" w:rightChars="-31" w:hanging="67" w:hangingChars="28"/>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强制采购的节能产品</w:t>
            </w:r>
          </w:p>
        </w:tc>
        <w:tc>
          <w:tcPr>
            <w:tcW w:w="7575" w:type="dxa"/>
            <w:gridSpan w:val="3"/>
            <w:tcBorders>
              <w:right w:val="double" w:color="auto" w:sz="4" w:space="0"/>
            </w:tcBorders>
            <w:vAlign w:val="center"/>
          </w:tcPr>
          <w:p w14:paraId="5DBCE3A3">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□台式计算机  □便携式计算机  □平板式微型计算机</w:t>
            </w:r>
          </w:p>
          <w:p w14:paraId="1D92FDE1">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□激光打印机  □针式打印机    □液晶显示设备     □水嘴</w:t>
            </w:r>
          </w:p>
          <w:p w14:paraId="3F1E23AE">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□制冷压缩机  □空调机组      □专用制冷、空调设备</w:t>
            </w:r>
          </w:p>
          <w:p w14:paraId="02F8564D">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□镇流器      □视频设备      □电热水器         □便器</w:t>
            </w:r>
          </w:p>
          <w:p w14:paraId="183ED68A">
            <w:pPr>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□普通照明用双端荧光灯        □电视设备         □空调机             </w:t>
            </w:r>
          </w:p>
        </w:tc>
      </w:tr>
      <w:tr w14:paraId="74E79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3" w:hRule="exact"/>
          <w:jc w:val="center"/>
        </w:trPr>
        <w:tc>
          <w:tcPr>
            <w:tcW w:w="805" w:type="dxa"/>
            <w:tcBorders>
              <w:left w:val="double" w:color="auto" w:sz="4" w:space="0"/>
              <w:right w:val="single" w:color="auto" w:sz="4" w:space="0"/>
            </w:tcBorders>
            <w:vAlign w:val="center"/>
          </w:tcPr>
          <w:p w14:paraId="6189E004">
            <w:pPr>
              <w:snapToGrid w:val="0"/>
              <w:spacing w:line="312"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1226" w:type="dxa"/>
            <w:tcBorders>
              <w:left w:val="single" w:color="auto" w:sz="4" w:space="0"/>
            </w:tcBorders>
            <w:vAlign w:val="center"/>
          </w:tcPr>
          <w:p w14:paraId="109813F8">
            <w:pPr>
              <w:snapToGrid w:val="0"/>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落实政府采购支持中小企业、监狱企业及残疾人福利性单位发展政策</w:t>
            </w:r>
          </w:p>
        </w:tc>
        <w:tc>
          <w:tcPr>
            <w:tcW w:w="7575" w:type="dxa"/>
            <w:gridSpan w:val="3"/>
            <w:tcBorders>
              <w:right w:val="double" w:color="auto" w:sz="4" w:space="0"/>
            </w:tcBorders>
            <w:vAlign w:val="center"/>
          </w:tcPr>
          <w:p w14:paraId="476B0002">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根据《政府采购促进中小企业发展管理办法》（财库﹝2020﹞46号）规定，本项目</w:t>
            </w:r>
            <w:r>
              <w:rPr>
                <w:rFonts w:hint="eastAsia" w:ascii="宋体" w:hAnsi="宋体" w:cs="宋体"/>
                <w:snapToGrid w:val="0"/>
                <w:color w:val="000000" w:themeColor="text1"/>
                <w:kern w:val="28"/>
                <w:sz w:val="24"/>
                <w:u w:val="single"/>
                <w14:textFill>
                  <w14:solidFill>
                    <w14:schemeClr w14:val="tx1"/>
                  </w14:solidFill>
                </w14:textFill>
              </w:rPr>
              <w:t xml:space="preserve"> </w:t>
            </w:r>
            <w:r>
              <w:rPr>
                <w:rFonts w:hint="eastAsia" w:ascii="宋体" w:hAnsi="宋体" w:cs="宋体"/>
                <w:b/>
                <w:bCs/>
                <w:snapToGrid w:val="0"/>
                <w:color w:val="000000" w:themeColor="text1"/>
                <w:kern w:val="28"/>
                <w:sz w:val="24"/>
                <w:u w:val="single"/>
                <w14:textFill>
                  <w14:solidFill>
                    <w14:schemeClr w14:val="tx1"/>
                  </w14:solidFill>
                </w14:textFill>
              </w:rPr>
              <w:t>是</w:t>
            </w:r>
            <w:r>
              <w:rPr>
                <w:rFonts w:hint="eastAsia" w:ascii="宋体" w:hAnsi="宋体" w:cs="宋体"/>
                <w:snapToGrid w:val="0"/>
                <w:color w:val="000000" w:themeColor="text1"/>
                <w:kern w:val="28"/>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专门面向中小微企业采购</w:t>
            </w:r>
            <w:r>
              <w:rPr>
                <w:rFonts w:hint="eastAsia" w:ascii="宋体" w:hAnsi="宋体" w:cs="宋体"/>
                <w:snapToGrid w:val="0"/>
                <w:color w:val="000000" w:themeColor="text1"/>
                <w:kern w:val="28"/>
                <w:sz w:val="24"/>
                <w14:textFill>
                  <w14:solidFill>
                    <w14:schemeClr w14:val="tx1"/>
                  </w14:solidFill>
                </w14:textFill>
              </w:rPr>
              <w:t>，不再重复享受价格扣除的优惠政策。</w:t>
            </w:r>
          </w:p>
          <w:p w14:paraId="1E82650C">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对于非</w:t>
            </w:r>
            <w:r>
              <w:rPr>
                <w:rFonts w:hint="eastAsia" w:ascii="宋体" w:hAnsi="宋体" w:cs="宋体"/>
                <w:color w:val="000000" w:themeColor="text1"/>
                <w:kern w:val="0"/>
                <w:sz w:val="24"/>
                <w14:textFill>
                  <w14:solidFill>
                    <w14:schemeClr w14:val="tx1"/>
                  </w14:solidFill>
                </w14:textFill>
              </w:rPr>
              <w:t>专门面向中小微企业采购</w:t>
            </w:r>
            <w:r>
              <w:rPr>
                <w:rFonts w:hint="eastAsia" w:ascii="宋体" w:hAnsi="宋体" w:cs="宋体"/>
                <w:snapToGrid w:val="0"/>
                <w:color w:val="000000" w:themeColor="text1"/>
                <w:kern w:val="28"/>
                <w:sz w:val="24"/>
                <w14:textFill>
                  <w14:solidFill>
                    <w14:schemeClr w14:val="tx1"/>
                  </w14:solidFill>
                </w14:textFill>
              </w:rPr>
              <w:t>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14:paraId="6B8F0B18">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本项目所属行业</w:t>
            </w:r>
            <w:r>
              <w:rPr>
                <w:rFonts w:hint="eastAsia" w:ascii="宋体" w:hAnsi="宋体" w:cs="宋体"/>
                <w:snapToGrid w:val="0"/>
                <w:color w:val="000000" w:themeColor="text1"/>
                <w:kern w:val="28"/>
                <w:sz w:val="24"/>
                <w:u w:val="single"/>
                <w14:textFill>
                  <w14:solidFill>
                    <w14:schemeClr w14:val="tx1"/>
                  </w14:solidFill>
                </w14:textFill>
              </w:rPr>
              <w:t>：</w:t>
            </w:r>
            <w:r>
              <w:rPr>
                <w:rFonts w:hint="eastAsia" w:ascii="宋体" w:hAnsi="宋体" w:cs="宋体"/>
                <w:snapToGrid w:val="0"/>
                <w:color w:val="000000" w:themeColor="text1"/>
                <w:kern w:val="28"/>
                <w:sz w:val="24"/>
                <w:u w:val="single"/>
                <w:lang w:eastAsia="zh-CN"/>
                <w14:textFill>
                  <w14:solidFill>
                    <w14:schemeClr w14:val="tx1"/>
                  </w14:solidFill>
                </w14:textFill>
              </w:rPr>
              <w:t>工</w:t>
            </w:r>
            <w:r>
              <w:rPr>
                <w:rFonts w:hint="eastAsia" w:ascii="宋体" w:hAnsi="宋体" w:cs="宋体"/>
                <w:snapToGrid w:val="0"/>
                <w:color w:val="000000" w:themeColor="text1"/>
                <w:kern w:val="28"/>
                <w:sz w:val="24"/>
                <w:u w:val="single"/>
                <w14:textFill>
                  <w14:solidFill>
                    <w14:schemeClr w14:val="tx1"/>
                  </w14:solidFill>
                </w14:textFill>
              </w:rPr>
              <w:t>业 。</w:t>
            </w:r>
            <w:r>
              <w:rPr>
                <w:rFonts w:hint="eastAsia" w:ascii="宋体" w:hAnsi="宋体" w:cs="宋体"/>
                <w:snapToGrid w:val="0"/>
                <w:color w:val="000000" w:themeColor="text1"/>
                <w:kern w:val="28"/>
                <w:sz w:val="24"/>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14:paraId="035FF819">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监狱企业、残疾人福利性单位视同小型、微型企业，享受价格扣除。</w:t>
            </w:r>
          </w:p>
          <w:p w14:paraId="17D58EA3">
            <w:pPr>
              <w:rPr>
                <w:rFonts w:ascii="宋体" w:hAnsi="宋体" w:cs="宋体"/>
                <w:bCs/>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残疾人福利性单位属于小型、微型企业的，不重复享受政策。</w:t>
            </w:r>
          </w:p>
        </w:tc>
      </w:tr>
      <w:tr w14:paraId="271A9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805" w:type="dxa"/>
            <w:tcBorders>
              <w:left w:val="double" w:color="auto" w:sz="4" w:space="0"/>
              <w:right w:val="single" w:color="auto" w:sz="4" w:space="0"/>
            </w:tcBorders>
            <w:vAlign w:val="center"/>
          </w:tcPr>
          <w:p w14:paraId="07840859">
            <w:pPr>
              <w:spacing w:line="288" w:lineRule="auto"/>
              <w:ind w:left="-88" w:leftChars="-42" w:right="-113" w:rightChars="-54"/>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19</w:t>
            </w:r>
          </w:p>
        </w:tc>
        <w:tc>
          <w:tcPr>
            <w:tcW w:w="1226" w:type="dxa"/>
            <w:tcBorders>
              <w:left w:val="single" w:color="auto" w:sz="4" w:space="0"/>
            </w:tcBorders>
            <w:vAlign w:val="center"/>
          </w:tcPr>
          <w:p w14:paraId="642BF215">
            <w:pPr>
              <w:snapToGrid w:val="0"/>
              <w:spacing w:line="312"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履约保证金</w:t>
            </w:r>
          </w:p>
        </w:tc>
        <w:tc>
          <w:tcPr>
            <w:tcW w:w="7575" w:type="dxa"/>
            <w:gridSpan w:val="3"/>
            <w:tcBorders>
              <w:right w:val="double" w:color="auto" w:sz="4" w:space="0"/>
            </w:tcBorders>
            <w:vAlign w:val="center"/>
          </w:tcPr>
          <w:p w14:paraId="1E4751D9">
            <w:pPr>
              <w:snapToGrid w:val="0"/>
              <w:spacing w:line="312"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本项目不收取履约保证金</w:t>
            </w:r>
          </w:p>
        </w:tc>
      </w:tr>
      <w:tr w14:paraId="5D48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14:paraId="4AD4F250">
            <w:pPr>
              <w:spacing w:line="288" w:lineRule="auto"/>
              <w:ind w:left="-88" w:leftChars="-42" w:right="-113" w:rightChars="-54"/>
              <w:jc w:val="center"/>
              <w:rPr>
                <w:rFonts w:ascii="宋体" w:hAnsi="宋体" w:cs="宋体"/>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20</w:t>
            </w:r>
          </w:p>
        </w:tc>
        <w:tc>
          <w:tcPr>
            <w:tcW w:w="1226" w:type="dxa"/>
            <w:tcBorders>
              <w:left w:val="single" w:color="auto" w:sz="4" w:space="0"/>
              <w:bottom w:val="double" w:color="auto" w:sz="4" w:space="0"/>
            </w:tcBorders>
            <w:vAlign w:val="center"/>
          </w:tcPr>
          <w:p w14:paraId="3C0970D6">
            <w:pPr>
              <w:spacing w:line="288" w:lineRule="auto"/>
              <w:ind w:left="-44" w:leftChars="-53" w:right="-65" w:rightChars="-31" w:hanging="67" w:hangingChars="28"/>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其它</w:t>
            </w:r>
          </w:p>
        </w:tc>
        <w:tc>
          <w:tcPr>
            <w:tcW w:w="7575" w:type="dxa"/>
            <w:gridSpan w:val="3"/>
            <w:tcBorders>
              <w:bottom w:val="double" w:color="auto" w:sz="4" w:space="0"/>
              <w:right w:val="double" w:color="auto" w:sz="4" w:space="0"/>
            </w:tcBorders>
            <w:vAlign w:val="center"/>
          </w:tcPr>
          <w:p w14:paraId="21D16F1A">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中标供应商有资金需求，可申请政采贷、履约保函、预付款保函等政府采购金融服务。</w:t>
            </w:r>
          </w:p>
          <w:p w14:paraId="172B69BF">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1、政采贷</w:t>
            </w:r>
          </w:p>
          <w:p w14:paraId="41D013CA">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4F9B8D07">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2、履约保函、预付款保函</w:t>
            </w:r>
          </w:p>
          <w:p w14:paraId="7625EA5B">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中标供应商可通过以保函的形式提交履约保证金，减少对中小微企业的资金占用，降低财务成本。</w:t>
            </w:r>
          </w:p>
          <w:p w14:paraId="672A01E5">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履约保函，政采贷，预付款保函等金融服务办理方式。</w:t>
            </w:r>
          </w:p>
          <w:p w14:paraId="118CC7FD">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中标供应商登陆政采云——我的工作台——金融服务——融资专区或保函专区申请。金融专线95763</w:t>
            </w:r>
          </w:p>
          <w:p w14:paraId="633C8F86">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3.风险提示</w:t>
            </w:r>
          </w:p>
          <w:p w14:paraId="6805FE57">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167CCEBE">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（2）政府采购金融服务有风险，请详细了解并综合评估后再决定。</w:t>
            </w:r>
          </w:p>
          <w:p w14:paraId="4EF41401">
            <w:pPr>
              <w:snapToGrid w:val="0"/>
              <w:spacing w:line="288"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20731C29">
      <w:pPr>
        <w:spacing w:line="312" w:lineRule="auto"/>
        <w:ind w:firstLine="480" w:firstLineChars="200"/>
        <w:rPr>
          <w:rFonts w:ascii="宋体" w:hAnsi="宋体" w:cs="宋体"/>
          <w:color w:val="000000" w:themeColor="text1"/>
          <w:sz w:val="24"/>
          <w:szCs w:val="32"/>
          <w14:textFill>
            <w14:solidFill>
              <w14:schemeClr w14:val="tx1"/>
            </w14:solidFill>
          </w14:textFill>
        </w:rPr>
      </w:pPr>
    </w:p>
    <w:p w14:paraId="12BB24B5">
      <w:pPr>
        <w:pStyle w:val="6"/>
        <w:spacing w:before="0" w:after="0"/>
        <w:ind w:firstLine="0" w:firstLineChars="0"/>
        <w:rPr>
          <w:rFonts w:ascii="宋体" w:hAnsi="宋体" w:eastAsia="宋体" w:cs="宋体"/>
          <w:color w:val="000000" w:themeColor="text1"/>
          <w:sz w:val="24"/>
          <w:szCs w:val="24"/>
          <w14:textFill>
            <w14:solidFill>
              <w14:schemeClr w14:val="tx1"/>
            </w14:solidFill>
          </w14:textFill>
        </w:rPr>
      </w:pPr>
      <w:bookmarkStart w:id="31" w:name="_Toc28883"/>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一   总则</w:t>
      </w:r>
      <w:bookmarkEnd w:id="31"/>
    </w:p>
    <w:p w14:paraId="2B5E677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53EC27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1.1招标文件适用于本次所述项目的采购行为（法律、法规另有规定的，从其规定）。</w:t>
      </w:r>
    </w:p>
    <w:p w14:paraId="527BC6C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597762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2.1.1“采购人”系缙云县第二人民医院。</w:t>
      </w:r>
    </w:p>
    <w:p w14:paraId="192037F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14:paraId="4425BF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“采购代理机构”系指浙江大兴建设项目管理咨询有限公司。</w:t>
      </w:r>
    </w:p>
    <w:p w14:paraId="16CD3C9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2.1.4“负责人”系指法人企业的法定代表人，或其他组织为法律、行政法规规定代表单位行使职权的主要负责人。</w:t>
      </w:r>
    </w:p>
    <w:p w14:paraId="18DD4F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2.1.5“合同”系指甲乙双方签署的规定甲乙双方权利与义务的协议，以及所有的附件、附录和招标文件所提到的构成合同的所有文件。</w:t>
      </w:r>
    </w:p>
    <w:p w14:paraId="1C70DF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14:paraId="581B4D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 “服务”系指投标人按招标文件规定应承担的送货上门、安装、调试、技术协助、校准、培训、技术指导以及其他类似的附随义务。</w:t>
      </w:r>
    </w:p>
    <w:p w14:paraId="011C69EE">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2.1.8本文件所指的公章均指投标人的CA电子章（投标文件格式有特殊要求的除外）。</w:t>
      </w:r>
    </w:p>
    <w:p w14:paraId="63626F8C">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2.1.9</w:t>
      </w:r>
      <w:r>
        <w:rPr>
          <w:rFonts w:hint="eastAsia" w:ascii="宋体" w:hAnsi="宋体" w:cs="宋体"/>
          <w:color w:val="000000" w:themeColor="text1"/>
          <w:sz w:val="24"/>
          <w:szCs w:val="32"/>
          <w14:textFill>
            <w14:solidFill>
              <w14:schemeClr w14:val="tx1"/>
            </w14:solidFill>
          </w14:textFill>
        </w:rPr>
        <w:t>“实质性条款”系指采购需求中标明“▲”的条款，</w:t>
      </w:r>
      <w:r>
        <w:rPr>
          <w:rFonts w:hint="eastAsia" w:ascii="宋体" w:hAnsi="宋体" w:cs="宋体"/>
          <w:bCs/>
          <w:color w:val="000000" w:themeColor="text1"/>
          <w:sz w:val="24"/>
          <w14:textFill>
            <w14:solidFill>
              <w14:schemeClr w14:val="tx1"/>
            </w14:solidFill>
          </w14:textFill>
        </w:rPr>
        <w:t>“★”为关键性技术参数。</w:t>
      </w:r>
    </w:p>
    <w:p w14:paraId="09772915">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3.投标人基本要求</w:t>
      </w:r>
    </w:p>
    <w:p w14:paraId="7C5FB1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3.1符合第一章第“二”条规定；</w:t>
      </w:r>
    </w:p>
    <w:p w14:paraId="3ECEDD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3.2投标人应遵守有关的法律、法规和规章条例。</w:t>
      </w:r>
    </w:p>
    <w:p w14:paraId="610D3F7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4.联合体说明</w:t>
      </w:r>
    </w:p>
    <w:p w14:paraId="2B0D6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4.1本项目</w:t>
      </w:r>
      <w:r>
        <w:rPr>
          <w:rFonts w:hint="eastAsia" w:ascii="宋体" w:hAnsi="宋体" w:cs="宋体"/>
          <w:color w:val="000000" w:themeColor="text1"/>
          <w:sz w:val="24"/>
          <w:lang w:eastAsia="zh-CN"/>
          <w14:textFill>
            <w14:solidFill>
              <w14:schemeClr w14:val="tx1"/>
            </w14:solidFill>
          </w14:textFill>
        </w:rPr>
        <w:t>不</w:t>
      </w:r>
      <w:r>
        <w:rPr>
          <w:rFonts w:hint="eastAsia" w:ascii="宋体" w:hAnsi="宋体" w:cs="宋体"/>
          <w:color w:val="000000" w:themeColor="text1"/>
          <w:sz w:val="24"/>
          <w14:textFill>
            <w14:solidFill>
              <w14:schemeClr w14:val="tx1"/>
            </w14:solidFill>
          </w14:textFill>
        </w:rPr>
        <w:t>接受联合体投标。</w:t>
      </w:r>
    </w:p>
    <w:p w14:paraId="0F374AF5">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w:t>
      </w:r>
    </w:p>
    <w:p w14:paraId="7AA8683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单位负责人为同一人或者存在直接控股、管理关系的不同投标人，不得参加同一合同项下的政府采购活动。</w:t>
      </w:r>
    </w:p>
    <w:p w14:paraId="5BFD05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为采购项目提供整体设计、规范编制或者项目管理、监理、检测等服务的投标人，不得再参加该采购项目的其他采购活动。</w:t>
      </w:r>
    </w:p>
    <w:p w14:paraId="4844A0F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5.3投标人自行承担所有与投标有关的全部费用。</w:t>
      </w:r>
    </w:p>
    <w:p w14:paraId="577A638C">
      <w:pPr>
        <w:pStyle w:val="6"/>
        <w:spacing w:before="0" w:after="0"/>
        <w:ind w:firstLine="0" w:firstLineChars="0"/>
        <w:rPr>
          <w:rFonts w:ascii="宋体" w:hAnsi="宋体" w:eastAsia="宋体" w:cs="宋体"/>
          <w:color w:val="000000" w:themeColor="text1"/>
          <w:sz w:val="24"/>
          <w:szCs w:val="24"/>
          <w14:textFill>
            <w14:solidFill>
              <w14:schemeClr w14:val="tx1"/>
            </w14:solidFill>
          </w14:textFill>
        </w:rPr>
      </w:pPr>
      <w:bookmarkStart w:id="32" w:name="_Toc10913"/>
      <w:r>
        <w:rPr>
          <w:rFonts w:hint="eastAsia" w:ascii="宋体" w:hAnsi="宋体" w:eastAsia="宋体" w:cs="宋体"/>
          <w:color w:val="000000" w:themeColor="text1"/>
          <w:sz w:val="24"/>
          <w:szCs w:val="24"/>
          <w14:textFill>
            <w14:solidFill>
              <w14:schemeClr w14:val="tx1"/>
            </w14:solidFill>
          </w14:textFill>
        </w:rPr>
        <w:t>二   招标文件说明</w:t>
      </w:r>
      <w:bookmarkEnd w:id="32"/>
    </w:p>
    <w:p w14:paraId="62C882F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6.招标文件的构成</w:t>
      </w:r>
    </w:p>
    <w:p w14:paraId="08564A4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6.1招标文件用以阐明所需货物及服务、招标、投标程序和合同条款。招标文件由下述部分组成：</w:t>
      </w:r>
    </w:p>
    <w:p w14:paraId="647BCC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6.1.1招标公告</w:t>
      </w:r>
    </w:p>
    <w:p w14:paraId="661AFA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6.1.2投标人须知</w:t>
      </w:r>
    </w:p>
    <w:p w14:paraId="183E6C0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6.1.3采购需求</w:t>
      </w:r>
    </w:p>
    <w:p w14:paraId="639FCA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6.1.4政府采购合同格式</w:t>
      </w:r>
    </w:p>
    <w:p w14:paraId="5BAAED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6.1.5投标相关文件格式</w:t>
      </w:r>
    </w:p>
    <w:p w14:paraId="142A87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6.1.6评标办法和细则</w:t>
      </w:r>
    </w:p>
    <w:p w14:paraId="72E894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6.1.7与本项目有关的招标文件澄清、答复、修改、补充的内容。</w:t>
      </w:r>
    </w:p>
    <w:p w14:paraId="220B9C8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7.投标人的风险</w:t>
      </w:r>
    </w:p>
    <w:p w14:paraId="28FFDA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14:paraId="74F91F2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8.招标文件的澄清和修改</w:t>
      </w:r>
    </w:p>
    <w:p w14:paraId="03B8925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8.1招标文件澄清、答复、修改、补充的内容为招标文件的组成部分。</w:t>
      </w:r>
    </w:p>
    <w:p w14:paraId="303C8DB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fldChar w:fldCharType="begin"/>
      </w:r>
      <w:r>
        <w:instrText xml:space="preserve"> HYPERLINK "http://60.190.126.3:8080/wcm/WCMV6/editor/editor/招标文件（新版）.doc" </w:instrText>
      </w:r>
      <w:r>
        <w:fldChar w:fldCharType="separate"/>
      </w:r>
      <w:r>
        <w:rPr>
          <w:rStyle w:val="30"/>
          <w:rFonts w:hint="eastAsia" w:ascii="宋体" w:hAnsi="宋体" w:cs="宋体"/>
          <w:color w:val="000000" w:themeColor="text1"/>
          <w:sz w:val="24"/>
          <w14:textFill>
            <w14:solidFill>
              <w14:schemeClr w14:val="tx1"/>
            </w14:solidFill>
          </w14:textFill>
        </w:rPr>
        <w:t>http://zfcg.czt.zj.gov.cn/</w:t>
      </w:r>
      <w:r>
        <w:rPr>
          <w:rStyle w:val="30"/>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、丽水市公共资源交易网http://lssggzy.lishui.gov.cn/jyweb/</w:t>
      </w:r>
      <w:r>
        <w:rPr>
          <w:rStyle w:val="30"/>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发布更正公告，并对其具有约束力。不足15日的，采购代理机构有权顺延提交投标文件的截止时间。</w:t>
      </w:r>
    </w:p>
    <w:p w14:paraId="38DC2542">
      <w:pPr>
        <w:pStyle w:val="6"/>
        <w:spacing w:before="0" w:after="0"/>
        <w:ind w:firstLine="0" w:firstLineChars="0"/>
        <w:rPr>
          <w:rFonts w:ascii="宋体" w:hAnsi="宋体" w:eastAsia="宋体" w:cs="宋体"/>
          <w:color w:val="000000" w:themeColor="text1"/>
          <w:sz w:val="24"/>
          <w:szCs w:val="24"/>
          <w14:textFill>
            <w14:solidFill>
              <w14:schemeClr w14:val="tx1"/>
            </w14:solidFill>
          </w14:textFill>
        </w:rPr>
      </w:pPr>
      <w:bookmarkStart w:id="33" w:name="_Toc15978"/>
      <w:r>
        <w:rPr>
          <w:rFonts w:hint="eastAsia" w:ascii="宋体" w:hAnsi="宋体" w:eastAsia="宋体" w:cs="宋体"/>
          <w:color w:val="000000" w:themeColor="text1"/>
          <w:sz w:val="24"/>
          <w:szCs w:val="24"/>
          <w14:textFill>
            <w14:solidFill>
              <w14:schemeClr w14:val="tx1"/>
            </w14:solidFill>
          </w14:textFill>
        </w:rPr>
        <w:t>三   投标文件的编写</w:t>
      </w:r>
      <w:bookmarkEnd w:id="33"/>
    </w:p>
    <w:p w14:paraId="1C6B13B5">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9.要求</w:t>
      </w:r>
    </w:p>
    <w:p w14:paraId="037624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9.1投标人应仔细阅读招标文件的所有内容，按照招标文件的要求提交投标文件，并对所提供的全部资料的真实性承担法律责任。</w:t>
      </w:r>
    </w:p>
    <w:p w14:paraId="71CB6A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14:paraId="56FA81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9.3投标文件的形式和效力</w:t>
      </w:r>
    </w:p>
    <w:p w14:paraId="0B61EA49">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9.3.1 投标文件的形式：投标文件分为电子投标文件、备份投标文件。</w:t>
      </w:r>
    </w:p>
    <w:p w14:paraId="15EFA6A0">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9.3.2 投标文件的效力</w:t>
      </w:r>
    </w:p>
    <w:p w14:paraId="314BF66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投标文件的启用，按先后顺位分别为电子投标文件、备份投标文件。</w:t>
      </w:r>
    </w:p>
    <w:p w14:paraId="02FF13A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3A4B576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 投标文件的组成</w:t>
      </w:r>
    </w:p>
    <w:p w14:paraId="5784CED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10.1提交的投标文件应分为</w:t>
      </w:r>
      <w:r>
        <w:rPr>
          <w:rFonts w:hint="eastAsia" w:ascii="宋体" w:hAnsi="宋体" w:cs="宋体"/>
          <w:b/>
          <w:color w:val="000000" w:themeColor="text1"/>
          <w:kern w:val="0"/>
          <w:sz w:val="24"/>
          <w14:textFill>
            <w14:solidFill>
              <w14:schemeClr w14:val="tx1"/>
            </w14:solidFill>
          </w14:textFill>
        </w:rPr>
        <w:t>资格审查文件、</w:t>
      </w:r>
      <w:r>
        <w:rPr>
          <w:rFonts w:hint="eastAsia" w:ascii="宋体" w:hAnsi="宋体" w:cs="宋体"/>
          <w:b/>
          <w:color w:val="000000" w:themeColor="text1"/>
          <w:sz w:val="24"/>
          <w14:textFill>
            <w14:solidFill>
              <w14:schemeClr w14:val="tx1"/>
            </w14:solidFill>
          </w14:textFill>
        </w:rPr>
        <w:t>资信商务及技术文件、报价文件三部分</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14:paraId="19C7AF1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 投标文件编制内容和要求</w:t>
      </w:r>
    </w:p>
    <w:p w14:paraId="7C079C5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11.1 资格审查文件编制内容和要求：</w:t>
      </w:r>
      <w:r>
        <w:rPr>
          <w:rFonts w:hint="eastAsia" w:ascii="宋体" w:hAnsi="宋体" w:cs="宋体"/>
          <w:color w:val="000000" w:themeColor="text1"/>
          <w:sz w:val="24"/>
          <w14:textFill>
            <w14:solidFill>
              <w14:schemeClr w14:val="tx1"/>
            </w14:solidFill>
          </w14:textFill>
        </w:rPr>
        <w:t>格式见第五章资格审查文件格式</w:t>
      </w:r>
    </w:p>
    <w:p w14:paraId="7F2E01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11.2资信商务及技术文件编制内容和要求：</w:t>
      </w:r>
    </w:p>
    <w:p w14:paraId="2D6643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11.2.1资信及商务部分详见第五章格式。</w:t>
      </w:r>
    </w:p>
    <w:p w14:paraId="5E8C0B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11.2.2技术部分（包含但不限于）:</w:t>
      </w:r>
    </w:p>
    <w:p w14:paraId="7CC5BF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11.2.2.1按招标文件第五章投标相关文件格式所列的内容、格式的要求,及投标人认为有必要提供的其它文件；</w:t>
      </w:r>
    </w:p>
    <w:p w14:paraId="02F11B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11.2.2.2投标人需对照招标文件第三章招标要求所列的内容进行承诺；</w:t>
      </w:r>
    </w:p>
    <w:p w14:paraId="044EC5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11.2.2.3投标人认为有必要提交的其他资料文件；</w:t>
      </w:r>
    </w:p>
    <w:p w14:paraId="2C463B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11.3报价文件内容: 详见第五章格式。</w:t>
      </w:r>
    </w:p>
    <w:p w14:paraId="2BB23E1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1投标报价要求</w:t>
      </w:r>
    </w:p>
    <w:p w14:paraId="1B466D8D">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14:paraId="08E429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2投标相关报价明细表填写时应详细注明该表列举的费用及分项清单。</w:t>
      </w:r>
    </w:p>
    <w:p w14:paraId="4E412592">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12.投标文件排版、封面</w:t>
      </w:r>
    </w:p>
    <w:p w14:paraId="3D0B63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12.1排版：</w:t>
      </w:r>
      <w:r>
        <w:rPr>
          <w:rFonts w:hint="eastAsia" w:ascii="宋体" w:hAnsi="宋体" w:cs="宋体"/>
          <w:color w:val="000000" w:themeColor="text1"/>
          <w:kern w:val="0"/>
          <w:sz w:val="24"/>
          <w14:textFill>
            <w14:solidFill>
              <w14:schemeClr w14:val="tx1"/>
            </w14:solidFill>
          </w14:textFill>
        </w:rPr>
        <w:t>建议A4排版。</w:t>
      </w:r>
    </w:p>
    <w:p w14:paraId="6D2AAA57">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13.投标有效期</w:t>
      </w:r>
    </w:p>
    <w:p w14:paraId="7EE01A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w:t>
      </w:r>
      <w:r>
        <w:rPr>
          <w:rFonts w:hint="eastAsia" w:ascii="宋体" w:hAnsi="宋体" w:cs="宋体"/>
          <w:bCs/>
          <w:snapToGrid w:val="0"/>
          <w:color w:val="000000" w:themeColor="text1"/>
          <w:sz w:val="24"/>
          <w14:textFill>
            <w14:solidFill>
              <w14:schemeClr w14:val="tx1"/>
            </w14:solidFill>
          </w14:textFill>
        </w:rPr>
        <w:t>提交投标文件的截止之日起90天内有效。</w:t>
      </w:r>
    </w:p>
    <w:p w14:paraId="19E4837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14.投标文件的签署及规定</w:t>
      </w:r>
    </w:p>
    <w:p w14:paraId="3743676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w:t>
      </w:r>
      <w:r>
        <w:rPr>
          <w:rFonts w:hint="eastAsia" w:ascii="宋体" w:hAnsi="宋体" w:cs="宋体"/>
          <w:color w:val="000000" w:themeColor="text1"/>
          <w:kern w:val="0"/>
          <w:sz w:val="24"/>
          <w14:textFill>
            <w14:solidFill>
              <w14:schemeClr w14:val="tx1"/>
            </w14:solidFill>
          </w14:textFill>
        </w:rPr>
        <w:t>投标人应按招标文件规定的内容和要求编制投标文件，</w:t>
      </w:r>
      <w:r>
        <w:rPr>
          <w:rFonts w:hint="eastAsia" w:ascii="宋体" w:hAnsi="宋体" w:cs="宋体"/>
          <w:bCs/>
          <w:color w:val="000000" w:themeColor="text1"/>
          <w:sz w:val="24"/>
          <w14:textFill>
            <w14:solidFill>
              <w14:schemeClr w14:val="tx1"/>
            </w14:solidFill>
          </w14:textFill>
        </w:rPr>
        <w:t>投标文件</w:t>
      </w:r>
      <w:r>
        <w:rPr>
          <w:rFonts w:hint="eastAsia" w:ascii="宋体" w:hAnsi="宋体" w:cs="宋体"/>
          <w:color w:val="000000" w:themeColor="text1"/>
          <w:kern w:val="0"/>
          <w:sz w:val="24"/>
          <w14:textFill>
            <w14:solidFill>
              <w14:schemeClr w14:val="tx1"/>
            </w14:solidFill>
          </w14:textFill>
        </w:rPr>
        <w:t>须清楚的标明“资格审查文件”、“资信商务及技术文件”、“报价文件”。</w:t>
      </w:r>
    </w:p>
    <w:p w14:paraId="28C2274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14:textFill>
            <w14:solidFill>
              <w14:schemeClr w14:val="tx1"/>
            </w14:solidFill>
          </w14:textFill>
        </w:rPr>
        <w:t>CA</w:t>
      </w:r>
      <w:r>
        <w:rPr>
          <w:rFonts w:hint="eastAsia" w:ascii="宋体" w:hAnsi="宋体" w:cs="宋体"/>
          <w:color w:val="000000" w:themeColor="text1"/>
          <w:kern w:val="0"/>
          <w:sz w:val="24"/>
          <w14:textFill>
            <w14:solidFill>
              <w14:schemeClr w14:val="tx1"/>
            </w14:solidFill>
          </w14:textFill>
        </w:rPr>
        <w:t>签章</w:t>
      </w:r>
      <w:r>
        <w:rPr>
          <w:rFonts w:hint="eastAsia" w:ascii="宋体" w:hAnsi="宋体" w:cs="宋体"/>
          <w:b/>
          <w:bCs/>
          <w:color w:val="000000" w:themeColor="text1"/>
          <w:sz w:val="24"/>
          <w14:textFill>
            <w14:solidFill>
              <w14:schemeClr w14:val="tx1"/>
            </w14:solidFill>
          </w14:textFill>
        </w:rPr>
        <w:t>（投标文件格式有特殊要求的除外）。</w:t>
      </w:r>
    </w:p>
    <w:p w14:paraId="731B2A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14.3电报、电话、传真形式的投标概不接受。</w:t>
      </w:r>
      <w:bookmarkStart w:id="34" w:name="_Toc107820049"/>
      <w:bookmarkStart w:id="35" w:name="_Toc56928685"/>
    </w:p>
    <w:p w14:paraId="5AA54D5A">
      <w:pPr>
        <w:pStyle w:val="6"/>
        <w:spacing w:before="0" w:after="0"/>
        <w:ind w:firstLine="200" w:firstLineChars="0"/>
        <w:rPr>
          <w:rFonts w:ascii="宋体" w:hAnsi="宋体" w:eastAsia="宋体" w:cs="宋体"/>
          <w:b w:val="0"/>
          <w:bCs w:val="0"/>
          <w:color w:val="000000" w:themeColor="text1"/>
          <w:sz w:val="24"/>
          <w:szCs w:val="24"/>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4"/>
          <w:szCs w:val="24"/>
          <w14:textFill>
            <w14:solidFill>
              <w14:schemeClr w14:val="tx1"/>
            </w14:solidFill>
          </w14:textFill>
        </w:rPr>
        <w:t>四   履约保证金</w:t>
      </w:r>
      <w:bookmarkEnd w:id="36"/>
      <w:bookmarkEnd w:id="3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不项目不收取履约保证金。</w:t>
      </w:r>
    </w:p>
    <w:p w14:paraId="3930BB00">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38" w:name="_Toc18341"/>
      <w:r>
        <w:rPr>
          <w:rFonts w:hint="eastAsia" w:ascii="宋体" w:hAnsi="宋体" w:eastAsia="宋体" w:cs="宋体"/>
          <w:color w:val="000000" w:themeColor="text1"/>
          <w:sz w:val="24"/>
          <w:szCs w:val="24"/>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14:textFill>
            <w14:solidFill>
              <w14:schemeClr w14:val="tx1"/>
            </w14:solidFill>
          </w14:textFill>
        </w:rPr>
        <w:t>加密、提交、修改和撤回</w:t>
      </w:r>
      <w:bookmarkEnd w:id="38"/>
    </w:p>
    <w:p w14:paraId="0A639F1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16.投标文件的加密</w:t>
      </w:r>
    </w:p>
    <w:p w14:paraId="602055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16.1投标人应当将资格审查文件、资信商务及技术文件和报价文件三部分分别导入相应位置，各文件之间不得混装；</w:t>
      </w:r>
    </w:p>
    <w:p w14:paraId="276B8D02">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r>
        <w:rPr>
          <w:rFonts w:hint="eastAsia" w:ascii="宋体" w:hAnsi="宋体" w:cs="宋体"/>
          <w:b/>
          <w:color w:val="000000" w:themeColor="text1"/>
          <w:sz w:val="24"/>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14:textFill>
            <w14:solidFill>
              <w14:schemeClr w14:val="tx1"/>
            </w14:solidFill>
          </w14:textFill>
        </w:rPr>
        <w:t>将最后生成的具有电子签章的备份响应文件进行压缩并加密。</w:t>
      </w:r>
    </w:p>
    <w:p w14:paraId="48367AF2">
      <w:pPr>
        <w:spacing w:line="360" w:lineRule="auto"/>
        <w:ind w:firstLine="482" w:firstLineChars="200"/>
        <w:rPr>
          <w:rFonts w:ascii="宋体" w:hAnsi="宋体" w:cs="宋体"/>
          <w:b/>
          <w:color w:val="000000" w:themeColor="text1"/>
          <w:sz w:val="24"/>
          <w14:textFill>
            <w14:solidFill>
              <w14:schemeClr w14:val="tx1"/>
            </w14:solidFill>
          </w14:textFill>
        </w:rPr>
      </w:pPr>
      <w:bookmarkStart w:id="39" w:name="_Toc107820050"/>
      <w:r>
        <w:rPr>
          <w:rFonts w:hint="eastAsia" w:ascii="宋体" w:hAnsi="宋体" w:cs="宋体"/>
          <w:b/>
          <w:color w:val="000000" w:themeColor="text1"/>
          <w:sz w:val="24"/>
          <w14:textFill>
            <w14:solidFill>
              <w14:schemeClr w14:val="tx1"/>
            </w14:solidFill>
          </w14:textFill>
        </w:rPr>
        <w:t>17.投标文件的提交</w:t>
      </w:r>
    </w:p>
    <w:p w14:paraId="1CB06A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17.1投标文件提交截止时间和提交地点详见本章前附表。</w:t>
      </w:r>
    </w:p>
    <w:p w14:paraId="5B65C5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17.2不予接收的电子投标文件情形</w:t>
      </w:r>
    </w:p>
    <w:p w14:paraId="46633B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⑴</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投标截止时间前未完成传输的电子投标文件；</w:t>
      </w:r>
    </w:p>
    <w:p w14:paraId="1639DA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2 \* GB2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⑵</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未生成加密的电子投标文件；</w:t>
      </w:r>
    </w:p>
    <w:p w14:paraId="208EB5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⑶在规定时间内未解密的电子投标文件或者解密不成功又未在规定时间内提交备份投标文件的。</w:t>
      </w:r>
    </w:p>
    <w:p w14:paraId="34BB659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18.投标文件的修改和撤回</w:t>
      </w:r>
    </w:p>
    <w:p w14:paraId="3A87C10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18.1在投标截止时间前，可以修改或撤回其投标文件：</w:t>
      </w:r>
      <w:r>
        <w:rPr>
          <w:rFonts w:hint="eastAsia" w:ascii="宋体" w:hAnsi="宋体" w:cs="宋体"/>
          <w:b/>
          <w:color w:val="000000" w:themeColor="text1"/>
          <w:sz w:val="24"/>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14:paraId="611641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18.2修改后重新提交的投标文件应按招标文件的规定编制、标记和提交。</w:t>
      </w:r>
    </w:p>
    <w:p w14:paraId="77C84F8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18.3在投标截止时间后,投标人不得修改、撤回已提交的投标文件。</w:t>
      </w:r>
    </w:p>
    <w:p w14:paraId="1CDF5273">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18.4补充、修改后的电子投标文件、备份投标文件内容均应相同。</w:t>
      </w:r>
    </w:p>
    <w:p w14:paraId="6807863D">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40" w:name="_Toc27850"/>
      <w:r>
        <w:rPr>
          <w:rFonts w:hint="eastAsia" w:ascii="宋体" w:hAnsi="宋体" w:eastAsia="宋体" w:cs="宋体"/>
          <w:color w:val="000000" w:themeColor="text1"/>
          <w:sz w:val="24"/>
          <w:szCs w:val="24"/>
          <w14:textFill>
            <w14:solidFill>
              <w14:schemeClr w14:val="tx1"/>
            </w14:solidFill>
          </w14:textFill>
        </w:rPr>
        <w:t>六   开标和评</w:t>
      </w:r>
      <w:bookmarkEnd w:id="39"/>
      <w:r>
        <w:rPr>
          <w:rFonts w:hint="eastAsia" w:ascii="宋体" w:hAnsi="宋体" w:eastAsia="宋体" w:cs="宋体"/>
          <w:color w:val="000000" w:themeColor="text1"/>
          <w:sz w:val="24"/>
          <w:szCs w:val="24"/>
          <w14:textFill>
            <w14:solidFill>
              <w14:schemeClr w14:val="tx1"/>
            </w14:solidFill>
          </w14:textFill>
        </w:rPr>
        <w:t>审</w:t>
      </w:r>
      <w:bookmarkEnd w:id="40"/>
    </w:p>
    <w:p w14:paraId="655E4B2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19.开标</w:t>
      </w:r>
    </w:p>
    <w:p w14:paraId="4D1F240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19.1优先采用电子投标文件进行开标，电子投标文件未按时解密的，采用备份投标文件开标。</w:t>
      </w:r>
    </w:p>
    <w:p w14:paraId="6002D5A2">
      <w:pPr>
        <w:spacing w:line="360" w:lineRule="auto"/>
        <w:ind w:firstLine="480" w:firstLineChars="200"/>
        <w:rPr>
          <w:rFonts w:ascii="宋体" w:hAnsi="宋体" w:cs="宋体"/>
          <w:color w:val="000000" w:themeColor="text1"/>
          <w:sz w:val="24"/>
          <w14:textFill>
            <w14:solidFill>
              <w14:schemeClr w14:val="tx1"/>
            </w14:solidFill>
          </w14:textFill>
        </w:rPr>
      </w:pPr>
      <w:bookmarkStart w:id="41" w:name="_Toc396838136"/>
      <w:bookmarkStart w:id="42" w:name="_Toc393869892"/>
      <w:bookmarkStart w:id="43" w:name="_Toc415648536"/>
      <w:bookmarkStart w:id="44" w:name="_Toc393869894"/>
      <w:bookmarkStart w:id="45" w:name="_Toc334087238"/>
      <w:bookmarkStart w:id="46" w:name="_Toc335664280"/>
      <w:bookmarkStart w:id="47" w:name="_Toc394928032"/>
      <w:bookmarkStart w:id="48" w:name="_Toc107820051"/>
      <w:r>
        <w:rPr>
          <w:rFonts w:hint="eastAsia" w:ascii="宋体" w:hAnsi="宋体" w:cs="宋体"/>
          <w:color w:val="000000" w:themeColor="text1"/>
          <w:sz w:val="24"/>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14:paraId="7DE5A9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19.3</w:t>
      </w:r>
      <w:r>
        <w:rPr>
          <w:rFonts w:hint="eastAsia" w:ascii="宋体" w:hAnsi="宋体" w:cs="宋体"/>
          <w:bCs/>
          <w:color w:val="000000" w:themeColor="text1"/>
          <w:sz w:val="24"/>
          <w14:textFill>
            <w14:solidFill>
              <w14:schemeClr w14:val="tx1"/>
            </w14:solidFill>
          </w14:textFill>
        </w:rPr>
        <w:t>电子投标文件解密：由代理机构工作人员开启电子投标文件解密通道，解密时限以政采云电子交易平台为准。</w:t>
      </w:r>
    </w:p>
    <w:p w14:paraId="4C91A9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w:t>
      </w:r>
      <w:r>
        <w:rPr>
          <w:rFonts w:hint="eastAsia" w:ascii="宋体" w:hAnsi="宋体" w:cs="宋体"/>
          <w:bCs/>
          <w:color w:val="000000" w:themeColor="text1"/>
          <w:sz w:val="24"/>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14:paraId="43F0AD2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19.5</w:t>
      </w:r>
      <w:r>
        <w:rPr>
          <w:rFonts w:hint="eastAsia" w:ascii="宋体" w:hAnsi="宋体" w:cs="宋体"/>
          <w:color w:val="000000" w:themeColor="text1"/>
          <w:kern w:val="0"/>
          <w:sz w:val="24"/>
          <w14:textFill>
            <w14:solidFill>
              <w14:schemeClr w14:val="tx1"/>
            </w14:solidFill>
          </w14:textFill>
        </w:rPr>
        <w:t>解密成功的投标人不足三家的，按相关规定重新组织采购。</w:t>
      </w:r>
    </w:p>
    <w:p w14:paraId="097367B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19.6采购代理机构做好会议记录，投标人在代理机构开启标书信息后可查看投标人名单。</w:t>
      </w:r>
    </w:p>
    <w:p w14:paraId="4D5F0B9A">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19.7投标人认为采购人员及相关人员与其他投标人有利害关系的，可向采购代理机构提出回避申请，并说明理由，申请须由投标人代表签字或盖章。</w:t>
      </w:r>
    </w:p>
    <w:p w14:paraId="1345DEC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19.8投标人对记录表有疑义的，</w:t>
      </w:r>
      <w:r>
        <w:rPr>
          <w:rFonts w:hint="eastAsia" w:ascii="宋体" w:hAnsi="宋体" w:cs="宋体"/>
          <w:color w:val="000000" w:themeColor="text1"/>
          <w:sz w:val="24"/>
          <w14:textFill>
            <w14:solidFill>
              <w14:schemeClr w14:val="tx1"/>
            </w14:solidFill>
          </w14:textFill>
        </w:rPr>
        <w:t>投标人代表在开标会议结束前可以向采购代理机构通过现场或电子邮件的方式（749278492@qq.com）提出申请，并说明理由，申请须由投标人代表签字或盖章。</w:t>
      </w:r>
    </w:p>
    <w:p w14:paraId="40FD94D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19.9开标会议结束。</w:t>
      </w:r>
    </w:p>
    <w:p w14:paraId="54A15762">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资格审查</w:t>
      </w:r>
    </w:p>
    <w:p w14:paraId="4CBD9D5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 采购人或采购代理机构按资格要求和资格审查文件要求对投标人进行资格审查及记录。并通过政采云平台公布审查结果。</w:t>
      </w:r>
    </w:p>
    <w:p w14:paraId="10C552A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20.2 经资格审查后合格的投标人不足三家的，按相关规定重新组织招标。</w:t>
      </w:r>
    </w:p>
    <w:p w14:paraId="6E6A9091">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 评审流程：详见第六章。</w:t>
      </w:r>
    </w:p>
    <w:p w14:paraId="1C1B6367">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 投标文件的澄清</w:t>
      </w:r>
    </w:p>
    <w:p w14:paraId="2FCCE6E3">
      <w:pPr>
        <w:spacing w:line="360" w:lineRule="auto"/>
        <w:ind w:firstLine="436" w:firstLineChars="1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 对</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04C6F6EB">
      <w:pPr>
        <w:spacing w:line="360" w:lineRule="auto"/>
        <w:ind w:firstLine="436" w:firstLineChars="1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 报价算术错误将按以下方法修正：</w:t>
      </w:r>
    </w:p>
    <w:p w14:paraId="7BAFE1F0">
      <w:pPr>
        <w:spacing w:line="360" w:lineRule="auto"/>
        <w:ind w:firstLine="436" w:firstLineChars="182"/>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报价文件</w:t>
      </w:r>
      <w:r>
        <w:rPr>
          <w:rFonts w:hint="eastAsia" w:ascii="宋体" w:hAnsi="宋体" w:cs="宋体"/>
          <w:bCs/>
          <w:color w:val="000000" w:themeColor="text1"/>
          <w:sz w:val="24"/>
          <w14:textFill>
            <w14:solidFill>
              <w14:schemeClr w14:val="tx1"/>
            </w14:solidFill>
          </w14:textFill>
        </w:rPr>
        <w:t>中开标一览表内容与</w:t>
      </w:r>
      <w:r>
        <w:rPr>
          <w:rFonts w:hint="eastAsia" w:ascii="宋体" w:hAnsi="宋体" w:cs="宋体"/>
          <w:color w:val="000000" w:themeColor="text1"/>
          <w:kern w:val="0"/>
          <w:sz w:val="24"/>
          <w14:textFill>
            <w14:solidFill>
              <w14:schemeClr w14:val="tx1"/>
            </w14:solidFill>
          </w14:textFill>
        </w:rPr>
        <w:t>报价</w:t>
      </w:r>
      <w:r>
        <w:rPr>
          <w:rFonts w:hint="eastAsia" w:ascii="宋体" w:hAnsi="宋体" w:cs="宋体"/>
          <w:bCs/>
          <w:color w:val="000000" w:themeColor="text1"/>
          <w:sz w:val="24"/>
          <w14:textFill>
            <w14:solidFill>
              <w14:schemeClr w14:val="tx1"/>
            </w14:solidFill>
          </w14:textFill>
        </w:rPr>
        <w:t>明细表相应内容不一致的，以开标一览表为准；</w:t>
      </w:r>
    </w:p>
    <w:p w14:paraId="5BB62193">
      <w:pPr>
        <w:spacing w:line="360" w:lineRule="auto"/>
        <w:ind w:firstLine="436" w:firstLineChars="18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（2）报价有明显错位的，以开标一览表的报价为准，并修改分项报价；</w:t>
      </w:r>
    </w:p>
    <w:p w14:paraId="3E36022D">
      <w:pPr>
        <w:spacing w:line="360" w:lineRule="auto"/>
        <w:ind w:firstLine="436" w:firstLineChars="182"/>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大写金额和小写金额不一致的，以大写金额为准；单价金额小数点或者百分比有明显错位的，以开标一览表的总价为准，并修改单价。</w:t>
      </w:r>
    </w:p>
    <w:p w14:paraId="59567B59">
      <w:pPr>
        <w:spacing w:line="360" w:lineRule="auto"/>
        <w:ind w:firstLine="436" w:firstLineChars="18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14:textFill>
            <w14:solidFill>
              <w14:schemeClr w14:val="tx1"/>
            </w14:solidFill>
          </w14:textFill>
        </w:rPr>
        <w:t>；</w:t>
      </w:r>
    </w:p>
    <w:p w14:paraId="2406A05C">
      <w:pPr>
        <w:spacing w:line="360" w:lineRule="auto"/>
        <w:ind w:firstLine="436" w:firstLineChars="182"/>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（5）对不同文字文本</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bCs/>
          <w:color w:val="000000" w:themeColor="text1"/>
          <w:sz w:val="24"/>
          <w14:textFill>
            <w14:solidFill>
              <w14:schemeClr w14:val="tx1"/>
            </w14:solidFill>
          </w14:textFill>
        </w:rPr>
        <w:t>的解释发生异议的，以中文文本为准；</w:t>
      </w:r>
    </w:p>
    <w:p w14:paraId="4C26B8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（6）同时出现两种以上不一致的，按照前款规定的顺序修正。</w:t>
      </w:r>
    </w:p>
    <w:p w14:paraId="2FF08682">
      <w:pPr>
        <w:spacing w:line="360" w:lineRule="auto"/>
        <w:ind w:firstLine="436" w:firstLineChars="1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14:paraId="27F2133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 对投标文件的比较和评估</w:t>
      </w:r>
    </w:p>
    <w:p w14:paraId="2CE696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6C013A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 相同品牌的产品认定</w:t>
      </w:r>
    </w:p>
    <w:p w14:paraId="7427DF0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E9684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23.2.2如按一家有效投标人认定后，造成项目有效投标人不足三家的，项目应予以废标处理。</w:t>
      </w:r>
    </w:p>
    <w:p w14:paraId="193FE37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 评标报告</w:t>
      </w:r>
    </w:p>
    <w:p w14:paraId="074070B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评审委员会根据全体评审成员签字的原始评审记录和评审结果编写评标报告，并推荐中标候选人，评审报告由评审委员会成员签字确认提交。</w:t>
      </w:r>
    </w:p>
    <w:p w14:paraId="5BCDC537">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25.采购过程中出现以下情形，导致电子交易平台无法正常运行，或者无法保证电子交易的公平、公正和安全时，可中止电子交易活动：</w:t>
      </w:r>
    </w:p>
    <w:p w14:paraId="06C9766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（一）电子交易平台发生故障而无法登录访问的； </w:t>
      </w:r>
    </w:p>
    <w:p w14:paraId="0B078113">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（二）电子交易平台应用或数据库出现错误，不能进行正常操作的；</w:t>
      </w:r>
    </w:p>
    <w:p w14:paraId="3A41F1C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（三）电子交易平台发现严重安全漏洞，有潜在泄密危险的；</w:t>
      </w:r>
    </w:p>
    <w:p w14:paraId="5079446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（四）病毒发作导致不能进行正常操作的； </w:t>
      </w:r>
    </w:p>
    <w:p w14:paraId="40C8F173">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（五）其他无法保证电子交易的公平、公正和安全的情况。</w:t>
      </w:r>
    </w:p>
    <w:p w14:paraId="68CE3D5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14:paraId="3483716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14:paraId="440485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⑴短时间内能消除不可抗力因素的，采购代理机构或评审委员会在消除不可抗力因素后继续组织电子交易活动。</w:t>
      </w:r>
    </w:p>
    <w:p w14:paraId="262078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⑵长时间内无法消除不可抗力因素的，采购代理机构或评审委员会将中止电子交易活动。中止电子交易活动的，采购人应当重新组织政府采购活动。</w:t>
      </w:r>
    </w:p>
    <w:p w14:paraId="5FC1C927">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27. 保密和评审过程的监控</w:t>
      </w:r>
    </w:p>
    <w:p w14:paraId="7F4E37A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14:paraId="590362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14:textFill>
            <w14:solidFill>
              <w14:schemeClr w14:val="tx1"/>
            </w14:solidFill>
          </w14:textFill>
        </w:rPr>
        <w:t xml:space="preserve"> </w:t>
      </w:r>
      <w:bookmarkEnd w:id="50"/>
    </w:p>
    <w:p w14:paraId="09221404">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51" w:name="_Toc494555855"/>
      <w:bookmarkStart w:id="52" w:name="_Toc493956039"/>
      <w:bookmarkStart w:id="53" w:name="_Toc25936"/>
      <w:r>
        <w:rPr>
          <w:rFonts w:hint="eastAsia" w:ascii="宋体" w:hAnsi="宋体" w:eastAsia="宋体" w:cs="宋体"/>
          <w:color w:val="000000" w:themeColor="text1"/>
          <w:sz w:val="24"/>
          <w:szCs w:val="24"/>
          <w14:textFill>
            <w14:solidFill>
              <w14:schemeClr w14:val="tx1"/>
            </w14:solidFill>
          </w14:textFill>
        </w:rPr>
        <w:t>七   投标无效的情形</w:t>
      </w:r>
      <w:bookmarkEnd w:id="51"/>
      <w:bookmarkEnd w:id="52"/>
      <w:bookmarkEnd w:id="53"/>
    </w:p>
    <w:p w14:paraId="3A01D895">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14:textFill>
            <w14:solidFill>
              <w14:schemeClr w14:val="tx1"/>
            </w14:solidFill>
          </w14:textFill>
        </w:rPr>
        <w:t>投标文件</w:t>
      </w:r>
      <w:r>
        <w:rPr>
          <w:rFonts w:hint="eastAsia" w:ascii="宋体" w:hAnsi="宋体" w:cs="宋体"/>
          <w:b/>
          <w:color w:val="000000" w:themeColor="text1"/>
          <w:sz w:val="24"/>
          <w14:textFill>
            <w14:solidFill>
              <w14:schemeClr w14:val="tx1"/>
            </w14:solidFill>
          </w14:textFill>
        </w:rPr>
        <w:t>无效：</w:t>
      </w:r>
    </w:p>
    <w:p w14:paraId="172CB8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28.1电报、电话、传真形式提交响应文件的；</w:t>
      </w:r>
    </w:p>
    <w:p w14:paraId="79AE57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28.2投标人未按招标文件规定的时间和地点提交电子投标文件的；</w:t>
      </w:r>
    </w:p>
    <w:p w14:paraId="385727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28.3未按招标文件规定要求签署、盖章的；</w:t>
      </w:r>
    </w:p>
    <w:p w14:paraId="485521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28.4不具备投标文件规定资格要求的；</w:t>
      </w:r>
    </w:p>
    <w:p w14:paraId="342890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28.5 投标有效期不足的。</w:t>
      </w:r>
    </w:p>
    <w:p w14:paraId="3C1C43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28.6采购产品为政府强制采购的节能产品，投标人未提供节能产品认证证书的；</w:t>
      </w:r>
    </w:p>
    <w:p w14:paraId="3A47A2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28.7评审委员会评定有实质上“</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”条款的负偏离的。</w:t>
      </w:r>
    </w:p>
    <w:p w14:paraId="06CDF6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28.8投标文件含有采购人不能接受的附加条款的。</w:t>
      </w:r>
    </w:p>
    <w:p w14:paraId="6EB20F6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28.9投标报价高于招标文件中规定的预算金额或者最高限价的。</w:t>
      </w:r>
    </w:p>
    <w:p w14:paraId="0C905D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8.10招标文件中未要求，但投标人给予赠品、回扣或与采购无关的其他商品、服务的。</w:t>
      </w:r>
    </w:p>
    <w:p w14:paraId="209E0C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28.11投标报价存在漏项或报价数量少于采购要求的。</w:t>
      </w:r>
    </w:p>
    <w:p w14:paraId="1C1A92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2127A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中予以特别说明的。</w:t>
      </w:r>
    </w:p>
    <w:p w14:paraId="0B340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28.14提供虚假材料谋取中标的。</w:t>
      </w:r>
    </w:p>
    <w:p w14:paraId="68B435FF">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28.15在招标过程中与采购人进行协商谈判、不按招标文件和中标人的投标文件订立合同，或者与采购人另行订立背离合同实质性内容的协议的。</w:t>
      </w:r>
    </w:p>
    <w:p w14:paraId="1C8A2C05">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28.16参与同一标段（包）的供应商存在以下情形的，其投标文件无效：</w:t>
      </w:r>
    </w:p>
    <w:p w14:paraId="5FEB5CC4">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（1）ip地址、MAC地址相同；</w:t>
      </w:r>
    </w:p>
    <w:p w14:paraId="0D0A0D34">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（2）计算机硬盘序列号相同；</w:t>
      </w:r>
      <w:bookmarkStart w:id="149" w:name="_GoBack"/>
      <w:bookmarkEnd w:id="149"/>
    </w:p>
    <w:p w14:paraId="0B3BFD7D">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w:t>
      </w:r>
      <w:r>
        <w:rPr>
          <w:rFonts w:hint="eastAsia" w:ascii="宋体" w:hAnsi="宋体" w:eastAsia="宋体" w:cs="宋体"/>
          <w:b/>
          <w:bCs/>
          <w:color w:val="auto"/>
          <w:sz w:val="24"/>
          <w:lang w:val="en-US" w:eastAsia="zh-CN"/>
        </w:rPr>
        <w:t>3</w:t>
      </w:r>
      <w:r>
        <w:rPr>
          <w:rFonts w:hint="eastAsia" w:ascii="宋体" w:hAnsi="宋体" w:cs="宋体"/>
          <w:b/>
          <w:bCs/>
          <w:color w:val="auto"/>
          <w:sz w:val="24"/>
          <w:lang w:val="en-US" w:eastAsia="zh-CN"/>
        </w:rPr>
        <w:t>）</w:t>
      </w:r>
      <w:r>
        <w:rPr>
          <w:rFonts w:hint="eastAsia" w:ascii="宋体" w:hAnsi="宋体" w:eastAsia="宋体" w:cs="宋体"/>
          <w:b/>
          <w:bCs/>
          <w:color w:val="auto"/>
          <w:sz w:val="24"/>
          <w:lang w:val="en-US" w:eastAsia="zh-CN"/>
        </w:rPr>
        <w:t>投标文件细节错误一致且无合理解释</w:t>
      </w:r>
      <w:r>
        <w:rPr>
          <w:rFonts w:hint="eastAsia" w:ascii="宋体" w:hAnsi="宋体" w:cs="宋体"/>
          <w:b/>
          <w:bCs/>
          <w:color w:val="auto"/>
          <w:sz w:val="24"/>
          <w:lang w:val="en-US" w:eastAsia="zh-CN"/>
        </w:rPr>
        <w:t>。</w:t>
      </w:r>
    </w:p>
    <w:p w14:paraId="19F592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招标文件规定的其他</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无效情形。</w:t>
      </w:r>
      <w:bookmarkStart w:id="54" w:name="EBdafef940fa674575a283c03dcfd15197"/>
      <w:r>
        <w:rPr>
          <w:rFonts w:hint="eastAsia" w:ascii="宋体" w:hAnsi="宋体" w:cs="宋体"/>
          <w:color w:val="000000" w:themeColor="text1"/>
          <w:sz w:val="24"/>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14:textFill>
            <w14:solidFill>
              <w14:schemeClr w14:val="tx1"/>
            </w14:solidFill>
          </w14:textFill>
        </w:rPr>
        <w:t xml:space="preserve"> </w:t>
      </w:r>
      <w:bookmarkEnd w:id="55"/>
    </w:p>
    <w:p w14:paraId="5AFEA09B">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56" w:name="_Toc3787"/>
      <w:bookmarkStart w:id="57" w:name="_Toc493956040"/>
      <w:bookmarkStart w:id="58" w:name="_Toc494555856"/>
      <w:r>
        <w:rPr>
          <w:rFonts w:hint="eastAsia" w:ascii="宋体" w:hAnsi="宋体" w:eastAsia="宋体" w:cs="宋体"/>
          <w:color w:val="000000" w:themeColor="text1"/>
          <w:sz w:val="24"/>
          <w:szCs w:val="24"/>
          <w14:textFill>
            <w14:solidFill>
              <w14:schemeClr w14:val="tx1"/>
            </w14:solidFill>
          </w14:textFill>
        </w:rPr>
        <w:t>八   法律责任</w:t>
      </w:r>
      <w:bookmarkEnd w:id="56"/>
      <w:bookmarkEnd w:id="57"/>
      <w:bookmarkEnd w:id="58"/>
    </w:p>
    <w:p w14:paraId="67B8EF2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8B31E9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 提供虚假材料谋取中标的；</w:t>
      </w:r>
    </w:p>
    <w:p w14:paraId="69BEE69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29.2 采取不正当手段诋毁、排挤其他投标人的；</w:t>
      </w:r>
    </w:p>
    <w:p w14:paraId="79B2A1F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29.3 与采购人、其他投标人或者采购代理机构恶意串通的；</w:t>
      </w:r>
    </w:p>
    <w:p w14:paraId="1C4BAB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29.4 向采购人、采购代理机构行贿或者提供其他不正当利益的；</w:t>
      </w:r>
    </w:p>
    <w:p w14:paraId="2B3943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29.5 在招标采购过程中与采购人进行协商谈判的；</w:t>
      </w:r>
    </w:p>
    <w:p w14:paraId="73F0F0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29.6 拒绝有关部门监督检查或者提供虚假情况的；</w:t>
      </w:r>
    </w:p>
    <w:p w14:paraId="7CFB88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投标人有前款29.1至29.5项情形之一的，中标无效。</w:t>
      </w:r>
    </w:p>
    <w:p w14:paraId="232D8369">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30. 投标人有下列情形之一的，依照政府采购法第七十七条第一款的规定追究法律责任：</w:t>
      </w:r>
    </w:p>
    <w:p w14:paraId="4BF87D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30.1 向评审委员会或者评审委员会成员行贿或者提供其他不正当利益；</w:t>
      </w:r>
    </w:p>
    <w:p w14:paraId="5A5772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30.2 中标或者成交后无正当理由拒不与采购人签订政府采购合同；</w:t>
      </w:r>
    </w:p>
    <w:p w14:paraId="0D1FA56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30.3 未按照招标文件确定的事项签订政府采购合同；</w:t>
      </w:r>
    </w:p>
    <w:p w14:paraId="05F782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30.4 将政府采购合同转包；</w:t>
      </w:r>
    </w:p>
    <w:p w14:paraId="11DD41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30.5 提供假冒伪劣产品；</w:t>
      </w:r>
    </w:p>
    <w:p w14:paraId="7562EAE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 擅自变更、中止或者终止政府采购合同。</w:t>
      </w:r>
    </w:p>
    <w:p w14:paraId="0A353E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7ED793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 投标人捏造事实、提供虚假材料或者以非法手段取得证明材料进行投诉的，由财政部门列入不良行为记录名单，禁止其1至3年内参加政府采购活动。</w:t>
      </w:r>
    </w:p>
    <w:p w14:paraId="06B3C09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14:paraId="37D8389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w:t>
      </w:r>
    </w:p>
    <w:p w14:paraId="749085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w:t>
      </w:r>
    </w:p>
    <w:p w14:paraId="285163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投标人之间协商报价、技术方案等</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的实质性内容；</w:t>
      </w:r>
    </w:p>
    <w:p w14:paraId="0DBD99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32.4属于同一集团、协会、商会等组织成员的投标人按照该组织要求协同参加政府采购活动；</w:t>
      </w:r>
    </w:p>
    <w:p w14:paraId="7A90F8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 投标人之间事先约定由某一特定投标人中标、成交；</w:t>
      </w:r>
    </w:p>
    <w:p w14:paraId="7605F19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32.6 投标人之间商定部分投标人放弃参加政府采购活动或者放弃中标、成交；</w:t>
      </w:r>
    </w:p>
    <w:p w14:paraId="0244E7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32.7投标人与采购人或者采购代理机构之间、投标人相互之间，为谋求特定投标人中标、成交或者排斥其他投标人的其他串通行为；</w:t>
      </w:r>
    </w:p>
    <w:p w14:paraId="04FB79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 不同投标人的投标文件由同一单位或者个人编制；</w:t>
      </w:r>
    </w:p>
    <w:p w14:paraId="17A0E03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 不同投标人委托同一单位或者个人办理投标事宜；</w:t>
      </w:r>
    </w:p>
    <w:p w14:paraId="276001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32.10 不同投标人的投标文件载明的项目管理成员或者联系人员为同一人；</w:t>
      </w:r>
    </w:p>
    <w:p w14:paraId="207803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32.11 不同投标人的投标文件异常一致或者投标报价呈规律性差异；</w:t>
      </w:r>
    </w:p>
    <w:p w14:paraId="7B7720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32.12 不同投标人的投标文件相互混装。</w:t>
      </w:r>
    </w:p>
    <w:bookmarkEnd w:id="41"/>
    <w:bookmarkEnd w:id="42"/>
    <w:bookmarkEnd w:id="43"/>
    <w:p w14:paraId="7628530B">
      <w:pPr>
        <w:pStyle w:val="6"/>
        <w:spacing w:before="0" w:after="0"/>
        <w:ind w:firstLine="118" w:firstLineChars="49"/>
        <w:rPr>
          <w:rFonts w:ascii="宋体" w:hAnsi="宋体" w:eastAsia="宋体" w:cs="宋体"/>
          <w:color w:val="000000" w:themeColor="text1"/>
          <w:sz w:val="24"/>
          <w:szCs w:val="24"/>
          <w14:textFill>
            <w14:solidFill>
              <w14:schemeClr w14:val="tx1"/>
            </w14:solidFill>
          </w14:textFill>
        </w:rPr>
      </w:pPr>
      <w:bookmarkStart w:id="59" w:name="_Toc17793770"/>
      <w:bookmarkStart w:id="60" w:name="_Toc14433"/>
      <w:bookmarkStart w:id="61" w:name="_Toc396838137"/>
      <w:bookmarkStart w:id="62" w:name="_Toc334087237"/>
      <w:bookmarkStart w:id="63" w:name="_Toc415648537"/>
      <w:bookmarkStart w:id="64" w:name="_Toc176659672"/>
      <w:bookmarkStart w:id="65" w:name="_Toc393869893"/>
      <w:bookmarkStart w:id="66" w:name="_Toc335664279"/>
      <w:r>
        <w:rPr>
          <w:rFonts w:hint="eastAsia" w:ascii="宋体" w:hAnsi="宋体" w:eastAsia="宋体" w:cs="宋体"/>
          <w:color w:val="000000" w:themeColor="text1"/>
          <w:sz w:val="24"/>
          <w:szCs w:val="24"/>
          <w14:textFill>
            <w14:solidFill>
              <w14:schemeClr w14:val="tx1"/>
            </w14:solidFill>
          </w14:textFill>
        </w:rPr>
        <w:t>九   澄清、修改发布媒体</w:t>
      </w:r>
      <w:bookmarkEnd w:id="59"/>
      <w:bookmarkEnd w:id="60"/>
    </w:p>
    <w:p w14:paraId="7422FCD6">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14:textFill>
            <w14:solidFill>
              <w14:schemeClr w14:val="tx1"/>
            </w14:solidFill>
          </w14:textFill>
        </w:rPr>
        <w:t>修改的，采购代理机构将在投标截止时间十五日前将澄清或修改内容在浙江政府采购网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cs="宋体"/>
          <w:bCs/>
          <w:color w:val="000000" w:themeColor="text1"/>
          <w:kern w:val="0"/>
          <w:sz w:val="24"/>
          <w14:textFill>
            <w14:solidFill>
              <w14:schemeClr w14:val="tx1"/>
            </w14:solidFill>
          </w14:textFill>
        </w:rPr>
        <w:t>http://zfcg.czt.zj.gov.cn/</w:t>
      </w:r>
      <w:r>
        <w:rPr>
          <w:rFonts w:hint="eastAsia" w:ascii="宋体" w:hAnsi="宋体" w:cs="宋体"/>
          <w:bCs/>
          <w:color w:val="000000" w:themeColor="text1"/>
          <w:kern w:val="0"/>
          <w:sz w:val="24"/>
          <w14:textFill>
            <w14:solidFill>
              <w14:schemeClr w14:val="tx1"/>
            </w14:solidFill>
          </w14:textFill>
        </w:rPr>
        <w:fldChar w:fldCharType="end"/>
      </w:r>
      <w:r>
        <w:rPr>
          <w:rFonts w:hint="eastAsia" w:ascii="宋体" w:hAnsi="宋体" w:cs="宋体"/>
          <w:bCs/>
          <w:color w:val="000000" w:themeColor="text1"/>
          <w:kern w:val="0"/>
          <w:sz w:val="24"/>
          <w14:textFill>
            <w14:solidFill>
              <w14:schemeClr w14:val="tx1"/>
            </w14:solidFill>
          </w14:textFill>
        </w:rPr>
        <w:t>、丽水市公共资源交易网（</w:t>
      </w:r>
      <w:r>
        <w:fldChar w:fldCharType="begin"/>
      </w:r>
      <w:r>
        <w:instrText xml:space="preserve"> HYPERLINK "http://sy.lssggzy.com/syweb/" </w:instrText>
      </w:r>
      <w:r>
        <w:fldChar w:fldCharType="separate"/>
      </w:r>
      <w:r>
        <w:rPr>
          <w:rFonts w:hint="eastAsia" w:ascii="宋体" w:hAnsi="宋体" w:cs="宋体"/>
          <w:bCs/>
          <w:color w:val="000000" w:themeColor="text1"/>
          <w:kern w:val="0"/>
          <w:sz w:val="24"/>
          <w14:textFill>
            <w14:solidFill>
              <w14:schemeClr w14:val="tx1"/>
            </w14:solidFill>
          </w14:textFill>
        </w:rPr>
        <w:t>http://lssggzy.lishui.gov.cn/jyweb</w:t>
      </w:r>
      <w:r>
        <w:rPr>
          <w:rFonts w:hint="eastAsia" w:ascii="宋体" w:hAnsi="宋体" w:cs="宋体"/>
          <w:bCs/>
          <w:color w:val="000000" w:themeColor="text1"/>
          <w:kern w:val="0"/>
          <w:sz w:val="24"/>
          <w14:textFill>
            <w14:solidFill>
              <w14:schemeClr w14:val="tx1"/>
            </w14:solidFill>
          </w14:textFill>
        </w:rPr>
        <w:fldChar w:fldCharType="end"/>
      </w:r>
      <w:r>
        <w:rPr>
          <w:rFonts w:hint="eastAsia" w:ascii="宋体" w:hAnsi="宋体" w:cs="宋体"/>
          <w:bCs/>
          <w:color w:val="000000" w:themeColor="text1"/>
          <w:kern w:val="0"/>
          <w:sz w:val="24"/>
          <w14:textFill>
            <w14:solidFill>
              <w14:schemeClr w14:val="tx1"/>
            </w14:solidFill>
          </w14:textFill>
        </w:rPr>
        <w:t>/）上予以公布，潜在投标人应自行关注网站更正公告等内容，采购代理机构不再一一通知。</w:t>
      </w:r>
    </w:p>
    <w:p w14:paraId="29C4A06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33.2潜在投标人提出的询问超出采购人对采购代理机构委托授权范围的，投标人应向采购人提出。</w:t>
      </w:r>
    </w:p>
    <w:p w14:paraId="2428E627">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67" w:name="_Toc27646"/>
      <w:r>
        <w:rPr>
          <w:rFonts w:hint="eastAsia" w:ascii="宋体" w:hAnsi="宋体" w:eastAsia="宋体" w:cs="宋体"/>
          <w:color w:val="000000" w:themeColor="text1"/>
          <w:sz w:val="24"/>
          <w:szCs w:val="24"/>
          <w14:textFill>
            <w14:solidFill>
              <w14:schemeClr w14:val="tx1"/>
            </w14:solidFill>
          </w14:textFill>
        </w:rPr>
        <w:t>十   质疑</w:t>
      </w:r>
      <w:bookmarkEnd w:id="61"/>
      <w:bookmarkEnd w:id="62"/>
      <w:bookmarkEnd w:id="63"/>
      <w:bookmarkEnd w:id="64"/>
      <w:bookmarkEnd w:id="65"/>
      <w:bookmarkEnd w:id="66"/>
      <w:bookmarkEnd w:id="67"/>
    </w:p>
    <w:p w14:paraId="5C05F1FD">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34.1</w:t>
      </w:r>
      <w:r>
        <w:rPr>
          <w:rFonts w:hint="eastAsia" w:hAnsi="宋体" w:eastAsia="宋体" w:cs="宋体"/>
          <w:color w:val="000000" w:themeColor="text1"/>
          <w:kern w:val="0"/>
          <w:sz w:val="24"/>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2C63CB99">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34.2质疑的主要内容应符合</w:t>
      </w:r>
      <w:r>
        <w:rPr>
          <w:rFonts w:hint="eastAsia" w:hAnsi="宋体" w:eastAsia="宋体" w:cs="宋体"/>
          <w:color w:val="000000" w:themeColor="text1"/>
          <w:kern w:val="0"/>
          <w:sz w:val="24"/>
          <w14:textFill>
            <w14:solidFill>
              <w14:schemeClr w14:val="tx1"/>
            </w14:solidFill>
          </w14:textFill>
        </w:rPr>
        <w:t>《政府采购质疑和投诉办法》（94号令）规定</w:t>
      </w:r>
      <w:r>
        <w:rPr>
          <w:rFonts w:hint="eastAsia" w:hAnsi="宋体" w:eastAsia="宋体" w:cs="宋体"/>
          <w:color w:val="000000" w:themeColor="text1"/>
          <w:sz w:val="24"/>
          <w14:textFill>
            <w14:solidFill>
              <w14:schemeClr w14:val="tx1"/>
            </w14:solidFill>
          </w14:textFill>
        </w:rPr>
        <w:t>以及浙江省和丽水市相关文件的规定。质疑内容涉及保密事项，质疑投标人应提供有效的信息来源或有效证据。</w:t>
      </w:r>
    </w:p>
    <w:p w14:paraId="53580FF8">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34.3质疑投标人可直接提交、传真或邮寄方式提交质疑书（一式三份以上）。以其他方式提出的质疑，采购代理机构可不予接受、答复。</w:t>
      </w:r>
    </w:p>
    <w:p w14:paraId="351D6EBA">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34.3.1邮寄方式送达质疑书的，以采购代理机构实际收到邮件之日作为收到质疑的日期。</w:t>
      </w:r>
    </w:p>
    <w:p w14:paraId="4255D2B8">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14:paraId="7711EDCB">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34.3.3在质疑期限届满前，质疑书已经邮寄或传真成功的，质疑不视为过期。</w:t>
      </w:r>
    </w:p>
    <w:p w14:paraId="0C3013A0">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14:paraId="0D96A3B3">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34.5采购代理机构在收到质疑投标人的书面质疑后7个工作日内作出答复，并以书面形式答复质疑投标人。</w:t>
      </w:r>
    </w:p>
    <w:p w14:paraId="52B6D804">
      <w:pPr>
        <w:pStyle w:val="8"/>
        <w:spacing w:line="360" w:lineRule="auto"/>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14:paraId="348352B5">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68" w:name="_Toc6332"/>
      <w:r>
        <w:rPr>
          <w:rFonts w:hint="eastAsia" w:ascii="宋体" w:hAnsi="宋体" w:eastAsia="宋体" w:cs="宋体"/>
          <w:color w:val="000000" w:themeColor="text1"/>
          <w:sz w:val="24"/>
          <w:szCs w:val="24"/>
          <w14:textFill>
            <w14:solidFill>
              <w14:schemeClr w14:val="tx1"/>
            </w14:solidFill>
          </w14:textFill>
        </w:rPr>
        <w:t>十一  投诉</w:t>
      </w:r>
      <w:bookmarkEnd w:id="44"/>
      <w:bookmarkEnd w:id="45"/>
      <w:bookmarkEnd w:id="46"/>
      <w:bookmarkEnd w:id="47"/>
      <w:bookmarkEnd w:id="68"/>
    </w:p>
    <w:p w14:paraId="3121A9C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14:paraId="58F69191">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69" w:name="_Toc29108"/>
      <w:r>
        <w:rPr>
          <w:rFonts w:hint="eastAsia" w:ascii="宋体" w:hAnsi="宋体" w:eastAsia="宋体" w:cs="宋体"/>
          <w:color w:val="000000" w:themeColor="text1"/>
          <w:sz w:val="24"/>
          <w:szCs w:val="24"/>
          <w14:textFill>
            <w14:solidFill>
              <w14:schemeClr w14:val="tx1"/>
            </w14:solidFill>
          </w14:textFill>
        </w:rPr>
        <w:t>十二  授予合同</w:t>
      </w:r>
      <w:bookmarkEnd w:id="48"/>
      <w:bookmarkEnd w:id="69"/>
    </w:p>
    <w:p w14:paraId="311FB06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 中标结果公告及中标通知书</w:t>
      </w:r>
    </w:p>
    <w:p w14:paraId="24BEEF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 采购代理机构将在浙江政府采购网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cs="宋体"/>
          <w:color w:val="000000" w:themeColor="text1"/>
          <w:sz w:val="24"/>
          <w14:textFill>
            <w14:solidFill>
              <w14:schemeClr w14:val="tx1"/>
            </w14:solidFill>
          </w14:textFill>
        </w:rPr>
        <w:t>http://zfcg.czt.zj.gov.cn/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、丽水市公共资源交易网http://lssggzy.lishui.gov.cn/jyweb/上发布中标结果公告。中标结果公告内容不包括国家秘密、商业秘密。</w:t>
      </w:r>
    </w:p>
    <w:p w14:paraId="573376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36.2发布中标公告的同时，采购代理机构向中标人发出中标通知书。</w:t>
      </w:r>
    </w:p>
    <w:p w14:paraId="2407EC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37.授予合同时变更数量的权力</w:t>
      </w:r>
    </w:p>
    <w:p w14:paraId="3E41EC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43C2E6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38.签订合同</w:t>
      </w:r>
    </w:p>
    <w:p w14:paraId="1AE6089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38.1中标人自中标通知书发出之日起30日内与采购人签定合同。</w:t>
      </w:r>
    </w:p>
    <w:p w14:paraId="221675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38.2招标文件、中标人的投标文件及其澄清文件等,均为签订合同的依据。</w:t>
      </w:r>
    </w:p>
    <w:p w14:paraId="77569F0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38.3中标人不遵守招标文件和投标文件的要约条款及所作的承诺,擅自修改报价或在中标通知书发出之日起30日内,借故拖延、拒签合同者,采购人有权取消该投标人的中标资格。</w:t>
      </w:r>
    </w:p>
    <w:p w14:paraId="53E487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14:paraId="7307E1F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14:paraId="2DED54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14:paraId="5FB456A1">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70" w:name="_Toc26469"/>
      <w:r>
        <w:rPr>
          <w:rFonts w:hint="eastAsia" w:ascii="宋体" w:hAnsi="宋体" w:eastAsia="宋体" w:cs="宋体"/>
          <w:color w:val="000000" w:themeColor="text1"/>
          <w:sz w:val="24"/>
          <w:szCs w:val="24"/>
          <w14:textFill>
            <w14:solidFill>
              <w14:schemeClr w14:val="tx1"/>
            </w14:solidFill>
          </w14:textFill>
        </w:rPr>
        <w:t>十三  验收</w:t>
      </w:r>
      <w:bookmarkEnd w:id="70"/>
    </w:p>
    <w:p w14:paraId="0880CE2B">
      <w:pPr>
        <w:spacing w:line="360" w:lineRule="auto"/>
        <w:ind w:firstLine="480" w:firstLineChars="200"/>
        <w:rPr>
          <w:rFonts w:ascii="宋体" w:hAnsi="宋体" w:cs="宋体"/>
          <w:color w:val="000000" w:themeColor="text1"/>
          <w:sz w:val="24"/>
          <w14:textFill>
            <w14:solidFill>
              <w14:schemeClr w14:val="tx1"/>
            </w14:solidFill>
          </w14:textFill>
        </w:rPr>
      </w:pPr>
      <w:bookmarkStart w:id="71" w:name="_Toc47756031"/>
      <w:bookmarkStart w:id="72" w:name="_Toc107820052"/>
      <w:bookmarkStart w:id="73" w:name="_Toc45506731"/>
      <w:bookmarkStart w:id="74" w:name="_Toc15813254"/>
      <w:bookmarkStart w:id="75" w:name="_Toc15805937"/>
      <w:r>
        <w:rPr>
          <w:rFonts w:hint="eastAsia" w:ascii="宋体" w:hAnsi="宋体" w:cs="宋体"/>
          <w:color w:val="000000" w:themeColor="text1"/>
          <w:sz w:val="24"/>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14:paraId="7CE9317F">
      <w:pPr>
        <w:pStyle w:val="22"/>
        <w:snapToGrid w:val="0"/>
        <w:spacing w:line="360" w:lineRule="auto"/>
        <w:ind w:firstLine="480" w:firstLineChars="200"/>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14:textFill>
            <w14:solidFill>
              <w14:schemeClr w14:val="tx1"/>
            </w14:solidFill>
          </w14:textFill>
        </w:rPr>
        <w:t>招标文件</w:t>
      </w:r>
      <w:r>
        <w:rPr>
          <w:rFonts w:hint="eastAsia" w:cs="宋体"/>
          <w:color w:val="000000" w:themeColor="text1"/>
          <w:kern w:val="2"/>
          <w14:textFill>
            <w14:solidFill>
              <w14:schemeClr w14:val="tx1"/>
            </w14:solidFill>
          </w14:textFill>
        </w:rPr>
        <w:t>、中标人</w:t>
      </w:r>
      <w:r>
        <w:rPr>
          <w:rFonts w:hint="eastAsia" w:cs="宋体"/>
          <w:color w:val="000000" w:themeColor="text1"/>
          <w14:textFill>
            <w14:solidFill>
              <w14:schemeClr w14:val="tx1"/>
            </w14:solidFill>
          </w14:textFill>
        </w:rPr>
        <w:t>投标文件</w:t>
      </w:r>
      <w:r>
        <w:rPr>
          <w:rFonts w:hint="eastAsia" w:cs="宋体"/>
          <w:color w:val="000000" w:themeColor="text1"/>
          <w:kern w:val="2"/>
          <w14:textFill>
            <w14:solidFill>
              <w14:schemeClr w14:val="tx1"/>
            </w14:solidFill>
          </w14:textFill>
        </w:rPr>
        <w:t>的内容相符合。</w:t>
      </w:r>
    </w:p>
    <w:p w14:paraId="21D89648">
      <w:pPr>
        <w:pStyle w:val="22"/>
        <w:snapToGrid w:val="0"/>
        <w:spacing w:line="360" w:lineRule="auto"/>
        <w:ind w:firstLine="480" w:firstLineChars="200"/>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260818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w:t>
      </w:r>
      <w:r>
        <w:rPr>
          <w:rFonts w:hint="eastAsia" w:ascii="宋体" w:hAnsi="宋体" w:eastAsia="宋体" w:cs="宋体"/>
          <w:color w:val="000000" w:themeColor="text1"/>
          <w:sz w:val="24"/>
          <w:highlight w:val="none"/>
          <w14:textFill>
            <w14:solidFill>
              <w14:schemeClr w14:val="tx1"/>
            </w14:solidFill>
          </w14:textFill>
        </w:rPr>
        <w:t>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eastAsia="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eastAsia="宋体" w:cs="宋体"/>
          <w:color w:val="000000" w:themeColor="text1"/>
          <w:sz w:val="24"/>
          <w:highlight w:val="none"/>
          <w14:textFill>
            <w14:solidFill>
              <w14:schemeClr w14:val="tx1"/>
            </w14:solidFill>
          </w14:textFill>
        </w:rPr>
        <w:t xml:space="preserve"> </w:t>
      </w:r>
      <w:bookmarkEnd w:id="77"/>
    </w:p>
    <w:p w14:paraId="1CC6673A">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bookmarkStart w:id="78" w:name="_Toc493956047"/>
      <w:bookmarkStart w:id="79" w:name="_Toc530987054"/>
      <w:bookmarkStart w:id="80" w:name="_Toc27124"/>
      <w:r>
        <w:rPr>
          <w:rFonts w:hint="eastAsia" w:ascii="宋体" w:hAnsi="宋体" w:eastAsia="宋体" w:cs="宋体"/>
          <w:color w:val="000000" w:themeColor="text1"/>
          <w:sz w:val="24"/>
          <w:szCs w:val="24"/>
          <w14:textFill>
            <w14:solidFill>
              <w14:schemeClr w14:val="tx1"/>
            </w14:solidFill>
          </w14:textFill>
        </w:rPr>
        <w:t>十四  政府采购政策</w:t>
      </w:r>
      <w:bookmarkEnd w:id="78"/>
      <w:bookmarkEnd w:id="79"/>
      <w:bookmarkEnd w:id="80"/>
    </w:p>
    <w:p w14:paraId="1B83B7B7">
      <w:pPr>
        <w:spacing w:line="360" w:lineRule="auto"/>
        <w:ind w:firstLine="480" w:firstLineChars="200"/>
        <w:rPr>
          <w:rFonts w:ascii="宋体" w:hAnsi="宋体" w:cs="宋体"/>
          <w:color w:val="000000" w:themeColor="text1"/>
          <w:sz w:val="24"/>
          <w14:textFill>
            <w14:solidFill>
              <w14:schemeClr w14:val="tx1"/>
            </w14:solidFill>
          </w14:textFill>
        </w:rPr>
      </w:pPr>
      <w:bookmarkStart w:id="81" w:name="_Toc18197"/>
      <w:r>
        <w:rPr>
          <w:rFonts w:hint="eastAsia" w:ascii="宋体" w:hAnsi="宋体" w:cs="宋体"/>
          <w:color w:val="000000" w:themeColor="text1"/>
          <w:sz w:val="24"/>
          <w14:textFill>
            <w14:solidFill>
              <w14:schemeClr w14:val="tx1"/>
            </w14:solidFill>
          </w14:textFill>
        </w:rPr>
        <w:t>40.1本项目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 xml:space="preserve">是 </w:t>
      </w:r>
      <w:r>
        <w:rPr>
          <w:rFonts w:hint="eastAsia" w:ascii="宋体" w:hAnsi="宋体" w:cs="宋体"/>
          <w:color w:val="000000" w:themeColor="text1"/>
          <w:kern w:val="0"/>
          <w:sz w:val="24"/>
          <w14:textFill>
            <w14:solidFill>
              <w14:schemeClr w14:val="tx1"/>
            </w14:solidFill>
          </w14:textFill>
        </w:rPr>
        <w:t>专门面向中小微企业采购</w:t>
      </w:r>
      <w:r>
        <w:rPr>
          <w:rFonts w:hint="eastAsia" w:ascii="宋体" w:hAnsi="宋体" w:cs="宋体"/>
          <w:color w:val="000000" w:themeColor="text1"/>
          <w:sz w:val="24"/>
          <w14:textFill>
            <w14:solidFill>
              <w14:schemeClr w14:val="tx1"/>
            </w14:solidFill>
          </w14:textFill>
        </w:rPr>
        <w:t>。</w:t>
      </w:r>
    </w:p>
    <w:p w14:paraId="717C340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40.1.1本项目对应的中小企业划分标准所属行业：</w:t>
      </w:r>
      <w:r>
        <w:rPr>
          <w:rFonts w:hint="eastAsia" w:ascii="宋体" w:hAnsi="宋体" w:cs="宋体"/>
          <w:bCs/>
          <w:snapToGrid w:val="0"/>
          <w:color w:val="000000" w:themeColor="text1"/>
          <w:sz w:val="24"/>
          <w:u w:val="single"/>
          <w:lang w:eastAsia="zh-CN"/>
          <w14:textFill>
            <w14:solidFill>
              <w14:schemeClr w14:val="tx1"/>
            </w14:solidFill>
          </w14:textFill>
        </w:rPr>
        <w:t>工</w:t>
      </w:r>
      <w:r>
        <w:rPr>
          <w:rFonts w:hint="eastAsia" w:ascii="宋体" w:hAnsi="宋体" w:cs="宋体"/>
          <w:bCs/>
          <w:snapToGrid w:val="0"/>
          <w:color w:val="000000" w:themeColor="text1"/>
          <w:sz w:val="24"/>
          <w:u w:val="single"/>
          <w14:textFill>
            <w14:solidFill>
              <w14:schemeClr w14:val="tx1"/>
            </w14:solidFill>
          </w14:textFill>
        </w:rPr>
        <w:t>业</w:t>
      </w:r>
    </w:p>
    <w:p w14:paraId="6E191B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14:paraId="244A2B9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40.1.3符合中小企业划分标准的个体工商户，在政府采购活动中视同中小企业。</w:t>
      </w:r>
    </w:p>
    <w:p w14:paraId="1CFCA53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40.1.4在政府采购活动中，供应商提供的货物、工程或者服务符合下列情形的，可享受小型、微型企业（以下简称小微企业）的价格扣除：</w:t>
      </w:r>
    </w:p>
    <w:p w14:paraId="0E1624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（1）在货物采购项目中，货物由小微企业制造，即货物由小微企业生产且使用该小微企业商号或者注册商标；</w:t>
      </w:r>
    </w:p>
    <w:p w14:paraId="73524C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（2）在工程采购项目中，工程由小微企业承建，即工程施工单位为小微企业；</w:t>
      </w:r>
    </w:p>
    <w:p w14:paraId="789FA5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（3）在服务采购项目中，服务由小微企业承接，即提供服务的人员为小微企业依照《中华人民共和国劳动合同法》订立劳动合同的从业人员。</w:t>
      </w:r>
    </w:p>
    <w:p w14:paraId="243BE8F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以联合体形式参加政府采购活动，联合体各方均为小微企业的，联合体视同小微企业。</w:t>
      </w:r>
    </w:p>
    <w:p w14:paraId="1429E4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40.1.5在货物采购项目中，供应商提供的货物既有中小企业制造货物，也有大型企业制造货物的，不享受的小微企业价格扣除。</w:t>
      </w:r>
    </w:p>
    <w:p w14:paraId="158AD07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40.1.6本项目对符合《政府采购促进中小企业发展管理办法》（财库﹝2020﹞46号）规定的小微企业报价给予 20% （工程项目为5%）的扣除，用扣除后的价格参加评审。</w:t>
      </w:r>
    </w:p>
    <w:p w14:paraId="3F7C83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组成联合体或者接受分包的小微企业与联合体内其他企业、分包企业之间存在直接控股、管理关系的，不享受价格扣除优惠政策。</w:t>
      </w:r>
    </w:p>
    <w:p w14:paraId="5321023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40.1.7中小企业应按照采购文件格式要求提供《中小企业声明函》。</w:t>
      </w:r>
    </w:p>
    <w:p w14:paraId="75EEDA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D6D22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14:paraId="7B111C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40.1.10按规定享受扶持政策获得政府采购合同的，小微企业不得将合同分包给大中型企业，中型企业不得将合同分包给大型企业。</w:t>
      </w:r>
    </w:p>
    <w:p w14:paraId="6DAD74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14:paraId="6F398992">
      <w:pPr>
        <w:pStyle w:val="6"/>
        <w:spacing w:before="0" w:after="0"/>
        <w:ind w:firstLine="20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十五  其他事项</w:t>
      </w:r>
      <w:bookmarkEnd w:id="71"/>
      <w:bookmarkEnd w:id="72"/>
      <w:bookmarkEnd w:id="73"/>
      <w:bookmarkEnd w:id="74"/>
      <w:bookmarkEnd w:id="75"/>
      <w:bookmarkEnd w:id="81"/>
    </w:p>
    <w:p w14:paraId="15C015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 xml:space="preserve"> 解释权 </w:t>
      </w:r>
    </w:p>
    <w:p w14:paraId="6D246C2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42.1本招标文件是根据国家有关法律、法规、规章和有关规定编制的,解释权属采购代理机构。</w:t>
      </w:r>
    </w:p>
    <w:p w14:paraId="58FFD58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42.2 采购代理机构</w:t>
      </w:r>
      <w:r>
        <w:rPr>
          <w:rFonts w:hint="eastAsia" w:ascii="宋体" w:hAnsi="宋体" w:cs="宋体"/>
          <w:color w:val="000000" w:themeColor="text1"/>
          <w:sz w:val="24"/>
          <w14:textFill>
            <w14:solidFill>
              <w14:schemeClr w14:val="tx1"/>
            </w14:solidFill>
          </w14:textFill>
        </w:rPr>
        <w:t>对决标结果不负责解释。</w:t>
      </w:r>
    </w:p>
    <w:p w14:paraId="79F25C3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w:t>
      </w:r>
      <w:r>
        <w:rPr>
          <w:rFonts w:hint="eastAsia" w:ascii="宋体" w:hAnsi="宋体" w:cs="宋体"/>
          <w:b/>
          <w:color w:val="000000" w:themeColor="text1"/>
          <w:sz w:val="24"/>
          <w14:textFill>
            <w14:solidFill>
              <w14:schemeClr w14:val="tx1"/>
            </w14:solidFill>
          </w14:textFill>
        </w:rPr>
        <w:t xml:space="preserve"> 采购代理服务费:</w:t>
      </w:r>
    </w:p>
    <w:p w14:paraId="3914215A">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采购咨询费：由</w:t>
      </w:r>
      <w:r>
        <w:rPr>
          <w:rFonts w:hint="eastAsia" w:ascii="宋体" w:hAnsi="宋体" w:cs="宋体"/>
          <w:color w:val="000000" w:themeColor="text1"/>
          <w:sz w:val="24"/>
          <w:szCs w:val="32"/>
          <w:u w:val="single"/>
          <w14:textFill>
            <w14:solidFill>
              <w14:schemeClr w14:val="tx1"/>
            </w14:solidFill>
          </w14:textFill>
        </w:rPr>
        <w:t>成交供应商</w:t>
      </w:r>
      <w:r>
        <w:rPr>
          <w:rFonts w:hint="eastAsia" w:ascii="宋体" w:hAnsi="宋体" w:cs="宋体"/>
          <w:color w:val="000000" w:themeColor="text1"/>
          <w:sz w:val="24"/>
          <w:szCs w:val="32"/>
          <w14:textFill>
            <w14:solidFill>
              <w14:schemeClr w14:val="tx1"/>
            </w14:solidFill>
          </w14:textFill>
        </w:rPr>
        <w:t>向采购代理机构支付，代理机构出具普通税务发票</w:t>
      </w:r>
      <w:r>
        <w:rPr>
          <w:rFonts w:hint="eastAsia" w:ascii="宋体" w:hAnsi="宋体" w:cs="宋体"/>
          <w:b/>
          <w:bCs/>
          <w:color w:val="000000" w:themeColor="text1"/>
          <w:sz w:val="24"/>
          <w:szCs w:val="32"/>
          <w14:textFill>
            <w14:solidFill>
              <w14:schemeClr w14:val="tx1"/>
            </w14:solidFill>
          </w14:textFill>
        </w:rPr>
        <w:t>，采购咨询服务费按国家收费标准收取</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b/>
          <w:bCs/>
          <w:color w:val="000000" w:themeColor="text1"/>
          <w:sz w:val="24"/>
          <w:szCs w:val="32"/>
          <w14:textFill>
            <w14:solidFill>
              <w14:schemeClr w14:val="tx1"/>
            </w14:solidFill>
          </w14:textFill>
        </w:rPr>
        <w:t>成交投标人在成交公告发布之日起5个工作日内以现金或转账形式支付给采购代理机构，请在测算报价时考虑该费用</w:t>
      </w:r>
      <w:r>
        <w:rPr>
          <w:rFonts w:hint="eastAsia" w:ascii="宋体" w:hAnsi="宋体" w:cs="宋体"/>
          <w:b/>
          <w:color w:val="000000" w:themeColor="text1"/>
          <w:sz w:val="24"/>
          <w14:textFill>
            <w14:solidFill>
              <w14:schemeClr w14:val="tx1"/>
            </w14:solidFill>
          </w14:textFill>
        </w:rPr>
        <w:t>。</w:t>
      </w:r>
    </w:p>
    <w:p w14:paraId="07047ACD">
      <w:pP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br w:type="page"/>
      </w:r>
    </w:p>
    <w:p w14:paraId="5E611D20">
      <w:pPr>
        <w:autoSpaceDE w:val="0"/>
        <w:snapToGrid w:val="0"/>
        <w:spacing w:before="156" w:after="156" w:line="400" w:lineRule="exact"/>
        <w:jc w:val="center"/>
        <w:rPr>
          <w:rFonts w:ascii="宋体" w:hAnsi="宋体" w:cs="宋体"/>
          <w:b/>
          <w:sz w:val="36"/>
          <w:szCs w:val="44"/>
        </w:rPr>
      </w:pPr>
      <w:bookmarkStart w:id="82" w:name="_Toc27895_WPSOffice_Level1"/>
      <w:bookmarkStart w:id="83" w:name="_Toc5762"/>
      <w:bookmarkStart w:id="84" w:name="_Toc1223"/>
      <w:r>
        <w:rPr>
          <w:rFonts w:hint="eastAsia" w:ascii="宋体" w:hAnsi="宋体" w:cs="宋体"/>
          <w:b/>
          <w:sz w:val="36"/>
          <w:szCs w:val="44"/>
        </w:rPr>
        <w:t>第三章  招标需求</w:t>
      </w:r>
    </w:p>
    <w:bookmarkEnd w:id="82"/>
    <w:bookmarkEnd w:id="83"/>
    <w:bookmarkEnd w:id="84"/>
    <w:p w14:paraId="63331464">
      <w:pPr>
        <w:pStyle w:val="16"/>
        <w:spacing w:before="0" w:after="0" w:line="360" w:lineRule="auto"/>
        <w:ind w:firstLine="482" w:firstLineChars="200"/>
        <w:jc w:val="both"/>
        <w:rPr>
          <w:rFonts w:ascii="宋体" w:hAnsi="宋体" w:cs="宋体"/>
          <w:color w:val="000000"/>
          <w:sz w:val="24"/>
          <w:szCs w:val="24"/>
        </w:rPr>
      </w:pPr>
      <w:bookmarkStart w:id="85" w:name="_Toc19996"/>
      <w:bookmarkStart w:id="86" w:name="_Toc31438"/>
      <w:bookmarkStart w:id="87" w:name="_Toc23303"/>
      <w:r>
        <w:rPr>
          <w:rFonts w:hint="eastAsia" w:ascii="宋体" w:hAnsi="宋体" w:cs="宋体"/>
          <w:color w:val="000000"/>
          <w:sz w:val="24"/>
          <w:szCs w:val="24"/>
        </w:rPr>
        <w:t>一、标准规范</w:t>
      </w:r>
      <w:bookmarkEnd w:id="85"/>
    </w:p>
    <w:p w14:paraId="7FC05F31">
      <w:pPr>
        <w:snapToGrid w:val="0"/>
        <w:spacing w:line="360" w:lineRule="auto"/>
        <w:ind w:right="-727" w:rightChars="-346" w:firstLine="480" w:firstLineChars="200"/>
        <w:rPr>
          <w:rFonts w:ascii="宋体" w:hAnsi="宋体" w:cs="宋体"/>
          <w:color w:val="000000"/>
          <w:sz w:val="24"/>
        </w:rPr>
      </w:pPr>
      <w:r>
        <w:rPr>
          <w:rFonts w:hint="eastAsia" w:ascii="宋体" w:hAnsi="宋体" w:cs="宋体"/>
          <w:color w:val="000000"/>
          <w:sz w:val="24"/>
        </w:rPr>
        <w:t>本工程的材料、设备、施工作业必须符合现行国家、行业及工程所在地地方标准、规范的要求。对于同一类标准、规范应以最新版本或最新颁发者为准。</w:t>
      </w:r>
    </w:p>
    <w:p w14:paraId="18ADBCC8">
      <w:pPr>
        <w:snapToGrid w:val="0"/>
        <w:spacing w:line="360" w:lineRule="auto"/>
        <w:ind w:right="-727" w:rightChars="-346" w:firstLine="480" w:firstLineChars="200"/>
        <w:rPr>
          <w:rFonts w:ascii="宋体" w:hAnsi="宋体" w:cs="宋体"/>
          <w:color w:val="000000"/>
          <w:sz w:val="24"/>
        </w:rPr>
      </w:pPr>
      <w:r>
        <w:rPr>
          <w:rFonts w:hint="eastAsia" w:ascii="宋体" w:hAnsi="宋体" w:cs="宋体"/>
          <w:color w:val="000000"/>
          <w:sz w:val="24"/>
        </w:rPr>
        <w:t xml:space="preserve">国家、行业及工程所在地地方标准、规范存在不一致时，约定选用的标准、规范名称：如果工程所在地地方标准、规范低于国家、行业标准的，则按国家、行业标准执行；如果工程所在地地方标准、规范高于国家、行业标准的，则按工程所在地地方标准、规范执行；如果工程所在地地方标准、规范与国家、行业的标准出现矛盾或歧义的，在满足国家、行业标准的基础上按合同约定的标准、规范执行。 </w:t>
      </w:r>
    </w:p>
    <w:p w14:paraId="148AB461">
      <w:pPr>
        <w:pStyle w:val="16"/>
        <w:spacing w:before="0" w:after="0" w:line="360" w:lineRule="auto"/>
        <w:ind w:firstLine="482" w:firstLineChars="200"/>
        <w:jc w:val="both"/>
        <w:rPr>
          <w:rFonts w:ascii="宋体" w:hAnsi="宋体" w:cs="宋体"/>
          <w:color w:val="000000"/>
          <w:sz w:val="24"/>
          <w:szCs w:val="24"/>
        </w:rPr>
      </w:pPr>
      <w:bookmarkStart w:id="88" w:name="_Toc26936"/>
      <w:r>
        <w:rPr>
          <w:rFonts w:hint="eastAsia" w:ascii="宋体" w:hAnsi="宋体" w:cs="宋体"/>
          <w:color w:val="000000"/>
          <w:sz w:val="24"/>
          <w:szCs w:val="24"/>
        </w:rPr>
        <w:t>二、工程概况</w:t>
      </w:r>
      <w:bookmarkEnd w:id="88"/>
    </w:p>
    <w:p w14:paraId="43C05005">
      <w:pPr>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1.建设地点</w:t>
      </w:r>
      <w:r>
        <w:rPr>
          <w:rFonts w:hint="eastAsia" w:ascii="宋体" w:hAnsi="宋体" w:cs="宋体"/>
          <w:color w:val="000000"/>
          <w:sz w:val="24"/>
        </w:rPr>
        <w:t xml:space="preserve">：位于缙云县壶镇镇。    </w:t>
      </w:r>
    </w:p>
    <w:p w14:paraId="0B950BE8">
      <w:pPr>
        <w:snapToGrid w:val="0"/>
        <w:spacing w:line="360" w:lineRule="auto"/>
        <w:ind w:right="-727" w:rightChars="-346" w:firstLine="482" w:firstLineChars="200"/>
        <w:rPr>
          <w:rFonts w:ascii="宋体" w:hAnsi="宋体" w:cs="宋体"/>
          <w:color w:val="000000"/>
          <w:sz w:val="24"/>
        </w:rPr>
      </w:pPr>
      <w:r>
        <w:rPr>
          <w:rFonts w:hint="eastAsia" w:ascii="宋体" w:hAnsi="宋体" w:cs="宋体"/>
          <w:b/>
          <w:bCs/>
          <w:color w:val="000000"/>
          <w:sz w:val="24"/>
        </w:rPr>
        <w:t>2.采购范围：</w:t>
      </w:r>
      <w:r>
        <w:rPr>
          <w:rFonts w:hint="eastAsia" w:ascii="宋体" w:hAnsi="宋体" w:cs="宋体"/>
          <w:color w:val="000000"/>
          <w:sz w:val="24"/>
        </w:rPr>
        <w:t>本项目包括中间水池、应急池、调节池、接触氧化池、二沉池、消毒池、污泥池、在线监测系统、加药房、电控房、设备房等配套设备的采购安装及配套土建工程内容（具体详见工程量清单）。</w:t>
      </w:r>
    </w:p>
    <w:p w14:paraId="37481A23">
      <w:pPr>
        <w:pStyle w:val="24"/>
        <w:spacing w:line="360" w:lineRule="auto"/>
        <w:ind w:firstLine="482" w:firstLineChars="200"/>
        <w:rPr>
          <w:rFonts w:ascii="宋体" w:hAnsi="宋体" w:eastAsia="宋体" w:cs="宋体"/>
          <w:b/>
          <w:bCs/>
          <w:sz w:val="24"/>
        </w:rPr>
      </w:pPr>
      <w:r>
        <w:rPr>
          <w:rFonts w:hint="eastAsia" w:ascii="宋体" w:hAnsi="宋体" w:eastAsia="宋体" w:cs="宋体"/>
          <w:b/>
          <w:bCs/>
          <w:sz w:val="24"/>
        </w:rPr>
        <w:t>3.设计依据</w:t>
      </w:r>
    </w:p>
    <w:p w14:paraId="5FD91989">
      <w:pPr>
        <w:pStyle w:val="24"/>
        <w:spacing w:line="360" w:lineRule="auto"/>
        <w:ind w:firstLine="240"/>
        <w:rPr>
          <w:rFonts w:ascii="宋体" w:hAnsi="宋体" w:eastAsia="宋体" w:cs="宋体"/>
          <w:sz w:val="24"/>
        </w:rPr>
      </w:pPr>
      <w:r>
        <w:rPr>
          <w:rFonts w:hint="eastAsia" w:ascii="宋体" w:hAnsi="宋体" w:eastAsia="宋体" w:cs="宋体"/>
          <w:sz w:val="24"/>
        </w:rPr>
        <w:t>1）《医疗机构水污染物持放标准》(GB18466-2005);</w:t>
      </w:r>
    </w:p>
    <w:p w14:paraId="3EF48A3D">
      <w:pPr>
        <w:pStyle w:val="24"/>
        <w:spacing w:line="360" w:lineRule="auto"/>
        <w:ind w:firstLine="240"/>
        <w:rPr>
          <w:rFonts w:ascii="宋体" w:hAnsi="宋体" w:eastAsia="宋体" w:cs="宋体"/>
          <w:sz w:val="24"/>
        </w:rPr>
      </w:pPr>
      <w:r>
        <w:rPr>
          <w:rFonts w:hint="eastAsia" w:ascii="宋体" w:hAnsi="宋体" w:eastAsia="宋体" w:cs="宋体"/>
          <w:sz w:val="24"/>
        </w:rPr>
        <w:t xml:space="preserve">2)《医院污水处理设计规范》CECS07:2004; </w:t>
      </w:r>
    </w:p>
    <w:p w14:paraId="10FDB030">
      <w:pPr>
        <w:pStyle w:val="24"/>
        <w:spacing w:line="360" w:lineRule="auto"/>
        <w:ind w:firstLine="240"/>
        <w:rPr>
          <w:rFonts w:ascii="宋体" w:hAnsi="宋体" w:eastAsia="宋体" w:cs="宋体"/>
          <w:sz w:val="24"/>
        </w:rPr>
      </w:pPr>
      <w:r>
        <w:rPr>
          <w:rFonts w:hint="eastAsia" w:ascii="宋体" w:hAnsi="宋体" w:eastAsia="宋体" w:cs="宋体"/>
          <w:sz w:val="24"/>
        </w:rPr>
        <w:t>3)《室外排水设计标准》CB50014- 2021;</w:t>
      </w:r>
    </w:p>
    <w:p w14:paraId="41527711">
      <w:pPr>
        <w:pStyle w:val="24"/>
        <w:spacing w:line="360" w:lineRule="auto"/>
        <w:ind w:firstLine="240"/>
        <w:rPr>
          <w:rFonts w:ascii="宋体" w:hAnsi="宋体" w:eastAsia="宋体" w:cs="宋体"/>
          <w:sz w:val="24"/>
        </w:rPr>
      </w:pPr>
      <w:r>
        <w:rPr>
          <w:rFonts w:hint="eastAsia" w:ascii="宋体" w:hAnsi="宋体" w:eastAsia="宋体" w:cs="宋体"/>
          <w:sz w:val="24"/>
        </w:rPr>
        <w:t>4)《给水排水工程构筑物结构设计规范》C850069-2002;</w:t>
      </w:r>
    </w:p>
    <w:p w14:paraId="0D94663E">
      <w:pPr>
        <w:pStyle w:val="24"/>
        <w:spacing w:line="360" w:lineRule="auto"/>
        <w:ind w:firstLine="240"/>
        <w:rPr>
          <w:rFonts w:ascii="宋体" w:hAnsi="宋体" w:eastAsia="宋体" w:cs="宋体"/>
          <w:sz w:val="24"/>
        </w:rPr>
      </w:pPr>
      <w:r>
        <w:rPr>
          <w:rFonts w:hint="eastAsia" w:ascii="宋体" w:hAnsi="宋体" w:eastAsia="宋体" w:cs="宋体"/>
          <w:sz w:val="24"/>
        </w:rPr>
        <w:t>5)《建筑给水排水设计标准&gt;CB50015-2019;</w:t>
      </w:r>
    </w:p>
    <w:p w14:paraId="55FCEE47">
      <w:pPr>
        <w:pStyle w:val="24"/>
        <w:spacing w:line="360" w:lineRule="auto"/>
        <w:ind w:firstLine="240"/>
        <w:rPr>
          <w:rFonts w:ascii="宋体" w:hAnsi="宋体" w:eastAsia="宋体" w:cs="宋体"/>
          <w:sz w:val="24"/>
        </w:rPr>
      </w:pPr>
      <w:r>
        <w:rPr>
          <w:rFonts w:hint="eastAsia" w:ascii="宋体" w:hAnsi="宋体" w:eastAsia="宋体" w:cs="宋体"/>
          <w:sz w:val="24"/>
        </w:rPr>
        <w:t>6)《医院污水处理工程技术规范&gt;HJ2029-2013;</w:t>
      </w:r>
    </w:p>
    <w:p w14:paraId="3E5FA11E">
      <w:pPr>
        <w:pStyle w:val="24"/>
        <w:spacing w:line="360" w:lineRule="auto"/>
        <w:ind w:firstLine="482" w:firstLineChars="200"/>
        <w:rPr>
          <w:rFonts w:ascii="宋体" w:hAnsi="宋体" w:eastAsia="宋体" w:cs="宋体"/>
          <w:b/>
          <w:bCs/>
          <w:sz w:val="24"/>
        </w:rPr>
      </w:pPr>
      <w:r>
        <w:rPr>
          <w:rFonts w:hint="eastAsia" w:ascii="宋体" w:hAnsi="宋体" w:eastAsia="宋体" w:cs="宋体"/>
          <w:b/>
          <w:bCs/>
          <w:sz w:val="24"/>
        </w:rPr>
        <w:t>4.设计范围及设计规模</w:t>
      </w:r>
    </w:p>
    <w:p w14:paraId="5269C956">
      <w:pPr>
        <w:pStyle w:val="24"/>
        <w:spacing w:line="360" w:lineRule="auto"/>
        <w:ind w:firstLine="240"/>
        <w:rPr>
          <w:rFonts w:ascii="宋体" w:hAnsi="宋体" w:eastAsia="宋体" w:cs="宋体"/>
          <w:sz w:val="24"/>
        </w:rPr>
      </w:pPr>
      <w:r>
        <w:rPr>
          <w:rFonts w:hint="eastAsia" w:ascii="宋体" w:hAnsi="宋体" w:eastAsia="宋体" w:cs="宋体"/>
          <w:sz w:val="24"/>
        </w:rPr>
        <w:t>1、本工程设计范围是从污水处理站进口到排放口，与医院水，电等交接点为设计界区外1米处。设计内容包括污水处理站内的工艺设计，污泥处理工艺设计及尾气处理等。</w:t>
      </w:r>
    </w:p>
    <w:p w14:paraId="708A7D6D">
      <w:pPr>
        <w:pStyle w:val="24"/>
        <w:spacing w:line="360" w:lineRule="auto"/>
        <w:ind w:firstLine="240"/>
        <w:rPr>
          <w:rFonts w:ascii="宋体" w:hAnsi="宋体" w:eastAsia="宋体" w:cs="宋体"/>
          <w:sz w:val="24"/>
        </w:rPr>
      </w:pPr>
      <w:r>
        <w:rPr>
          <w:rFonts w:hint="eastAsia" w:ascii="宋体" w:hAnsi="宋体" w:eastAsia="宋体" w:cs="宋体"/>
          <w:sz w:val="24"/>
        </w:rPr>
        <w:t>2、本次污水处理工程设计能力为400m</w:t>
      </w:r>
      <w:r>
        <w:rPr>
          <w:rFonts w:hint="eastAsia" w:ascii="宋体" w:hAnsi="宋体" w:eastAsia="宋体" w:cs="宋体"/>
          <w:sz w:val="24"/>
          <w:vertAlign w:val="superscript"/>
        </w:rPr>
        <w:t>3</w:t>
      </w:r>
      <w:r>
        <w:rPr>
          <w:rFonts w:hint="eastAsia" w:ascii="宋体" w:hAnsi="宋体" w:eastAsia="宋体" w:cs="宋体"/>
          <w:sz w:val="24"/>
        </w:rPr>
        <w:t>/d。</w:t>
      </w:r>
    </w:p>
    <w:p w14:paraId="26AAA3CA">
      <w:pPr>
        <w:pStyle w:val="19"/>
        <w:spacing w:line="360" w:lineRule="auto"/>
        <w:ind w:left="0" w:leftChars="0" w:firstLine="482" w:firstLineChars="200"/>
        <w:rPr>
          <w:rFonts w:ascii="宋体" w:hAnsi="宋体" w:cs="宋体"/>
          <w:b/>
          <w:bCs/>
          <w:sz w:val="24"/>
          <w:szCs w:val="24"/>
        </w:rPr>
      </w:pPr>
    </w:p>
    <w:p w14:paraId="3FE953F1">
      <w:pPr>
        <w:pStyle w:val="19"/>
        <w:spacing w:line="360" w:lineRule="auto"/>
        <w:ind w:left="0" w:leftChars="0" w:firstLine="482" w:firstLineChars="200"/>
        <w:rPr>
          <w:rFonts w:ascii="宋体" w:hAnsi="宋体" w:cs="宋体"/>
          <w:b/>
          <w:bCs/>
          <w:sz w:val="24"/>
          <w:szCs w:val="24"/>
        </w:rPr>
      </w:pPr>
      <w:r>
        <w:rPr>
          <w:rFonts w:hint="eastAsia" w:ascii="宋体" w:hAnsi="宋体" w:cs="宋体"/>
          <w:b/>
          <w:bCs/>
          <w:sz w:val="24"/>
          <w:szCs w:val="24"/>
        </w:rPr>
        <w:t>5.设计水质</w:t>
      </w:r>
    </w:p>
    <w:p w14:paraId="1125BE8C">
      <w:pPr>
        <w:rPr>
          <w:rFonts w:ascii="宋体" w:hAnsi="宋体" w:cs="宋体"/>
        </w:rPr>
      </w:pPr>
      <w:r>
        <w:rPr>
          <w:rFonts w:hint="eastAsia" w:ascii="宋体" w:hAnsi="宋体" w:cs="宋体"/>
        </w:rPr>
        <w:drawing>
          <wp:inline distT="0" distB="0" distL="114300" distR="114300">
            <wp:extent cx="6186170" cy="1422400"/>
            <wp:effectExtent l="0" t="0" r="11430" b="0"/>
            <wp:docPr id="1" name="图片 1" descr="171949519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495190541"/>
                    <pic:cNvPicPr>
                      <a:picLocks noChangeAspect="1"/>
                    </pic:cNvPicPr>
                  </pic:nvPicPr>
                  <pic:blipFill>
                    <a:blip r:embed="rId11"/>
                    <a:stretch>
                      <a:fillRect/>
                    </a:stretch>
                  </pic:blipFill>
                  <pic:spPr>
                    <a:xfrm>
                      <a:off x="0" y="0"/>
                      <a:ext cx="6186170" cy="1422400"/>
                    </a:xfrm>
                    <a:prstGeom prst="rect">
                      <a:avLst/>
                    </a:prstGeom>
                    <a:noFill/>
                    <a:ln>
                      <a:noFill/>
                    </a:ln>
                  </pic:spPr>
                </pic:pic>
              </a:graphicData>
            </a:graphic>
          </wp:inline>
        </w:drawing>
      </w:r>
    </w:p>
    <w:p w14:paraId="1A2F9F06">
      <w:pPr>
        <w:pStyle w:val="19"/>
        <w:spacing w:line="360" w:lineRule="auto"/>
        <w:ind w:left="0" w:leftChars="0" w:firstLine="480" w:firstLineChars="200"/>
        <w:rPr>
          <w:rFonts w:ascii="宋体" w:hAnsi="宋体" w:cs="宋体"/>
          <w:sz w:val="24"/>
          <w:szCs w:val="24"/>
        </w:rPr>
      </w:pPr>
      <w:r>
        <w:rPr>
          <w:rFonts w:hint="eastAsia" w:ascii="宋体" w:hAnsi="宋体" w:cs="宋体"/>
          <w:sz w:val="24"/>
          <w:szCs w:val="24"/>
        </w:rPr>
        <w:t>注：除PH外,其他指标的单位均为mg/L设计进水指标参考同类综合医院污水的水质情况及《医院污水处理设计规范》，出水纳入城市污水管网，最终排入城市污水处理厂。出水水质主要控制项目排放标准按《医疗机构水污染物排放标准》(CB18466-2005)中预处理排放标准执行。</w:t>
      </w:r>
    </w:p>
    <w:p w14:paraId="08B35AA4">
      <w:pPr>
        <w:spacing w:line="360" w:lineRule="auto"/>
        <w:ind w:firstLine="482" w:firstLineChars="200"/>
        <w:rPr>
          <w:rFonts w:ascii="宋体" w:hAnsi="宋体" w:cs="宋体"/>
          <w:b/>
          <w:bCs/>
          <w:sz w:val="24"/>
        </w:rPr>
      </w:pPr>
      <w:r>
        <w:rPr>
          <w:rFonts w:hint="eastAsia" w:ascii="宋体" w:hAnsi="宋体" w:cs="宋体"/>
          <w:b/>
          <w:bCs/>
          <w:sz w:val="24"/>
        </w:rPr>
        <w:t>6.工艺流程（以工艺图纸为准）</w:t>
      </w:r>
    </w:p>
    <w:p w14:paraId="0B2EC474">
      <w:pPr>
        <w:pStyle w:val="24"/>
        <w:spacing w:line="360" w:lineRule="auto"/>
        <w:ind w:firstLine="0"/>
        <w:rPr>
          <w:rFonts w:ascii="宋体" w:hAnsi="宋体" w:eastAsia="宋体" w:cs="宋体"/>
        </w:rPr>
      </w:pPr>
      <w:bookmarkStart w:id="89" w:name="_Toc18295"/>
      <w:r>
        <w:rPr>
          <w:rFonts w:hint="eastAsia" w:ascii="宋体" w:hAnsi="宋体" w:eastAsia="宋体" w:cs="宋体"/>
          <w:lang w:val="en-US"/>
        </w:rPr>
        <w:drawing>
          <wp:inline distT="0" distB="0" distL="114300" distR="114300">
            <wp:extent cx="6182995" cy="1048385"/>
            <wp:effectExtent l="0" t="0" r="1905"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6182995" cy="1048385"/>
                    </a:xfrm>
                    <a:prstGeom prst="rect">
                      <a:avLst/>
                    </a:prstGeom>
                    <a:noFill/>
                    <a:ln>
                      <a:noFill/>
                    </a:ln>
                  </pic:spPr>
                </pic:pic>
              </a:graphicData>
            </a:graphic>
          </wp:inline>
        </w:drawing>
      </w:r>
    </w:p>
    <w:p w14:paraId="0F83985F">
      <w:pPr>
        <w:pStyle w:val="16"/>
        <w:spacing w:before="0" w:after="0" w:line="360" w:lineRule="auto"/>
        <w:ind w:firstLine="482" w:firstLineChars="200"/>
        <w:jc w:val="both"/>
        <w:outlineLvl w:val="9"/>
        <w:rPr>
          <w:rFonts w:ascii="宋体" w:hAnsi="宋体" w:cs="宋体"/>
          <w:color w:val="000000"/>
          <w:sz w:val="24"/>
          <w:szCs w:val="24"/>
        </w:rPr>
      </w:pPr>
      <w:r>
        <w:rPr>
          <w:rFonts w:hint="eastAsia" w:ascii="宋体" w:hAnsi="宋体" w:cs="宋体"/>
          <w:color w:val="000000"/>
          <w:sz w:val="24"/>
          <w:szCs w:val="24"/>
        </w:rPr>
        <w:t>7.其他附属工程</w:t>
      </w:r>
    </w:p>
    <w:p w14:paraId="577DCD75">
      <w:pPr>
        <w:spacing w:line="360" w:lineRule="auto"/>
        <w:ind w:firstLine="480" w:firstLineChars="200"/>
        <w:rPr>
          <w:rFonts w:ascii="宋体" w:hAnsi="宋体" w:cs="宋体"/>
          <w:sz w:val="24"/>
        </w:rPr>
      </w:pPr>
      <w:r>
        <w:rPr>
          <w:rFonts w:hint="eastAsia" w:ascii="宋体" w:hAnsi="宋体" w:cs="宋体"/>
          <w:sz w:val="24"/>
        </w:rPr>
        <w:t>1、本污水站内道路由建设单位统筹考虑，本设计范围内不含道路及绿化设计。</w:t>
      </w:r>
    </w:p>
    <w:p w14:paraId="06000DBF">
      <w:pPr>
        <w:spacing w:line="360" w:lineRule="auto"/>
        <w:ind w:firstLine="480" w:firstLineChars="200"/>
        <w:rPr>
          <w:rFonts w:ascii="宋体" w:hAnsi="宋体" w:cs="宋体"/>
          <w:sz w:val="24"/>
        </w:rPr>
      </w:pPr>
      <w:r>
        <w:rPr>
          <w:rFonts w:hint="eastAsia" w:ascii="宋体" w:hAnsi="宋体" w:cs="宋体"/>
          <w:sz w:val="24"/>
        </w:rPr>
        <w:t>2、本工程各设备基础均待设备到位校核后再按实际尺寸浇注，设备安装按各自标准执行并在设备厂家指导下进行。</w:t>
      </w:r>
    </w:p>
    <w:p w14:paraId="42AE273F">
      <w:pPr>
        <w:pStyle w:val="24"/>
        <w:spacing w:line="360" w:lineRule="auto"/>
        <w:ind w:firstLine="480" w:firstLineChars="200"/>
        <w:rPr>
          <w:rFonts w:ascii="宋体" w:hAnsi="宋体" w:eastAsia="宋体" w:cs="宋体"/>
          <w:sz w:val="24"/>
        </w:rPr>
      </w:pPr>
      <w:r>
        <w:rPr>
          <w:rFonts w:hint="eastAsia" w:ascii="宋体" w:hAnsi="宋体" w:eastAsia="宋体" w:cs="宋体"/>
          <w:sz w:val="24"/>
        </w:rPr>
        <w:t>3、本工程基坑开挖深度较深，施工前应做好基坑、高边坡开挖与支护的施工组织设计，充分考虑到开挖施工与地下水位变化引起的基坑内外土体的变形及其对基础、邻近建筑物和周边环境的影响，同时确认开挖施工方法的可行性及提出，施工过程中的监测要求。</w:t>
      </w:r>
    </w:p>
    <w:p w14:paraId="4BE4C226">
      <w:pPr>
        <w:pStyle w:val="24"/>
        <w:spacing w:line="360" w:lineRule="auto"/>
        <w:ind w:firstLine="480" w:firstLineChars="200"/>
        <w:rPr>
          <w:rFonts w:ascii="宋体" w:hAnsi="宋体" w:eastAsia="宋体" w:cs="宋体"/>
          <w:sz w:val="24"/>
        </w:rPr>
      </w:pPr>
      <w:r>
        <w:rPr>
          <w:rFonts w:hint="eastAsia" w:ascii="宋体" w:hAnsi="宋体" w:eastAsia="宋体" w:cs="宋体"/>
          <w:sz w:val="24"/>
        </w:rPr>
        <w:t>4、基坑开挖应严格按基坑支护设计进行，不得超挖。基坑开挖过程中必须分层均衡开挖，基坑周边严禁超堆放弃土和停放大型机械，施工荷载不得超出设计要求。</w:t>
      </w:r>
    </w:p>
    <w:p w14:paraId="4170C070">
      <w:pPr>
        <w:spacing w:line="360" w:lineRule="auto"/>
        <w:ind w:firstLine="482" w:firstLineChars="200"/>
        <w:rPr>
          <w:rFonts w:ascii="宋体" w:hAnsi="宋体" w:cs="宋体"/>
          <w:b/>
          <w:bCs/>
          <w:sz w:val="24"/>
        </w:rPr>
      </w:pPr>
      <w:r>
        <w:rPr>
          <w:rFonts w:hint="eastAsia" w:ascii="宋体" w:hAnsi="宋体" w:cs="宋体"/>
          <w:b/>
          <w:bCs/>
          <w:sz w:val="24"/>
        </w:rPr>
        <w:t>8.施工及验收</w:t>
      </w:r>
    </w:p>
    <w:p w14:paraId="0BACBAC2">
      <w:pPr>
        <w:spacing w:line="360" w:lineRule="auto"/>
        <w:ind w:firstLine="480" w:firstLineChars="200"/>
        <w:rPr>
          <w:rFonts w:ascii="宋体" w:hAnsi="宋体" w:cs="宋体"/>
          <w:sz w:val="24"/>
        </w:rPr>
      </w:pPr>
      <w:r>
        <w:rPr>
          <w:rFonts w:hint="eastAsia" w:ascii="宋体" w:hAnsi="宋体" w:cs="宋体"/>
          <w:sz w:val="24"/>
        </w:rPr>
        <w:t>1、各构(建)筑物的位置应严格按照图中的尺寸定位放线， 以免影响各种地下管线的敷设。</w:t>
      </w:r>
    </w:p>
    <w:p w14:paraId="3726F7D4">
      <w:pPr>
        <w:spacing w:line="360" w:lineRule="auto"/>
        <w:ind w:firstLine="480" w:firstLineChars="200"/>
        <w:rPr>
          <w:rFonts w:ascii="宋体" w:hAnsi="宋体" w:cs="宋体"/>
          <w:sz w:val="24"/>
        </w:rPr>
      </w:pPr>
      <w:r>
        <w:rPr>
          <w:rFonts w:hint="eastAsia" w:ascii="宋体" w:hAnsi="宋体" w:cs="宋体"/>
          <w:sz w:val="24"/>
        </w:rPr>
        <w:t>2、流程中各构筑物的出水槽、出水堰标高的施工误差以及水平高度，应严格按照《给水排水构筑物施工及验收规范》(CB50141-2008)中的有关标准执行。</w:t>
      </w:r>
    </w:p>
    <w:p w14:paraId="416A6071">
      <w:pPr>
        <w:spacing w:line="360" w:lineRule="auto"/>
        <w:ind w:firstLine="480" w:firstLineChars="200"/>
        <w:rPr>
          <w:rFonts w:ascii="宋体" w:hAnsi="宋体" w:cs="宋体"/>
          <w:sz w:val="24"/>
        </w:rPr>
      </w:pPr>
      <w:r>
        <w:rPr>
          <w:rFonts w:hint="eastAsia" w:ascii="宋体" w:hAnsi="宋体" w:cs="宋体"/>
          <w:sz w:val="24"/>
        </w:rPr>
        <w:t>3、土建施工必须与管道、 设备安装及电气白控专业紧密配合、注意施工工序和验收工序。 有关隐蔽工程必须严格按照有关规范、规程进行施工及验收，所有图中规定的预埋和顶留穿墙管件、孔洞及预理件等，必须在土建施工时正确定位预埋和预留不得事后敲打凿洞，影响工程质量。</w:t>
      </w:r>
    </w:p>
    <w:p w14:paraId="55BF3B43">
      <w:pPr>
        <w:spacing w:line="360" w:lineRule="auto"/>
        <w:ind w:firstLine="480" w:firstLineChars="200"/>
        <w:rPr>
          <w:rFonts w:ascii="宋体" w:hAnsi="宋体" w:cs="宋体"/>
          <w:sz w:val="24"/>
        </w:rPr>
      </w:pPr>
      <w:r>
        <w:rPr>
          <w:rFonts w:hint="eastAsia" w:ascii="宋体" w:hAnsi="宋体" w:cs="宋体"/>
          <w:sz w:val="24"/>
        </w:rPr>
        <w:t>4、厂区排水管回填土前应进行密闭性试验，施工及验收应遵循《给水排水管道工程施工及验收规范》(GB50268-2008)的相关要求。</w:t>
      </w:r>
    </w:p>
    <w:p w14:paraId="0CD347FC">
      <w:pPr>
        <w:pStyle w:val="24"/>
        <w:spacing w:line="360" w:lineRule="auto"/>
        <w:ind w:firstLine="723" w:firstLineChars="300"/>
        <w:rPr>
          <w:rFonts w:ascii="宋体" w:hAnsi="宋体" w:eastAsia="宋体" w:cs="宋体"/>
          <w:b/>
          <w:bCs/>
          <w:sz w:val="24"/>
        </w:rPr>
      </w:pPr>
      <w:r>
        <w:rPr>
          <w:rFonts w:hint="eastAsia" w:ascii="宋体" w:hAnsi="宋体" w:eastAsia="宋体" w:cs="宋体"/>
          <w:b/>
          <w:bCs/>
          <w:sz w:val="24"/>
        </w:rPr>
        <w:t>9.施工及验收规范</w:t>
      </w:r>
    </w:p>
    <w:p w14:paraId="1E50CC98">
      <w:pPr>
        <w:pStyle w:val="24"/>
        <w:spacing w:line="360" w:lineRule="auto"/>
        <w:ind w:firstLine="720" w:firstLineChars="300"/>
        <w:rPr>
          <w:rFonts w:ascii="宋体" w:hAnsi="宋体" w:eastAsia="宋体" w:cs="宋体"/>
          <w:sz w:val="24"/>
        </w:rPr>
      </w:pPr>
      <w:r>
        <w:rPr>
          <w:rFonts w:hint="eastAsia" w:ascii="宋体" w:hAnsi="宋体" w:eastAsia="宋体" w:cs="宋体"/>
          <w:sz w:val="24"/>
        </w:rPr>
        <w:t>1、《给水排水管道工程施工及验收规范》(CB50268-2008)</w:t>
      </w:r>
    </w:p>
    <w:p w14:paraId="0D7222C8">
      <w:pPr>
        <w:pStyle w:val="24"/>
        <w:spacing w:line="360" w:lineRule="auto"/>
        <w:ind w:firstLine="720" w:firstLineChars="300"/>
        <w:rPr>
          <w:rFonts w:ascii="宋体" w:hAnsi="宋体" w:eastAsia="宋体" w:cs="宋体"/>
          <w:sz w:val="24"/>
        </w:rPr>
      </w:pPr>
      <w:r>
        <w:rPr>
          <w:rFonts w:hint="eastAsia" w:ascii="宋体" w:hAnsi="宋体" w:eastAsia="宋体" w:cs="宋体"/>
          <w:sz w:val="24"/>
        </w:rPr>
        <w:t>2、《给水排水构筑物施工及验收规范》(GB50141-2008)</w:t>
      </w:r>
    </w:p>
    <w:p w14:paraId="3290B854">
      <w:pPr>
        <w:pStyle w:val="24"/>
        <w:spacing w:line="360" w:lineRule="auto"/>
        <w:ind w:firstLine="720" w:firstLineChars="300"/>
        <w:rPr>
          <w:rFonts w:ascii="宋体" w:hAnsi="宋体" w:eastAsia="宋体" w:cs="宋体"/>
          <w:sz w:val="24"/>
        </w:rPr>
      </w:pPr>
      <w:r>
        <w:rPr>
          <w:rFonts w:hint="eastAsia" w:ascii="宋体" w:hAnsi="宋体" w:eastAsia="宋体" w:cs="宋体"/>
          <w:sz w:val="24"/>
        </w:rPr>
        <w:t>3、《建筑业金属管道工程施工规范》《CB50235-2010)</w:t>
      </w:r>
    </w:p>
    <w:p w14:paraId="39B76C56">
      <w:pPr>
        <w:pStyle w:val="24"/>
        <w:spacing w:line="360" w:lineRule="auto"/>
        <w:ind w:firstLine="720" w:firstLineChars="300"/>
        <w:rPr>
          <w:rFonts w:ascii="宋体" w:hAnsi="宋体" w:eastAsia="宋体" w:cs="宋体"/>
          <w:sz w:val="24"/>
        </w:rPr>
      </w:pPr>
      <w:r>
        <w:rPr>
          <w:rFonts w:hint="eastAsia" w:ascii="宋体" w:hAnsi="宋体" w:eastAsia="宋体" w:cs="宋体"/>
          <w:sz w:val="24"/>
        </w:rPr>
        <w:t>4、《建筑业金属管道工程施工质量验收规范》(GB50184-2011)</w:t>
      </w:r>
    </w:p>
    <w:p w14:paraId="3678C8F1">
      <w:pPr>
        <w:pStyle w:val="24"/>
        <w:spacing w:line="360" w:lineRule="auto"/>
        <w:ind w:firstLine="720" w:firstLineChars="300"/>
        <w:rPr>
          <w:rFonts w:ascii="宋体" w:hAnsi="宋体" w:eastAsia="宋体" w:cs="宋体"/>
          <w:sz w:val="24"/>
        </w:rPr>
      </w:pPr>
      <w:r>
        <w:rPr>
          <w:rFonts w:hint="eastAsia" w:ascii="宋体" w:hAnsi="宋体" w:eastAsia="宋体" w:cs="宋体"/>
          <w:sz w:val="24"/>
        </w:rPr>
        <w:t>5、《现场设备、建筑业管道焊接工程施工规范》(CB50236-2011)</w:t>
      </w:r>
    </w:p>
    <w:p w14:paraId="3F03CA5A">
      <w:pPr>
        <w:pStyle w:val="24"/>
        <w:spacing w:line="360" w:lineRule="auto"/>
        <w:ind w:firstLine="720" w:firstLineChars="300"/>
        <w:rPr>
          <w:rFonts w:ascii="宋体" w:hAnsi="宋体" w:eastAsia="宋体" w:cs="宋体"/>
          <w:sz w:val="24"/>
        </w:rPr>
      </w:pPr>
      <w:r>
        <w:rPr>
          <w:rFonts w:hint="eastAsia" w:ascii="宋体" w:hAnsi="宋体" w:eastAsia="宋体" w:cs="宋体"/>
          <w:sz w:val="24"/>
        </w:rPr>
        <w:t>6、《机械设备安装工程施工及验收规范》(GB50231-2009)</w:t>
      </w:r>
    </w:p>
    <w:p w14:paraId="61EFE5E3">
      <w:pPr>
        <w:pStyle w:val="24"/>
        <w:spacing w:line="360" w:lineRule="auto"/>
        <w:ind w:firstLine="720" w:firstLineChars="300"/>
        <w:rPr>
          <w:rFonts w:ascii="宋体" w:hAnsi="宋体" w:eastAsia="宋体" w:cs="宋体"/>
          <w:sz w:val="24"/>
        </w:rPr>
      </w:pPr>
      <w:r>
        <w:rPr>
          <w:rFonts w:hint="eastAsia" w:ascii="宋体" w:hAnsi="宋体" w:eastAsia="宋体" w:cs="宋体"/>
          <w:sz w:val="24"/>
        </w:rPr>
        <w:t>7、(连续输送设备安装工程施工及验收规范》(CB50270-2010)</w:t>
      </w:r>
    </w:p>
    <w:p w14:paraId="42209720">
      <w:pPr>
        <w:pStyle w:val="24"/>
        <w:spacing w:line="360" w:lineRule="auto"/>
        <w:ind w:firstLine="720" w:firstLineChars="300"/>
        <w:rPr>
          <w:rFonts w:ascii="宋体" w:hAnsi="宋体" w:eastAsia="宋体" w:cs="宋体"/>
          <w:sz w:val="24"/>
        </w:rPr>
      </w:pPr>
      <w:r>
        <w:rPr>
          <w:rFonts w:hint="eastAsia" w:ascii="宋体" w:hAnsi="宋体" w:eastAsia="宋体" w:cs="宋体"/>
          <w:sz w:val="24"/>
        </w:rPr>
        <w:t>8、《压缩机、风机，泵安装工程施工及验收规范》(CB50275-2010)</w:t>
      </w:r>
    </w:p>
    <w:p w14:paraId="64C468CA">
      <w:pPr>
        <w:pStyle w:val="24"/>
        <w:spacing w:line="360" w:lineRule="auto"/>
        <w:ind w:firstLine="720" w:firstLineChars="300"/>
        <w:rPr>
          <w:rFonts w:ascii="宋体" w:hAnsi="宋体" w:eastAsia="宋体" w:cs="宋体"/>
          <w:sz w:val="24"/>
        </w:rPr>
      </w:pPr>
      <w:r>
        <w:rPr>
          <w:rFonts w:hint="eastAsia" w:ascii="宋体" w:hAnsi="宋体" w:eastAsia="宋体" w:cs="宋体"/>
          <w:sz w:val="24"/>
        </w:rPr>
        <w:t>9、《城市污水处理厂工程质量验收规范》(GB50334-2002)</w:t>
      </w:r>
    </w:p>
    <w:p w14:paraId="47397677">
      <w:pPr>
        <w:pStyle w:val="24"/>
        <w:spacing w:line="360" w:lineRule="auto"/>
        <w:ind w:firstLine="720" w:firstLineChars="300"/>
        <w:rPr>
          <w:rFonts w:ascii="宋体" w:hAnsi="宋体" w:eastAsia="宋体" w:cs="宋体"/>
          <w:sz w:val="24"/>
        </w:rPr>
      </w:pPr>
      <w:r>
        <w:rPr>
          <w:rFonts w:hint="eastAsia" w:ascii="宋体" w:hAnsi="宋体" w:eastAsia="宋体" w:cs="宋体"/>
          <w:sz w:val="24"/>
        </w:rPr>
        <w:t>10、本工程采用的标准图集为《给水排水标准图集》、《管架标准图》(HG/T21629-99)、《H型钢钢结构管架通用图集》(HCT21640.1-2000)。</w:t>
      </w:r>
    </w:p>
    <w:p w14:paraId="56BB2E16">
      <w:pPr>
        <w:pStyle w:val="19"/>
        <w:spacing w:line="360" w:lineRule="auto"/>
        <w:ind w:left="0" w:leftChars="0" w:firstLine="482" w:firstLineChars="200"/>
        <w:rPr>
          <w:rFonts w:ascii="宋体" w:hAnsi="宋体" w:cs="宋体"/>
          <w:b/>
          <w:bCs/>
          <w:sz w:val="24"/>
          <w:szCs w:val="24"/>
        </w:rPr>
      </w:pPr>
      <w:r>
        <w:rPr>
          <w:rFonts w:hint="eastAsia" w:ascii="宋体" w:hAnsi="宋体" w:cs="宋体"/>
          <w:b/>
          <w:bCs/>
          <w:sz w:val="24"/>
          <w:szCs w:val="24"/>
        </w:rPr>
        <w:t>10.其他</w:t>
      </w:r>
    </w:p>
    <w:p w14:paraId="15BFB9C6">
      <w:pPr>
        <w:pStyle w:val="19"/>
        <w:spacing w:line="360" w:lineRule="auto"/>
        <w:ind w:left="0" w:leftChars="0" w:firstLine="480" w:firstLineChars="200"/>
        <w:rPr>
          <w:rFonts w:ascii="宋体" w:hAnsi="宋体" w:cs="宋体"/>
          <w:sz w:val="24"/>
          <w:szCs w:val="24"/>
        </w:rPr>
      </w:pPr>
      <w:r>
        <w:rPr>
          <w:rFonts w:hint="eastAsia" w:ascii="宋体" w:hAnsi="宋体" w:cs="宋体"/>
          <w:sz w:val="24"/>
          <w:szCs w:val="24"/>
        </w:rPr>
        <w:t>1、中标单位需要继续深化污水专项图纸，最终深化的图纸需原设计院确认方可实施；</w:t>
      </w:r>
    </w:p>
    <w:p w14:paraId="1E4ED011">
      <w:pPr>
        <w:pStyle w:val="19"/>
        <w:spacing w:line="360" w:lineRule="auto"/>
        <w:ind w:left="0" w:leftChars="0" w:firstLine="480" w:firstLineChars="200"/>
        <w:rPr>
          <w:rFonts w:ascii="宋体" w:hAnsi="宋体" w:cs="宋体"/>
          <w:sz w:val="24"/>
          <w:szCs w:val="24"/>
        </w:rPr>
      </w:pPr>
      <w:r>
        <w:rPr>
          <w:rFonts w:hint="eastAsia" w:ascii="宋体" w:hAnsi="宋体" w:cs="宋体"/>
          <w:sz w:val="24"/>
          <w:szCs w:val="24"/>
        </w:rPr>
        <w:t>2、各投标单位投标报价含污水专项工艺的所有清单，不得缺项、漏项；</w:t>
      </w:r>
    </w:p>
    <w:p w14:paraId="0480B844">
      <w:pPr>
        <w:pStyle w:val="19"/>
        <w:spacing w:line="360" w:lineRule="auto"/>
        <w:ind w:left="0" w:leftChars="0" w:firstLine="480" w:firstLineChars="200"/>
        <w:rPr>
          <w:rFonts w:ascii="宋体" w:hAnsi="宋体" w:cs="宋体"/>
          <w:sz w:val="24"/>
          <w:szCs w:val="24"/>
        </w:rPr>
      </w:pPr>
      <w:r>
        <w:rPr>
          <w:rFonts w:hint="eastAsia" w:ascii="宋体" w:hAnsi="宋体" w:cs="宋体"/>
          <w:sz w:val="24"/>
          <w:szCs w:val="24"/>
        </w:rPr>
        <w:t>3、土建预算以土建图纸（结构图）定额为准。</w:t>
      </w:r>
    </w:p>
    <w:p w14:paraId="643B1E0B">
      <w:pPr>
        <w:pStyle w:val="16"/>
        <w:spacing w:before="0" w:after="0" w:line="360" w:lineRule="auto"/>
        <w:ind w:firstLine="482" w:firstLineChars="200"/>
        <w:jc w:val="both"/>
        <w:rPr>
          <w:rFonts w:ascii="宋体" w:hAnsi="宋体" w:cs="宋体"/>
          <w:color w:val="000000"/>
          <w:sz w:val="24"/>
          <w:szCs w:val="24"/>
        </w:rPr>
      </w:pPr>
      <w:r>
        <w:rPr>
          <w:rFonts w:hint="eastAsia" w:ascii="宋体" w:hAnsi="宋体" w:cs="宋体"/>
          <w:color w:val="000000"/>
          <w:sz w:val="24"/>
          <w:szCs w:val="24"/>
        </w:rPr>
        <w:t>三、技术参数</w:t>
      </w:r>
      <w:bookmarkEnd w:id="89"/>
    </w:p>
    <w:p w14:paraId="45F8AE48">
      <w:pPr>
        <w:adjustRightInd w:val="0"/>
        <w:spacing w:line="360" w:lineRule="auto"/>
        <w:ind w:firstLine="472" w:firstLineChars="196"/>
        <w:jc w:val="left"/>
        <w:rPr>
          <w:rFonts w:ascii="宋体" w:hAnsi="宋体" w:cs="宋体"/>
          <w:b/>
          <w:color w:val="000000"/>
          <w:kern w:val="0"/>
          <w:sz w:val="24"/>
        </w:rPr>
      </w:pPr>
      <w:r>
        <w:rPr>
          <w:rFonts w:hint="eastAsia" w:ascii="宋体" w:hAnsi="宋体" w:cs="宋体"/>
          <w:b/>
          <w:color w:val="000000"/>
          <w:sz w:val="24"/>
        </w:rPr>
        <w:t>（标注“</w:t>
      </w:r>
      <w:r>
        <w:rPr>
          <w:rFonts w:hint="eastAsia" w:ascii="宋体" w:hAnsi="宋体" w:cs="宋体"/>
          <w:b/>
          <w:color w:val="000000"/>
          <w:kern w:val="0"/>
          <w:sz w:val="24"/>
        </w:rPr>
        <w:t>▲”的技术参数，</w:t>
      </w:r>
      <w:r>
        <w:rPr>
          <w:rFonts w:hint="eastAsia" w:ascii="宋体" w:hAnsi="宋体" w:cs="宋体"/>
          <w:b/>
          <w:bCs/>
          <w:color w:val="000000"/>
          <w:sz w:val="24"/>
        </w:rPr>
        <w:t>供应商所报货物必须满足（或正偏离）</w:t>
      </w:r>
      <w:r>
        <w:rPr>
          <w:rFonts w:hint="eastAsia" w:ascii="宋体" w:hAnsi="宋体" w:cs="宋体"/>
          <w:b/>
          <w:color w:val="000000"/>
          <w:kern w:val="0"/>
          <w:sz w:val="24"/>
        </w:rPr>
        <w:t>，否则将做无效投标处理。标注</w:t>
      </w:r>
      <w:r>
        <w:rPr>
          <w:rFonts w:hint="eastAsia" w:ascii="宋体" w:hAnsi="宋体" w:cs="宋体"/>
          <w:b/>
          <w:color w:val="000000"/>
          <w:sz w:val="24"/>
        </w:rPr>
        <w:t>“</w:t>
      </w:r>
      <w:r>
        <w:rPr>
          <w:rFonts w:hint="eastAsia" w:ascii="宋体" w:hAnsi="宋体" w:cs="宋体"/>
          <w:color w:val="000000"/>
          <w:kern w:val="0"/>
          <w:sz w:val="24"/>
          <w:lang w:bidi="ar"/>
        </w:rPr>
        <w:t>★</w:t>
      </w:r>
      <w:r>
        <w:rPr>
          <w:rFonts w:hint="eastAsia" w:ascii="宋体" w:hAnsi="宋体" w:cs="宋体"/>
          <w:b/>
          <w:color w:val="000000"/>
          <w:kern w:val="0"/>
          <w:sz w:val="24"/>
        </w:rPr>
        <w:t>”的为重要技术参数）</w:t>
      </w:r>
    </w:p>
    <w:p w14:paraId="769FE725">
      <w:pPr>
        <w:tabs>
          <w:tab w:val="left" w:pos="0"/>
        </w:tabs>
        <w:spacing w:line="360" w:lineRule="auto"/>
        <w:rPr>
          <w:rFonts w:ascii="宋体" w:hAnsi="宋体" w:cs="宋体"/>
          <w:sz w:val="24"/>
        </w:rPr>
      </w:pPr>
      <w:r>
        <w:rPr>
          <w:rFonts w:hint="eastAsia" w:ascii="宋体" w:hAnsi="宋体" w:cs="宋体"/>
          <w:sz w:val="24"/>
        </w:rPr>
        <w:t>机电设备一般技术规定</w:t>
      </w:r>
    </w:p>
    <w:p w14:paraId="1CEAD171">
      <w:pPr>
        <w:spacing w:line="360" w:lineRule="auto"/>
        <w:ind w:firstLine="480"/>
        <w:rPr>
          <w:rFonts w:ascii="宋体" w:hAnsi="宋体" w:cs="宋体"/>
          <w:sz w:val="24"/>
        </w:rPr>
      </w:pPr>
      <w:r>
        <w:rPr>
          <w:rFonts w:hint="eastAsia" w:ascii="宋体" w:hAnsi="宋体" w:cs="宋体"/>
          <w:sz w:val="24"/>
        </w:rPr>
        <w:t>1、总则</w:t>
      </w:r>
    </w:p>
    <w:p w14:paraId="04D574D3">
      <w:pPr>
        <w:spacing w:line="360" w:lineRule="auto"/>
        <w:ind w:firstLine="480"/>
        <w:rPr>
          <w:rFonts w:ascii="宋体" w:hAnsi="宋体" w:cs="宋体"/>
          <w:kern w:val="0"/>
          <w:sz w:val="24"/>
        </w:rPr>
      </w:pPr>
      <w:r>
        <w:rPr>
          <w:rFonts w:hint="eastAsia" w:ascii="宋体" w:hAnsi="宋体" w:cs="宋体"/>
          <w:kern w:val="0"/>
          <w:sz w:val="24"/>
        </w:rPr>
        <w:t>本技术规范实施的设备和安装应遵守中华人民共和国的生效法律、法规和浙江省市地方政府所规定的条例。</w:t>
      </w:r>
    </w:p>
    <w:p w14:paraId="384D631C">
      <w:pPr>
        <w:spacing w:line="360" w:lineRule="auto"/>
        <w:ind w:firstLine="480"/>
        <w:rPr>
          <w:rFonts w:ascii="宋体" w:hAnsi="宋体" w:cs="宋体"/>
          <w:kern w:val="0"/>
          <w:sz w:val="24"/>
        </w:rPr>
      </w:pPr>
      <w:r>
        <w:rPr>
          <w:rFonts w:hint="eastAsia" w:ascii="宋体" w:hAnsi="宋体" w:cs="宋体"/>
          <w:kern w:val="0"/>
          <w:sz w:val="24"/>
        </w:rPr>
        <w:t>本技术规范作为潜在投标单位投标技术文件及供货设备的评价及评标依据，无法满足或达到本技术规范书的供应商投标文件将被否决。</w:t>
      </w:r>
    </w:p>
    <w:p w14:paraId="71BEBB4A">
      <w:pPr>
        <w:spacing w:line="360" w:lineRule="auto"/>
        <w:ind w:firstLine="480"/>
        <w:rPr>
          <w:rFonts w:ascii="宋体" w:hAnsi="宋体" w:cs="宋体"/>
          <w:kern w:val="0"/>
          <w:sz w:val="24"/>
        </w:rPr>
      </w:pPr>
      <w:r>
        <w:rPr>
          <w:rFonts w:hint="eastAsia" w:ascii="宋体" w:hAnsi="宋体" w:cs="宋体"/>
          <w:kern w:val="0"/>
          <w:sz w:val="24"/>
        </w:rPr>
        <w:t>本章规定了中标人所提供设备的一般技术规定。除在特殊技术规定有其他规定外，设备的所有零件和部件应符合本技术规范书的一般技术规定。</w:t>
      </w:r>
    </w:p>
    <w:p w14:paraId="31F93B05">
      <w:pPr>
        <w:spacing w:line="360" w:lineRule="auto"/>
        <w:ind w:firstLine="480"/>
        <w:rPr>
          <w:rFonts w:ascii="宋体" w:hAnsi="宋体" w:cs="宋体"/>
          <w:kern w:val="0"/>
          <w:sz w:val="24"/>
        </w:rPr>
      </w:pPr>
      <w:r>
        <w:rPr>
          <w:rFonts w:hint="eastAsia" w:ascii="宋体" w:hAnsi="宋体" w:cs="宋体"/>
          <w:kern w:val="0"/>
          <w:sz w:val="24"/>
        </w:rPr>
        <w:t>中标人在其合同实施的整个过程中，必须充分考虑现场所有人员的安全，并保持现场（尚在其管理之下）和设施（尚没有竣工或尚未被业主接管）次序井然，以避免工作人员的危险。</w:t>
      </w:r>
    </w:p>
    <w:p w14:paraId="760B82EB">
      <w:pPr>
        <w:spacing w:line="360" w:lineRule="auto"/>
        <w:ind w:firstLine="480"/>
        <w:rPr>
          <w:rFonts w:ascii="宋体" w:hAnsi="宋体" w:cs="宋体"/>
          <w:sz w:val="24"/>
        </w:rPr>
      </w:pPr>
      <w:r>
        <w:rPr>
          <w:rFonts w:hint="eastAsia" w:ascii="宋体" w:hAnsi="宋体" w:cs="宋体"/>
          <w:sz w:val="24"/>
        </w:rPr>
        <w:t>2、范围</w:t>
      </w:r>
    </w:p>
    <w:p w14:paraId="47B29ACD">
      <w:pPr>
        <w:spacing w:line="360" w:lineRule="auto"/>
        <w:ind w:firstLine="480"/>
        <w:rPr>
          <w:rFonts w:ascii="宋体" w:hAnsi="宋体" w:cs="宋体"/>
          <w:sz w:val="24"/>
        </w:rPr>
      </w:pPr>
      <w:r>
        <w:rPr>
          <w:rFonts w:hint="eastAsia" w:ascii="宋体" w:hAnsi="宋体" w:cs="宋体"/>
          <w:sz w:val="24"/>
        </w:rPr>
        <w:t>本合同的机电工程范围，应是指中标人为满足污水处理工艺（含除臭设施）要求的所有机电设备的设计、制造、测试、供货、运输、安装、调试、试运行、培训、运行维护、交付使用、缺陷责任期内保修，以及为上述机电工程所作的一切准备工作、服务、人工、材料、管网和包括竣工资料与操作维护手册的提供，不管它们是否在文件或图纸上注明。</w:t>
      </w:r>
    </w:p>
    <w:p w14:paraId="3165F10D">
      <w:pPr>
        <w:spacing w:line="360" w:lineRule="auto"/>
        <w:ind w:firstLine="480"/>
        <w:rPr>
          <w:rFonts w:ascii="宋体" w:hAnsi="宋体" w:cs="宋体"/>
          <w:sz w:val="24"/>
        </w:rPr>
      </w:pPr>
      <w:r>
        <w:rPr>
          <w:rFonts w:hint="eastAsia" w:ascii="宋体" w:hAnsi="宋体" w:cs="宋体"/>
          <w:sz w:val="24"/>
        </w:rPr>
        <w:t>3、设计使用期限</w:t>
      </w:r>
    </w:p>
    <w:p w14:paraId="2CCC5779">
      <w:pPr>
        <w:spacing w:line="360" w:lineRule="auto"/>
        <w:ind w:firstLine="480"/>
        <w:rPr>
          <w:rFonts w:ascii="宋体" w:hAnsi="宋体" w:cs="宋体"/>
          <w:kern w:val="0"/>
          <w:sz w:val="24"/>
        </w:rPr>
      </w:pPr>
      <w:r>
        <w:rPr>
          <w:rFonts w:hint="eastAsia" w:ascii="宋体" w:hAnsi="宋体" w:cs="宋体"/>
          <w:kern w:val="0"/>
          <w:sz w:val="24"/>
        </w:rPr>
        <w:t>设计的材料和设备均应有长的使用期，并应适合于长期的每天二十四小时的连续运转，且只须进行最少量的维修，可以要求中标人对任何部件使用期作证明，中标人可以用相类似设备的使用记录或用广泛的测试记录来证明。</w:t>
      </w:r>
    </w:p>
    <w:p w14:paraId="78A8DABF">
      <w:pPr>
        <w:spacing w:line="360" w:lineRule="auto"/>
        <w:ind w:firstLine="480"/>
        <w:rPr>
          <w:rFonts w:ascii="宋体" w:hAnsi="宋体" w:cs="宋体"/>
          <w:kern w:val="0"/>
          <w:sz w:val="24"/>
        </w:rPr>
      </w:pPr>
      <w:r>
        <w:rPr>
          <w:rFonts w:hint="eastAsia" w:ascii="宋体" w:hAnsi="宋体" w:cs="宋体"/>
          <w:kern w:val="0"/>
          <w:sz w:val="24"/>
        </w:rPr>
        <w:t>常规的维护和修理应尽可能的不要求技术高的人员来服务。</w:t>
      </w:r>
    </w:p>
    <w:p w14:paraId="5392044C">
      <w:pPr>
        <w:spacing w:line="360" w:lineRule="auto"/>
        <w:ind w:firstLine="480"/>
        <w:rPr>
          <w:rFonts w:ascii="宋体" w:hAnsi="宋体" w:cs="宋体"/>
          <w:sz w:val="24"/>
        </w:rPr>
      </w:pPr>
      <w:r>
        <w:rPr>
          <w:rFonts w:hint="eastAsia" w:ascii="宋体" w:hAnsi="宋体" w:cs="宋体"/>
          <w:sz w:val="24"/>
        </w:rPr>
        <w:t>4、机电设备通用技术规定</w:t>
      </w:r>
    </w:p>
    <w:p w14:paraId="56FE3BB8">
      <w:pPr>
        <w:adjustRightInd w:val="0"/>
        <w:spacing w:line="360" w:lineRule="auto"/>
        <w:ind w:firstLine="482"/>
        <w:rPr>
          <w:rFonts w:ascii="宋体" w:hAnsi="宋体" w:cs="宋体"/>
          <w:b/>
          <w:sz w:val="24"/>
        </w:rPr>
      </w:pPr>
      <w:r>
        <w:rPr>
          <w:rFonts w:hint="eastAsia" w:ascii="宋体" w:hAnsi="宋体" w:cs="宋体"/>
          <w:b/>
          <w:sz w:val="24"/>
        </w:rPr>
        <w:t>材料</w:t>
      </w:r>
    </w:p>
    <w:p w14:paraId="642C7111">
      <w:pPr>
        <w:spacing w:line="360" w:lineRule="auto"/>
        <w:ind w:firstLine="480"/>
        <w:rPr>
          <w:rFonts w:ascii="宋体" w:hAnsi="宋体" w:cs="宋体"/>
          <w:sz w:val="24"/>
        </w:rPr>
      </w:pPr>
      <w:r>
        <w:rPr>
          <w:rFonts w:hint="eastAsia" w:ascii="宋体" w:hAnsi="宋体" w:cs="宋体"/>
          <w:sz w:val="24"/>
        </w:rPr>
        <w:t>工程中所使用的材料必须是最适合该工作的，并应是新的，优质的，无缺陷的，且应选择使用寿命长，维护要求低的材料。</w:t>
      </w:r>
    </w:p>
    <w:p w14:paraId="4ED9FAAE">
      <w:pPr>
        <w:spacing w:line="360" w:lineRule="auto"/>
        <w:ind w:firstLine="480"/>
        <w:rPr>
          <w:rFonts w:ascii="宋体" w:hAnsi="宋体" w:cs="宋体"/>
          <w:sz w:val="24"/>
        </w:rPr>
      </w:pPr>
      <w:r>
        <w:rPr>
          <w:rFonts w:hint="eastAsia" w:ascii="宋体" w:hAnsi="宋体" w:cs="宋体"/>
          <w:sz w:val="24"/>
        </w:rPr>
        <w:t>浸没在水下的设备的活动部分及表面，如销、栓与心轴等，应是抗腐蚀的。直接与各种化学制品接触的部件应具有对这些化学制品有完全的抗腐蚀与抗磨损的能力，并能保证这些部件不会由于时间的消逝，暴露在日光下或任何其它原因引起老化。</w:t>
      </w:r>
    </w:p>
    <w:p w14:paraId="5E95E4FA">
      <w:pPr>
        <w:spacing w:line="360" w:lineRule="auto"/>
        <w:ind w:firstLine="480"/>
        <w:rPr>
          <w:rFonts w:ascii="宋体" w:hAnsi="宋体" w:cs="宋体"/>
          <w:sz w:val="24"/>
        </w:rPr>
      </w:pPr>
      <w:r>
        <w:rPr>
          <w:rFonts w:hint="eastAsia" w:ascii="宋体" w:hAnsi="宋体" w:cs="宋体"/>
          <w:sz w:val="24"/>
        </w:rPr>
        <w:t>不锈钢应具有适应相关环境需要的耐腐蚀性能，一般设备不低于GB1220－2007规定的标准。</w:t>
      </w:r>
    </w:p>
    <w:p w14:paraId="4EFA4746">
      <w:pPr>
        <w:spacing w:line="360" w:lineRule="auto"/>
        <w:ind w:firstLine="480"/>
        <w:rPr>
          <w:rFonts w:ascii="宋体" w:hAnsi="宋体" w:cs="宋体"/>
          <w:sz w:val="24"/>
        </w:rPr>
      </w:pPr>
      <w:r>
        <w:rPr>
          <w:rFonts w:hint="eastAsia" w:ascii="宋体" w:hAnsi="宋体" w:cs="宋体"/>
          <w:sz w:val="24"/>
        </w:rPr>
        <w:t>当规定中标注“不锈钢”而未标注不锈钢标号（牌号）材料时，默认为304不锈钢。</w:t>
      </w:r>
    </w:p>
    <w:p w14:paraId="04E05956">
      <w:pPr>
        <w:spacing w:line="360" w:lineRule="auto"/>
        <w:ind w:firstLine="480"/>
        <w:rPr>
          <w:rFonts w:ascii="宋体" w:hAnsi="宋体" w:cs="宋体"/>
          <w:sz w:val="24"/>
        </w:rPr>
      </w:pPr>
      <w:r>
        <w:rPr>
          <w:rFonts w:hint="eastAsia" w:ascii="宋体" w:hAnsi="宋体" w:cs="宋体"/>
          <w:sz w:val="24"/>
        </w:rPr>
        <w:t>用于焊接的不锈钢应选用不产生晶相腐蚀的材料。</w:t>
      </w:r>
    </w:p>
    <w:p w14:paraId="4CE62F5D">
      <w:pPr>
        <w:spacing w:line="360" w:lineRule="auto"/>
        <w:ind w:firstLine="480"/>
        <w:rPr>
          <w:rFonts w:ascii="宋体" w:hAnsi="宋体" w:cs="宋体"/>
          <w:sz w:val="24"/>
        </w:rPr>
      </w:pPr>
      <w:r>
        <w:rPr>
          <w:rFonts w:hint="eastAsia" w:ascii="宋体" w:hAnsi="宋体" w:cs="宋体"/>
          <w:sz w:val="24"/>
        </w:rPr>
        <w:t>在两种耐腐材料的接触之处，所选用的材料应具有合适的硬度光洁度及润滑，防止两种相接触的材料亲合。</w:t>
      </w:r>
    </w:p>
    <w:p w14:paraId="5223399B">
      <w:pPr>
        <w:spacing w:line="360" w:lineRule="auto"/>
        <w:ind w:firstLine="480"/>
        <w:rPr>
          <w:rFonts w:ascii="宋体" w:hAnsi="宋体" w:cs="宋体"/>
          <w:sz w:val="24"/>
        </w:rPr>
      </w:pPr>
      <w:r>
        <w:rPr>
          <w:rFonts w:hint="eastAsia" w:ascii="宋体" w:hAnsi="宋体" w:cs="宋体"/>
          <w:sz w:val="24"/>
        </w:rPr>
        <w:t>型钢应符合ISO657。</w:t>
      </w:r>
    </w:p>
    <w:p w14:paraId="3FBFFC69">
      <w:pPr>
        <w:spacing w:line="360" w:lineRule="auto"/>
        <w:ind w:firstLine="480"/>
        <w:rPr>
          <w:rFonts w:ascii="宋体" w:hAnsi="宋体" w:cs="宋体"/>
          <w:sz w:val="24"/>
        </w:rPr>
      </w:pPr>
      <w:r>
        <w:rPr>
          <w:rFonts w:hint="eastAsia" w:ascii="宋体" w:hAnsi="宋体" w:cs="宋体"/>
          <w:sz w:val="24"/>
        </w:rPr>
        <w:t>普通钢管应符合ISO3304。</w:t>
      </w:r>
    </w:p>
    <w:p w14:paraId="702E2333">
      <w:pPr>
        <w:spacing w:line="360" w:lineRule="auto"/>
        <w:ind w:firstLine="480"/>
        <w:rPr>
          <w:rFonts w:ascii="宋体" w:hAnsi="宋体" w:cs="宋体"/>
          <w:sz w:val="24"/>
        </w:rPr>
      </w:pPr>
      <w:r>
        <w:rPr>
          <w:rFonts w:hint="eastAsia" w:ascii="宋体" w:hAnsi="宋体" w:cs="宋体"/>
          <w:sz w:val="24"/>
        </w:rPr>
        <w:t>铸铁具有GG25以上机械特性。</w:t>
      </w:r>
    </w:p>
    <w:p w14:paraId="072A5027">
      <w:pPr>
        <w:spacing w:line="360" w:lineRule="auto"/>
        <w:ind w:firstLine="480"/>
        <w:rPr>
          <w:rFonts w:ascii="宋体" w:hAnsi="宋体" w:cs="宋体"/>
          <w:sz w:val="24"/>
        </w:rPr>
      </w:pPr>
      <w:r>
        <w:rPr>
          <w:rFonts w:hint="eastAsia" w:ascii="宋体" w:hAnsi="宋体" w:cs="宋体"/>
          <w:sz w:val="24"/>
        </w:rPr>
        <w:t>相接触的材料，其电位差不应超过0.6V，否则应采取必要的措施。</w:t>
      </w:r>
    </w:p>
    <w:p w14:paraId="0B798FA4">
      <w:pPr>
        <w:spacing w:line="360" w:lineRule="auto"/>
        <w:ind w:firstLine="480"/>
        <w:rPr>
          <w:rFonts w:ascii="宋体" w:hAnsi="宋体" w:cs="宋体"/>
          <w:sz w:val="24"/>
        </w:rPr>
      </w:pPr>
      <w:r>
        <w:rPr>
          <w:rFonts w:hint="eastAsia" w:ascii="宋体" w:hAnsi="宋体" w:cs="宋体"/>
          <w:sz w:val="24"/>
        </w:rPr>
        <w:t>当业主要求递交材料样品作测试时，在材料应用到设备30个日历日之前，中标人应自费递交材料样品，业主应作书面批准。中标人在没有得到此批准前，材料不得使用。</w:t>
      </w:r>
    </w:p>
    <w:p w14:paraId="79E1DC8D">
      <w:pPr>
        <w:spacing w:line="360" w:lineRule="auto"/>
        <w:ind w:firstLine="480"/>
        <w:rPr>
          <w:rFonts w:ascii="宋体" w:hAnsi="宋体" w:cs="宋体"/>
          <w:sz w:val="24"/>
        </w:rPr>
      </w:pPr>
      <w:r>
        <w:rPr>
          <w:rFonts w:hint="eastAsia" w:ascii="宋体" w:hAnsi="宋体" w:cs="宋体"/>
          <w:sz w:val="24"/>
        </w:rPr>
        <w:t>如有要求，中标人应递交使用在设备中的材料质保书，包括材料成份报告。</w:t>
      </w:r>
    </w:p>
    <w:p w14:paraId="46F57F1D">
      <w:pPr>
        <w:adjustRightInd w:val="0"/>
        <w:spacing w:line="360" w:lineRule="auto"/>
        <w:ind w:firstLine="482"/>
        <w:rPr>
          <w:rFonts w:ascii="宋体" w:hAnsi="宋体" w:cs="宋体"/>
          <w:b/>
          <w:sz w:val="24"/>
        </w:rPr>
      </w:pPr>
      <w:r>
        <w:rPr>
          <w:rFonts w:hint="eastAsia" w:ascii="宋体" w:hAnsi="宋体" w:cs="宋体"/>
          <w:b/>
          <w:sz w:val="24"/>
        </w:rPr>
        <w:t>铸件</w:t>
      </w:r>
    </w:p>
    <w:p w14:paraId="231FB7A7">
      <w:pPr>
        <w:spacing w:line="360" w:lineRule="auto"/>
        <w:ind w:firstLine="480"/>
        <w:rPr>
          <w:rFonts w:ascii="宋体" w:hAnsi="宋体" w:cs="宋体"/>
          <w:sz w:val="24"/>
        </w:rPr>
      </w:pPr>
      <w:r>
        <w:rPr>
          <w:rFonts w:hint="eastAsia" w:ascii="宋体" w:hAnsi="宋体" w:cs="宋体"/>
          <w:sz w:val="24"/>
        </w:rPr>
        <w:t>所有铸件应质地细密，有工作应力之处，应使用铸钢而不可使用可锻铸铁。</w:t>
      </w:r>
    </w:p>
    <w:p w14:paraId="42653078">
      <w:pPr>
        <w:spacing w:line="360" w:lineRule="auto"/>
        <w:ind w:firstLine="456"/>
        <w:rPr>
          <w:rFonts w:ascii="宋体" w:hAnsi="宋体" w:cs="宋体"/>
          <w:spacing w:val="-6"/>
          <w:kern w:val="0"/>
          <w:sz w:val="24"/>
        </w:rPr>
      </w:pPr>
      <w:r>
        <w:rPr>
          <w:rFonts w:hint="eastAsia" w:ascii="宋体" w:hAnsi="宋体" w:cs="宋体"/>
          <w:spacing w:val="-6"/>
          <w:kern w:val="0"/>
          <w:sz w:val="24"/>
        </w:rPr>
        <w:t>所有铸件结构应均匀，无杂质和其他缺陷。所有非加工表面应光滑并对所有铸造表面进行仔细地清理。</w:t>
      </w:r>
    </w:p>
    <w:p w14:paraId="0E274D0E">
      <w:pPr>
        <w:spacing w:line="360" w:lineRule="auto"/>
        <w:ind w:firstLine="480"/>
        <w:rPr>
          <w:rFonts w:ascii="宋体" w:hAnsi="宋体" w:cs="宋体"/>
          <w:sz w:val="24"/>
        </w:rPr>
      </w:pPr>
      <w:r>
        <w:rPr>
          <w:rFonts w:hint="eastAsia" w:ascii="宋体" w:hAnsi="宋体" w:cs="宋体"/>
          <w:sz w:val="24"/>
        </w:rPr>
        <w:t>铸件应清洁，形状正确，所有形状和尺寸的变化应有较大的圆弧过渡和铸造圆角，铸件在加工前需进行退火以及时处理消除内应力。</w:t>
      </w:r>
    </w:p>
    <w:p w14:paraId="6E90F83C">
      <w:pPr>
        <w:spacing w:line="360" w:lineRule="auto"/>
        <w:ind w:firstLine="480"/>
        <w:rPr>
          <w:rFonts w:ascii="宋体" w:hAnsi="宋体" w:cs="宋体"/>
          <w:sz w:val="24"/>
        </w:rPr>
      </w:pPr>
      <w:r>
        <w:rPr>
          <w:rFonts w:hint="eastAsia" w:ascii="宋体" w:hAnsi="宋体" w:cs="宋体"/>
          <w:sz w:val="24"/>
        </w:rPr>
        <w:t>铸件由于浇铸或其它原因造成的裂缝等缺陷，将视为不合格铸件，严禁焊补修复后使用。</w:t>
      </w:r>
    </w:p>
    <w:p w14:paraId="54233238">
      <w:pPr>
        <w:adjustRightInd w:val="0"/>
        <w:spacing w:line="360" w:lineRule="auto"/>
        <w:ind w:firstLine="482"/>
        <w:rPr>
          <w:rFonts w:ascii="宋体" w:hAnsi="宋体" w:cs="宋体"/>
          <w:b/>
          <w:sz w:val="24"/>
        </w:rPr>
      </w:pPr>
      <w:r>
        <w:rPr>
          <w:rFonts w:hint="eastAsia" w:ascii="宋体" w:hAnsi="宋体" w:cs="宋体"/>
          <w:b/>
          <w:sz w:val="24"/>
        </w:rPr>
        <w:t>焊接</w:t>
      </w:r>
    </w:p>
    <w:p w14:paraId="1F76BE5E">
      <w:pPr>
        <w:spacing w:line="360" w:lineRule="auto"/>
        <w:ind w:firstLine="480"/>
        <w:rPr>
          <w:rFonts w:ascii="宋体" w:hAnsi="宋体" w:cs="宋体"/>
          <w:sz w:val="24"/>
        </w:rPr>
      </w:pPr>
      <w:r>
        <w:rPr>
          <w:rFonts w:hint="eastAsia" w:ascii="宋体" w:hAnsi="宋体" w:cs="宋体"/>
          <w:sz w:val="24"/>
        </w:rPr>
        <w:t>在任何情况下，承受高应力的焊缝，在制作前，中标人应向业主递交所有焊接的详细图纸和准备工作的计划。在业主没有批准前，不得进行任何的焊接，也不能对先前已批准的焊接准备工作的细节作任何的改变。</w:t>
      </w:r>
    </w:p>
    <w:p w14:paraId="6B02874A">
      <w:pPr>
        <w:spacing w:line="360" w:lineRule="auto"/>
        <w:ind w:firstLine="480"/>
        <w:rPr>
          <w:rFonts w:ascii="宋体" w:hAnsi="宋体" w:cs="宋体"/>
          <w:sz w:val="24"/>
        </w:rPr>
      </w:pPr>
      <w:r>
        <w:rPr>
          <w:rFonts w:hint="eastAsia" w:ascii="宋体" w:hAnsi="宋体" w:cs="宋体"/>
          <w:sz w:val="24"/>
        </w:rPr>
        <w:t>所有其他的焊缝应有合格的焊接工焊接。具有高应力的焊缝，可能要求射线探伤，应符合ISO1106、ISO2504或JB4730-2005，质量等级为II级。</w:t>
      </w:r>
    </w:p>
    <w:p w14:paraId="347EB119">
      <w:pPr>
        <w:spacing w:line="360" w:lineRule="auto"/>
        <w:ind w:firstLine="480"/>
        <w:rPr>
          <w:rFonts w:ascii="宋体" w:hAnsi="宋体" w:cs="宋体"/>
          <w:sz w:val="24"/>
        </w:rPr>
      </w:pPr>
      <w:r>
        <w:rPr>
          <w:rFonts w:hint="eastAsia" w:ascii="宋体" w:hAnsi="宋体" w:cs="宋体"/>
          <w:sz w:val="24"/>
        </w:rPr>
        <w:t>所有焊接结构在机加工前应按GB/T 150-2011进行热处理以去除内应力。</w:t>
      </w:r>
    </w:p>
    <w:p w14:paraId="18727CF8">
      <w:pPr>
        <w:spacing w:line="360" w:lineRule="auto"/>
        <w:ind w:firstLine="480"/>
        <w:rPr>
          <w:rFonts w:ascii="宋体" w:hAnsi="宋体" w:cs="宋体"/>
          <w:sz w:val="24"/>
        </w:rPr>
      </w:pPr>
      <w:r>
        <w:rPr>
          <w:rFonts w:hint="eastAsia" w:ascii="宋体" w:hAnsi="宋体" w:cs="宋体"/>
          <w:sz w:val="24"/>
        </w:rPr>
        <w:t>焊条（丝）的选择应符合相应的规定要求：</w:t>
      </w:r>
    </w:p>
    <w:p w14:paraId="2A4CB2D1">
      <w:pPr>
        <w:spacing w:line="360" w:lineRule="auto"/>
        <w:ind w:firstLine="480"/>
        <w:rPr>
          <w:rFonts w:ascii="宋体" w:hAnsi="宋体" w:cs="宋体"/>
          <w:sz w:val="24"/>
        </w:rPr>
      </w:pPr>
      <w:r>
        <w:rPr>
          <w:rFonts w:hint="eastAsia" w:ascii="宋体" w:hAnsi="宋体" w:cs="宋体"/>
          <w:sz w:val="24"/>
        </w:rPr>
        <w:t>当同类钢材焊接时，应根据等强度的原则，选择满足母材力学性能的焊条（丝），或结合母材的可焊性，改用非等强度而焊接性好的焊条，所选用的焊条（丝）的合金成分应符合或接近母材。</w:t>
      </w:r>
    </w:p>
    <w:p w14:paraId="7B015A56">
      <w:pPr>
        <w:spacing w:line="360" w:lineRule="auto"/>
        <w:ind w:firstLine="480"/>
        <w:rPr>
          <w:rFonts w:ascii="宋体" w:hAnsi="宋体" w:cs="宋体"/>
          <w:sz w:val="24"/>
        </w:rPr>
      </w:pPr>
      <w:r>
        <w:rPr>
          <w:rFonts w:hint="eastAsia" w:ascii="宋体" w:hAnsi="宋体" w:cs="宋体"/>
          <w:sz w:val="24"/>
        </w:rPr>
        <w:t>当一般碳钢和低合金钢焊接时，应使焊接接头的强度大于被焊接钢材中最低的强度，焊接接头的塑性和冲击韧性不低于被焊钢材，为防止焊接裂缝，应根据焊接性较差的母材选取焊接工艺。</w:t>
      </w:r>
    </w:p>
    <w:p w14:paraId="79EEB201">
      <w:pPr>
        <w:spacing w:line="360" w:lineRule="auto"/>
        <w:ind w:firstLine="480"/>
        <w:rPr>
          <w:rFonts w:ascii="宋体" w:hAnsi="宋体" w:cs="宋体"/>
          <w:sz w:val="24"/>
        </w:rPr>
      </w:pPr>
      <w:r>
        <w:rPr>
          <w:rFonts w:hint="eastAsia" w:ascii="宋体" w:hAnsi="宋体" w:cs="宋体"/>
          <w:sz w:val="24"/>
        </w:rPr>
        <w:t>当低碳钢和奥氏体不锈钢焊接时，一般应选用含铬镍比母材高，塑性、抗裂性好的奥氏体不锈钢焊条（丝）。对于不重要的焊件，可选用与不锈钢相应的焊条（丝）。</w:t>
      </w:r>
    </w:p>
    <w:p w14:paraId="53AFC515">
      <w:pPr>
        <w:adjustRightInd w:val="0"/>
        <w:spacing w:line="360" w:lineRule="auto"/>
        <w:ind w:firstLine="482"/>
        <w:rPr>
          <w:rFonts w:ascii="宋体" w:hAnsi="宋体" w:cs="宋体"/>
          <w:b/>
          <w:sz w:val="24"/>
        </w:rPr>
      </w:pPr>
      <w:r>
        <w:rPr>
          <w:rFonts w:hint="eastAsia" w:ascii="宋体" w:hAnsi="宋体" w:cs="宋体"/>
          <w:b/>
          <w:sz w:val="24"/>
        </w:rPr>
        <w:t>锻件</w:t>
      </w:r>
    </w:p>
    <w:p w14:paraId="5DDB035D">
      <w:pPr>
        <w:spacing w:line="360" w:lineRule="auto"/>
        <w:ind w:firstLine="480"/>
        <w:rPr>
          <w:rFonts w:ascii="宋体" w:hAnsi="宋体" w:cs="宋体"/>
          <w:sz w:val="24"/>
        </w:rPr>
      </w:pPr>
      <w:r>
        <w:rPr>
          <w:rFonts w:hint="eastAsia" w:ascii="宋体" w:hAnsi="宋体" w:cs="宋体"/>
          <w:sz w:val="24"/>
        </w:rPr>
        <w:t>所有承受主要应力的锻件应符合标准规范，并且在开工前应将此标准交给业主批准。锻件重量超过300kg应按JB4730-2005进行超声检测。锻件应符合JB/T5000的要求进行内部检查和非破坏性测试以探测裂纹，并应进行热处理，去除残余应力。对于每一这样的锻件，应向业主递交制造商姓名以及为锻件所进行的热处理方式。业主可能在制造商，中标人代表到场的情况下对锻件进行检查。</w:t>
      </w:r>
    </w:p>
    <w:p w14:paraId="6B2365FC">
      <w:pPr>
        <w:adjustRightInd w:val="0"/>
        <w:spacing w:line="360" w:lineRule="auto"/>
        <w:ind w:firstLine="482"/>
        <w:rPr>
          <w:rFonts w:ascii="宋体" w:hAnsi="宋体" w:cs="宋体"/>
          <w:b/>
          <w:sz w:val="24"/>
        </w:rPr>
      </w:pPr>
      <w:r>
        <w:rPr>
          <w:rFonts w:hint="eastAsia" w:ascii="宋体" w:hAnsi="宋体" w:cs="宋体"/>
          <w:b/>
          <w:sz w:val="24"/>
        </w:rPr>
        <w:t>螺母、螺钉、垫圈和螺栓</w:t>
      </w:r>
    </w:p>
    <w:p w14:paraId="5F46419B">
      <w:pPr>
        <w:spacing w:line="360" w:lineRule="auto"/>
        <w:ind w:firstLine="480"/>
        <w:rPr>
          <w:rFonts w:ascii="宋体" w:hAnsi="宋体" w:cs="宋体"/>
          <w:sz w:val="24"/>
        </w:rPr>
      </w:pPr>
      <w:r>
        <w:rPr>
          <w:rFonts w:hint="eastAsia" w:ascii="宋体" w:hAnsi="宋体" w:cs="宋体"/>
          <w:sz w:val="24"/>
        </w:rPr>
        <w:t>粗制螺栓，螺钉和螺母应符合ISO225，ISO272，ISO885，ISO888和SO4759/1。精制六角螺栓，螺钉和螺母应符合ISO272，ISO4759/1 8.8级。垫圈应符合ISO/R887，并使用在所有螺母，六角螺栓和螺钉之下。</w:t>
      </w:r>
    </w:p>
    <w:p w14:paraId="3C12CD73">
      <w:pPr>
        <w:spacing w:line="360" w:lineRule="auto"/>
        <w:ind w:firstLine="480"/>
        <w:rPr>
          <w:rFonts w:ascii="宋体" w:hAnsi="宋体" w:cs="宋体"/>
          <w:sz w:val="24"/>
        </w:rPr>
      </w:pPr>
      <w:r>
        <w:rPr>
          <w:rFonts w:hint="eastAsia" w:ascii="宋体" w:hAnsi="宋体" w:cs="宋体"/>
          <w:sz w:val="24"/>
        </w:rPr>
        <w:t>所有浸没于污水中的螺栓，螺钉，螺母，垫圈应采用不锈钢材料，并符合SUS304要求。</w:t>
      </w:r>
    </w:p>
    <w:p w14:paraId="68490902">
      <w:pPr>
        <w:spacing w:line="360" w:lineRule="auto"/>
        <w:ind w:firstLine="480"/>
        <w:rPr>
          <w:rFonts w:ascii="宋体" w:hAnsi="宋体" w:cs="宋体"/>
          <w:sz w:val="24"/>
        </w:rPr>
      </w:pPr>
      <w:r>
        <w:rPr>
          <w:rFonts w:hint="eastAsia" w:ascii="宋体" w:hAnsi="宋体" w:cs="宋体"/>
          <w:sz w:val="24"/>
        </w:rPr>
        <w:t>螺栓的应有足够长度以确保螺母旋紧。</w:t>
      </w:r>
    </w:p>
    <w:p w14:paraId="59402ABB">
      <w:pPr>
        <w:adjustRightInd w:val="0"/>
        <w:spacing w:line="360" w:lineRule="auto"/>
        <w:ind w:firstLine="482"/>
        <w:rPr>
          <w:rFonts w:ascii="宋体" w:hAnsi="宋体" w:cs="宋体"/>
          <w:b/>
          <w:sz w:val="24"/>
        </w:rPr>
      </w:pPr>
      <w:r>
        <w:rPr>
          <w:rFonts w:hint="eastAsia" w:ascii="宋体" w:hAnsi="宋体" w:cs="宋体"/>
          <w:b/>
          <w:sz w:val="24"/>
        </w:rPr>
        <w:t>紧固螺栓</w:t>
      </w:r>
    </w:p>
    <w:p w14:paraId="3AA40246">
      <w:pPr>
        <w:spacing w:line="360" w:lineRule="auto"/>
        <w:ind w:firstLine="480"/>
        <w:rPr>
          <w:rFonts w:ascii="宋体" w:hAnsi="宋体" w:cs="宋体"/>
          <w:sz w:val="24"/>
        </w:rPr>
      </w:pPr>
      <w:r>
        <w:rPr>
          <w:rFonts w:hint="eastAsia" w:ascii="宋体" w:hAnsi="宋体" w:cs="宋体"/>
          <w:sz w:val="24"/>
        </w:rPr>
        <w:t>用在混凝土，砖石或切石中的紧固螺栓，螺母和垫圈应为不锈钢。螺栓可以是棘形的或齿形的螺栓，膨胀螺栓，或树脂膨胀管螺栓。中标人应递交他所建议使用的螺栓类型的详细资料，包括制造商的产品规格，给业主批准。</w:t>
      </w:r>
    </w:p>
    <w:p w14:paraId="3DB5D10D">
      <w:pPr>
        <w:spacing w:line="360" w:lineRule="auto"/>
        <w:ind w:firstLine="480"/>
        <w:rPr>
          <w:rFonts w:ascii="宋体" w:hAnsi="宋体" w:cs="宋体"/>
          <w:sz w:val="24"/>
        </w:rPr>
      </w:pPr>
      <w:r>
        <w:rPr>
          <w:rFonts w:hint="eastAsia" w:ascii="宋体" w:hAnsi="宋体" w:cs="宋体"/>
          <w:sz w:val="24"/>
        </w:rPr>
        <w:t>当螺栓用来紧固铝合金件时，应用非金属隔套和垫圈将铝合金隔离。带有棘形或齿形预埋螺栓的二次灌浆材料应为专用的非收缩型环氧树脂砂浆，地脚螺栓和预埋螺栓应在二次灌浆材料达到足够的强度时才能投入使用。</w:t>
      </w:r>
    </w:p>
    <w:p w14:paraId="64A78C88">
      <w:pPr>
        <w:adjustRightInd w:val="0"/>
        <w:spacing w:line="360" w:lineRule="auto"/>
        <w:ind w:firstLine="482"/>
        <w:rPr>
          <w:rFonts w:ascii="宋体" w:hAnsi="宋体" w:cs="宋体"/>
          <w:b/>
          <w:sz w:val="24"/>
        </w:rPr>
      </w:pPr>
      <w:r>
        <w:rPr>
          <w:rFonts w:hint="eastAsia" w:ascii="宋体" w:hAnsi="宋体" w:cs="宋体"/>
          <w:b/>
          <w:sz w:val="24"/>
        </w:rPr>
        <w:t>润滑</w:t>
      </w:r>
    </w:p>
    <w:p w14:paraId="78D4CF4C">
      <w:pPr>
        <w:spacing w:line="360" w:lineRule="auto"/>
        <w:ind w:firstLine="480"/>
        <w:rPr>
          <w:rFonts w:ascii="宋体" w:hAnsi="宋体" w:cs="宋体"/>
          <w:sz w:val="24"/>
        </w:rPr>
      </w:pPr>
      <w:r>
        <w:rPr>
          <w:rFonts w:hint="eastAsia" w:ascii="宋体" w:hAnsi="宋体" w:cs="宋体"/>
          <w:sz w:val="24"/>
        </w:rPr>
        <w:t>所有加注润滑油、润滑脂的位置应适合于日常维护。必要时，应装有合适的延长管。</w:t>
      </w:r>
    </w:p>
    <w:p w14:paraId="5D9103A3">
      <w:pPr>
        <w:spacing w:line="360" w:lineRule="auto"/>
        <w:ind w:firstLine="480"/>
        <w:rPr>
          <w:rFonts w:ascii="宋体" w:hAnsi="宋体" w:cs="宋体"/>
          <w:sz w:val="24"/>
        </w:rPr>
      </w:pPr>
      <w:r>
        <w:rPr>
          <w:rFonts w:hint="eastAsia" w:ascii="宋体" w:hAnsi="宋体" w:cs="宋体"/>
          <w:sz w:val="24"/>
        </w:rPr>
        <w:t>手动油脂加注点应使用六角型帽加注油杯，如果多种油脂需要加注，每种油脂应对应一种加注油杯，并配有标签，注明所需的润滑剂。</w:t>
      </w:r>
    </w:p>
    <w:p w14:paraId="490A9BA5">
      <w:pPr>
        <w:spacing w:line="360" w:lineRule="auto"/>
        <w:ind w:firstLine="480"/>
        <w:rPr>
          <w:rFonts w:ascii="宋体" w:hAnsi="宋体" w:cs="宋体"/>
          <w:sz w:val="24"/>
        </w:rPr>
      </w:pPr>
      <w:r>
        <w:rPr>
          <w:rFonts w:hint="eastAsia" w:ascii="宋体" w:hAnsi="宋体" w:cs="宋体"/>
          <w:sz w:val="24"/>
        </w:rPr>
        <w:t>油浴润滑系统应有玻璃油位显示器。没有业主的批准不能使用油位测杆。在规定之处应使用自动加油装置，系统的全部详细资料应递交业主批准。</w:t>
      </w:r>
    </w:p>
    <w:p w14:paraId="54F7DD5B">
      <w:pPr>
        <w:spacing w:line="360" w:lineRule="auto"/>
        <w:ind w:firstLine="480"/>
        <w:rPr>
          <w:rFonts w:ascii="宋体" w:hAnsi="宋体" w:cs="宋体"/>
          <w:sz w:val="24"/>
        </w:rPr>
      </w:pPr>
      <w:r>
        <w:rPr>
          <w:rFonts w:hint="eastAsia" w:ascii="宋体" w:hAnsi="宋体" w:cs="宋体"/>
          <w:sz w:val="24"/>
        </w:rPr>
        <w:t>如果需要连续地加注润滑脂、润滑油，其油箱的容量应至少满足7天的连续工作所需。</w:t>
      </w:r>
    </w:p>
    <w:p w14:paraId="6B7A659B">
      <w:pPr>
        <w:spacing w:line="360" w:lineRule="auto"/>
        <w:ind w:firstLine="480"/>
        <w:rPr>
          <w:rFonts w:ascii="宋体" w:hAnsi="宋体" w:cs="宋体"/>
          <w:sz w:val="24"/>
        </w:rPr>
      </w:pPr>
      <w:r>
        <w:rPr>
          <w:rFonts w:hint="eastAsia" w:ascii="宋体" w:hAnsi="宋体" w:cs="宋体"/>
          <w:sz w:val="24"/>
        </w:rPr>
        <w:t>整套润滑剂推荐表应包含在设备的操作、维修手册中。</w:t>
      </w:r>
    </w:p>
    <w:p w14:paraId="3EB3EC5D">
      <w:pPr>
        <w:adjustRightInd w:val="0"/>
        <w:spacing w:line="360" w:lineRule="auto"/>
        <w:ind w:firstLine="482"/>
        <w:rPr>
          <w:rFonts w:ascii="宋体" w:hAnsi="宋体" w:cs="宋体"/>
          <w:b/>
          <w:sz w:val="24"/>
        </w:rPr>
      </w:pPr>
      <w:r>
        <w:rPr>
          <w:rFonts w:hint="eastAsia" w:ascii="宋体" w:hAnsi="宋体" w:cs="宋体"/>
          <w:b/>
          <w:sz w:val="24"/>
        </w:rPr>
        <w:t>铭牌，标签和警告牌</w:t>
      </w:r>
    </w:p>
    <w:p w14:paraId="6F3E2886">
      <w:pPr>
        <w:spacing w:line="360" w:lineRule="auto"/>
        <w:ind w:firstLine="480"/>
        <w:rPr>
          <w:rFonts w:ascii="宋体" w:hAnsi="宋体" w:cs="宋体"/>
          <w:sz w:val="24"/>
        </w:rPr>
      </w:pPr>
      <w:r>
        <w:rPr>
          <w:rFonts w:hint="eastAsia" w:ascii="宋体" w:hAnsi="宋体" w:cs="宋体"/>
          <w:sz w:val="24"/>
        </w:rPr>
        <w:t>所有设备按照其工作状况应有适宜的和统一的标牌，在电气控制柜上的标牌应与其协调一致。所有铭牌，标签和警告牌应用中英文书写，中文应写在英文之上。警告牌，不管其处于静止的或其它状态，应放置在合适的位置上，以警示人们任何由设备引起的潜在危险。开始应写上“危险”字样，并用中英文写于红色底面上。</w:t>
      </w:r>
    </w:p>
    <w:p w14:paraId="282CB3AE">
      <w:pPr>
        <w:spacing w:line="360" w:lineRule="auto"/>
        <w:ind w:firstLine="480"/>
        <w:rPr>
          <w:rFonts w:ascii="宋体" w:hAnsi="宋体" w:cs="宋体"/>
          <w:sz w:val="24"/>
        </w:rPr>
      </w:pPr>
      <w:r>
        <w:rPr>
          <w:rFonts w:hint="eastAsia" w:ascii="宋体" w:hAnsi="宋体" w:cs="宋体"/>
          <w:sz w:val="24"/>
        </w:rPr>
        <w:t>所有断路器、启动器、开关装置、熔断器和其它电气设备应清楚地标明设备的功能，如果是单相设备，就应标明此相与哪台设备连接。</w:t>
      </w:r>
    </w:p>
    <w:p w14:paraId="12C8FD49">
      <w:pPr>
        <w:spacing w:line="360" w:lineRule="auto"/>
        <w:ind w:firstLine="480"/>
        <w:rPr>
          <w:rFonts w:ascii="宋体" w:hAnsi="宋体" w:cs="宋体"/>
          <w:sz w:val="24"/>
        </w:rPr>
      </w:pPr>
      <w:r>
        <w:rPr>
          <w:rFonts w:hint="eastAsia" w:ascii="宋体" w:hAnsi="宋体" w:cs="宋体"/>
          <w:sz w:val="24"/>
        </w:rPr>
        <w:t>在熔断器柜上的标牌应标明每一回路。</w:t>
      </w:r>
    </w:p>
    <w:p w14:paraId="202B1449">
      <w:pPr>
        <w:spacing w:line="360" w:lineRule="auto"/>
        <w:ind w:firstLine="480"/>
        <w:rPr>
          <w:rFonts w:ascii="宋体" w:hAnsi="宋体" w:cs="宋体"/>
          <w:sz w:val="24"/>
        </w:rPr>
      </w:pPr>
      <w:r>
        <w:rPr>
          <w:rFonts w:hint="eastAsia" w:ascii="宋体" w:hAnsi="宋体" w:cs="宋体"/>
          <w:sz w:val="24"/>
        </w:rPr>
        <w:t>对于一些设备，其铭牌不易看到（例如，潜水泵、水下搅拌机），中标人应附加地提供一块相同的铭牌紧固在相关的控制柜或启动装置上。</w:t>
      </w:r>
    </w:p>
    <w:p w14:paraId="1C2B1B6B">
      <w:pPr>
        <w:spacing w:line="360" w:lineRule="auto"/>
        <w:ind w:firstLine="480"/>
        <w:rPr>
          <w:rFonts w:ascii="宋体" w:hAnsi="宋体" w:cs="宋体"/>
          <w:sz w:val="24"/>
        </w:rPr>
      </w:pPr>
      <w:r>
        <w:rPr>
          <w:rFonts w:hint="eastAsia" w:ascii="宋体" w:hAnsi="宋体" w:cs="宋体"/>
          <w:sz w:val="24"/>
        </w:rPr>
        <w:t>标牌和警告牌应是凹字塑料板，用螺钉和螺栓固定。黏接固定将不被接收。</w:t>
      </w:r>
    </w:p>
    <w:p w14:paraId="5FB34813">
      <w:pPr>
        <w:adjustRightInd w:val="0"/>
        <w:spacing w:line="360" w:lineRule="auto"/>
        <w:ind w:firstLine="482"/>
        <w:rPr>
          <w:rFonts w:ascii="宋体" w:hAnsi="宋体" w:cs="宋体"/>
          <w:b/>
          <w:sz w:val="24"/>
        </w:rPr>
      </w:pPr>
      <w:r>
        <w:rPr>
          <w:rFonts w:hint="eastAsia" w:ascii="宋体" w:hAnsi="宋体" w:cs="宋体"/>
          <w:b/>
          <w:sz w:val="24"/>
        </w:rPr>
        <w:t>安全罩</w:t>
      </w:r>
    </w:p>
    <w:p w14:paraId="0A3B5EA5">
      <w:pPr>
        <w:spacing w:line="360" w:lineRule="auto"/>
        <w:ind w:firstLine="480"/>
        <w:rPr>
          <w:rFonts w:ascii="宋体" w:hAnsi="宋体" w:cs="宋体"/>
          <w:sz w:val="24"/>
        </w:rPr>
      </w:pPr>
      <w:r>
        <w:rPr>
          <w:rFonts w:hint="eastAsia" w:ascii="宋体" w:hAnsi="宋体" w:cs="宋体"/>
          <w:sz w:val="24"/>
        </w:rPr>
        <w:t>设备的所有含有危险因素的部分应加上安全罩。在正常工况条件下，温度高于60</w:t>
      </w:r>
      <w:r>
        <w:rPr>
          <w:rFonts w:hint="eastAsia" w:ascii="宋体" w:hAnsi="宋体" w:cs="宋体"/>
          <w:sz w:val="24"/>
        </w:rPr>
        <w:sym w:font="Symbol" w:char="F0B0"/>
      </w:r>
      <w:r>
        <w:rPr>
          <w:rFonts w:hint="eastAsia" w:ascii="宋体" w:hAnsi="宋体" w:cs="宋体"/>
          <w:sz w:val="24"/>
        </w:rPr>
        <w:t>C或小于5</w:t>
      </w:r>
      <w:r>
        <w:rPr>
          <w:rFonts w:hint="eastAsia" w:ascii="宋体" w:hAnsi="宋体" w:cs="宋体"/>
          <w:sz w:val="24"/>
        </w:rPr>
        <w:sym w:font="Symbol" w:char="F0B0"/>
      </w:r>
      <w:r>
        <w:rPr>
          <w:rFonts w:hint="eastAsia" w:ascii="宋体" w:hAnsi="宋体" w:cs="宋体"/>
          <w:sz w:val="24"/>
        </w:rPr>
        <w:t>C的所有零件应装有防护栏或保温套。</w:t>
      </w:r>
    </w:p>
    <w:p w14:paraId="20146066">
      <w:pPr>
        <w:spacing w:line="360" w:lineRule="auto"/>
        <w:ind w:firstLine="480"/>
        <w:rPr>
          <w:rFonts w:ascii="宋体" w:hAnsi="宋体" w:cs="宋体"/>
          <w:sz w:val="24"/>
        </w:rPr>
      </w:pPr>
      <w:r>
        <w:rPr>
          <w:rFonts w:hint="eastAsia" w:ascii="宋体" w:hAnsi="宋体" w:cs="宋体"/>
          <w:sz w:val="24"/>
        </w:rPr>
        <w:t>所有电气传导件包括由此而形成的电器装置都应绝缘或用防护栏防护或置于安全之处以防危险。</w:t>
      </w:r>
    </w:p>
    <w:p w14:paraId="2A8D3ABA">
      <w:pPr>
        <w:spacing w:line="360" w:lineRule="auto"/>
        <w:ind w:firstLine="480"/>
        <w:rPr>
          <w:rFonts w:ascii="宋体" w:hAnsi="宋体" w:cs="宋体"/>
          <w:sz w:val="24"/>
        </w:rPr>
      </w:pPr>
      <w:r>
        <w:rPr>
          <w:rFonts w:hint="eastAsia" w:ascii="宋体" w:hAnsi="宋体" w:cs="宋体"/>
          <w:sz w:val="24"/>
        </w:rPr>
        <w:t>安全罩应用钢丝网或用钢板网制成，如必要的话，用全钢板制成。安全罩应设计成对轴承、润滑脂加注点、温度计、和其它检测点便利操作的型式，允许操作工在没有危险或不需要拆掉安全罩的任何部分情况下，进行日常的维护工作。在便利到达检测点的地方应设置装有挂锁的检修门。防护罩应采用螺栓固定，不会被无意地拆除或移动。</w:t>
      </w:r>
    </w:p>
    <w:p w14:paraId="3E9A3A59">
      <w:pPr>
        <w:spacing w:line="360" w:lineRule="auto"/>
        <w:ind w:firstLine="480"/>
        <w:rPr>
          <w:rFonts w:ascii="宋体" w:hAnsi="宋体" w:cs="宋体"/>
          <w:sz w:val="24"/>
        </w:rPr>
      </w:pPr>
      <w:r>
        <w:rPr>
          <w:rFonts w:hint="eastAsia" w:ascii="宋体" w:hAnsi="宋体" w:cs="宋体"/>
          <w:sz w:val="24"/>
        </w:rPr>
        <w:t>用于防护罩结构的所有低碳钢包括螺栓，螺母，垫圈，挡圈应热浸锌，除非有其他规定。安全罩的图纸在加工前应送交业主批准。</w:t>
      </w:r>
    </w:p>
    <w:p w14:paraId="42B5D0D7">
      <w:pPr>
        <w:adjustRightInd w:val="0"/>
        <w:spacing w:line="360" w:lineRule="auto"/>
        <w:ind w:firstLine="482"/>
        <w:rPr>
          <w:rFonts w:ascii="宋体" w:hAnsi="宋体" w:cs="宋体"/>
          <w:b/>
          <w:sz w:val="24"/>
        </w:rPr>
      </w:pPr>
      <w:r>
        <w:rPr>
          <w:rFonts w:hint="eastAsia" w:ascii="宋体" w:hAnsi="宋体" w:cs="宋体"/>
          <w:b/>
          <w:sz w:val="24"/>
        </w:rPr>
        <w:t>管道工程</w:t>
      </w:r>
    </w:p>
    <w:p w14:paraId="438E0C73">
      <w:pPr>
        <w:spacing w:line="360" w:lineRule="auto"/>
        <w:ind w:firstLine="480"/>
        <w:rPr>
          <w:rFonts w:ascii="宋体" w:hAnsi="宋体" w:cs="宋体"/>
          <w:sz w:val="24"/>
        </w:rPr>
      </w:pPr>
      <w:r>
        <w:rPr>
          <w:rFonts w:hint="eastAsia" w:ascii="宋体" w:hAnsi="宋体" w:cs="宋体"/>
          <w:sz w:val="24"/>
        </w:rPr>
        <w:t>管道提供的范围应为招标图纸上所标明，并应包括所有必要的专用件，连接材料和法兰套管等。</w:t>
      </w:r>
    </w:p>
    <w:p w14:paraId="1E747847">
      <w:pPr>
        <w:spacing w:line="360" w:lineRule="auto"/>
        <w:ind w:firstLine="480"/>
        <w:rPr>
          <w:rFonts w:ascii="宋体" w:hAnsi="宋体" w:cs="宋体"/>
          <w:sz w:val="24"/>
        </w:rPr>
      </w:pPr>
      <w:r>
        <w:rPr>
          <w:rFonts w:hint="eastAsia" w:ascii="宋体" w:hAnsi="宋体" w:cs="宋体"/>
          <w:sz w:val="24"/>
        </w:rPr>
        <w:t>足够数量的柔性法兰接头应能方便拆去任何设备而无需拆卸相关管道以及适应由于温度引起的管道的轴向伸缩。</w:t>
      </w:r>
    </w:p>
    <w:p w14:paraId="79447FCB">
      <w:pPr>
        <w:spacing w:line="360" w:lineRule="auto"/>
        <w:ind w:firstLine="480"/>
        <w:rPr>
          <w:rFonts w:ascii="宋体" w:hAnsi="宋体" w:cs="宋体"/>
          <w:sz w:val="24"/>
        </w:rPr>
      </w:pPr>
      <w:r>
        <w:rPr>
          <w:rFonts w:hint="eastAsia" w:ascii="宋体" w:hAnsi="宋体" w:cs="宋体"/>
          <w:sz w:val="24"/>
        </w:rPr>
        <w:t>在采用一根出水总管之处，除非在招标图纸上另有规定，泵的出水支管应在水平面上接入并以圆弧和角度过渡连接以防水流变化过急。</w:t>
      </w:r>
    </w:p>
    <w:p w14:paraId="2B84BDFF">
      <w:pPr>
        <w:spacing w:line="360" w:lineRule="auto"/>
        <w:ind w:firstLine="480"/>
        <w:rPr>
          <w:rFonts w:ascii="宋体" w:hAnsi="宋体" w:cs="宋体"/>
          <w:sz w:val="24"/>
        </w:rPr>
      </w:pPr>
      <w:r>
        <w:rPr>
          <w:rFonts w:hint="eastAsia" w:ascii="宋体" w:hAnsi="宋体" w:cs="宋体"/>
          <w:sz w:val="24"/>
        </w:rPr>
        <w:t>在土建结构结合之处，管道上应配有挠性联接管以适应不同的沉降。</w:t>
      </w:r>
    </w:p>
    <w:p w14:paraId="7440A3C1">
      <w:pPr>
        <w:spacing w:line="360" w:lineRule="auto"/>
        <w:ind w:firstLine="480"/>
        <w:rPr>
          <w:rFonts w:ascii="宋体" w:hAnsi="宋体" w:cs="宋体"/>
          <w:sz w:val="24"/>
        </w:rPr>
      </w:pPr>
      <w:r>
        <w:rPr>
          <w:rFonts w:hint="eastAsia" w:ascii="宋体" w:hAnsi="宋体" w:cs="宋体"/>
          <w:sz w:val="24"/>
        </w:rPr>
        <w:t>在固定点连接的管道应提供模板管，套圈，短管或挠性接头以适应土建结构的误差。</w:t>
      </w:r>
    </w:p>
    <w:p w14:paraId="78B61F51">
      <w:pPr>
        <w:spacing w:line="360" w:lineRule="auto"/>
        <w:ind w:firstLine="480"/>
        <w:rPr>
          <w:rFonts w:ascii="宋体" w:hAnsi="宋体" w:cs="宋体"/>
          <w:sz w:val="24"/>
        </w:rPr>
      </w:pPr>
      <w:r>
        <w:rPr>
          <w:rFonts w:hint="eastAsia" w:ascii="宋体" w:hAnsi="宋体" w:cs="宋体"/>
          <w:sz w:val="24"/>
        </w:rPr>
        <w:t>通过地下墙壁或水池结构的铸铁管应配以穿墙管。</w:t>
      </w:r>
    </w:p>
    <w:p w14:paraId="07167ACC">
      <w:pPr>
        <w:spacing w:line="360" w:lineRule="auto"/>
        <w:ind w:firstLine="480"/>
        <w:rPr>
          <w:rFonts w:ascii="宋体" w:hAnsi="宋体" w:cs="宋体"/>
          <w:sz w:val="24"/>
        </w:rPr>
      </w:pPr>
      <w:r>
        <w:rPr>
          <w:rFonts w:hint="eastAsia" w:ascii="宋体" w:hAnsi="宋体" w:cs="宋体"/>
          <w:sz w:val="24"/>
        </w:rPr>
        <w:t>存水泵、通风管的小口径管道可以是镀锌管或铜管。</w:t>
      </w:r>
    </w:p>
    <w:p w14:paraId="4E36544E">
      <w:pPr>
        <w:spacing w:line="360" w:lineRule="auto"/>
        <w:ind w:firstLine="480"/>
        <w:rPr>
          <w:rFonts w:ascii="宋体" w:hAnsi="宋体" w:cs="宋体"/>
          <w:sz w:val="24"/>
        </w:rPr>
      </w:pPr>
      <w:r>
        <w:rPr>
          <w:rFonts w:hint="eastAsia" w:ascii="宋体" w:hAnsi="宋体" w:cs="宋体"/>
          <w:sz w:val="24"/>
        </w:rPr>
        <w:t>所有管道在固紧前应校中，检查法兰的配合和连接，所有管道不允许弯曲就位。</w:t>
      </w:r>
    </w:p>
    <w:p w14:paraId="6A7288B0">
      <w:pPr>
        <w:spacing w:line="360" w:lineRule="auto"/>
        <w:ind w:firstLine="480"/>
        <w:rPr>
          <w:rFonts w:ascii="宋体" w:hAnsi="宋体" w:cs="宋体"/>
          <w:sz w:val="24"/>
        </w:rPr>
      </w:pPr>
      <w:r>
        <w:rPr>
          <w:rFonts w:hint="eastAsia" w:ascii="宋体" w:hAnsi="宋体" w:cs="宋体"/>
          <w:sz w:val="24"/>
        </w:rPr>
        <w:t>对于所有管道，应具有合适的支撑和地脚锚固布置，特别应注意，尽可能地保证不要将管道的推力传到机械装置和其他相关设备上去。在需要混凝土支撑的地方，中标人应将此标在其图纸上，由业主安排必要的工作。混凝土支撑的设计是中标人的责任。如有要求，设计计算应递交业主。</w:t>
      </w:r>
    </w:p>
    <w:p w14:paraId="23B01F28">
      <w:pPr>
        <w:spacing w:line="360" w:lineRule="auto"/>
        <w:ind w:firstLine="480"/>
        <w:rPr>
          <w:rFonts w:ascii="宋体" w:hAnsi="宋体" w:cs="宋体"/>
          <w:sz w:val="24"/>
        </w:rPr>
      </w:pPr>
      <w:r>
        <w:rPr>
          <w:rFonts w:hint="eastAsia" w:ascii="宋体" w:hAnsi="宋体" w:cs="宋体"/>
          <w:sz w:val="24"/>
        </w:rPr>
        <w:t>安装完成的管道都应有管道标识，标明管道内物料名称、流向等。规格应符合国家规范。</w:t>
      </w:r>
    </w:p>
    <w:p w14:paraId="5617D3B2">
      <w:pPr>
        <w:adjustRightInd w:val="0"/>
        <w:spacing w:line="360" w:lineRule="auto"/>
        <w:ind w:firstLine="482"/>
        <w:rPr>
          <w:rFonts w:ascii="宋体" w:hAnsi="宋体" w:cs="宋体"/>
          <w:b/>
          <w:sz w:val="24"/>
        </w:rPr>
      </w:pPr>
      <w:r>
        <w:rPr>
          <w:rFonts w:hint="eastAsia" w:ascii="宋体" w:hAnsi="宋体" w:cs="宋体"/>
          <w:b/>
          <w:sz w:val="24"/>
        </w:rPr>
        <w:t>钢管及异型钢管</w:t>
      </w:r>
    </w:p>
    <w:p w14:paraId="5C1C89EC">
      <w:pPr>
        <w:spacing w:line="360" w:lineRule="auto"/>
        <w:ind w:firstLine="480"/>
        <w:rPr>
          <w:rFonts w:ascii="宋体" w:hAnsi="宋体" w:cs="宋体"/>
          <w:sz w:val="24"/>
        </w:rPr>
      </w:pPr>
      <w:r>
        <w:rPr>
          <w:rFonts w:hint="eastAsia" w:ascii="宋体" w:hAnsi="宋体" w:cs="宋体"/>
          <w:sz w:val="24"/>
        </w:rPr>
        <w:t>钢板和配件应为无缝或焊接结构，符合最新版的规范。GB50235-2010，BS3601，BS534，ISO4200，ISO2604/2，ISO2604/3，ISO260 4 /6或其它认可的规范。</w:t>
      </w:r>
    </w:p>
    <w:p w14:paraId="6D6F26CD">
      <w:pPr>
        <w:spacing w:line="360" w:lineRule="auto"/>
        <w:ind w:firstLine="480"/>
        <w:rPr>
          <w:rFonts w:ascii="宋体" w:hAnsi="宋体" w:cs="宋体"/>
          <w:sz w:val="24"/>
        </w:rPr>
      </w:pPr>
      <w:r>
        <w:rPr>
          <w:rFonts w:hint="eastAsia" w:ascii="宋体" w:hAnsi="宋体" w:cs="宋体"/>
          <w:sz w:val="24"/>
        </w:rPr>
        <w:t>管壁厚应适合说明所规定的正常工作压力。</w:t>
      </w:r>
    </w:p>
    <w:p w14:paraId="26AF465F">
      <w:pPr>
        <w:spacing w:line="360" w:lineRule="auto"/>
        <w:ind w:firstLine="480"/>
        <w:rPr>
          <w:rFonts w:ascii="宋体" w:hAnsi="宋体" w:cs="宋体"/>
          <w:sz w:val="24"/>
        </w:rPr>
      </w:pPr>
      <w:r>
        <w:rPr>
          <w:rFonts w:hint="eastAsia" w:ascii="宋体" w:hAnsi="宋体" w:cs="宋体"/>
          <w:sz w:val="24"/>
        </w:rPr>
        <w:t>管道及配件应按照BS3600，表1或ISO4200用公称直径表示。</w:t>
      </w:r>
    </w:p>
    <w:p w14:paraId="58676B67">
      <w:pPr>
        <w:spacing w:line="360" w:lineRule="auto"/>
        <w:ind w:firstLine="480"/>
        <w:rPr>
          <w:rFonts w:ascii="宋体" w:hAnsi="宋体" w:cs="宋体"/>
          <w:sz w:val="24"/>
        </w:rPr>
      </w:pPr>
      <w:r>
        <w:rPr>
          <w:rFonts w:hint="eastAsia" w:ascii="宋体" w:hAnsi="宋体" w:cs="宋体"/>
          <w:sz w:val="24"/>
        </w:rPr>
        <w:t>所有管道工程和配件应为新的并且在制造厂家完全装配好并进行防腐处理。</w:t>
      </w:r>
    </w:p>
    <w:p w14:paraId="01607CF5">
      <w:pPr>
        <w:spacing w:line="360" w:lineRule="auto"/>
        <w:ind w:firstLine="480"/>
        <w:rPr>
          <w:rFonts w:ascii="宋体" w:hAnsi="宋体" w:cs="宋体"/>
          <w:sz w:val="24"/>
        </w:rPr>
      </w:pPr>
      <w:r>
        <w:rPr>
          <w:rFonts w:hint="eastAsia" w:ascii="宋体" w:hAnsi="宋体" w:cs="宋体"/>
          <w:sz w:val="24"/>
        </w:rPr>
        <w:t>法兰为平焊法兰，在法兰的内部和外部都必须焊接。所有法兰应为1MPa设计压力。除了与现有的设备连接，其螺孔及其布置有所不同之外。在此情况下，法兰厚度应符合1MPa设计压力进行制造，螺孔及其布置应按照连接法兰的螺孔及布置制作。</w:t>
      </w:r>
    </w:p>
    <w:p w14:paraId="0BC883D8">
      <w:pPr>
        <w:spacing w:line="360" w:lineRule="auto"/>
        <w:ind w:firstLine="480"/>
        <w:rPr>
          <w:rFonts w:ascii="宋体" w:hAnsi="宋体" w:cs="宋体"/>
          <w:sz w:val="24"/>
        </w:rPr>
      </w:pPr>
      <w:r>
        <w:rPr>
          <w:rFonts w:hint="eastAsia" w:ascii="宋体" w:hAnsi="宋体" w:cs="宋体"/>
          <w:sz w:val="24"/>
        </w:rPr>
        <w:t>焊接应严格按GBJ50235-2010和BS2971，2级电弧焊或相当的国际标准执行。所有焊接装配工作应由一个独立的检验机构编号并测试。电焊工应进行有关测试，而且中标人应提供试验证明给监理工程师考核。监理工程师保留在制造时进行巡查的权力，并有权检查产品，检验配件，有权现场核查有关所使用的材料和工人的证明。</w:t>
      </w:r>
    </w:p>
    <w:p w14:paraId="751BA92C">
      <w:pPr>
        <w:spacing w:line="360" w:lineRule="auto"/>
        <w:ind w:firstLine="480"/>
        <w:rPr>
          <w:rFonts w:ascii="宋体" w:hAnsi="宋体" w:cs="宋体"/>
          <w:sz w:val="24"/>
        </w:rPr>
      </w:pPr>
      <w:r>
        <w:rPr>
          <w:rFonts w:hint="eastAsia" w:ascii="宋体" w:hAnsi="宋体" w:cs="宋体"/>
          <w:sz w:val="24"/>
        </w:rPr>
        <w:t>有定位焊接的工作应由合格电焊工按GBJ50236-2011，BS2971或相当的国际标准进行手工操作，中标人应向监理工程师提交所有打算聘佣的电焊工的详细材料。监理工程师对任一电焊工的认可仅在其满足GBJ50236-2011，BS4871：或其它相当的国际标准所规定的电焊工测试的要求后才给出。</w:t>
      </w:r>
    </w:p>
    <w:p w14:paraId="72A5AFDD">
      <w:pPr>
        <w:spacing w:line="360" w:lineRule="auto"/>
        <w:ind w:firstLine="480"/>
        <w:rPr>
          <w:rFonts w:ascii="宋体" w:hAnsi="宋体" w:cs="宋体"/>
          <w:sz w:val="24"/>
        </w:rPr>
      </w:pPr>
      <w:r>
        <w:rPr>
          <w:rFonts w:hint="eastAsia" w:ascii="宋体" w:hAnsi="宋体" w:cs="宋体"/>
          <w:sz w:val="24"/>
        </w:rPr>
        <w:t>除特殊要求外，碳钢钢管和不锈钢管的公称直径、壁厚、外径应符合下表要求。</w:t>
      </w:r>
    </w:p>
    <w:p w14:paraId="79C5FAA8">
      <w:pPr>
        <w:spacing w:line="360" w:lineRule="auto"/>
        <w:ind w:firstLine="480"/>
        <w:rPr>
          <w:rFonts w:ascii="宋体" w:hAnsi="宋体" w:cs="宋体"/>
          <w:sz w:val="24"/>
        </w:rPr>
      </w:pPr>
      <w:r>
        <w:rPr>
          <w:rFonts w:hint="eastAsia" w:ascii="宋体" w:hAnsi="宋体" w:cs="宋体"/>
          <w:sz w:val="24"/>
        </w:rPr>
        <w:t>除特殊要求外，碳钢钢管公称直径、壁厚、外径统一如下：</w:t>
      </w:r>
    </w:p>
    <w:p w14:paraId="327D758D">
      <w:pPr>
        <w:widowControl/>
        <w:overflowPunct w:val="0"/>
        <w:autoSpaceDE w:val="0"/>
        <w:autoSpaceDN w:val="0"/>
        <w:adjustRightInd w:val="0"/>
        <w:spacing w:line="360" w:lineRule="auto"/>
        <w:ind w:firstLine="840" w:firstLineChars="350"/>
        <w:jc w:val="center"/>
        <w:textAlignment w:val="baseline"/>
        <w:rPr>
          <w:rFonts w:ascii="宋体" w:hAnsi="宋体" w:cs="宋体"/>
          <w:kern w:val="0"/>
          <w:sz w:val="24"/>
        </w:rPr>
      </w:pPr>
      <w:r>
        <w:rPr>
          <w:rFonts w:hint="eastAsia" w:ascii="宋体" w:hAnsi="宋体" w:cs="宋体"/>
          <w:kern w:val="0"/>
          <w:sz w:val="24"/>
        </w:rPr>
        <w:t>碳钢钢管公称直径、壁厚、外径一览表（mm）（国标）</w:t>
      </w:r>
    </w:p>
    <w:tbl>
      <w:tblPr>
        <w:tblStyle w:val="2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2577"/>
        <w:gridCol w:w="2525"/>
        <w:gridCol w:w="2498"/>
      </w:tblGrid>
      <w:tr w14:paraId="69E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11" w:type="dxa"/>
            <w:vAlign w:val="center"/>
          </w:tcPr>
          <w:p w14:paraId="391235D7">
            <w:pPr>
              <w:pStyle w:val="71"/>
              <w:spacing w:line="360" w:lineRule="auto"/>
              <w:ind w:firstLine="50"/>
              <w:rPr>
                <w:rFonts w:cs="宋体"/>
                <w:sz w:val="24"/>
                <w:szCs w:val="24"/>
              </w:rPr>
            </w:pPr>
            <w:r>
              <w:rPr>
                <w:rFonts w:hint="eastAsia" w:cs="宋体"/>
                <w:sz w:val="24"/>
                <w:szCs w:val="24"/>
              </w:rPr>
              <w:t>序号</w:t>
            </w:r>
          </w:p>
        </w:tc>
        <w:tc>
          <w:tcPr>
            <w:tcW w:w="2577" w:type="dxa"/>
            <w:vAlign w:val="center"/>
          </w:tcPr>
          <w:p w14:paraId="1439ED1B">
            <w:pPr>
              <w:pStyle w:val="71"/>
              <w:spacing w:line="360" w:lineRule="auto"/>
              <w:ind w:firstLine="50"/>
              <w:rPr>
                <w:rFonts w:cs="宋体"/>
                <w:sz w:val="24"/>
                <w:szCs w:val="24"/>
              </w:rPr>
            </w:pPr>
            <w:r>
              <w:rPr>
                <w:rFonts w:hint="eastAsia" w:cs="宋体"/>
                <w:sz w:val="24"/>
                <w:szCs w:val="24"/>
              </w:rPr>
              <w:t>公称直径DN</w:t>
            </w:r>
          </w:p>
        </w:tc>
        <w:tc>
          <w:tcPr>
            <w:tcW w:w="2525" w:type="dxa"/>
            <w:vAlign w:val="center"/>
          </w:tcPr>
          <w:p w14:paraId="26D36299">
            <w:pPr>
              <w:pStyle w:val="71"/>
              <w:spacing w:line="360" w:lineRule="auto"/>
              <w:ind w:firstLine="50"/>
              <w:rPr>
                <w:rFonts w:cs="宋体"/>
                <w:sz w:val="24"/>
                <w:szCs w:val="24"/>
              </w:rPr>
            </w:pPr>
            <w:r>
              <w:rPr>
                <w:rFonts w:hint="eastAsia" w:cs="宋体"/>
                <w:sz w:val="24"/>
                <w:szCs w:val="24"/>
              </w:rPr>
              <w:t>外径D</w:t>
            </w:r>
          </w:p>
        </w:tc>
        <w:tc>
          <w:tcPr>
            <w:tcW w:w="2498" w:type="dxa"/>
            <w:vAlign w:val="center"/>
          </w:tcPr>
          <w:p w14:paraId="3D425265">
            <w:pPr>
              <w:pStyle w:val="71"/>
              <w:spacing w:line="360" w:lineRule="auto"/>
              <w:ind w:firstLine="50"/>
              <w:rPr>
                <w:rFonts w:cs="宋体"/>
                <w:sz w:val="24"/>
                <w:szCs w:val="24"/>
              </w:rPr>
            </w:pPr>
            <w:r>
              <w:rPr>
                <w:rFonts w:hint="eastAsia" w:cs="宋体"/>
                <w:sz w:val="24"/>
                <w:szCs w:val="24"/>
              </w:rPr>
              <w:t>壁厚</w:t>
            </w:r>
          </w:p>
        </w:tc>
      </w:tr>
      <w:tr w14:paraId="6404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75E34A77">
            <w:pPr>
              <w:pStyle w:val="71"/>
              <w:spacing w:line="360" w:lineRule="auto"/>
              <w:ind w:firstLine="50"/>
              <w:rPr>
                <w:rFonts w:cs="宋体"/>
                <w:sz w:val="24"/>
                <w:szCs w:val="24"/>
              </w:rPr>
            </w:pPr>
            <w:r>
              <w:rPr>
                <w:rFonts w:hint="eastAsia" w:cs="宋体"/>
                <w:sz w:val="24"/>
                <w:szCs w:val="24"/>
              </w:rPr>
              <w:t>1</w:t>
            </w:r>
          </w:p>
        </w:tc>
        <w:tc>
          <w:tcPr>
            <w:tcW w:w="2577" w:type="dxa"/>
            <w:vAlign w:val="center"/>
          </w:tcPr>
          <w:p w14:paraId="77770C8E">
            <w:pPr>
              <w:pStyle w:val="71"/>
              <w:spacing w:line="360" w:lineRule="auto"/>
              <w:ind w:firstLine="50"/>
              <w:rPr>
                <w:rFonts w:cs="宋体"/>
                <w:sz w:val="24"/>
                <w:szCs w:val="24"/>
              </w:rPr>
            </w:pPr>
            <w:r>
              <w:rPr>
                <w:rFonts w:hint="eastAsia" w:cs="宋体"/>
                <w:sz w:val="24"/>
                <w:szCs w:val="24"/>
              </w:rPr>
              <w:t>50</w:t>
            </w:r>
          </w:p>
        </w:tc>
        <w:tc>
          <w:tcPr>
            <w:tcW w:w="2525" w:type="dxa"/>
            <w:vAlign w:val="center"/>
          </w:tcPr>
          <w:p w14:paraId="35F26E9B">
            <w:pPr>
              <w:pStyle w:val="71"/>
              <w:spacing w:line="360" w:lineRule="auto"/>
              <w:ind w:firstLine="50"/>
              <w:rPr>
                <w:rFonts w:cs="宋体"/>
                <w:sz w:val="24"/>
                <w:szCs w:val="24"/>
              </w:rPr>
            </w:pPr>
            <w:r>
              <w:rPr>
                <w:rFonts w:hint="eastAsia" w:cs="宋体"/>
                <w:sz w:val="24"/>
                <w:szCs w:val="24"/>
              </w:rPr>
              <w:t>57</w:t>
            </w:r>
          </w:p>
        </w:tc>
        <w:tc>
          <w:tcPr>
            <w:tcW w:w="2498" w:type="dxa"/>
            <w:vAlign w:val="center"/>
          </w:tcPr>
          <w:p w14:paraId="23B844A7">
            <w:pPr>
              <w:pStyle w:val="71"/>
              <w:spacing w:line="360" w:lineRule="auto"/>
              <w:ind w:firstLine="50"/>
              <w:rPr>
                <w:rFonts w:cs="宋体"/>
                <w:sz w:val="24"/>
                <w:szCs w:val="24"/>
              </w:rPr>
            </w:pPr>
            <w:r>
              <w:rPr>
                <w:rFonts w:hint="eastAsia" w:cs="宋体"/>
                <w:sz w:val="24"/>
                <w:szCs w:val="24"/>
              </w:rPr>
              <w:t>4</w:t>
            </w:r>
          </w:p>
        </w:tc>
      </w:tr>
      <w:tr w14:paraId="611C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13DD4B42">
            <w:pPr>
              <w:pStyle w:val="71"/>
              <w:spacing w:line="360" w:lineRule="auto"/>
              <w:ind w:firstLine="50"/>
              <w:rPr>
                <w:rFonts w:cs="宋体"/>
                <w:sz w:val="24"/>
                <w:szCs w:val="24"/>
              </w:rPr>
            </w:pPr>
            <w:r>
              <w:rPr>
                <w:rFonts w:hint="eastAsia" w:cs="宋体"/>
                <w:sz w:val="24"/>
                <w:szCs w:val="24"/>
              </w:rPr>
              <w:t>2</w:t>
            </w:r>
          </w:p>
        </w:tc>
        <w:tc>
          <w:tcPr>
            <w:tcW w:w="2577" w:type="dxa"/>
            <w:vAlign w:val="center"/>
          </w:tcPr>
          <w:p w14:paraId="339A270D">
            <w:pPr>
              <w:pStyle w:val="71"/>
              <w:spacing w:line="360" w:lineRule="auto"/>
              <w:ind w:firstLine="50"/>
              <w:rPr>
                <w:rFonts w:cs="宋体"/>
                <w:sz w:val="24"/>
                <w:szCs w:val="24"/>
              </w:rPr>
            </w:pPr>
            <w:r>
              <w:rPr>
                <w:rFonts w:hint="eastAsia" w:cs="宋体"/>
                <w:sz w:val="24"/>
                <w:szCs w:val="24"/>
              </w:rPr>
              <w:t>70</w:t>
            </w:r>
          </w:p>
        </w:tc>
        <w:tc>
          <w:tcPr>
            <w:tcW w:w="2525" w:type="dxa"/>
            <w:vAlign w:val="center"/>
          </w:tcPr>
          <w:p w14:paraId="170640A8">
            <w:pPr>
              <w:pStyle w:val="71"/>
              <w:spacing w:line="360" w:lineRule="auto"/>
              <w:ind w:firstLine="50"/>
              <w:rPr>
                <w:rFonts w:cs="宋体"/>
                <w:sz w:val="24"/>
                <w:szCs w:val="24"/>
              </w:rPr>
            </w:pPr>
            <w:r>
              <w:rPr>
                <w:rFonts w:hint="eastAsia" w:cs="宋体"/>
                <w:sz w:val="24"/>
                <w:szCs w:val="24"/>
              </w:rPr>
              <w:t>73</w:t>
            </w:r>
          </w:p>
        </w:tc>
        <w:tc>
          <w:tcPr>
            <w:tcW w:w="2498" w:type="dxa"/>
            <w:vAlign w:val="center"/>
          </w:tcPr>
          <w:p w14:paraId="6DB239DB">
            <w:pPr>
              <w:pStyle w:val="71"/>
              <w:spacing w:line="360" w:lineRule="auto"/>
              <w:ind w:firstLine="50"/>
              <w:rPr>
                <w:rFonts w:cs="宋体"/>
                <w:sz w:val="24"/>
                <w:szCs w:val="24"/>
              </w:rPr>
            </w:pPr>
            <w:r>
              <w:rPr>
                <w:rFonts w:hint="eastAsia" w:cs="宋体"/>
                <w:sz w:val="24"/>
                <w:szCs w:val="24"/>
              </w:rPr>
              <w:t>4</w:t>
            </w:r>
          </w:p>
        </w:tc>
      </w:tr>
      <w:tr w14:paraId="2FD4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6CD87EF3">
            <w:pPr>
              <w:pStyle w:val="71"/>
              <w:spacing w:line="360" w:lineRule="auto"/>
              <w:ind w:firstLine="50"/>
              <w:rPr>
                <w:rFonts w:cs="宋体"/>
                <w:sz w:val="24"/>
                <w:szCs w:val="24"/>
              </w:rPr>
            </w:pPr>
            <w:r>
              <w:rPr>
                <w:rFonts w:hint="eastAsia" w:cs="宋体"/>
                <w:sz w:val="24"/>
                <w:szCs w:val="24"/>
              </w:rPr>
              <w:t>3</w:t>
            </w:r>
          </w:p>
        </w:tc>
        <w:tc>
          <w:tcPr>
            <w:tcW w:w="2577" w:type="dxa"/>
            <w:vAlign w:val="center"/>
          </w:tcPr>
          <w:p w14:paraId="4F082C18">
            <w:pPr>
              <w:pStyle w:val="71"/>
              <w:spacing w:line="360" w:lineRule="auto"/>
              <w:ind w:firstLine="50"/>
              <w:rPr>
                <w:rFonts w:cs="宋体"/>
                <w:sz w:val="24"/>
                <w:szCs w:val="24"/>
              </w:rPr>
            </w:pPr>
            <w:r>
              <w:rPr>
                <w:rFonts w:hint="eastAsia" w:cs="宋体"/>
                <w:sz w:val="24"/>
                <w:szCs w:val="24"/>
              </w:rPr>
              <w:t>80</w:t>
            </w:r>
          </w:p>
        </w:tc>
        <w:tc>
          <w:tcPr>
            <w:tcW w:w="2525" w:type="dxa"/>
            <w:vAlign w:val="center"/>
          </w:tcPr>
          <w:p w14:paraId="74DE14C3">
            <w:pPr>
              <w:pStyle w:val="71"/>
              <w:spacing w:line="360" w:lineRule="auto"/>
              <w:ind w:firstLine="50"/>
              <w:rPr>
                <w:rFonts w:cs="宋体"/>
                <w:sz w:val="24"/>
                <w:szCs w:val="24"/>
              </w:rPr>
            </w:pPr>
            <w:r>
              <w:rPr>
                <w:rFonts w:hint="eastAsia" w:cs="宋体"/>
                <w:sz w:val="24"/>
                <w:szCs w:val="24"/>
              </w:rPr>
              <w:t>89</w:t>
            </w:r>
          </w:p>
        </w:tc>
        <w:tc>
          <w:tcPr>
            <w:tcW w:w="2498" w:type="dxa"/>
            <w:vAlign w:val="center"/>
          </w:tcPr>
          <w:p w14:paraId="3284F9E2">
            <w:pPr>
              <w:pStyle w:val="71"/>
              <w:spacing w:line="360" w:lineRule="auto"/>
              <w:ind w:firstLine="50"/>
              <w:rPr>
                <w:rFonts w:cs="宋体"/>
                <w:sz w:val="24"/>
                <w:szCs w:val="24"/>
              </w:rPr>
            </w:pPr>
            <w:r>
              <w:rPr>
                <w:rFonts w:hint="eastAsia" w:cs="宋体"/>
                <w:sz w:val="24"/>
                <w:szCs w:val="24"/>
              </w:rPr>
              <w:t>4</w:t>
            </w:r>
          </w:p>
        </w:tc>
      </w:tr>
      <w:tr w14:paraId="7594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41F03171">
            <w:pPr>
              <w:pStyle w:val="71"/>
              <w:spacing w:line="360" w:lineRule="auto"/>
              <w:ind w:firstLine="50"/>
              <w:rPr>
                <w:rFonts w:cs="宋体"/>
                <w:sz w:val="24"/>
                <w:szCs w:val="24"/>
              </w:rPr>
            </w:pPr>
            <w:r>
              <w:rPr>
                <w:rFonts w:hint="eastAsia" w:cs="宋体"/>
                <w:sz w:val="24"/>
                <w:szCs w:val="24"/>
              </w:rPr>
              <w:t>4</w:t>
            </w:r>
          </w:p>
        </w:tc>
        <w:tc>
          <w:tcPr>
            <w:tcW w:w="2577" w:type="dxa"/>
            <w:vAlign w:val="center"/>
          </w:tcPr>
          <w:p w14:paraId="25E59C15">
            <w:pPr>
              <w:pStyle w:val="71"/>
              <w:spacing w:line="360" w:lineRule="auto"/>
              <w:ind w:firstLine="50"/>
              <w:rPr>
                <w:rFonts w:cs="宋体"/>
                <w:sz w:val="24"/>
                <w:szCs w:val="24"/>
              </w:rPr>
            </w:pPr>
            <w:r>
              <w:rPr>
                <w:rFonts w:hint="eastAsia" w:cs="宋体"/>
                <w:sz w:val="24"/>
                <w:szCs w:val="24"/>
              </w:rPr>
              <w:t>100</w:t>
            </w:r>
          </w:p>
        </w:tc>
        <w:tc>
          <w:tcPr>
            <w:tcW w:w="2525" w:type="dxa"/>
            <w:vAlign w:val="center"/>
          </w:tcPr>
          <w:p w14:paraId="480145BE">
            <w:pPr>
              <w:pStyle w:val="71"/>
              <w:spacing w:line="360" w:lineRule="auto"/>
              <w:ind w:firstLine="50"/>
              <w:rPr>
                <w:rFonts w:cs="宋体"/>
                <w:sz w:val="24"/>
                <w:szCs w:val="24"/>
              </w:rPr>
            </w:pPr>
            <w:r>
              <w:rPr>
                <w:rFonts w:hint="eastAsia" w:cs="宋体"/>
                <w:sz w:val="24"/>
                <w:szCs w:val="24"/>
              </w:rPr>
              <w:t>108</w:t>
            </w:r>
          </w:p>
        </w:tc>
        <w:tc>
          <w:tcPr>
            <w:tcW w:w="2498" w:type="dxa"/>
            <w:vAlign w:val="center"/>
          </w:tcPr>
          <w:p w14:paraId="7E5FEE1B">
            <w:pPr>
              <w:pStyle w:val="71"/>
              <w:spacing w:line="360" w:lineRule="auto"/>
              <w:ind w:firstLine="50"/>
              <w:rPr>
                <w:rFonts w:cs="宋体"/>
                <w:sz w:val="24"/>
                <w:szCs w:val="24"/>
              </w:rPr>
            </w:pPr>
            <w:r>
              <w:rPr>
                <w:rFonts w:hint="eastAsia" w:cs="宋体"/>
                <w:sz w:val="24"/>
                <w:szCs w:val="24"/>
              </w:rPr>
              <w:t>4</w:t>
            </w:r>
          </w:p>
        </w:tc>
      </w:tr>
      <w:tr w14:paraId="5E43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3E60D596">
            <w:pPr>
              <w:pStyle w:val="71"/>
              <w:spacing w:line="360" w:lineRule="auto"/>
              <w:ind w:firstLine="50"/>
              <w:rPr>
                <w:rFonts w:cs="宋体"/>
                <w:sz w:val="24"/>
                <w:szCs w:val="24"/>
              </w:rPr>
            </w:pPr>
            <w:r>
              <w:rPr>
                <w:rFonts w:hint="eastAsia" w:cs="宋体"/>
                <w:sz w:val="24"/>
                <w:szCs w:val="24"/>
              </w:rPr>
              <w:t>5</w:t>
            </w:r>
          </w:p>
        </w:tc>
        <w:tc>
          <w:tcPr>
            <w:tcW w:w="2577" w:type="dxa"/>
            <w:vAlign w:val="center"/>
          </w:tcPr>
          <w:p w14:paraId="52354AB9">
            <w:pPr>
              <w:pStyle w:val="71"/>
              <w:spacing w:line="360" w:lineRule="auto"/>
              <w:ind w:firstLine="50"/>
              <w:rPr>
                <w:rFonts w:cs="宋体"/>
                <w:sz w:val="24"/>
                <w:szCs w:val="24"/>
              </w:rPr>
            </w:pPr>
            <w:r>
              <w:rPr>
                <w:rFonts w:hint="eastAsia" w:cs="宋体"/>
                <w:sz w:val="24"/>
                <w:szCs w:val="24"/>
              </w:rPr>
              <w:t>125</w:t>
            </w:r>
          </w:p>
        </w:tc>
        <w:tc>
          <w:tcPr>
            <w:tcW w:w="2525" w:type="dxa"/>
            <w:vAlign w:val="center"/>
          </w:tcPr>
          <w:p w14:paraId="7F61E357">
            <w:pPr>
              <w:pStyle w:val="71"/>
              <w:spacing w:line="360" w:lineRule="auto"/>
              <w:ind w:firstLine="50"/>
              <w:rPr>
                <w:rFonts w:cs="宋体"/>
                <w:sz w:val="24"/>
                <w:szCs w:val="24"/>
              </w:rPr>
            </w:pPr>
            <w:r>
              <w:rPr>
                <w:rFonts w:hint="eastAsia" w:cs="宋体"/>
                <w:sz w:val="24"/>
                <w:szCs w:val="24"/>
              </w:rPr>
              <w:t>133</w:t>
            </w:r>
          </w:p>
        </w:tc>
        <w:tc>
          <w:tcPr>
            <w:tcW w:w="2498" w:type="dxa"/>
            <w:vAlign w:val="center"/>
          </w:tcPr>
          <w:p w14:paraId="1D13F0BC">
            <w:pPr>
              <w:pStyle w:val="71"/>
              <w:spacing w:line="360" w:lineRule="auto"/>
              <w:ind w:firstLine="50"/>
              <w:rPr>
                <w:rFonts w:cs="宋体"/>
                <w:sz w:val="24"/>
                <w:szCs w:val="24"/>
              </w:rPr>
            </w:pPr>
            <w:r>
              <w:rPr>
                <w:rFonts w:hint="eastAsia" w:cs="宋体"/>
                <w:sz w:val="24"/>
                <w:szCs w:val="24"/>
              </w:rPr>
              <w:t>4</w:t>
            </w:r>
          </w:p>
        </w:tc>
      </w:tr>
      <w:tr w14:paraId="6577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5CB93EE">
            <w:pPr>
              <w:pStyle w:val="71"/>
              <w:spacing w:line="360" w:lineRule="auto"/>
              <w:ind w:firstLine="50"/>
              <w:rPr>
                <w:rFonts w:cs="宋体"/>
                <w:sz w:val="24"/>
                <w:szCs w:val="24"/>
              </w:rPr>
            </w:pPr>
            <w:r>
              <w:rPr>
                <w:rFonts w:hint="eastAsia" w:cs="宋体"/>
                <w:sz w:val="24"/>
                <w:szCs w:val="24"/>
              </w:rPr>
              <w:t>6</w:t>
            </w:r>
          </w:p>
        </w:tc>
        <w:tc>
          <w:tcPr>
            <w:tcW w:w="2577" w:type="dxa"/>
            <w:vAlign w:val="center"/>
          </w:tcPr>
          <w:p w14:paraId="658201B5">
            <w:pPr>
              <w:pStyle w:val="71"/>
              <w:spacing w:line="360" w:lineRule="auto"/>
              <w:ind w:firstLine="50"/>
              <w:rPr>
                <w:rFonts w:cs="宋体"/>
                <w:sz w:val="24"/>
                <w:szCs w:val="24"/>
              </w:rPr>
            </w:pPr>
            <w:r>
              <w:rPr>
                <w:rFonts w:hint="eastAsia" w:cs="宋体"/>
                <w:sz w:val="24"/>
                <w:szCs w:val="24"/>
              </w:rPr>
              <w:t>150</w:t>
            </w:r>
          </w:p>
        </w:tc>
        <w:tc>
          <w:tcPr>
            <w:tcW w:w="2525" w:type="dxa"/>
            <w:vAlign w:val="center"/>
          </w:tcPr>
          <w:p w14:paraId="0C630F54">
            <w:pPr>
              <w:pStyle w:val="71"/>
              <w:spacing w:line="360" w:lineRule="auto"/>
              <w:ind w:firstLine="50"/>
              <w:rPr>
                <w:rFonts w:cs="宋体"/>
                <w:sz w:val="24"/>
                <w:szCs w:val="24"/>
              </w:rPr>
            </w:pPr>
            <w:r>
              <w:rPr>
                <w:rFonts w:hint="eastAsia" w:cs="宋体"/>
                <w:sz w:val="24"/>
                <w:szCs w:val="24"/>
              </w:rPr>
              <w:t>159</w:t>
            </w:r>
          </w:p>
        </w:tc>
        <w:tc>
          <w:tcPr>
            <w:tcW w:w="2498" w:type="dxa"/>
            <w:vAlign w:val="center"/>
          </w:tcPr>
          <w:p w14:paraId="07D12FF7">
            <w:pPr>
              <w:pStyle w:val="71"/>
              <w:spacing w:line="360" w:lineRule="auto"/>
              <w:ind w:firstLine="50"/>
              <w:rPr>
                <w:rFonts w:cs="宋体"/>
                <w:sz w:val="24"/>
                <w:szCs w:val="24"/>
              </w:rPr>
            </w:pPr>
            <w:r>
              <w:rPr>
                <w:rFonts w:hint="eastAsia" w:cs="宋体"/>
                <w:sz w:val="24"/>
                <w:szCs w:val="24"/>
              </w:rPr>
              <w:t>4</w:t>
            </w:r>
          </w:p>
        </w:tc>
      </w:tr>
      <w:tr w14:paraId="4D0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4EB5A040">
            <w:pPr>
              <w:pStyle w:val="71"/>
              <w:spacing w:line="360" w:lineRule="auto"/>
              <w:ind w:firstLine="50"/>
              <w:rPr>
                <w:rFonts w:cs="宋体"/>
                <w:sz w:val="24"/>
                <w:szCs w:val="24"/>
              </w:rPr>
            </w:pPr>
            <w:r>
              <w:rPr>
                <w:rFonts w:hint="eastAsia" w:cs="宋体"/>
                <w:sz w:val="24"/>
                <w:szCs w:val="24"/>
              </w:rPr>
              <w:t>7</w:t>
            </w:r>
          </w:p>
        </w:tc>
        <w:tc>
          <w:tcPr>
            <w:tcW w:w="2577" w:type="dxa"/>
            <w:vAlign w:val="center"/>
          </w:tcPr>
          <w:p w14:paraId="7624C9F0">
            <w:pPr>
              <w:pStyle w:val="71"/>
              <w:spacing w:line="360" w:lineRule="auto"/>
              <w:ind w:firstLine="50"/>
              <w:rPr>
                <w:rFonts w:cs="宋体"/>
                <w:sz w:val="24"/>
                <w:szCs w:val="24"/>
              </w:rPr>
            </w:pPr>
            <w:r>
              <w:rPr>
                <w:rFonts w:hint="eastAsia" w:cs="宋体"/>
                <w:sz w:val="24"/>
                <w:szCs w:val="24"/>
              </w:rPr>
              <w:t>200</w:t>
            </w:r>
          </w:p>
        </w:tc>
        <w:tc>
          <w:tcPr>
            <w:tcW w:w="2525" w:type="dxa"/>
            <w:vAlign w:val="center"/>
          </w:tcPr>
          <w:p w14:paraId="3B6F3959">
            <w:pPr>
              <w:pStyle w:val="71"/>
              <w:spacing w:line="360" w:lineRule="auto"/>
              <w:ind w:firstLine="50"/>
              <w:rPr>
                <w:rFonts w:cs="宋体"/>
                <w:sz w:val="24"/>
                <w:szCs w:val="24"/>
              </w:rPr>
            </w:pPr>
            <w:r>
              <w:rPr>
                <w:rFonts w:hint="eastAsia" w:cs="宋体"/>
                <w:sz w:val="24"/>
                <w:szCs w:val="24"/>
              </w:rPr>
              <w:t>219</w:t>
            </w:r>
          </w:p>
        </w:tc>
        <w:tc>
          <w:tcPr>
            <w:tcW w:w="2498" w:type="dxa"/>
            <w:vAlign w:val="center"/>
          </w:tcPr>
          <w:p w14:paraId="68609B23">
            <w:pPr>
              <w:pStyle w:val="71"/>
              <w:spacing w:line="360" w:lineRule="auto"/>
              <w:ind w:firstLine="50"/>
              <w:rPr>
                <w:rFonts w:cs="宋体"/>
                <w:sz w:val="24"/>
                <w:szCs w:val="24"/>
              </w:rPr>
            </w:pPr>
            <w:r>
              <w:rPr>
                <w:rFonts w:hint="eastAsia" w:cs="宋体"/>
                <w:sz w:val="24"/>
                <w:szCs w:val="24"/>
              </w:rPr>
              <w:t>6</w:t>
            </w:r>
          </w:p>
        </w:tc>
      </w:tr>
      <w:tr w14:paraId="3485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6FED67CB">
            <w:pPr>
              <w:pStyle w:val="71"/>
              <w:spacing w:line="360" w:lineRule="auto"/>
              <w:ind w:firstLine="50"/>
              <w:rPr>
                <w:rFonts w:cs="宋体"/>
                <w:sz w:val="24"/>
                <w:szCs w:val="24"/>
              </w:rPr>
            </w:pPr>
            <w:r>
              <w:rPr>
                <w:rFonts w:hint="eastAsia" w:cs="宋体"/>
                <w:sz w:val="24"/>
                <w:szCs w:val="24"/>
              </w:rPr>
              <w:t>8</w:t>
            </w:r>
          </w:p>
        </w:tc>
        <w:tc>
          <w:tcPr>
            <w:tcW w:w="2577" w:type="dxa"/>
            <w:vAlign w:val="center"/>
          </w:tcPr>
          <w:p w14:paraId="2F20A2D9">
            <w:pPr>
              <w:pStyle w:val="71"/>
              <w:spacing w:line="360" w:lineRule="auto"/>
              <w:ind w:firstLine="50"/>
              <w:rPr>
                <w:rFonts w:cs="宋体"/>
                <w:sz w:val="24"/>
                <w:szCs w:val="24"/>
              </w:rPr>
            </w:pPr>
            <w:r>
              <w:rPr>
                <w:rFonts w:hint="eastAsia" w:cs="宋体"/>
                <w:sz w:val="24"/>
                <w:szCs w:val="24"/>
              </w:rPr>
              <w:t>250</w:t>
            </w:r>
          </w:p>
        </w:tc>
        <w:tc>
          <w:tcPr>
            <w:tcW w:w="2525" w:type="dxa"/>
            <w:vAlign w:val="center"/>
          </w:tcPr>
          <w:p w14:paraId="09F06E31">
            <w:pPr>
              <w:pStyle w:val="71"/>
              <w:spacing w:line="360" w:lineRule="auto"/>
              <w:ind w:firstLine="50"/>
              <w:rPr>
                <w:rFonts w:cs="宋体"/>
                <w:sz w:val="24"/>
                <w:szCs w:val="24"/>
              </w:rPr>
            </w:pPr>
            <w:r>
              <w:rPr>
                <w:rFonts w:hint="eastAsia" w:cs="宋体"/>
                <w:sz w:val="24"/>
                <w:szCs w:val="24"/>
              </w:rPr>
              <w:t>273</w:t>
            </w:r>
          </w:p>
        </w:tc>
        <w:tc>
          <w:tcPr>
            <w:tcW w:w="2498" w:type="dxa"/>
            <w:vAlign w:val="center"/>
          </w:tcPr>
          <w:p w14:paraId="0E3FF381">
            <w:pPr>
              <w:pStyle w:val="71"/>
              <w:spacing w:line="360" w:lineRule="auto"/>
              <w:ind w:firstLine="50"/>
              <w:rPr>
                <w:rFonts w:cs="宋体"/>
                <w:sz w:val="24"/>
                <w:szCs w:val="24"/>
              </w:rPr>
            </w:pPr>
            <w:r>
              <w:rPr>
                <w:rFonts w:hint="eastAsia" w:cs="宋体"/>
                <w:sz w:val="24"/>
                <w:szCs w:val="24"/>
              </w:rPr>
              <w:t>8</w:t>
            </w:r>
          </w:p>
        </w:tc>
      </w:tr>
      <w:tr w14:paraId="33E4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777EEA6D">
            <w:pPr>
              <w:pStyle w:val="71"/>
              <w:spacing w:line="360" w:lineRule="auto"/>
              <w:ind w:firstLine="50"/>
              <w:rPr>
                <w:rFonts w:cs="宋体"/>
                <w:sz w:val="24"/>
                <w:szCs w:val="24"/>
              </w:rPr>
            </w:pPr>
            <w:r>
              <w:rPr>
                <w:rFonts w:hint="eastAsia" w:cs="宋体"/>
                <w:sz w:val="24"/>
                <w:szCs w:val="24"/>
              </w:rPr>
              <w:t>9</w:t>
            </w:r>
          </w:p>
        </w:tc>
        <w:tc>
          <w:tcPr>
            <w:tcW w:w="2577" w:type="dxa"/>
            <w:vAlign w:val="center"/>
          </w:tcPr>
          <w:p w14:paraId="24A73849">
            <w:pPr>
              <w:pStyle w:val="71"/>
              <w:spacing w:line="360" w:lineRule="auto"/>
              <w:ind w:firstLine="50"/>
              <w:rPr>
                <w:rFonts w:cs="宋体"/>
                <w:sz w:val="24"/>
                <w:szCs w:val="24"/>
              </w:rPr>
            </w:pPr>
            <w:r>
              <w:rPr>
                <w:rFonts w:hint="eastAsia" w:cs="宋体"/>
                <w:sz w:val="24"/>
                <w:szCs w:val="24"/>
              </w:rPr>
              <w:t>300</w:t>
            </w:r>
          </w:p>
        </w:tc>
        <w:tc>
          <w:tcPr>
            <w:tcW w:w="2525" w:type="dxa"/>
            <w:vAlign w:val="center"/>
          </w:tcPr>
          <w:p w14:paraId="1D44AAAF">
            <w:pPr>
              <w:pStyle w:val="71"/>
              <w:spacing w:line="360" w:lineRule="auto"/>
              <w:ind w:firstLine="50"/>
              <w:rPr>
                <w:rFonts w:cs="宋体"/>
                <w:sz w:val="24"/>
                <w:szCs w:val="24"/>
              </w:rPr>
            </w:pPr>
            <w:r>
              <w:rPr>
                <w:rFonts w:hint="eastAsia" w:cs="宋体"/>
                <w:sz w:val="24"/>
                <w:szCs w:val="24"/>
              </w:rPr>
              <w:t>325</w:t>
            </w:r>
          </w:p>
        </w:tc>
        <w:tc>
          <w:tcPr>
            <w:tcW w:w="2498" w:type="dxa"/>
            <w:vAlign w:val="center"/>
          </w:tcPr>
          <w:p w14:paraId="65E506EA">
            <w:pPr>
              <w:pStyle w:val="71"/>
              <w:spacing w:line="360" w:lineRule="auto"/>
              <w:ind w:firstLine="50"/>
              <w:rPr>
                <w:rFonts w:cs="宋体"/>
                <w:sz w:val="24"/>
                <w:szCs w:val="24"/>
              </w:rPr>
            </w:pPr>
            <w:r>
              <w:rPr>
                <w:rFonts w:hint="eastAsia" w:cs="宋体"/>
                <w:sz w:val="24"/>
                <w:szCs w:val="24"/>
              </w:rPr>
              <w:t>8</w:t>
            </w:r>
          </w:p>
        </w:tc>
      </w:tr>
      <w:tr w14:paraId="7613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2BFCD829">
            <w:pPr>
              <w:pStyle w:val="71"/>
              <w:spacing w:line="360" w:lineRule="auto"/>
              <w:ind w:firstLine="50"/>
              <w:rPr>
                <w:rFonts w:cs="宋体"/>
                <w:sz w:val="24"/>
                <w:szCs w:val="24"/>
              </w:rPr>
            </w:pPr>
            <w:r>
              <w:rPr>
                <w:rFonts w:hint="eastAsia" w:cs="宋体"/>
                <w:sz w:val="24"/>
                <w:szCs w:val="24"/>
              </w:rPr>
              <w:t>10</w:t>
            </w:r>
          </w:p>
        </w:tc>
        <w:tc>
          <w:tcPr>
            <w:tcW w:w="2577" w:type="dxa"/>
            <w:vAlign w:val="center"/>
          </w:tcPr>
          <w:p w14:paraId="02FD7219">
            <w:pPr>
              <w:pStyle w:val="71"/>
              <w:spacing w:line="360" w:lineRule="auto"/>
              <w:ind w:firstLine="50"/>
              <w:rPr>
                <w:rFonts w:cs="宋体"/>
                <w:sz w:val="24"/>
                <w:szCs w:val="24"/>
              </w:rPr>
            </w:pPr>
            <w:r>
              <w:rPr>
                <w:rFonts w:hint="eastAsia" w:cs="宋体"/>
                <w:sz w:val="24"/>
                <w:szCs w:val="24"/>
              </w:rPr>
              <w:t>350</w:t>
            </w:r>
          </w:p>
        </w:tc>
        <w:tc>
          <w:tcPr>
            <w:tcW w:w="2525" w:type="dxa"/>
            <w:vAlign w:val="center"/>
          </w:tcPr>
          <w:p w14:paraId="0ACCE5D3">
            <w:pPr>
              <w:pStyle w:val="71"/>
              <w:spacing w:line="360" w:lineRule="auto"/>
              <w:ind w:firstLine="50"/>
              <w:rPr>
                <w:rFonts w:cs="宋体"/>
                <w:sz w:val="24"/>
                <w:szCs w:val="24"/>
              </w:rPr>
            </w:pPr>
            <w:r>
              <w:rPr>
                <w:rFonts w:hint="eastAsia" w:cs="宋体"/>
                <w:sz w:val="24"/>
                <w:szCs w:val="24"/>
              </w:rPr>
              <w:t>377</w:t>
            </w:r>
          </w:p>
        </w:tc>
        <w:tc>
          <w:tcPr>
            <w:tcW w:w="2498" w:type="dxa"/>
            <w:vAlign w:val="center"/>
          </w:tcPr>
          <w:p w14:paraId="73532673">
            <w:pPr>
              <w:pStyle w:val="71"/>
              <w:spacing w:line="360" w:lineRule="auto"/>
              <w:ind w:firstLine="50"/>
              <w:rPr>
                <w:rFonts w:cs="宋体"/>
                <w:sz w:val="24"/>
                <w:szCs w:val="24"/>
              </w:rPr>
            </w:pPr>
            <w:r>
              <w:rPr>
                <w:rFonts w:hint="eastAsia" w:cs="宋体"/>
                <w:sz w:val="24"/>
                <w:szCs w:val="24"/>
              </w:rPr>
              <w:t>8</w:t>
            </w:r>
          </w:p>
        </w:tc>
      </w:tr>
      <w:tr w14:paraId="044A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6CA5D039">
            <w:pPr>
              <w:pStyle w:val="71"/>
              <w:spacing w:line="360" w:lineRule="auto"/>
              <w:ind w:firstLine="50"/>
              <w:rPr>
                <w:rFonts w:cs="宋体"/>
                <w:sz w:val="24"/>
                <w:szCs w:val="24"/>
              </w:rPr>
            </w:pPr>
            <w:r>
              <w:rPr>
                <w:rFonts w:hint="eastAsia" w:cs="宋体"/>
                <w:sz w:val="24"/>
                <w:szCs w:val="24"/>
              </w:rPr>
              <w:t>11</w:t>
            </w:r>
          </w:p>
        </w:tc>
        <w:tc>
          <w:tcPr>
            <w:tcW w:w="2577" w:type="dxa"/>
            <w:vAlign w:val="center"/>
          </w:tcPr>
          <w:p w14:paraId="30B43B55">
            <w:pPr>
              <w:pStyle w:val="71"/>
              <w:spacing w:line="360" w:lineRule="auto"/>
              <w:ind w:firstLine="50"/>
              <w:rPr>
                <w:rFonts w:cs="宋体"/>
                <w:sz w:val="24"/>
                <w:szCs w:val="24"/>
              </w:rPr>
            </w:pPr>
            <w:r>
              <w:rPr>
                <w:rFonts w:hint="eastAsia" w:cs="宋体"/>
                <w:sz w:val="24"/>
                <w:szCs w:val="24"/>
              </w:rPr>
              <w:t>400</w:t>
            </w:r>
          </w:p>
        </w:tc>
        <w:tc>
          <w:tcPr>
            <w:tcW w:w="2525" w:type="dxa"/>
            <w:vAlign w:val="center"/>
          </w:tcPr>
          <w:p w14:paraId="7BBDD62C">
            <w:pPr>
              <w:pStyle w:val="71"/>
              <w:spacing w:line="360" w:lineRule="auto"/>
              <w:ind w:firstLine="50"/>
              <w:rPr>
                <w:rFonts w:cs="宋体"/>
                <w:sz w:val="24"/>
                <w:szCs w:val="24"/>
              </w:rPr>
            </w:pPr>
            <w:r>
              <w:rPr>
                <w:rFonts w:hint="eastAsia" w:cs="宋体"/>
                <w:sz w:val="24"/>
                <w:szCs w:val="24"/>
              </w:rPr>
              <w:t>426</w:t>
            </w:r>
          </w:p>
        </w:tc>
        <w:tc>
          <w:tcPr>
            <w:tcW w:w="2498" w:type="dxa"/>
            <w:vAlign w:val="center"/>
          </w:tcPr>
          <w:p w14:paraId="67EEDB91">
            <w:pPr>
              <w:pStyle w:val="71"/>
              <w:spacing w:line="360" w:lineRule="auto"/>
              <w:ind w:firstLine="50"/>
              <w:rPr>
                <w:rFonts w:cs="宋体"/>
                <w:sz w:val="24"/>
                <w:szCs w:val="24"/>
              </w:rPr>
            </w:pPr>
            <w:r>
              <w:rPr>
                <w:rFonts w:hint="eastAsia" w:cs="宋体"/>
                <w:sz w:val="24"/>
                <w:szCs w:val="24"/>
              </w:rPr>
              <w:t>8</w:t>
            </w:r>
          </w:p>
        </w:tc>
      </w:tr>
      <w:tr w14:paraId="25C4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33662CC6">
            <w:pPr>
              <w:pStyle w:val="71"/>
              <w:spacing w:line="360" w:lineRule="auto"/>
              <w:ind w:firstLine="50"/>
              <w:rPr>
                <w:rFonts w:cs="宋体"/>
                <w:sz w:val="24"/>
                <w:szCs w:val="24"/>
              </w:rPr>
            </w:pPr>
            <w:r>
              <w:rPr>
                <w:rFonts w:hint="eastAsia" w:cs="宋体"/>
                <w:sz w:val="24"/>
                <w:szCs w:val="24"/>
              </w:rPr>
              <w:t>12</w:t>
            </w:r>
          </w:p>
        </w:tc>
        <w:tc>
          <w:tcPr>
            <w:tcW w:w="2577" w:type="dxa"/>
            <w:vAlign w:val="center"/>
          </w:tcPr>
          <w:p w14:paraId="4F5A4137">
            <w:pPr>
              <w:pStyle w:val="71"/>
              <w:spacing w:line="360" w:lineRule="auto"/>
              <w:ind w:firstLine="50"/>
              <w:rPr>
                <w:rFonts w:cs="宋体"/>
                <w:sz w:val="24"/>
                <w:szCs w:val="24"/>
              </w:rPr>
            </w:pPr>
            <w:r>
              <w:rPr>
                <w:rFonts w:hint="eastAsia" w:cs="宋体"/>
                <w:sz w:val="24"/>
                <w:szCs w:val="24"/>
              </w:rPr>
              <w:t>450</w:t>
            </w:r>
          </w:p>
        </w:tc>
        <w:tc>
          <w:tcPr>
            <w:tcW w:w="2525" w:type="dxa"/>
            <w:vAlign w:val="center"/>
          </w:tcPr>
          <w:p w14:paraId="2CAE6795">
            <w:pPr>
              <w:pStyle w:val="71"/>
              <w:spacing w:line="360" w:lineRule="auto"/>
              <w:ind w:firstLine="50"/>
              <w:rPr>
                <w:rFonts w:cs="宋体"/>
                <w:sz w:val="24"/>
                <w:szCs w:val="24"/>
              </w:rPr>
            </w:pPr>
            <w:r>
              <w:rPr>
                <w:rFonts w:hint="eastAsia" w:cs="宋体"/>
                <w:sz w:val="24"/>
                <w:szCs w:val="24"/>
              </w:rPr>
              <w:t>480</w:t>
            </w:r>
          </w:p>
        </w:tc>
        <w:tc>
          <w:tcPr>
            <w:tcW w:w="2498" w:type="dxa"/>
            <w:vAlign w:val="center"/>
          </w:tcPr>
          <w:p w14:paraId="7A747CD1">
            <w:pPr>
              <w:pStyle w:val="71"/>
              <w:spacing w:line="360" w:lineRule="auto"/>
              <w:ind w:firstLine="50"/>
              <w:rPr>
                <w:rFonts w:cs="宋体"/>
                <w:sz w:val="24"/>
                <w:szCs w:val="24"/>
              </w:rPr>
            </w:pPr>
            <w:r>
              <w:rPr>
                <w:rFonts w:hint="eastAsia" w:cs="宋体"/>
                <w:sz w:val="24"/>
                <w:szCs w:val="24"/>
              </w:rPr>
              <w:t>8</w:t>
            </w:r>
          </w:p>
        </w:tc>
      </w:tr>
      <w:tr w14:paraId="0636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323E7DDB">
            <w:pPr>
              <w:pStyle w:val="71"/>
              <w:spacing w:line="360" w:lineRule="auto"/>
              <w:ind w:firstLine="50"/>
              <w:rPr>
                <w:rFonts w:cs="宋体"/>
                <w:sz w:val="24"/>
                <w:szCs w:val="24"/>
              </w:rPr>
            </w:pPr>
            <w:r>
              <w:rPr>
                <w:rFonts w:hint="eastAsia" w:cs="宋体"/>
                <w:sz w:val="24"/>
                <w:szCs w:val="24"/>
              </w:rPr>
              <w:t>13</w:t>
            </w:r>
          </w:p>
        </w:tc>
        <w:tc>
          <w:tcPr>
            <w:tcW w:w="2577" w:type="dxa"/>
            <w:vAlign w:val="center"/>
          </w:tcPr>
          <w:p w14:paraId="6A390DEA">
            <w:pPr>
              <w:pStyle w:val="71"/>
              <w:spacing w:line="360" w:lineRule="auto"/>
              <w:ind w:firstLine="50"/>
              <w:rPr>
                <w:rFonts w:cs="宋体"/>
                <w:sz w:val="24"/>
                <w:szCs w:val="24"/>
              </w:rPr>
            </w:pPr>
            <w:r>
              <w:rPr>
                <w:rFonts w:hint="eastAsia" w:cs="宋体"/>
                <w:sz w:val="24"/>
                <w:szCs w:val="24"/>
              </w:rPr>
              <w:t>500</w:t>
            </w:r>
          </w:p>
        </w:tc>
        <w:tc>
          <w:tcPr>
            <w:tcW w:w="2525" w:type="dxa"/>
            <w:vAlign w:val="center"/>
          </w:tcPr>
          <w:p w14:paraId="5AF2F6B3">
            <w:pPr>
              <w:pStyle w:val="71"/>
              <w:spacing w:line="360" w:lineRule="auto"/>
              <w:ind w:firstLine="50"/>
              <w:rPr>
                <w:rFonts w:cs="宋体"/>
                <w:sz w:val="24"/>
                <w:szCs w:val="24"/>
              </w:rPr>
            </w:pPr>
            <w:r>
              <w:rPr>
                <w:rFonts w:hint="eastAsia" w:cs="宋体"/>
                <w:sz w:val="24"/>
                <w:szCs w:val="24"/>
              </w:rPr>
              <w:t>530</w:t>
            </w:r>
          </w:p>
        </w:tc>
        <w:tc>
          <w:tcPr>
            <w:tcW w:w="2498" w:type="dxa"/>
            <w:vAlign w:val="center"/>
          </w:tcPr>
          <w:p w14:paraId="53F65729">
            <w:pPr>
              <w:pStyle w:val="71"/>
              <w:spacing w:line="360" w:lineRule="auto"/>
              <w:ind w:firstLine="50"/>
              <w:rPr>
                <w:rFonts w:cs="宋体"/>
                <w:sz w:val="24"/>
                <w:szCs w:val="24"/>
              </w:rPr>
            </w:pPr>
            <w:r>
              <w:rPr>
                <w:rFonts w:hint="eastAsia" w:cs="宋体"/>
                <w:sz w:val="24"/>
                <w:szCs w:val="24"/>
              </w:rPr>
              <w:t>8</w:t>
            </w:r>
          </w:p>
        </w:tc>
      </w:tr>
      <w:tr w14:paraId="1B7C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A6CF561">
            <w:pPr>
              <w:pStyle w:val="71"/>
              <w:spacing w:line="360" w:lineRule="auto"/>
              <w:ind w:firstLine="50"/>
              <w:rPr>
                <w:rFonts w:cs="宋体"/>
                <w:sz w:val="24"/>
                <w:szCs w:val="24"/>
              </w:rPr>
            </w:pPr>
            <w:r>
              <w:rPr>
                <w:rFonts w:hint="eastAsia" w:cs="宋体"/>
                <w:sz w:val="24"/>
                <w:szCs w:val="24"/>
              </w:rPr>
              <w:t>14</w:t>
            </w:r>
          </w:p>
        </w:tc>
        <w:tc>
          <w:tcPr>
            <w:tcW w:w="2577" w:type="dxa"/>
            <w:vAlign w:val="center"/>
          </w:tcPr>
          <w:p w14:paraId="79C4F370">
            <w:pPr>
              <w:pStyle w:val="71"/>
              <w:spacing w:line="360" w:lineRule="auto"/>
              <w:ind w:firstLine="50"/>
              <w:rPr>
                <w:rFonts w:cs="宋体"/>
                <w:sz w:val="24"/>
                <w:szCs w:val="24"/>
              </w:rPr>
            </w:pPr>
            <w:r>
              <w:rPr>
                <w:rFonts w:hint="eastAsia" w:cs="宋体"/>
                <w:sz w:val="24"/>
                <w:szCs w:val="24"/>
              </w:rPr>
              <w:t>600</w:t>
            </w:r>
          </w:p>
        </w:tc>
        <w:tc>
          <w:tcPr>
            <w:tcW w:w="2525" w:type="dxa"/>
            <w:vAlign w:val="center"/>
          </w:tcPr>
          <w:p w14:paraId="5865F1D4">
            <w:pPr>
              <w:pStyle w:val="71"/>
              <w:spacing w:line="360" w:lineRule="auto"/>
              <w:ind w:firstLine="50"/>
              <w:rPr>
                <w:rFonts w:cs="宋体"/>
                <w:sz w:val="24"/>
                <w:szCs w:val="24"/>
              </w:rPr>
            </w:pPr>
            <w:r>
              <w:rPr>
                <w:rFonts w:hint="eastAsia" w:cs="宋体"/>
                <w:sz w:val="24"/>
                <w:szCs w:val="24"/>
              </w:rPr>
              <w:t>630</w:t>
            </w:r>
          </w:p>
        </w:tc>
        <w:tc>
          <w:tcPr>
            <w:tcW w:w="2498" w:type="dxa"/>
            <w:vAlign w:val="center"/>
          </w:tcPr>
          <w:p w14:paraId="0A1DD650">
            <w:pPr>
              <w:pStyle w:val="71"/>
              <w:spacing w:line="360" w:lineRule="auto"/>
              <w:ind w:firstLine="50"/>
              <w:rPr>
                <w:rFonts w:cs="宋体"/>
                <w:sz w:val="24"/>
                <w:szCs w:val="24"/>
              </w:rPr>
            </w:pPr>
            <w:r>
              <w:rPr>
                <w:rFonts w:hint="eastAsia" w:cs="宋体"/>
                <w:sz w:val="24"/>
                <w:szCs w:val="24"/>
              </w:rPr>
              <w:t>8</w:t>
            </w:r>
          </w:p>
        </w:tc>
      </w:tr>
      <w:tr w14:paraId="0C98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0DA08BE">
            <w:pPr>
              <w:pStyle w:val="71"/>
              <w:spacing w:line="360" w:lineRule="auto"/>
              <w:ind w:firstLine="50"/>
              <w:rPr>
                <w:rFonts w:cs="宋体"/>
                <w:sz w:val="24"/>
                <w:szCs w:val="24"/>
              </w:rPr>
            </w:pPr>
            <w:r>
              <w:rPr>
                <w:rFonts w:hint="eastAsia" w:cs="宋体"/>
                <w:sz w:val="24"/>
                <w:szCs w:val="24"/>
              </w:rPr>
              <w:t>15</w:t>
            </w:r>
          </w:p>
        </w:tc>
        <w:tc>
          <w:tcPr>
            <w:tcW w:w="2577" w:type="dxa"/>
            <w:vAlign w:val="center"/>
          </w:tcPr>
          <w:p w14:paraId="62835701">
            <w:pPr>
              <w:pStyle w:val="71"/>
              <w:spacing w:line="360" w:lineRule="auto"/>
              <w:ind w:firstLine="50"/>
              <w:rPr>
                <w:rFonts w:cs="宋体"/>
                <w:sz w:val="24"/>
                <w:szCs w:val="24"/>
              </w:rPr>
            </w:pPr>
            <w:r>
              <w:rPr>
                <w:rFonts w:hint="eastAsia" w:cs="宋体"/>
                <w:sz w:val="24"/>
                <w:szCs w:val="24"/>
              </w:rPr>
              <w:t>700</w:t>
            </w:r>
          </w:p>
        </w:tc>
        <w:tc>
          <w:tcPr>
            <w:tcW w:w="2525" w:type="dxa"/>
            <w:vAlign w:val="center"/>
          </w:tcPr>
          <w:p w14:paraId="15F5C915">
            <w:pPr>
              <w:pStyle w:val="71"/>
              <w:spacing w:line="360" w:lineRule="auto"/>
              <w:ind w:firstLine="50"/>
              <w:rPr>
                <w:rFonts w:cs="宋体"/>
                <w:sz w:val="24"/>
                <w:szCs w:val="24"/>
              </w:rPr>
            </w:pPr>
            <w:r>
              <w:rPr>
                <w:rFonts w:hint="eastAsia" w:cs="宋体"/>
                <w:sz w:val="24"/>
                <w:szCs w:val="24"/>
              </w:rPr>
              <w:t>720</w:t>
            </w:r>
          </w:p>
        </w:tc>
        <w:tc>
          <w:tcPr>
            <w:tcW w:w="2498" w:type="dxa"/>
            <w:vAlign w:val="center"/>
          </w:tcPr>
          <w:p w14:paraId="21DB44C9">
            <w:pPr>
              <w:pStyle w:val="71"/>
              <w:spacing w:line="360" w:lineRule="auto"/>
              <w:ind w:firstLine="50"/>
              <w:rPr>
                <w:rFonts w:cs="宋体"/>
                <w:sz w:val="24"/>
                <w:szCs w:val="24"/>
              </w:rPr>
            </w:pPr>
            <w:r>
              <w:rPr>
                <w:rFonts w:hint="eastAsia" w:cs="宋体"/>
                <w:sz w:val="24"/>
                <w:szCs w:val="24"/>
              </w:rPr>
              <w:t>8</w:t>
            </w:r>
          </w:p>
        </w:tc>
      </w:tr>
      <w:tr w14:paraId="418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116C02E9">
            <w:pPr>
              <w:pStyle w:val="71"/>
              <w:spacing w:line="360" w:lineRule="auto"/>
              <w:ind w:firstLine="50"/>
              <w:rPr>
                <w:rFonts w:cs="宋体"/>
                <w:sz w:val="24"/>
                <w:szCs w:val="24"/>
              </w:rPr>
            </w:pPr>
            <w:r>
              <w:rPr>
                <w:rFonts w:hint="eastAsia" w:cs="宋体"/>
                <w:sz w:val="24"/>
                <w:szCs w:val="24"/>
              </w:rPr>
              <w:t>16</w:t>
            </w:r>
          </w:p>
        </w:tc>
        <w:tc>
          <w:tcPr>
            <w:tcW w:w="2577" w:type="dxa"/>
            <w:vAlign w:val="center"/>
          </w:tcPr>
          <w:p w14:paraId="5893EFFE">
            <w:pPr>
              <w:pStyle w:val="71"/>
              <w:spacing w:line="360" w:lineRule="auto"/>
              <w:ind w:firstLine="50"/>
              <w:rPr>
                <w:rFonts w:cs="宋体"/>
                <w:sz w:val="24"/>
                <w:szCs w:val="24"/>
              </w:rPr>
            </w:pPr>
            <w:r>
              <w:rPr>
                <w:rFonts w:hint="eastAsia" w:cs="宋体"/>
                <w:sz w:val="24"/>
                <w:szCs w:val="24"/>
              </w:rPr>
              <w:t>800</w:t>
            </w:r>
          </w:p>
        </w:tc>
        <w:tc>
          <w:tcPr>
            <w:tcW w:w="2525" w:type="dxa"/>
            <w:vAlign w:val="center"/>
          </w:tcPr>
          <w:p w14:paraId="6FFC10BC">
            <w:pPr>
              <w:pStyle w:val="71"/>
              <w:spacing w:line="360" w:lineRule="auto"/>
              <w:ind w:firstLine="50"/>
              <w:rPr>
                <w:rFonts w:cs="宋体"/>
                <w:sz w:val="24"/>
                <w:szCs w:val="24"/>
              </w:rPr>
            </w:pPr>
            <w:r>
              <w:rPr>
                <w:rFonts w:hint="eastAsia" w:cs="宋体"/>
                <w:sz w:val="24"/>
                <w:szCs w:val="24"/>
              </w:rPr>
              <w:t>820</w:t>
            </w:r>
          </w:p>
        </w:tc>
        <w:tc>
          <w:tcPr>
            <w:tcW w:w="2498" w:type="dxa"/>
            <w:vAlign w:val="center"/>
          </w:tcPr>
          <w:p w14:paraId="718D2851">
            <w:pPr>
              <w:pStyle w:val="71"/>
              <w:spacing w:line="360" w:lineRule="auto"/>
              <w:ind w:firstLine="50"/>
              <w:rPr>
                <w:rFonts w:cs="宋体"/>
                <w:sz w:val="24"/>
                <w:szCs w:val="24"/>
              </w:rPr>
            </w:pPr>
            <w:r>
              <w:rPr>
                <w:rFonts w:hint="eastAsia" w:cs="宋体"/>
                <w:sz w:val="24"/>
                <w:szCs w:val="24"/>
              </w:rPr>
              <w:t>10</w:t>
            </w:r>
          </w:p>
        </w:tc>
      </w:tr>
      <w:tr w14:paraId="7F5C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5719FBB3">
            <w:pPr>
              <w:pStyle w:val="71"/>
              <w:spacing w:line="360" w:lineRule="auto"/>
              <w:ind w:firstLine="50"/>
              <w:rPr>
                <w:rFonts w:cs="宋体"/>
                <w:sz w:val="24"/>
                <w:szCs w:val="24"/>
              </w:rPr>
            </w:pPr>
            <w:r>
              <w:rPr>
                <w:rFonts w:hint="eastAsia" w:cs="宋体"/>
                <w:sz w:val="24"/>
                <w:szCs w:val="24"/>
              </w:rPr>
              <w:t>17</w:t>
            </w:r>
          </w:p>
        </w:tc>
        <w:tc>
          <w:tcPr>
            <w:tcW w:w="2577" w:type="dxa"/>
            <w:vAlign w:val="center"/>
          </w:tcPr>
          <w:p w14:paraId="5E2EB010">
            <w:pPr>
              <w:pStyle w:val="71"/>
              <w:spacing w:line="360" w:lineRule="auto"/>
              <w:ind w:firstLine="50"/>
              <w:rPr>
                <w:rFonts w:cs="宋体"/>
                <w:sz w:val="24"/>
                <w:szCs w:val="24"/>
              </w:rPr>
            </w:pPr>
            <w:r>
              <w:rPr>
                <w:rFonts w:hint="eastAsia" w:cs="宋体"/>
                <w:sz w:val="24"/>
                <w:szCs w:val="24"/>
              </w:rPr>
              <w:t>900</w:t>
            </w:r>
          </w:p>
        </w:tc>
        <w:tc>
          <w:tcPr>
            <w:tcW w:w="2525" w:type="dxa"/>
            <w:vAlign w:val="center"/>
          </w:tcPr>
          <w:p w14:paraId="15000D80">
            <w:pPr>
              <w:pStyle w:val="71"/>
              <w:spacing w:line="360" w:lineRule="auto"/>
              <w:ind w:firstLine="50"/>
              <w:rPr>
                <w:rFonts w:cs="宋体"/>
                <w:sz w:val="24"/>
                <w:szCs w:val="24"/>
              </w:rPr>
            </w:pPr>
            <w:r>
              <w:rPr>
                <w:rFonts w:hint="eastAsia" w:cs="宋体"/>
                <w:sz w:val="24"/>
                <w:szCs w:val="24"/>
              </w:rPr>
              <w:t>920</w:t>
            </w:r>
          </w:p>
        </w:tc>
        <w:tc>
          <w:tcPr>
            <w:tcW w:w="2498" w:type="dxa"/>
            <w:vAlign w:val="center"/>
          </w:tcPr>
          <w:p w14:paraId="1788684E">
            <w:pPr>
              <w:pStyle w:val="71"/>
              <w:spacing w:line="360" w:lineRule="auto"/>
              <w:ind w:firstLine="50"/>
              <w:rPr>
                <w:rFonts w:cs="宋体"/>
                <w:sz w:val="24"/>
                <w:szCs w:val="24"/>
              </w:rPr>
            </w:pPr>
            <w:r>
              <w:rPr>
                <w:rFonts w:hint="eastAsia" w:cs="宋体"/>
                <w:sz w:val="24"/>
                <w:szCs w:val="24"/>
              </w:rPr>
              <w:t>10</w:t>
            </w:r>
          </w:p>
        </w:tc>
      </w:tr>
      <w:tr w14:paraId="0CD4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1ECC42DD">
            <w:pPr>
              <w:pStyle w:val="71"/>
              <w:spacing w:line="360" w:lineRule="auto"/>
              <w:ind w:firstLine="50"/>
              <w:rPr>
                <w:rFonts w:cs="宋体"/>
                <w:sz w:val="24"/>
                <w:szCs w:val="24"/>
              </w:rPr>
            </w:pPr>
            <w:r>
              <w:rPr>
                <w:rFonts w:hint="eastAsia" w:cs="宋体"/>
                <w:sz w:val="24"/>
                <w:szCs w:val="24"/>
              </w:rPr>
              <w:t>18</w:t>
            </w:r>
          </w:p>
        </w:tc>
        <w:tc>
          <w:tcPr>
            <w:tcW w:w="2577" w:type="dxa"/>
            <w:vAlign w:val="center"/>
          </w:tcPr>
          <w:p w14:paraId="19D9F3A5">
            <w:pPr>
              <w:pStyle w:val="71"/>
              <w:spacing w:line="360" w:lineRule="auto"/>
              <w:ind w:firstLine="50"/>
              <w:rPr>
                <w:rFonts w:cs="宋体"/>
                <w:sz w:val="24"/>
                <w:szCs w:val="24"/>
              </w:rPr>
            </w:pPr>
            <w:r>
              <w:rPr>
                <w:rFonts w:hint="eastAsia" w:cs="宋体"/>
                <w:sz w:val="24"/>
                <w:szCs w:val="24"/>
              </w:rPr>
              <w:t>1000</w:t>
            </w:r>
          </w:p>
        </w:tc>
        <w:tc>
          <w:tcPr>
            <w:tcW w:w="2525" w:type="dxa"/>
            <w:vAlign w:val="center"/>
          </w:tcPr>
          <w:p w14:paraId="7D4CE98F">
            <w:pPr>
              <w:pStyle w:val="71"/>
              <w:spacing w:line="360" w:lineRule="auto"/>
              <w:ind w:firstLine="50"/>
              <w:rPr>
                <w:rFonts w:cs="宋体"/>
                <w:sz w:val="24"/>
                <w:szCs w:val="24"/>
              </w:rPr>
            </w:pPr>
            <w:r>
              <w:rPr>
                <w:rFonts w:hint="eastAsia" w:cs="宋体"/>
                <w:sz w:val="24"/>
                <w:szCs w:val="24"/>
              </w:rPr>
              <w:t>1020</w:t>
            </w:r>
          </w:p>
        </w:tc>
        <w:tc>
          <w:tcPr>
            <w:tcW w:w="2498" w:type="dxa"/>
            <w:vAlign w:val="center"/>
          </w:tcPr>
          <w:p w14:paraId="190579EF">
            <w:pPr>
              <w:pStyle w:val="71"/>
              <w:spacing w:line="360" w:lineRule="auto"/>
              <w:ind w:firstLine="50"/>
              <w:rPr>
                <w:rFonts w:cs="宋体"/>
                <w:sz w:val="24"/>
                <w:szCs w:val="24"/>
              </w:rPr>
            </w:pPr>
            <w:r>
              <w:rPr>
                <w:rFonts w:hint="eastAsia" w:cs="宋体"/>
                <w:sz w:val="24"/>
                <w:szCs w:val="24"/>
              </w:rPr>
              <w:t>10</w:t>
            </w:r>
          </w:p>
        </w:tc>
      </w:tr>
      <w:tr w14:paraId="547A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7A70D662">
            <w:pPr>
              <w:pStyle w:val="71"/>
              <w:spacing w:line="360" w:lineRule="auto"/>
              <w:ind w:firstLine="50"/>
              <w:rPr>
                <w:rFonts w:cs="宋体"/>
                <w:sz w:val="24"/>
                <w:szCs w:val="24"/>
              </w:rPr>
            </w:pPr>
            <w:r>
              <w:rPr>
                <w:rFonts w:hint="eastAsia" w:cs="宋体"/>
                <w:sz w:val="24"/>
                <w:szCs w:val="24"/>
              </w:rPr>
              <w:t>19</w:t>
            </w:r>
          </w:p>
        </w:tc>
        <w:tc>
          <w:tcPr>
            <w:tcW w:w="2577" w:type="dxa"/>
            <w:vAlign w:val="center"/>
          </w:tcPr>
          <w:p w14:paraId="67095B3B">
            <w:pPr>
              <w:pStyle w:val="71"/>
              <w:spacing w:line="360" w:lineRule="auto"/>
              <w:ind w:firstLine="50"/>
              <w:rPr>
                <w:rFonts w:cs="宋体"/>
                <w:sz w:val="24"/>
                <w:szCs w:val="24"/>
              </w:rPr>
            </w:pPr>
            <w:r>
              <w:rPr>
                <w:rFonts w:hint="eastAsia" w:cs="宋体"/>
                <w:sz w:val="24"/>
                <w:szCs w:val="24"/>
              </w:rPr>
              <w:t>1200</w:t>
            </w:r>
          </w:p>
        </w:tc>
        <w:tc>
          <w:tcPr>
            <w:tcW w:w="2525" w:type="dxa"/>
            <w:vAlign w:val="center"/>
          </w:tcPr>
          <w:p w14:paraId="332E751B">
            <w:pPr>
              <w:pStyle w:val="71"/>
              <w:spacing w:line="360" w:lineRule="auto"/>
              <w:ind w:firstLine="50"/>
              <w:rPr>
                <w:rFonts w:cs="宋体"/>
                <w:sz w:val="24"/>
                <w:szCs w:val="24"/>
              </w:rPr>
            </w:pPr>
            <w:r>
              <w:rPr>
                <w:rFonts w:hint="eastAsia" w:cs="宋体"/>
                <w:sz w:val="24"/>
                <w:szCs w:val="24"/>
              </w:rPr>
              <w:t>1220</w:t>
            </w:r>
          </w:p>
        </w:tc>
        <w:tc>
          <w:tcPr>
            <w:tcW w:w="2498" w:type="dxa"/>
            <w:vAlign w:val="center"/>
          </w:tcPr>
          <w:p w14:paraId="30E7641F">
            <w:pPr>
              <w:pStyle w:val="71"/>
              <w:spacing w:line="360" w:lineRule="auto"/>
              <w:ind w:firstLine="50"/>
              <w:rPr>
                <w:rFonts w:cs="宋体"/>
                <w:sz w:val="24"/>
                <w:szCs w:val="24"/>
              </w:rPr>
            </w:pPr>
            <w:r>
              <w:rPr>
                <w:rFonts w:hint="eastAsia" w:cs="宋体"/>
                <w:sz w:val="24"/>
                <w:szCs w:val="24"/>
              </w:rPr>
              <w:t>12</w:t>
            </w:r>
          </w:p>
        </w:tc>
      </w:tr>
      <w:tr w14:paraId="030A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4651AB2C">
            <w:pPr>
              <w:pStyle w:val="71"/>
              <w:spacing w:line="360" w:lineRule="auto"/>
              <w:ind w:firstLine="50"/>
              <w:rPr>
                <w:rFonts w:cs="宋体"/>
                <w:sz w:val="24"/>
                <w:szCs w:val="24"/>
              </w:rPr>
            </w:pPr>
            <w:r>
              <w:rPr>
                <w:rFonts w:hint="eastAsia" w:cs="宋体"/>
                <w:sz w:val="24"/>
                <w:szCs w:val="24"/>
              </w:rPr>
              <w:t>20</w:t>
            </w:r>
          </w:p>
        </w:tc>
        <w:tc>
          <w:tcPr>
            <w:tcW w:w="2577" w:type="dxa"/>
            <w:vAlign w:val="center"/>
          </w:tcPr>
          <w:p w14:paraId="6D4F7A10">
            <w:pPr>
              <w:pStyle w:val="71"/>
              <w:spacing w:line="360" w:lineRule="auto"/>
              <w:ind w:firstLine="50"/>
              <w:rPr>
                <w:rFonts w:cs="宋体"/>
                <w:sz w:val="24"/>
                <w:szCs w:val="24"/>
              </w:rPr>
            </w:pPr>
            <w:r>
              <w:rPr>
                <w:rFonts w:hint="eastAsia" w:cs="宋体"/>
                <w:sz w:val="24"/>
                <w:szCs w:val="24"/>
              </w:rPr>
              <w:t>1400</w:t>
            </w:r>
          </w:p>
        </w:tc>
        <w:tc>
          <w:tcPr>
            <w:tcW w:w="2525" w:type="dxa"/>
            <w:vAlign w:val="center"/>
          </w:tcPr>
          <w:p w14:paraId="11033541">
            <w:pPr>
              <w:pStyle w:val="71"/>
              <w:spacing w:line="360" w:lineRule="auto"/>
              <w:ind w:firstLine="50"/>
              <w:rPr>
                <w:rFonts w:cs="宋体"/>
                <w:sz w:val="24"/>
                <w:szCs w:val="24"/>
              </w:rPr>
            </w:pPr>
            <w:r>
              <w:rPr>
                <w:rFonts w:hint="eastAsia" w:cs="宋体"/>
                <w:sz w:val="24"/>
                <w:szCs w:val="24"/>
              </w:rPr>
              <w:t>1420</w:t>
            </w:r>
          </w:p>
        </w:tc>
        <w:tc>
          <w:tcPr>
            <w:tcW w:w="2498" w:type="dxa"/>
            <w:vAlign w:val="center"/>
          </w:tcPr>
          <w:p w14:paraId="068FAB30">
            <w:pPr>
              <w:pStyle w:val="71"/>
              <w:spacing w:line="360" w:lineRule="auto"/>
              <w:ind w:firstLine="50"/>
              <w:rPr>
                <w:rFonts w:cs="宋体"/>
                <w:sz w:val="24"/>
                <w:szCs w:val="24"/>
              </w:rPr>
            </w:pPr>
            <w:r>
              <w:rPr>
                <w:rFonts w:hint="eastAsia" w:cs="宋体"/>
                <w:sz w:val="24"/>
                <w:szCs w:val="24"/>
              </w:rPr>
              <w:t>12</w:t>
            </w:r>
          </w:p>
        </w:tc>
      </w:tr>
      <w:tr w14:paraId="5ECD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2C8FB359">
            <w:pPr>
              <w:pStyle w:val="71"/>
              <w:spacing w:line="360" w:lineRule="auto"/>
              <w:ind w:firstLine="50"/>
              <w:rPr>
                <w:rFonts w:cs="宋体"/>
                <w:sz w:val="24"/>
                <w:szCs w:val="24"/>
              </w:rPr>
            </w:pPr>
            <w:r>
              <w:rPr>
                <w:rFonts w:hint="eastAsia" w:cs="宋体"/>
                <w:sz w:val="24"/>
                <w:szCs w:val="24"/>
              </w:rPr>
              <w:t>21</w:t>
            </w:r>
          </w:p>
        </w:tc>
        <w:tc>
          <w:tcPr>
            <w:tcW w:w="2577" w:type="dxa"/>
            <w:vAlign w:val="center"/>
          </w:tcPr>
          <w:p w14:paraId="611319CD">
            <w:pPr>
              <w:pStyle w:val="71"/>
              <w:spacing w:line="360" w:lineRule="auto"/>
              <w:ind w:firstLine="50"/>
              <w:rPr>
                <w:rFonts w:cs="宋体"/>
                <w:sz w:val="24"/>
                <w:szCs w:val="24"/>
              </w:rPr>
            </w:pPr>
            <w:r>
              <w:rPr>
                <w:rFonts w:hint="eastAsia" w:cs="宋体"/>
                <w:sz w:val="24"/>
                <w:szCs w:val="24"/>
              </w:rPr>
              <w:t>1600</w:t>
            </w:r>
          </w:p>
        </w:tc>
        <w:tc>
          <w:tcPr>
            <w:tcW w:w="2525" w:type="dxa"/>
            <w:vAlign w:val="center"/>
          </w:tcPr>
          <w:p w14:paraId="52F0445B">
            <w:pPr>
              <w:pStyle w:val="71"/>
              <w:spacing w:line="360" w:lineRule="auto"/>
              <w:ind w:firstLine="50"/>
              <w:rPr>
                <w:rFonts w:cs="宋体"/>
                <w:sz w:val="24"/>
                <w:szCs w:val="24"/>
              </w:rPr>
            </w:pPr>
            <w:r>
              <w:rPr>
                <w:rFonts w:hint="eastAsia" w:cs="宋体"/>
                <w:sz w:val="24"/>
                <w:szCs w:val="24"/>
              </w:rPr>
              <w:t>1620</w:t>
            </w:r>
          </w:p>
        </w:tc>
        <w:tc>
          <w:tcPr>
            <w:tcW w:w="2498" w:type="dxa"/>
            <w:vAlign w:val="center"/>
          </w:tcPr>
          <w:p w14:paraId="0B3E7119">
            <w:pPr>
              <w:pStyle w:val="71"/>
              <w:spacing w:line="360" w:lineRule="auto"/>
              <w:ind w:firstLine="50"/>
              <w:rPr>
                <w:rFonts w:cs="宋体"/>
                <w:sz w:val="24"/>
                <w:szCs w:val="24"/>
              </w:rPr>
            </w:pPr>
            <w:r>
              <w:rPr>
                <w:rFonts w:hint="eastAsia" w:cs="宋体"/>
                <w:sz w:val="24"/>
                <w:szCs w:val="24"/>
              </w:rPr>
              <w:t>14</w:t>
            </w:r>
          </w:p>
        </w:tc>
      </w:tr>
      <w:tr w14:paraId="587E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545E469C">
            <w:pPr>
              <w:pStyle w:val="71"/>
              <w:spacing w:line="360" w:lineRule="auto"/>
              <w:ind w:firstLine="50"/>
              <w:rPr>
                <w:rFonts w:cs="宋体"/>
                <w:sz w:val="24"/>
                <w:szCs w:val="24"/>
              </w:rPr>
            </w:pPr>
            <w:r>
              <w:rPr>
                <w:rFonts w:hint="eastAsia" w:cs="宋体"/>
                <w:sz w:val="24"/>
                <w:szCs w:val="24"/>
              </w:rPr>
              <w:t>22</w:t>
            </w:r>
          </w:p>
        </w:tc>
        <w:tc>
          <w:tcPr>
            <w:tcW w:w="2577" w:type="dxa"/>
            <w:vAlign w:val="center"/>
          </w:tcPr>
          <w:p w14:paraId="7684D00B">
            <w:pPr>
              <w:pStyle w:val="71"/>
              <w:spacing w:line="360" w:lineRule="auto"/>
              <w:ind w:firstLine="50"/>
              <w:rPr>
                <w:rFonts w:cs="宋体"/>
                <w:sz w:val="24"/>
                <w:szCs w:val="24"/>
              </w:rPr>
            </w:pPr>
            <w:r>
              <w:rPr>
                <w:rFonts w:hint="eastAsia" w:cs="宋体"/>
                <w:sz w:val="24"/>
                <w:szCs w:val="24"/>
              </w:rPr>
              <w:t>1800</w:t>
            </w:r>
          </w:p>
        </w:tc>
        <w:tc>
          <w:tcPr>
            <w:tcW w:w="2525" w:type="dxa"/>
            <w:vAlign w:val="center"/>
          </w:tcPr>
          <w:p w14:paraId="4D449186">
            <w:pPr>
              <w:pStyle w:val="71"/>
              <w:spacing w:line="360" w:lineRule="auto"/>
              <w:ind w:firstLine="50"/>
              <w:rPr>
                <w:rFonts w:cs="宋体"/>
                <w:sz w:val="24"/>
                <w:szCs w:val="24"/>
              </w:rPr>
            </w:pPr>
            <w:r>
              <w:rPr>
                <w:rFonts w:hint="eastAsia" w:cs="宋体"/>
                <w:sz w:val="24"/>
                <w:szCs w:val="24"/>
              </w:rPr>
              <w:t>1820</w:t>
            </w:r>
          </w:p>
        </w:tc>
        <w:tc>
          <w:tcPr>
            <w:tcW w:w="2498" w:type="dxa"/>
            <w:vAlign w:val="center"/>
          </w:tcPr>
          <w:p w14:paraId="15BE8DF7">
            <w:pPr>
              <w:pStyle w:val="71"/>
              <w:spacing w:line="360" w:lineRule="auto"/>
              <w:ind w:firstLine="50"/>
              <w:rPr>
                <w:rFonts w:cs="宋体"/>
                <w:sz w:val="24"/>
                <w:szCs w:val="24"/>
              </w:rPr>
            </w:pPr>
            <w:r>
              <w:rPr>
                <w:rFonts w:hint="eastAsia" w:cs="宋体"/>
                <w:sz w:val="24"/>
                <w:szCs w:val="24"/>
              </w:rPr>
              <w:t>16</w:t>
            </w:r>
          </w:p>
        </w:tc>
      </w:tr>
      <w:tr w14:paraId="2F9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8862BB3">
            <w:pPr>
              <w:pStyle w:val="71"/>
              <w:spacing w:line="360" w:lineRule="auto"/>
              <w:ind w:firstLine="50"/>
              <w:rPr>
                <w:rFonts w:cs="宋体"/>
                <w:sz w:val="24"/>
                <w:szCs w:val="24"/>
              </w:rPr>
            </w:pPr>
            <w:r>
              <w:rPr>
                <w:rFonts w:hint="eastAsia" w:cs="宋体"/>
                <w:sz w:val="24"/>
                <w:szCs w:val="24"/>
              </w:rPr>
              <w:t>23</w:t>
            </w:r>
          </w:p>
        </w:tc>
        <w:tc>
          <w:tcPr>
            <w:tcW w:w="2577" w:type="dxa"/>
            <w:vAlign w:val="center"/>
          </w:tcPr>
          <w:p w14:paraId="69929694">
            <w:pPr>
              <w:pStyle w:val="71"/>
              <w:spacing w:line="360" w:lineRule="auto"/>
              <w:ind w:firstLine="50"/>
              <w:rPr>
                <w:rFonts w:cs="宋体"/>
                <w:sz w:val="24"/>
                <w:szCs w:val="24"/>
              </w:rPr>
            </w:pPr>
            <w:r>
              <w:rPr>
                <w:rFonts w:hint="eastAsia" w:cs="宋体"/>
                <w:sz w:val="24"/>
                <w:szCs w:val="24"/>
              </w:rPr>
              <w:t>2000</w:t>
            </w:r>
          </w:p>
        </w:tc>
        <w:tc>
          <w:tcPr>
            <w:tcW w:w="2525" w:type="dxa"/>
            <w:vAlign w:val="center"/>
          </w:tcPr>
          <w:p w14:paraId="738F1F79">
            <w:pPr>
              <w:pStyle w:val="71"/>
              <w:spacing w:line="360" w:lineRule="auto"/>
              <w:ind w:firstLine="50"/>
              <w:rPr>
                <w:rFonts w:cs="宋体"/>
                <w:sz w:val="24"/>
                <w:szCs w:val="24"/>
              </w:rPr>
            </w:pPr>
            <w:r>
              <w:rPr>
                <w:rFonts w:hint="eastAsia" w:cs="宋体"/>
                <w:sz w:val="24"/>
                <w:szCs w:val="24"/>
              </w:rPr>
              <w:t>2020</w:t>
            </w:r>
          </w:p>
        </w:tc>
        <w:tc>
          <w:tcPr>
            <w:tcW w:w="2498" w:type="dxa"/>
            <w:vAlign w:val="center"/>
          </w:tcPr>
          <w:p w14:paraId="63635FA5">
            <w:pPr>
              <w:pStyle w:val="71"/>
              <w:spacing w:line="360" w:lineRule="auto"/>
              <w:ind w:firstLine="50"/>
              <w:rPr>
                <w:rFonts w:cs="宋体"/>
                <w:sz w:val="24"/>
                <w:szCs w:val="24"/>
              </w:rPr>
            </w:pPr>
            <w:r>
              <w:rPr>
                <w:rFonts w:hint="eastAsia" w:cs="宋体"/>
                <w:sz w:val="24"/>
                <w:szCs w:val="24"/>
              </w:rPr>
              <w:t>18</w:t>
            </w:r>
          </w:p>
        </w:tc>
      </w:tr>
      <w:tr w14:paraId="0B86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F9904CD">
            <w:pPr>
              <w:pStyle w:val="71"/>
              <w:spacing w:line="360" w:lineRule="auto"/>
              <w:ind w:firstLine="50"/>
              <w:rPr>
                <w:rFonts w:cs="宋体"/>
                <w:sz w:val="24"/>
                <w:szCs w:val="24"/>
              </w:rPr>
            </w:pPr>
            <w:r>
              <w:rPr>
                <w:rFonts w:hint="eastAsia" w:cs="宋体"/>
                <w:sz w:val="24"/>
                <w:szCs w:val="24"/>
              </w:rPr>
              <w:t>24</w:t>
            </w:r>
          </w:p>
        </w:tc>
        <w:tc>
          <w:tcPr>
            <w:tcW w:w="2577" w:type="dxa"/>
            <w:vAlign w:val="center"/>
          </w:tcPr>
          <w:p w14:paraId="1551C5BF">
            <w:pPr>
              <w:pStyle w:val="71"/>
              <w:spacing w:line="360" w:lineRule="auto"/>
              <w:ind w:firstLine="50"/>
              <w:rPr>
                <w:rFonts w:cs="宋体"/>
                <w:sz w:val="24"/>
                <w:szCs w:val="24"/>
              </w:rPr>
            </w:pPr>
            <w:r>
              <w:rPr>
                <w:rFonts w:hint="eastAsia" w:cs="宋体"/>
                <w:sz w:val="24"/>
                <w:szCs w:val="24"/>
              </w:rPr>
              <w:t>2200</w:t>
            </w:r>
          </w:p>
        </w:tc>
        <w:tc>
          <w:tcPr>
            <w:tcW w:w="2525" w:type="dxa"/>
            <w:vAlign w:val="center"/>
          </w:tcPr>
          <w:p w14:paraId="0B2419A6">
            <w:pPr>
              <w:pStyle w:val="71"/>
              <w:spacing w:line="360" w:lineRule="auto"/>
              <w:ind w:firstLine="50"/>
              <w:rPr>
                <w:rFonts w:cs="宋体"/>
                <w:sz w:val="24"/>
                <w:szCs w:val="24"/>
              </w:rPr>
            </w:pPr>
            <w:r>
              <w:rPr>
                <w:rFonts w:hint="eastAsia" w:cs="宋体"/>
                <w:sz w:val="24"/>
                <w:szCs w:val="24"/>
              </w:rPr>
              <w:t>2220</w:t>
            </w:r>
          </w:p>
        </w:tc>
        <w:tc>
          <w:tcPr>
            <w:tcW w:w="2498" w:type="dxa"/>
            <w:vAlign w:val="center"/>
          </w:tcPr>
          <w:p w14:paraId="7835B13A">
            <w:pPr>
              <w:pStyle w:val="71"/>
              <w:spacing w:line="360" w:lineRule="auto"/>
              <w:ind w:firstLine="50"/>
              <w:rPr>
                <w:rFonts w:cs="宋体"/>
                <w:sz w:val="24"/>
                <w:szCs w:val="24"/>
              </w:rPr>
            </w:pPr>
            <w:r>
              <w:rPr>
                <w:rFonts w:hint="eastAsia" w:cs="宋体"/>
                <w:sz w:val="24"/>
                <w:szCs w:val="24"/>
              </w:rPr>
              <w:t>20</w:t>
            </w:r>
          </w:p>
        </w:tc>
      </w:tr>
      <w:tr w14:paraId="616D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096A3D88">
            <w:pPr>
              <w:pStyle w:val="71"/>
              <w:spacing w:line="360" w:lineRule="auto"/>
              <w:ind w:firstLine="50"/>
              <w:rPr>
                <w:rFonts w:cs="宋体"/>
                <w:sz w:val="24"/>
                <w:szCs w:val="24"/>
              </w:rPr>
            </w:pPr>
            <w:r>
              <w:rPr>
                <w:rFonts w:hint="eastAsia" w:cs="宋体"/>
                <w:sz w:val="24"/>
                <w:szCs w:val="24"/>
              </w:rPr>
              <w:t>25</w:t>
            </w:r>
          </w:p>
        </w:tc>
        <w:tc>
          <w:tcPr>
            <w:tcW w:w="2577" w:type="dxa"/>
            <w:vAlign w:val="center"/>
          </w:tcPr>
          <w:p w14:paraId="746B2444">
            <w:pPr>
              <w:pStyle w:val="71"/>
              <w:spacing w:line="360" w:lineRule="auto"/>
              <w:ind w:firstLine="50"/>
              <w:rPr>
                <w:rFonts w:cs="宋体"/>
                <w:sz w:val="24"/>
                <w:szCs w:val="24"/>
              </w:rPr>
            </w:pPr>
            <w:r>
              <w:rPr>
                <w:rFonts w:hint="eastAsia" w:cs="宋体"/>
                <w:sz w:val="24"/>
                <w:szCs w:val="24"/>
              </w:rPr>
              <w:t>2400</w:t>
            </w:r>
          </w:p>
        </w:tc>
        <w:tc>
          <w:tcPr>
            <w:tcW w:w="2525" w:type="dxa"/>
            <w:vAlign w:val="center"/>
          </w:tcPr>
          <w:p w14:paraId="138973A8">
            <w:pPr>
              <w:pStyle w:val="71"/>
              <w:spacing w:line="360" w:lineRule="auto"/>
              <w:ind w:firstLine="50"/>
              <w:rPr>
                <w:rFonts w:cs="宋体"/>
                <w:sz w:val="24"/>
                <w:szCs w:val="24"/>
              </w:rPr>
            </w:pPr>
            <w:r>
              <w:rPr>
                <w:rFonts w:hint="eastAsia" w:cs="宋体"/>
                <w:sz w:val="24"/>
                <w:szCs w:val="24"/>
              </w:rPr>
              <w:t>2420</w:t>
            </w:r>
          </w:p>
        </w:tc>
        <w:tc>
          <w:tcPr>
            <w:tcW w:w="2498" w:type="dxa"/>
            <w:vAlign w:val="center"/>
          </w:tcPr>
          <w:p w14:paraId="343A8E49">
            <w:pPr>
              <w:pStyle w:val="71"/>
              <w:spacing w:line="360" w:lineRule="auto"/>
              <w:ind w:firstLine="50"/>
              <w:rPr>
                <w:rFonts w:cs="宋体"/>
                <w:sz w:val="24"/>
                <w:szCs w:val="24"/>
              </w:rPr>
            </w:pPr>
            <w:r>
              <w:rPr>
                <w:rFonts w:hint="eastAsia" w:cs="宋体"/>
                <w:sz w:val="24"/>
                <w:szCs w:val="24"/>
              </w:rPr>
              <w:t>20</w:t>
            </w:r>
          </w:p>
        </w:tc>
      </w:tr>
      <w:tr w14:paraId="63AB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14:paraId="40FA38D1">
            <w:pPr>
              <w:pStyle w:val="71"/>
              <w:spacing w:line="360" w:lineRule="auto"/>
              <w:ind w:firstLine="50"/>
              <w:rPr>
                <w:rFonts w:cs="宋体"/>
                <w:sz w:val="24"/>
                <w:szCs w:val="24"/>
              </w:rPr>
            </w:pPr>
            <w:r>
              <w:rPr>
                <w:rFonts w:hint="eastAsia" w:cs="宋体"/>
                <w:sz w:val="24"/>
                <w:szCs w:val="24"/>
              </w:rPr>
              <w:t>26</w:t>
            </w:r>
          </w:p>
        </w:tc>
        <w:tc>
          <w:tcPr>
            <w:tcW w:w="2577" w:type="dxa"/>
            <w:vAlign w:val="center"/>
          </w:tcPr>
          <w:p w14:paraId="48EA0B5D">
            <w:pPr>
              <w:pStyle w:val="71"/>
              <w:spacing w:line="360" w:lineRule="auto"/>
              <w:ind w:firstLine="50"/>
              <w:rPr>
                <w:rFonts w:cs="宋体"/>
                <w:sz w:val="24"/>
                <w:szCs w:val="24"/>
              </w:rPr>
            </w:pPr>
            <w:r>
              <w:rPr>
                <w:rFonts w:hint="eastAsia" w:cs="宋体"/>
                <w:sz w:val="24"/>
                <w:szCs w:val="24"/>
              </w:rPr>
              <w:t>2600</w:t>
            </w:r>
          </w:p>
        </w:tc>
        <w:tc>
          <w:tcPr>
            <w:tcW w:w="2525" w:type="dxa"/>
            <w:vAlign w:val="center"/>
          </w:tcPr>
          <w:p w14:paraId="20FDA2B7">
            <w:pPr>
              <w:pStyle w:val="71"/>
              <w:spacing w:line="360" w:lineRule="auto"/>
              <w:ind w:firstLine="50"/>
              <w:rPr>
                <w:rFonts w:cs="宋体"/>
                <w:sz w:val="24"/>
                <w:szCs w:val="24"/>
              </w:rPr>
            </w:pPr>
            <w:r>
              <w:rPr>
                <w:rFonts w:hint="eastAsia" w:cs="宋体"/>
                <w:sz w:val="24"/>
                <w:szCs w:val="24"/>
              </w:rPr>
              <w:t>2620</w:t>
            </w:r>
          </w:p>
        </w:tc>
        <w:tc>
          <w:tcPr>
            <w:tcW w:w="2498" w:type="dxa"/>
            <w:vAlign w:val="center"/>
          </w:tcPr>
          <w:p w14:paraId="3A2190AE">
            <w:pPr>
              <w:pStyle w:val="71"/>
              <w:spacing w:line="360" w:lineRule="auto"/>
              <w:ind w:firstLine="50"/>
              <w:rPr>
                <w:rFonts w:cs="宋体"/>
                <w:sz w:val="24"/>
                <w:szCs w:val="24"/>
              </w:rPr>
            </w:pPr>
            <w:r>
              <w:rPr>
                <w:rFonts w:hint="eastAsia" w:cs="宋体"/>
                <w:sz w:val="24"/>
                <w:szCs w:val="24"/>
              </w:rPr>
              <w:t>20</w:t>
            </w:r>
          </w:p>
        </w:tc>
      </w:tr>
    </w:tbl>
    <w:p w14:paraId="21C32F78">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除特殊要求外，不锈钢管公称直径、壁厚、外径统一如下：</w:t>
      </w:r>
    </w:p>
    <w:p w14:paraId="3B6D8229">
      <w:pPr>
        <w:widowControl/>
        <w:overflowPunct w:val="0"/>
        <w:autoSpaceDE w:val="0"/>
        <w:autoSpaceDN w:val="0"/>
        <w:adjustRightInd w:val="0"/>
        <w:spacing w:line="360" w:lineRule="auto"/>
        <w:ind w:firstLine="960" w:firstLineChars="400"/>
        <w:jc w:val="center"/>
        <w:textAlignment w:val="baseline"/>
        <w:rPr>
          <w:rFonts w:ascii="宋体" w:hAnsi="宋体" w:cs="宋体"/>
          <w:kern w:val="0"/>
          <w:sz w:val="24"/>
        </w:rPr>
      </w:pPr>
      <w:r>
        <w:rPr>
          <w:rFonts w:hint="eastAsia" w:ascii="宋体" w:hAnsi="宋体" w:cs="宋体"/>
          <w:kern w:val="0"/>
          <w:sz w:val="24"/>
        </w:rPr>
        <w:t>不锈钢管公称直径、壁厚、外径一览表（mm）（国标）</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376"/>
        <w:gridCol w:w="1615"/>
        <w:gridCol w:w="1962"/>
        <w:gridCol w:w="1705"/>
      </w:tblGrid>
      <w:tr w14:paraId="705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vAlign w:val="center"/>
          </w:tcPr>
          <w:p w14:paraId="534AFB2E">
            <w:pPr>
              <w:pStyle w:val="71"/>
              <w:spacing w:line="360" w:lineRule="auto"/>
              <w:ind w:firstLine="50"/>
              <w:rPr>
                <w:rFonts w:cs="宋体"/>
                <w:sz w:val="24"/>
                <w:szCs w:val="24"/>
              </w:rPr>
            </w:pPr>
            <w:r>
              <w:rPr>
                <w:rFonts w:hint="eastAsia" w:cs="宋体"/>
                <w:sz w:val="24"/>
                <w:szCs w:val="24"/>
              </w:rPr>
              <w:t>序号</w:t>
            </w:r>
          </w:p>
        </w:tc>
        <w:tc>
          <w:tcPr>
            <w:tcW w:w="5953" w:type="dxa"/>
            <w:gridSpan w:val="3"/>
            <w:vAlign w:val="center"/>
          </w:tcPr>
          <w:p w14:paraId="6DD7C466">
            <w:pPr>
              <w:pStyle w:val="71"/>
              <w:spacing w:line="360" w:lineRule="auto"/>
              <w:ind w:firstLine="50"/>
              <w:rPr>
                <w:rFonts w:cs="宋体"/>
                <w:sz w:val="24"/>
                <w:szCs w:val="24"/>
              </w:rPr>
            </w:pPr>
            <w:r>
              <w:rPr>
                <w:rFonts w:hint="eastAsia" w:cs="宋体"/>
                <w:sz w:val="24"/>
                <w:szCs w:val="24"/>
              </w:rPr>
              <w:t>规格</w:t>
            </w:r>
          </w:p>
        </w:tc>
        <w:tc>
          <w:tcPr>
            <w:tcW w:w="1705" w:type="dxa"/>
            <w:vMerge w:val="restart"/>
            <w:vAlign w:val="center"/>
          </w:tcPr>
          <w:p w14:paraId="46E428DF">
            <w:pPr>
              <w:pStyle w:val="71"/>
              <w:spacing w:line="360" w:lineRule="auto"/>
              <w:ind w:firstLine="50"/>
              <w:rPr>
                <w:rFonts w:cs="宋体"/>
                <w:sz w:val="24"/>
                <w:szCs w:val="24"/>
              </w:rPr>
            </w:pPr>
            <w:r>
              <w:rPr>
                <w:rFonts w:hint="eastAsia" w:cs="宋体"/>
                <w:sz w:val="24"/>
                <w:szCs w:val="24"/>
              </w:rPr>
              <w:t>备注</w:t>
            </w:r>
          </w:p>
        </w:tc>
      </w:tr>
      <w:tr w14:paraId="485E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vAlign w:val="center"/>
          </w:tcPr>
          <w:p w14:paraId="5C597BCD">
            <w:pPr>
              <w:pStyle w:val="71"/>
              <w:spacing w:line="360" w:lineRule="auto"/>
              <w:ind w:firstLine="50"/>
              <w:rPr>
                <w:rFonts w:cs="宋体"/>
                <w:sz w:val="24"/>
                <w:szCs w:val="24"/>
              </w:rPr>
            </w:pPr>
          </w:p>
        </w:tc>
        <w:tc>
          <w:tcPr>
            <w:tcW w:w="2376" w:type="dxa"/>
            <w:vAlign w:val="center"/>
          </w:tcPr>
          <w:p w14:paraId="12A3D949">
            <w:pPr>
              <w:pStyle w:val="71"/>
              <w:spacing w:line="360" w:lineRule="auto"/>
              <w:ind w:firstLine="50"/>
              <w:rPr>
                <w:rFonts w:cs="宋体"/>
                <w:sz w:val="24"/>
                <w:szCs w:val="24"/>
              </w:rPr>
            </w:pPr>
            <w:r>
              <w:rPr>
                <w:rFonts w:hint="eastAsia" w:cs="宋体"/>
                <w:sz w:val="24"/>
                <w:szCs w:val="24"/>
              </w:rPr>
              <w:t>公称直径</w:t>
            </w:r>
          </w:p>
        </w:tc>
        <w:tc>
          <w:tcPr>
            <w:tcW w:w="1615" w:type="dxa"/>
            <w:vAlign w:val="center"/>
          </w:tcPr>
          <w:p w14:paraId="210A2D1C">
            <w:pPr>
              <w:pStyle w:val="71"/>
              <w:spacing w:line="360" w:lineRule="auto"/>
              <w:ind w:firstLine="50"/>
              <w:rPr>
                <w:rFonts w:cs="宋体"/>
                <w:sz w:val="24"/>
                <w:szCs w:val="24"/>
              </w:rPr>
            </w:pPr>
            <w:r>
              <w:rPr>
                <w:rFonts w:hint="eastAsia" w:cs="宋体"/>
                <w:sz w:val="24"/>
                <w:szCs w:val="24"/>
              </w:rPr>
              <w:t>壁厚</w:t>
            </w:r>
          </w:p>
        </w:tc>
        <w:tc>
          <w:tcPr>
            <w:tcW w:w="1962" w:type="dxa"/>
            <w:vAlign w:val="center"/>
          </w:tcPr>
          <w:p w14:paraId="26D2887A">
            <w:pPr>
              <w:pStyle w:val="71"/>
              <w:spacing w:line="360" w:lineRule="auto"/>
              <w:ind w:firstLine="50"/>
              <w:rPr>
                <w:rFonts w:cs="宋体"/>
                <w:sz w:val="24"/>
                <w:szCs w:val="24"/>
              </w:rPr>
            </w:pPr>
            <w:r>
              <w:rPr>
                <w:rFonts w:hint="eastAsia" w:cs="宋体"/>
                <w:sz w:val="24"/>
                <w:szCs w:val="24"/>
              </w:rPr>
              <w:t>加工后外径</w:t>
            </w:r>
          </w:p>
        </w:tc>
        <w:tc>
          <w:tcPr>
            <w:tcW w:w="1705" w:type="dxa"/>
            <w:vMerge w:val="continue"/>
            <w:vAlign w:val="center"/>
          </w:tcPr>
          <w:p w14:paraId="3CB423A7">
            <w:pPr>
              <w:pStyle w:val="71"/>
              <w:spacing w:line="360" w:lineRule="auto"/>
              <w:ind w:firstLine="50"/>
              <w:rPr>
                <w:rFonts w:cs="宋体"/>
                <w:sz w:val="24"/>
                <w:szCs w:val="24"/>
              </w:rPr>
            </w:pPr>
          </w:p>
        </w:tc>
      </w:tr>
      <w:tr w14:paraId="0252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514D6369">
            <w:pPr>
              <w:pStyle w:val="71"/>
              <w:spacing w:line="360" w:lineRule="auto"/>
              <w:ind w:firstLine="50"/>
              <w:rPr>
                <w:rFonts w:cs="宋体"/>
                <w:sz w:val="24"/>
                <w:szCs w:val="24"/>
              </w:rPr>
            </w:pPr>
            <w:r>
              <w:rPr>
                <w:rFonts w:hint="eastAsia" w:cs="宋体"/>
                <w:sz w:val="24"/>
                <w:szCs w:val="24"/>
              </w:rPr>
              <w:t>1</w:t>
            </w:r>
          </w:p>
        </w:tc>
        <w:tc>
          <w:tcPr>
            <w:tcW w:w="2376" w:type="dxa"/>
            <w:vAlign w:val="center"/>
          </w:tcPr>
          <w:p w14:paraId="4AA634E5">
            <w:pPr>
              <w:pStyle w:val="71"/>
              <w:spacing w:line="360" w:lineRule="auto"/>
              <w:ind w:firstLine="50"/>
              <w:rPr>
                <w:rFonts w:cs="宋体"/>
                <w:sz w:val="24"/>
                <w:szCs w:val="24"/>
              </w:rPr>
            </w:pPr>
            <w:r>
              <w:rPr>
                <w:rFonts w:hint="eastAsia" w:cs="宋体"/>
                <w:sz w:val="24"/>
                <w:szCs w:val="24"/>
              </w:rPr>
              <w:t>1800</w:t>
            </w:r>
          </w:p>
        </w:tc>
        <w:tc>
          <w:tcPr>
            <w:tcW w:w="1615" w:type="dxa"/>
            <w:vAlign w:val="center"/>
          </w:tcPr>
          <w:p w14:paraId="20ADEF5C">
            <w:pPr>
              <w:pStyle w:val="71"/>
              <w:spacing w:line="360" w:lineRule="auto"/>
              <w:ind w:firstLine="50"/>
              <w:rPr>
                <w:rFonts w:cs="宋体"/>
                <w:sz w:val="24"/>
                <w:szCs w:val="24"/>
              </w:rPr>
            </w:pPr>
            <w:r>
              <w:rPr>
                <w:rFonts w:hint="eastAsia" w:cs="宋体"/>
                <w:sz w:val="24"/>
                <w:szCs w:val="24"/>
              </w:rPr>
              <w:t>10</w:t>
            </w:r>
          </w:p>
        </w:tc>
        <w:tc>
          <w:tcPr>
            <w:tcW w:w="1962" w:type="dxa"/>
            <w:vAlign w:val="center"/>
          </w:tcPr>
          <w:p w14:paraId="6BF31AE3">
            <w:pPr>
              <w:pStyle w:val="71"/>
              <w:spacing w:line="360" w:lineRule="auto"/>
              <w:ind w:firstLine="50"/>
              <w:rPr>
                <w:rFonts w:cs="宋体"/>
                <w:sz w:val="24"/>
                <w:szCs w:val="24"/>
              </w:rPr>
            </w:pPr>
            <w:r>
              <w:rPr>
                <w:rFonts w:hint="eastAsia" w:cs="宋体"/>
                <w:sz w:val="24"/>
                <w:szCs w:val="24"/>
              </w:rPr>
              <w:t>1820</w:t>
            </w:r>
          </w:p>
        </w:tc>
        <w:tc>
          <w:tcPr>
            <w:tcW w:w="1705" w:type="dxa"/>
            <w:vMerge w:val="restart"/>
            <w:vAlign w:val="center"/>
          </w:tcPr>
          <w:p w14:paraId="14A9C190">
            <w:pPr>
              <w:pStyle w:val="71"/>
              <w:spacing w:line="360" w:lineRule="auto"/>
              <w:ind w:firstLine="50"/>
              <w:rPr>
                <w:rFonts w:cs="宋体"/>
                <w:sz w:val="24"/>
                <w:szCs w:val="24"/>
              </w:rPr>
            </w:pPr>
            <w:r>
              <w:rPr>
                <w:rFonts w:hint="eastAsia" w:cs="宋体"/>
                <w:sz w:val="24"/>
                <w:szCs w:val="24"/>
              </w:rPr>
              <w:t>穿越道路或管顶埋深≥6m、或管顶埋深≤0.7m者另行处理。</w:t>
            </w:r>
          </w:p>
        </w:tc>
      </w:tr>
      <w:tr w14:paraId="496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7BB95002">
            <w:pPr>
              <w:pStyle w:val="71"/>
              <w:spacing w:line="360" w:lineRule="auto"/>
              <w:ind w:firstLine="50"/>
              <w:rPr>
                <w:rFonts w:cs="宋体"/>
                <w:sz w:val="24"/>
                <w:szCs w:val="24"/>
              </w:rPr>
            </w:pPr>
            <w:r>
              <w:rPr>
                <w:rFonts w:hint="eastAsia" w:cs="宋体"/>
                <w:sz w:val="24"/>
                <w:szCs w:val="24"/>
              </w:rPr>
              <w:t>2</w:t>
            </w:r>
          </w:p>
        </w:tc>
        <w:tc>
          <w:tcPr>
            <w:tcW w:w="2376" w:type="dxa"/>
            <w:vAlign w:val="center"/>
          </w:tcPr>
          <w:p w14:paraId="0A6EAAA8">
            <w:pPr>
              <w:pStyle w:val="71"/>
              <w:spacing w:line="360" w:lineRule="auto"/>
              <w:ind w:firstLine="50"/>
              <w:rPr>
                <w:rFonts w:cs="宋体"/>
                <w:sz w:val="24"/>
                <w:szCs w:val="24"/>
              </w:rPr>
            </w:pPr>
            <w:r>
              <w:rPr>
                <w:rFonts w:hint="eastAsia" w:cs="宋体"/>
                <w:sz w:val="24"/>
                <w:szCs w:val="24"/>
              </w:rPr>
              <w:t>1200</w:t>
            </w:r>
          </w:p>
        </w:tc>
        <w:tc>
          <w:tcPr>
            <w:tcW w:w="1615" w:type="dxa"/>
            <w:vAlign w:val="center"/>
          </w:tcPr>
          <w:p w14:paraId="29D3D6AD">
            <w:pPr>
              <w:pStyle w:val="71"/>
              <w:spacing w:line="360" w:lineRule="auto"/>
              <w:ind w:firstLine="50"/>
              <w:rPr>
                <w:rFonts w:cs="宋体"/>
                <w:sz w:val="24"/>
                <w:szCs w:val="24"/>
              </w:rPr>
            </w:pPr>
            <w:r>
              <w:rPr>
                <w:rFonts w:hint="eastAsia" w:cs="宋体"/>
                <w:sz w:val="24"/>
                <w:szCs w:val="24"/>
              </w:rPr>
              <w:t>8</w:t>
            </w:r>
          </w:p>
        </w:tc>
        <w:tc>
          <w:tcPr>
            <w:tcW w:w="1962" w:type="dxa"/>
            <w:vAlign w:val="center"/>
          </w:tcPr>
          <w:p w14:paraId="5E713063">
            <w:pPr>
              <w:pStyle w:val="71"/>
              <w:spacing w:line="360" w:lineRule="auto"/>
              <w:ind w:firstLine="50"/>
              <w:rPr>
                <w:rFonts w:cs="宋体"/>
                <w:sz w:val="24"/>
                <w:szCs w:val="24"/>
              </w:rPr>
            </w:pPr>
            <w:r>
              <w:rPr>
                <w:rFonts w:hint="eastAsia" w:cs="宋体"/>
                <w:sz w:val="24"/>
                <w:szCs w:val="24"/>
              </w:rPr>
              <w:t>1220</w:t>
            </w:r>
          </w:p>
        </w:tc>
        <w:tc>
          <w:tcPr>
            <w:tcW w:w="1705" w:type="dxa"/>
            <w:vMerge w:val="continue"/>
            <w:vAlign w:val="center"/>
          </w:tcPr>
          <w:p w14:paraId="4D47E9E2">
            <w:pPr>
              <w:pStyle w:val="71"/>
              <w:spacing w:line="360" w:lineRule="auto"/>
              <w:ind w:firstLine="50"/>
              <w:rPr>
                <w:rFonts w:cs="宋体"/>
                <w:sz w:val="24"/>
                <w:szCs w:val="24"/>
              </w:rPr>
            </w:pPr>
          </w:p>
        </w:tc>
      </w:tr>
      <w:tr w14:paraId="46D1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232D2A8E">
            <w:pPr>
              <w:pStyle w:val="71"/>
              <w:spacing w:line="360" w:lineRule="auto"/>
              <w:ind w:firstLine="50"/>
              <w:rPr>
                <w:rFonts w:cs="宋体"/>
                <w:sz w:val="24"/>
                <w:szCs w:val="24"/>
              </w:rPr>
            </w:pPr>
            <w:r>
              <w:rPr>
                <w:rFonts w:hint="eastAsia" w:cs="宋体"/>
                <w:sz w:val="24"/>
                <w:szCs w:val="24"/>
              </w:rPr>
              <w:t>3</w:t>
            </w:r>
          </w:p>
        </w:tc>
        <w:tc>
          <w:tcPr>
            <w:tcW w:w="2376" w:type="dxa"/>
            <w:vAlign w:val="center"/>
          </w:tcPr>
          <w:p w14:paraId="40500F87">
            <w:pPr>
              <w:pStyle w:val="71"/>
              <w:spacing w:line="360" w:lineRule="auto"/>
              <w:ind w:firstLine="50"/>
              <w:rPr>
                <w:rFonts w:cs="宋体"/>
                <w:sz w:val="24"/>
                <w:szCs w:val="24"/>
              </w:rPr>
            </w:pPr>
            <w:r>
              <w:rPr>
                <w:rFonts w:hint="eastAsia" w:cs="宋体"/>
                <w:sz w:val="24"/>
                <w:szCs w:val="24"/>
              </w:rPr>
              <w:t>1000</w:t>
            </w:r>
          </w:p>
        </w:tc>
        <w:tc>
          <w:tcPr>
            <w:tcW w:w="1615" w:type="dxa"/>
            <w:vAlign w:val="center"/>
          </w:tcPr>
          <w:p w14:paraId="62064F79">
            <w:pPr>
              <w:pStyle w:val="71"/>
              <w:spacing w:line="360" w:lineRule="auto"/>
              <w:ind w:firstLine="50"/>
              <w:rPr>
                <w:rFonts w:cs="宋体"/>
                <w:sz w:val="24"/>
                <w:szCs w:val="24"/>
              </w:rPr>
            </w:pPr>
            <w:r>
              <w:rPr>
                <w:rFonts w:hint="eastAsia" w:cs="宋体"/>
                <w:sz w:val="24"/>
                <w:szCs w:val="24"/>
              </w:rPr>
              <w:t>8</w:t>
            </w:r>
          </w:p>
        </w:tc>
        <w:tc>
          <w:tcPr>
            <w:tcW w:w="1962" w:type="dxa"/>
            <w:vAlign w:val="center"/>
          </w:tcPr>
          <w:p w14:paraId="598FFB9C">
            <w:pPr>
              <w:pStyle w:val="71"/>
              <w:spacing w:line="360" w:lineRule="auto"/>
              <w:ind w:firstLine="50"/>
              <w:rPr>
                <w:rFonts w:cs="宋体"/>
                <w:sz w:val="24"/>
                <w:szCs w:val="24"/>
              </w:rPr>
            </w:pPr>
            <w:r>
              <w:rPr>
                <w:rFonts w:hint="eastAsia" w:cs="宋体"/>
                <w:sz w:val="24"/>
                <w:szCs w:val="24"/>
              </w:rPr>
              <w:t>1020</w:t>
            </w:r>
          </w:p>
        </w:tc>
        <w:tc>
          <w:tcPr>
            <w:tcW w:w="1705" w:type="dxa"/>
            <w:vMerge w:val="continue"/>
            <w:vAlign w:val="center"/>
          </w:tcPr>
          <w:p w14:paraId="0C34E789">
            <w:pPr>
              <w:pStyle w:val="71"/>
              <w:spacing w:line="360" w:lineRule="auto"/>
              <w:ind w:firstLine="50"/>
              <w:rPr>
                <w:rFonts w:cs="宋体"/>
                <w:sz w:val="24"/>
                <w:szCs w:val="24"/>
              </w:rPr>
            </w:pPr>
          </w:p>
        </w:tc>
      </w:tr>
      <w:tr w14:paraId="5FB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7AC1FD6B">
            <w:pPr>
              <w:pStyle w:val="71"/>
              <w:spacing w:line="360" w:lineRule="auto"/>
              <w:ind w:firstLine="50"/>
              <w:rPr>
                <w:rFonts w:cs="宋体"/>
                <w:sz w:val="24"/>
                <w:szCs w:val="24"/>
              </w:rPr>
            </w:pPr>
            <w:r>
              <w:rPr>
                <w:rFonts w:hint="eastAsia" w:cs="宋体"/>
                <w:sz w:val="24"/>
                <w:szCs w:val="24"/>
              </w:rPr>
              <w:t>4</w:t>
            </w:r>
          </w:p>
        </w:tc>
        <w:tc>
          <w:tcPr>
            <w:tcW w:w="2376" w:type="dxa"/>
            <w:vAlign w:val="center"/>
          </w:tcPr>
          <w:p w14:paraId="6465A068">
            <w:pPr>
              <w:pStyle w:val="71"/>
              <w:spacing w:line="360" w:lineRule="auto"/>
              <w:ind w:firstLine="50"/>
              <w:rPr>
                <w:rFonts w:cs="宋体"/>
                <w:sz w:val="24"/>
                <w:szCs w:val="24"/>
              </w:rPr>
            </w:pPr>
            <w:r>
              <w:rPr>
                <w:rFonts w:hint="eastAsia" w:cs="宋体"/>
                <w:sz w:val="24"/>
                <w:szCs w:val="24"/>
              </w:rPr>
              <w:t>800</w:t>
            </w:r>
          </w:p>
        </w:tc>
        <w:tc>
          <w:tcPr>
            <w:tcW w:w="1615" w:type="dxa"/>
            <w:vAlign w:val="center"/>
          </w:tcPr>
          <w:p w14:paraId="59015BE1">
            <w:pPr>
              <w:pStyle w:val="71"/>
              <w:spacing w:line="360" w:lineRule="auto"/>
              <w:ind w:firstLine="50"/>
              <w:rPr>
                <w:rFonts w:cs="宋体"/>
                <w:sz w:val="24"/>
                <w:szCs w:val="24"/>
              </w:rPr>
            </w:pPr>
            <w:r>
              <w:rPr>
                <w:rFonts w:hint="eastAsia" w:cs="宋体"/>
                <w:sz w:val="24"/>
                <w:szCs w:val="24"/>
              </w:rPr>
              <w:t>6</w:t>
            </w:r>
          </w:p>
        </w:tc>
        <w:tc>
          <w:tcPr>
            <w:tcW w:w="1962" w:type="dxa"/>
            <w:vAlign w:val="center"/>
          </w:tcPr>
          <w:p w14:paraId="0FBA17BB">
            <w:pPr>
              <w:pStyle w:val="71"/>
              <w:spacing w:line="360" w:lineRule="auto"/>
              <w:ind w:firstLine="50"/>
              <w:rPr>
                <w:rFonts w:cs="宋体"/>
                <w:sz w:val="24"/>
                <w:szCs w:val="24"/>
              </w:rPr>
            </w:pPr>
            <w:r>
              <w:rPr>
                <w:rFonts w:hint="eastAsia" w:cs="宋体"/>
                <w:sz w:val="24"/>
                <w:szCs w:val="24"/>
              </w:rPr>
              <w:t>820</w:t>
            </w:r>
          </w:p>
        </w:tc>
        <w:tc>
          <w:tcPr>
            <w:tcW w:w="1705" w:type="dxa"/>
            <w:vMerge w:val="continue"/>
            <w:vAlign w:val="center"/>
          </w:tcPr>
          <w:p w14:paraId="1A2F04A4">
            <w:pPr>
              <w:pStyle w:val="71"/>
              <w:spacing w:line="360" w:lineRule="auto"/>
              <w:ind w:firstLine="50"/>
              <w:rPr>
                <w:rFonts w:cs="宋体"/>
                <w:sz w:val="24"/>
                <w:szCs w:val="24"/>
              </w:rPr>
            </w:pPr>
          </w:p>
        </w:tc>
      </w:tr>
      <w:tr w14:paraId="63C9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7EA73240">
            <w:pPr>
              <w:pStyle w:val="71"/>
              <w:spacing w:line="360" w:lineRule="auto"/>
              <w:ind w:firstLine="50"/>
              <w:rPr>
                <w:rFonts w:cs="宋体"/>
                <w:sz w:val="24"/>
                <w:szCs w:val="24"/>
              </w:rPr>
            </w:pPr>
            <w:r>
              <w:rPr>
                <w:rFonts w:hint="eastAsia" w:cs="宋体"/>
                <w:sz w:val="24"/>
                <w:szCs w:val="24"/>
              </w:rPr>
              <w:t>5</w:t>
            </w:r>
          </w:p>
        </w:tc>
        <w:tc>
          <w:tcPr>
            <w:tcW w:w="2376" w:type="dxa"/>
            <w:vAlign w:val="center"/>
          </w:tcPr>
          <w:p w14:paraId="24DE1479">
            <w:pPr>
              <w:pStyle w:val="71"/>
              <w:spacing w:line="360" w:lineRule="auto"/>
              <w:ind w:firstLine="50"/>
              <w:rPr>
                <w:rFonts w:cs="宋体"/>
                <w:sz w:val="24"/>
                <w:szCs w:val="24"/>
              </w:rPr>
            </w:pPr>
            <w:r>
              <w:rPr>
                <w:rFonts w:hint="eastAsia" w:cs="宋体"/>
                <w:sz w:val="24"/>
                <w:szCs w:val="24"/>
              </w:rPr>
              <w:t>700</w:t>
            </w:r>
          </w:p>
        </w:tc>
        <w:tc>
          <w:tcPr>
            <w:tcW w:w="1615" w:type="dxa"/>
            <w:vAlign w:val="center"/>
          </w:tcPr>
          <w:p w14:paraId="73A6894D">
            <w:pPr>
              <w:pStyle w:val="71"/>
              <w:spacing w:line="360" w:lineRule="auto"/>
              <w:ind w:firstLine="50"/>
              <w:rPr>
                <w:rFonts w:cs="宋体"/>
                <w:sz w:val="24"/>
                <w:szCs w:val="24"/>
              </w:rPr>
            </w:pPr>
            <w:r>
              <w:rPr>
                <w:rFonts w:hint="eastAsia" w:cs="宋体"/>
                <w:sz w:val="24"/>
                <w:szCs w:val="24"/>
              </w:rPr>
              <w:t>6</w:t>
            </w:r>
          </w:p>
        </w:tc>
        <w:tc>
          <w:tcPr>
            <w:tcW w:w="1962" w:type="dxa"/>
            <w:vAlign w:val="center"/>
          </w:tcPr>
          <w:p w14:paraId="7D83F267">
            <w:pPr>
              <w:pStyle w:val="71"/>
              <w:spacing w:line="360" w:lineRule="auto"/>
              <w:ind w:firstLine="50"/>
              <w:rPr>
                <w:rFonts w:cs="宋体"/>
                <w:sz w:val="24"/>
                <w:szCs w:val="24"/>
              </w:rPr>
            </w:pPr>
            <w:r>
              <w:rPr>
                <w:rFonts w:hint="eastAsia" w:cs="宋体"/>
                <w:sz w:val="24"/>
                <w:szCs w:val="24"/>
              </w:rPr>
              <w:t>720</w:t>
            </w:r>
          </w:p>
        </w:tc>
        <w:tc>
          <w:tcPr>
            <w:tcW w:w="1705" w:type="dxa"/>
            <w:vMerge w:val="continue"/>
            <w:vAlign w:val="center"/>
          </w:tcPr>
          <w:p w14:paraId="3B79037D">
            <w:pPr>
              <w:pStyle w:val="71"/>
              <w:spacing w:line="360" w:lineRule="auto"/>
              <w:ind w:firstLine="50"/>
              <w:rPr>
                <w:rFonts w:cs="宋体"/>
                <w:sz w:val="24"/>
                <w:szCs w:val="24"/>
              </w:rPr>
            </w:pPr>
          </w:p>
        </w:tc>
      </w:tr>
      <w:tr w14:paraId="559D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65962339">
            <w:pPr>
              <w:pStyle w:val="71"/>
              <w:spacing w:line="360" w:lineRule="auto"/>
              <w:ind w:firstLine="50"/>
              <w:rPr>
                <w:rFonts w:cs="宋体"/>
                <w:sz w:val="24"/>
                <w:szCs w:val="24"/>
              </w:rPr>
            </w:pPr>
            <w:r>
              <w:rPr>
                <w:rFonts w:hint="eastAsia" w:cs="宋体"/>
                <w:sz w:val="24"/>
                <w:szCs w:val="24"/>
              </w:rPr>
              <w:t>6</w:t>
            </w:r>
          </w:p>
        </w:tc>
        <w:tc>
          <w:tcPr>
            <w:tcW w:w="2376" w:type="dxa"/>
            <w:vAlign w:val="center"/>
          </w:tcPr>
          <w:p w14:paraId="27191047">
            <w:pPr>
              <w:pStyle w:val="71"/>
              <w:spacing w:line="360" w:lineRule="auto"/>
              <w:ind w:firstLine="50"/>
              <w:rPr>
                <w:rFonts w:cs="宋体"/>
                <w:sz w:val="24"/>
                <w:szCs w:val="24"/>
              </w:rPr>
            </w:pPr>
            <w:r>
              <w:rPr>
                <w:rFonts w:hint="eastAsia" w:cs="宋体"/>
                <w:sz w:val="24"/>
                <w:szCs w:val="24"/>
              </w:rPr>
              <w:t>600</w:t>
            </w:r>
          </w:p>
        </w:tc>
        <w:tc>
          <w:tcPr>
            <w:tcW w:w="1615" w:type="dxa"/>
            <w:vAlign w:val="center"/>
          </w:tcPr>
          <w:p w14:paraId="10CA2977">
            <w:pPr>
              <w:pStyle w:val="71"/>
              <w:spacing w:line="360" w:lineRule="auto"/>
              <w:ind w:firstLine="50"/>
              <w:rPr>
                <w:rFonts w:cs="宋体"/>
                <w:sz w:val="24"/>
                <w:szCs w:val="24"/>
              </w:rPr>
            </w:pPr>
            <w:r>
              <w:rPr>
                <w:rFonts w:hint="eastAsia" w:cs="宋体"/>
                <w:sz w:val="24"/>
                <w:szCs w:val="24"/>
              </w:rPr>
              <w:t>6</w:t>
            </w:r>
          </w:p>
        </w:tc>
        <w:tc>
          <w:tcPr>
            <w:tcW w:w="1962" w:type="dxa"/>
            <w:vAlign w:val="center"/>
          </w:tcPr>
          <w:p w14:paraId="5C4491B7">
            <w:pPr>
              <w:pStyle w:val="71"/>
              <w:spacing w:line="360" w:lineRule="auto"/>
              <w:ind w:firstLine="50"/>
              <w:rPr>
                <w:rFonts w:cs="宋体"/>
                <w:sz w:val="24"/>
                <w:szCs w:val="24"/>
              </w:rPr>
            </w:pPr>
            <w:r>
              <w:rPr>
                <w:rFonts w:hint="eastAsia" w:cs="宋体"/>
                <w:sz w:val="24"/>
                <w:szCs w:val="24"/>
              </w:rPr>
              <w:t>630</w:t>
            </w:r>
          </w:p>
        </w:tc>
        <w:tc>
          <w:tcPr>
            <w:tcW w:w="1705" w:type="dxa"/>
            <w:vMerge w:val="continue"/>
            <w:vAlign w:val="center"/>
          </w:tcPr>
          <w:p w14:paraId="787AFF15">
            <w:pPr>
              <w:pStyle w:val="71"/>
              <w:spacing w:line="360" w:lineRule="auto"/>
              <w:ind w:firstLine="50"/>
              <w:rPr>
                <w:rFonts w:cs="宋体"/>
                <w:sz w:val="24"/>
                <w:szCs w:val="24"/>
              </w:rPr>
            </w:pPr>
          </w:p>
        </w:tc>
      </w:tr>
      <w:tr w14:paraId="0ADF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75B962B8">
            <w:pPr>
              <w:pStyle w:val="71"/>
              <w:spacing w:line="360" w:lineRule="auto"/>
              <w:ind w:firstLine="50"/>
              <w:rPr>
                <w:rFonts w:cs="宋体"/>
                <w:sz w:val="24"/>
                <w:szCs w:val="24"/>
              </w:rPr>
            </w:pPr>
            <w:r>
              <w:rPr>
                <w:rFonts w:hint="eastAsia" w:cs="宋体"/>
                <w:sz w:val="24"/>
                <w:szCs w:val="24"/>
              </w:rPr>
              <w:t>7</w:t>
            </w:r>
          </w:p>
        </w:tc>
        <w:tc>
          <w:tcPr>
            <w:tcW w:w="2376" w:type="dxa"/>
            <w:vAlign w:val="center"/>
          </w:tcPr>
          <w:p w14:paraId="19DAE14A">
            <w:pPr>
              <w:pStyle w:val="71"/>
              <w:spacing w:line="360" w:lineRule="auto"/>
              <w:ind w:firstLine="50"/>
              <w:rPr>
                <w:rFonts w:cs="宋体"/>
                <w:sz w:val="24"/>
                <w:szCs w:val="24"/>
              </w:rPr>
            </w:pPr>
            <w:r>
              <w:rPr>
                <w:rFonts w:hint="eastAsia" w:cs="宋体"/>
                <w:sz w:val="24"/>
                <w:szCs w:val="24"/>
              </w:rPr>
              <w:t>500</w:t>
            </w:r>
          </w:p>
        </w:tc>
        <w:tc>
          <w:tcPr>
            <w:tcW w:w="1615" w:type="dxa"/>
            <w:vAlign w:val="center"/>
          </w:tcPr>
          <w:p w14:paraId="4F868F07">
            <w:pPr>
              <w:pStyle w:val="71"/>
              <w:spacing w:line="360" w:lineRule="auto"/>
              <w:ind w:firstLine="50"/>
              <w:rPr>
                <w:rFonts w:cs="宋体"/>
                <w:sz w:val="24"/>
                <w:szCs w:val="24"/>
              </w:rPr>
            </w:pPr>
            <w:r>
              <w:rPr>
                <w:rFonts w:hint="eastAsia" w:cs="宋体"/>
                <w:sz w:val="24"/>
                <w:szCs w:val="24"/>
              </w:rPr>
              <w:t>6</w:t>
            </w:r>
          </w:p>
        </w:tc>
        <w:tc>
          <w:tcPr>
            <w:tcW w:w="1962" w:type="dxa"/>
            <w:vAlign w:val="center"/>
          </w:tcPr>
          <w:p w14:paraId="55B1FCBF">
            <w:pPr>
              <w:pStyle w:val="71"/>
              <w:spacing w:line="360" w:lineRule="auto"/>
              <w:ind w:firstLine="50"/>
              <w:rPr>
                <w:rFonts w:cs="宋体"/>
                <w:sz w:val="24"/>
                <w:szCs w:val="24"/>
              </w:rPr>
            </w:pPr>
            <w:r>
              <w:rPr>
                <w:rFonts w:hint="eastAsia" w:cs="宋体"/>
                <w:sz w:val="24"/>
                <w:szCs w:val="24"/>
              </w:rPr>
              <w:t>530</w:t>
            </w:r>
          </w:p>
        </w:tc>
        <w:tc>
          <w:tcPr>
            <w:tcW w:w="1705" w:type="dxa"/>
            <w:vMerge w:val="continue"/>
            <w:vAlign w:val="center"/>
          </w:tcPr>
          <w:p w14:paraId="6BF815F8">
            <w:pPr>
              <w:pStyle w:val="71"/>
              <w:spacing w:line="360" w:lineRule="auto"/>
              <w:ind w:firstLine="50"/>
              <w:rPr>
                <w:rFonts w:cs="宋体"/>
                <w:sz w:val="24"/>
                <w:szCs w:val="24"/>
              </w:rPr>
            </w:pPr>
          </w:p>
        </w:tc>
      </w:tr>
      <w:tr w14:paraId="6771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40C2C266">
            <w:pPr>
              <w:pStyle w:val="71"/>
              <w:spacing w:line="360" w:lineRule="auto"/>
              <w:ind w:firstLine="50"/>
              <w:rPr>
                <w:rFonts w:cs="宋体"/>
                <w:sz w:val="24"/>
                <w:szCs w:val="24"/>
              </w:rPr>
            </w:pPr>
            <w:r>
              <w:rPr>
                <w:rFonts w:hint="eastAsia" w:cs="宋体"/>
                <w:sz w:val="24"/>
                <w:szCs w:val="24"/>
              </w:rPr>
              <w:t>8</w:t>
            </w:r>
          </w:p>
        </w:tc>
        <w:tc>
          <w:tcPr>
            <w:tcW w:w="2376" w:type="dxa"/>
            <w:vAlign w:val="center"/>
          </w:tcPr>
          <w:p w14:paraId="27A41072">
            <w:pPr>
              <w:pStyle w:val="71"/>
              <w:spacing w:line="360" w:lineRule="auto"/>
              <w:ind w:firstLine="50"/>
              <w:rPr>
                <w:rFonts w:cs="宋体"/>
                <w:sz w:val="24"/>
                <w:szCs w:val="24"/>
              </w:rPr>
            </w:pPr>
            <w:r>
              <w:rPr>
                <w:rFonts w:hint="eastAsia" w:cs="宋体"/>
                <w:sz w:val="24"/>
                <w:szCs w:val="24"/>
              </w:rPr>
              <w:t>400</w:t>
            </w:r>
          </w:p>
        </w:tc>
        <w:tc>
          <w:tcPr>
            <w:tcW w:w="1615" w:type="dxa"/>
            <w:vAlign w:val="center"/>
          </w:tcPr>
          <w:p w14:paraId="739BAB0C">
            <w:pPr>
              <w:pStyle w:val="71"/>
              <w:spacing w:line="360" w:lineRule="auto"/>
              <w:ind w:firstLine="50"/>
              <w:rPr>
                <w:rFonts w:cs="宋体"/>
                <w:sz w:val="24"/>
                <w:szCs w:val="24"/>
              </w:rPr>
            </w:pPr>
            <w:r>
              <w:rPr>
                <w:rFonts w:hint="eastAsia" w:cs="宋体"/>
                <w:sz w:val="24"/>
                <w:szCs w:val="24"/>
              </w:rPr>
              <w:t>4</w:t>
            </w:r>
          </w:p>
        </w:tc>
        <w:tc>
          <w:tcPr>
            <w:tcW w:w="1962" w:type="dxa"/>
            <w:vAlign w:val="center"/>
          </w:tcPr>
          <w:p w14:paraId="615E21A3">
            <w:pPr>
              <w:pStyle w:val="71"/>
              <w:spacing w:line="360" w:lineRule="auto"/>
              <w:ind w:firstLine="50"/>
              <w:rPr>
                <w:rFonts w:cs="宋体"/>
                <w:sz w:val="24"/>
                <w:szCs w:val="24"/>
              </w:rPr>
            </w:pPr>
            <w:r>
              <w:rPr>
                <w:rFonts w:hint="eastAsia" w:cs="宋体"/>
                <w:sz w:val="24"/>
                <w:szCs w:val="24"/>
              </w:rPr>
              <w:t>426</w:t>
            </w:r>
          </w:p>
        </w:tc>
        <w:tc>
          <w:tcPr>
            <w:tcW w:w="1705" w:type="dxa"/>
            <w:vMerge w:val="continue"/>
            <w:vAlign w:val="center"/>
          </w:tcPr>
          <w:p w14:paraId="29C3D728">
            <w:pPr>
              <w:pStyle w:val="71"/>
              <w:spacing w:line="360" w:lineRule="auto"/>
              <w:ind w:firstLine="50"/>
              <w:rPr>
                <w:rFonts w:cs="宋体"/>
                <w:sz w:val="24"/>
                <w:szCs w:val="24"/>
              </w:rPr>
            </w:pPr>
          </w:p>
        </w:tc>
      </w:tr>
      <w:tr w14:paraId="10A6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3D2790A1">
            <w:pPr>
              <w:pStyle w:val="71"/>
              <w:spacing w:line="360" w:lineRule="auto"/>
              <w:ind w:firstLine="50"/>
              <w:rPr>
                <w:rFonts w:cs="宋体"/>
                <w:sz w:val="24"/>
                <w:szCs w:val="24"/>
              </w:rPr>
            </w:pPr>
            <w:r>
              <w:rPr>
                <w:rFonts w:hint="eastAsia" w:cs="宋体"/>
                <w:sz w:val="24"/>
                <w:szCs w:val="24"/>
              </w:rPr>
              <w:t>9</w:t>
            </w:r>
          </w:p>
        </w:tc>
        <w:tc>
          <w:tcPr>
            <w:tcW w:w="2376" w:type="dxa"/>
            <w:vAlign w:val="center"/>
          </w:tcPr>
          <w:p w14:paraId="09AF0472">
            <w:pPr>
              <w:pStyle w:val="71"/>
              <w:spacing w:line="360" w:lineRule="auto"/>
              <w:ind w:firstLine="50"/>
              <w:rPr>
                <w:rFonts w:cs="宋体"/>
                <w:sz w:val="24"/>
                <w:szCs w:val="24"/>
              </w:rPr>
            </w:pPr>
            <w:r>
              <w:rPr>
                <w:rFonts w:hint="eastAsia" w:cs="宋体"/>
                <w:sz w:val="24"/>
                <w:szCs w:val="24"/>
              </w:rPr>
              <w:t>300</w:t>
            </w:r>
          </w:p>
        </w:tc>
        <w:tc>
          <w:tcPr>
            <w:tcW w:w="1615" w:type="dxa"/>
            <w:vAlign w:val="center"/>
          </w:tcPr>
          <w:p w14:paraId="363E26BA">
            <w:pPr>
              <w:pStyle w:val="71"/>
              <w:spacing w:line="360" w:lineRule="auto"/>
              <w:ind w:firstLine="50"/>
              <w:rPr>
                <w:rFonts w:cs="宋体"/>
                <w:sz w:val="24"/>
                <w:szCs w:val="24"/>
              </w:rPr>
            </w:pPr>
            <w:r>
              <w:rPr>
                <w:rFonts w:hint="eastAsia" w:cs="宋体"/>
                <w:sz w:val="24"/>
                <w:szCs w:val="24"/>
              </w:rPr>
              <w:t>4</w:t>
            </w:r>
          </w:p>
        </w:tc>
        <w:tc>
          <w:tcPr>
            <w:tcW w:w="1962" w:type="dxa"/>
            <w:vAlign w:val="center"/>
          </w:tcPr>
          <w:p w14:paraId="002AE3CB">
            <w:pPr>
              <w:pStyle w:val="71"/>
              <w:spacing w:line="360" w:lineRule="auto"/>
              <w:ind w:firstLine="50"/>
              <w:rPr>
                <w:rFonts w:cs="宋体"/>
                <w:sz w:val="24"/>
                <w:szCs w:val="24"/>
              </w:rPr>
            </w:pPr>
            <w:r>
              <w:rPr>
                <w:rFonts w:hint="eastAsia" w:cs="宋体"/>
                <w:sz w:val="24"/>
                <w:szCs w:val="24"/>
              </w:rPr>
              <w:t>325</w:t>
            </w:r>
          </w:p>
        </w:tc>
        <w:tc>
          <w:tcPr>
            <w:tcW w:w="1705" w:type="dxa"/>
            <w:vMerge w:val="continue"/>
            <w:vAlign w:val="center"/>
          </w:tcPr>
          <w:p w14:paraId="46E7A51D">
            <w:pPr>
              <w:pStyle w:val="71"/>
              <w:spacing w:line="360" w:lineRule="auto"/>
              <w:ind w:firstLine="50"/>
              <w:rPr>
                <w:rFonts w:cs="宋体"/>
                <w:sz w:val="24"/>
                <w:szCs w:val="24"/>
              </w:rPr>
            </w:pPr>
          </w:p>
        </w:tc>
      </w:tr>
      <w:tr w14:paraId="179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2CEC1387">
            <w:pPr>
              <w:pStyle w:val="71"/>
              <w:spacing w:line="360" w:lineRule="auto"/>
              <w:ind w:firstLine="50"/>
              <w:rPr>
                <w:rFonts w:cs="宋体"/>
                <w:sz w:val="24"/>
                <w:szCs w:val="24"/>
              </w:rPr>
            </w:pPr>
            <w:r>
              <w:rPr>
                <w:rFonts w:hint="eastAsia" w:cs="宋体"/>
                <w:sz w:val="24"/>
                <w:szCs w:val="24"/>
              </w:rPr>
              <w:t>10</w:t>
            </w:r>
          </w:p>
        </w:tc>
        <w:tc>
          <w:tcPr>
            <w:tcW w:w="2376" w:type="dxa"/>
            <w:vAlign w:val="center"/>
          </w:tcPr>
          <w:p w14:paraId="727FCC47">
            <w:pPr>
              <w:pStyle w:val="71"/>
              <w:spacing w:line="360" w:lineRule="auto"/>
              <w:ind w:firstLine="50"/>
              <w:rPr>
                <w:rFonts w:cs="宋体"/>
                <w:sz w:val="24"/>
                <w:szCs w:val="24"/>
              </w:rPr>
            </w:pPr>
            <w:r>
              <w:rPr>
                <w:rFonts w:hint="eastAsia" w:cs="宋体"/>
                <w:sz w:val="24"/>
                <w:szCs w:val="24"/>
              </w:rPr>
              <w:t>250</w:t>
            </w:r>
          </w:p>
        </w:tc>
        <w:tc>
          <w:tcPr>
            <w:tcW w:w="1615" w:type="dxa"/>
            <w:vAlign w:val="center"/>
          </w:tcPr>
          <w:p w14:paraId="59BFBA18">
            <w:pPr>
              <w:pStyle w:val="71"/>
              <w:spacing w:line="360" w:lineRule="auto"/>
              <w:ind w:firstLine="50"/>
              <w:rPr>
                <w:rFonts w:cs="宋体"/>
                <w:sz w:val="24"/>
                <w:szCs w:val="24"/>
              </w:rPr>
            </w:pPr>
            <w:r>
              <w:rPr>
                <w:rFonts w:hint="eastAsia" w:cs="宋体"/>
                <w:sz w:val="24"/>
                <w:szCs w:val="24"/>
              </w:rPr>
              <w:t>4</w:t>
            </w:r>
          </w:p>
        </w:tc>
        <w:tc>
          <w:tcPr>
            <w:tcW w:w="1962" w:type="dxa"/>
            <w:vAlign w:val="center"/>
          </w:tcPr>
          <w:p w14:paraId="7211E613">
            <w:pPr>
              <w:pStyle w:val="71"/>
              <w:spacing w:line="360" w:lineRule="auto"/>
              <w:ind w:firstLine="50"/>
              <w:rPr>
                <w:rFonts w:cs="宋体"/>
                <w:sz w:val="24"/>
                <w:szCs w:val="24"/>
              </w:rPr>
            </w:pPr>
            <w:r>
              <w:rPr>
                <w:rFonts w:hint="eastAsia" w:cs="宋体"/>
                <w:sz w:val="24"/>
                <w:szCs w:val="24"/>
              </w:rPr>
              <w:t>273</w:t>
            </w:r>
          </w:p>
        </w:tc>
        <w:tc>
          <w:tcPr>
            <w:tcW w:w="1705" w:type="dxa"/>
            <w:vMerge w:val="continue"/>
            <w:vAlign w:val="center"/>
          </w:tcPr>
          <w:p w14:paraId="5A322860">
            <w:pPr>
              <w:pStyle w:val="71"/>
              <w:spacing w:line="360" w:lineRule="auto"/>
              <w:ind w:firstLine="50"/>
              <w:rPr>
                <w:rFonts w:cs="宋体"/>
                <w:sz w:val="24"/>
                <w:szCs w:val="24"/>
              </w:rPr>
            </w:pPr>
          </w:p>
        </w:tc>
      </w:tr>
      <w:tr w14:paraId="363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45317E50">
            <w:pPr>
              <w:pStyle w:val="71"/>
              <w:spacing w:line="360" w:lineRule="auto"/>
              <w:ind w:firstLine="50"/>
              <w:rPr>
                <w:rFonts w:cs="宋体"/>
                <w:sz w:val="24"/>
                <w:szCs w:val="24"/>
              </w:rPr>
            </w:pPr>
            <w:r>
              <w:rPr>
                <w:rFonts w:hint="eastAsia" w:cs="宋体"/>
                <w:sz w:val="24"/>
                <w:szCs w:val="24"/>
              </w:rPr>
              <w:t>11</w:t>
            </w:r>
          </w:p>
        </w:tc>
        <w:tc>
          <w:tcPr>
            <w:tcW w:w="2376" w:type="dxa"/>
            <w:vAlign w:val="center"/>
          </w:tcPr>
          <w:p w14:paraId="2051052E">
            <w:pPr>
              <w:pStyle w:val="71"/>
              <w:spacing w:line="360" w:lineRule="auto"/>
              <w:ind w:firstLine="50"/>
              <w:rPr>
                <w:rFonts w:cs="宋体"/>
                <w:sz w:val="24"/>
                <w:szCs w:val="24"/>
              </w:rPr>
            </w:pPr>
            <w:r>
              <w:rPr>
                <w:rFonts w:hint="eastAsia" w:cs="宋体"/>
                <w:sz w:val="24"/>
                <w:szCs w:val="24"/>
              </w:rPr>
              <w:t>200</w:t>
            </w:r>
          </w:p>
        </w:tc>
        <w:tc>
          <w:tcPr>
            <w:tcW w:w="1615" w:type="dxa"/>
            <w:vAlign w:val="center"/>
          </w:tcPr>
          <w:p w14:paraId="2D96F0D3">
            <w:pPr>
              <w:pStyle w:val="71"/>
              <w:spacing w:line="360" w:lineRule="auto"/>
              <w:ind w:firstLine="50"/>
              <w:rPr>
                <w:rFonts w:cs="宋体"/>
                <w:sz w:val="24"/>
                <w:szCs w:val="24"/>
              </w:rPr>
            </w:pPr>
            <w:r>
              <w:rPr>
                <w:rFonts w:hint="eastAsia" w:cs="宋体"/>
                <w:sz w:val="24"/>
                <w:szCs w:val="24"/>
              </w:rPr>
              <w:t>4</w:t>
            </w:r>
          </w:p>
        </w:tc>
        <w:tc>
          <w:tcPr>
            <w:tcW w:w="1962" w:type="dxa"/>
            <w:vAlign w:val="center"/>
          </w:tcPr>
          <w:p w14:paraId="225CDB85">
            <w:pPr>
              <w:pStyle w:val="71"/>
              <w:spacing w:line="360" w:lineRule="auto"/>
              <w:ind w:firstLine="50"/>
              <w:rPr>
                <w:rFonts w:cs="宋体"/>
                <w:sz w:val="24"/>
                <w:szCs w:val="24"/>
              </w:rPr>
            </w:pPr>
            <w:r>
              <w:rPr>
                <w:rFonts w:hint="eastAsia" w:cs="宋体"/>
                <w:sz w:val="24"/>
                <w:szCs w:val="24"/>
              </w:rPr>
              <w:t>219</w:t>
            </w:r>
          </w:p>
        </w:tc>
        <w:tc>
          <w:tcPr>
            <w:tcW w:w="1705" w:type="dxa"/>
            <w:vMerge w:val="continue"/>
            <w:vAlign w:val="center"/>
          </w:tcPr>
          <w:p w14:paraId="0336C5D7">
            <w:pPr>
              <w:pStyle w:val="71"/>
              <w:spacing w:line="360" w:lineRule="auto"/>
              <w:ind w:firstLine="50"/>
              <w:rPr>
                <w:rFonts w:cs="宋体"/>
                <w:sz w:val="24"/>
                <w:szCs w:val="24"/>
              </w:rPr>
            </w:pPr>
          </w:p>
        </w:tc>
      </w:tr>
      <w:tr w14:paraId="1945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291FF0B2">
            <w:pPr>
              <w:pStyle w:val="71"/>
              <w:spacing w:line="360" w:lineRule="auto"/>
              <w:ind w:firstLine="50"/>
              <w:rPr>
                <w:rFonts w:cs="宋体"/>
                <w:sz w:val="24"/>
                <w:szCs w:val="24"/>
              </w:rPr>
            </w:pPr>
            <w:r>
              <w:rPr>
                <w:rFonts w:hint="eastAsia" w:cs="宋体"/>
                <w:sz w:val="24"/>
                <w:szCs w:val="24"/>
              </w:rPr>
              <w:t>12</w:t>
            </w:r>
          </w:p>
        </w:tc>
        <w:tc>
          <w:tcPr>
            <w:tcW w:w="2376" w:type="dxa"/>
            <w:vAlign w:val="center"/>
          </w:tcPr>
          <w:p w14:paraId="14B7641A">
            <w:pPr>
              <w:pStyle w:val="71"/>
              <w:spacing w:line="360" w:lineRule="auto"/>
              <w:ind w:firstLine="50"/>
              <w:rPr>
                <w:rFonts w:cs="宋体"/>
                <w:sz w:val="24"/>
                <w:szCs w:val="24"/>
              </w:rPr>
            </w:pPr>
            <w:r>
              <w:rPr>
                <w:rFonts w:hint="eastAsia" w:cs="宋体"/>
                <w:sz w:val="24"/>
                <w:szCs w:val="24"/>
              </w:rPr>
              <w:t>150</w:t>
            </w:r>
          </w:p>
        </w:tc>
        <w:tc>
          <w:tcPr>
            <w:tcW w:w="1615" w:type="dxa"/>
            <w:vAlign w:val="center"/>
          </w:tcPr>
          <w:p w14:paraId="2F45F429">
            <w:pPr>
              <w:pStyle w:val="71"/>
              <w:spacing w:line="360" w:lineRule="auto"/>
              <w:ind w:firstLine="50"/>
              <w:rPr>
                <w:rFonts w:cs="宋体"/>
                <w:sz w:val="24"/>
                <w:szCs w:val="24"/>
              </w:rPr>
            </w:pPr>
            <w:r>
              <w:rPr>
                <w:rFonts w:hint="eastAsia" w:cs="宋体"/>
                <w:sz w:val="24"/>
                <w:szCs w:val="24"/>
              </w:rPr>
              <w:t>3</w:t>
            </w:r>
          </w:p>
        </w:tc>
        <w:tc>
          <w:tcPr>
            <w:tcW w:w="1962" w:type="dxa"/>
            <w:vAlign w:val="center"/>
          </w:tcPr>
          <w:p w14:paraId="73B22761">
            <w:pPr>
              <w:pStyle w:val="71"/>
              <w:spacing w:line="360" w:lineRule="auto"/>
              <w:ind w:firstLine="50"/>
              <w:rPr>
                <w:rFonts w:cs="宋体"/>
                <w:sz w:val="24"/>
                <w:szCs w:val="24"/>
              </w:rPr>
            </w:pPr>
            <w:r>
              <w:rPr>
                <w:rFonts w:hint="eastAsia" w:cs="宋体"/>
                <w:sz w:val="24"/>
                <w:szCs w:val="24"/>
              </w:rPr>
              <w:t>159</w:t>
            </w:r>
          </w:p>
        </w:tc>
        <w:tc>
          <w:tcPr>
            <w:tcW w:w="1705" w:type="dxa"/>
            <w:vMerge w:val="continue"/>
            <w:vAlign w:val="center"/>
          </w:tcPr>
          <w:p w14:paraId="2C6A7536">
            <w:pPr>
              <w:pStyle w:val="71"/>
              <w:spacing w:line="360" w:lineRule="auto"/>
              <w:ind w:firstLine="50"/>
              <w:rPr>
                <w:rFonts w:cs="宋体"/>
                <w:sz w:val="24"/>
                <w:szCs w:val="24"/>
              </w:rPr>
            </w:pPr>
          </w:p>
        </w:tc>
      </w:tr>
      <w:tr w14:paraId="0D8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1B241212">
            <w:pPr>
              <w:pStyle w:val="71"/>
              <w:spacing w:line="360" w:lineRule="auto"/>
              <w:ind w:firstLine="50"/>
              <w:rPr>
                <w:rFonts w:cs="宋体"/>
                <w:sz w:val="24"/>
                <w:szCs w:val="24"/>
              </w:rPr>
            </w:pPr>
            <w:r>
              <w:rPr>
                <w:rFonts w:hint="eastAsia" w:cs="宋体"/>
                <w:sz w:val="24"/>
                <w:szCs w:val="24"/>
              </w:rPr>
              <w:t>13</w:t>
            </w:r>
          </w:p>
        </w:tc>
        <w:tc>
          <w:tcPr>
            <w:tcW w:w="2376" w:type="dxa"/>
            <w:vAlign w:val="center"/>
          </w:tcPr>
          <w:p w14:paraId="6E0E2801">
            <w:pPr>
              <w:pStyle w:val="71"/>
              <w:spacing w:line="360" w:lineRule="auto"/>
              <w:ind w:firstLine="50"/>
              <w:rPr>
                <w:rFonts w:cs="宋体"/>
                <w:sz w:val="24"/>
                <w:szCs w:val="24"/>
              </w:rPr>
            </w:pPr>
            <w:r>
              <w:rPr>
                <w:rFonts w:hint="eastAsia" w:cs="宋体"/>
                <w:sz w:val="24"/>
                <w:szCs w:val="24"/>
              </w:rPr>
              <w:t>100</w:t>
            </w:r>
          </w:p>
        </w:tc>
        <w:tc>
          <w:tcPr>
            <w:tcW w:w="1615" w:type="dxa"/>
            <w:vAlign w:val="center"/>
          </w:tcPr>
          <w:p w14:paraId="58D3F0D8">
            <w:pPr>
              <w:pStyle w:val="71"/>
              <w:spacing w:line="360" w:lineRule="auto"/>
              <w:ind w:firstLine="50"/>
              <w:rPr>
                <w:rFonts w:cs="宋体"/>
                <w:sz w:val="24"/>
                <w:szCs w:val="24"/>
              </w:rPr>
            </w:pPr>
            <w:r>
              <w:rPr>
                <w:rFonts w:hint="eastAsia" w:cs="宋体"/>
                <w:sz w:val="24"/>
                <w:szCs w:val="24"/>
              </w:rPr>
              <w:t>3</w:t>
            </w:r>
          </w:p>
        </w:tc>
        <w:tc>
          <w:tcPr>
            <w:tcW w:w="1962" w:type="dxa"/>
            <w:vAlign w:val="center"/>
          </w:tcPr>
          <w:p w14:paraId="0217403F">
            <w:pPr>
              <w:pStyle w:val="71"/>
              <w:spacing w:line="360" w:lineRule="auto"/>
              <w:ind w:firstLine="50"/>
              <w:rPr>
                <w:rFonts w:cs="宋体"/>
                <w:sz w:val="24"/>
                <w:szCs w:val="24"/>
              </w:rPr>
            </w:pPr>
            <w:r>
              <w:rPr>
                <w:rFonts w:hint="eastAsia" w:cs="宋体"/>
                <w:sz w:val="24"/>
                <w:szCs w:val="24"/>
              </w:rPr>
              <w:t>108</w:t>
            </w:r>
          </w:p>
        </w:tc>
        <w:tc>
          <w:tcPr>
            <w:tcW w:w="1705" w:type="dxa"/>
            <w:vMerge w:val="continue"/>
            <w:vAlign w:val="center"/>
          </w:tcPr>
          <w:p w14:paraId="5D827E5A">
            <w:pPr>
              <w:pStyle w:val="71"/>
              <w:spacing w:line="360" w:lineRule="auto"/>
              <w:ind w:firstLine="50"/>
              <w:rPr>
                <w:rFonts w:cs="宋体"/>
                <w:sz w:val="24"/>
                <w:szCs w:val="24"/>
              </w:rPr>
            </w:pPr>
          </w:p>
        </w:tc>
      </w:tr>
      <w:tr w14:paraId="3E11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Align w:val="center"/>
          </w:tcPr>
          <w:p w14:paraId="348346DB">
            <w:pPr>
              <w:pStyle w:val="71"/>
              <w:spacing w:line="360" w:lineRule="auto"/>
              <w:ind w:firstLine="50"/>
              <w:rPr>
                <w:rFonts w:cs="宋体"/>
                <w:sz w:val="24"/>
                <w:szCs w:val="24"/>
              </w:rPr>
            </w:pPr>
            <w:r>
              <w:rPr>
                <w:rFonts w:hint="eastAsia" w:cs="宋体"/>
                <w:sz w:val="24"/>
                <w:szCs w:val="24"/>
              </w:rPr>
              <w:t>14</w:t>
            </w:r>
          </w:p>
        </w:tc>
        <w:tc>
          <w:tcPr>
            <w:tcW w:w="2376" w:type="dxa"/>
            <w:vAlign w:val="center"/>
          </w:tcPr>
          <w:p w14:paraId="7305C2D3">
            <w:pPr>
              <w:pStyle w:val="71"/>
              <w:spacing w:line="360" w:lineRule="auto"/>
              <w:ind w:firstLine="50"/>
              <w:rPr>
                <w:rFonts w:cs="宋体"/>
                <w:sz w:val="24"/>
                <w:szCs w:val="24"/>
              </w:rPr>
            </w:pPr>
            <w:r>
              <w:rPr>
                <w:rFonts w:hint="eastAsia" w:cs="宋体"/>
                <w:sz w:val="24"/>
                <w:szCs w:val="24"/>
              </w:rPr>
              <w:t>50</w:t>
            </w:r>
          </w:p>
        </w:tc>
        <w:tc>
          <w:tcPr>
            <w:tcW w:w="1615" w:type="dxa"/>
            <w:vAlign w:val="center"/>
          </w:tcPr>
          <w:p w14:paraId="16847080">
            <w:pPr>
              <w:pStyle w:val="71"/>
              <w:spacing w:line="360" w:lineRule="auto"/>
              <w:ind w:firstLine="50"/>
              <w:rPr>
                <w:rFonts w:cs="宋体"/>
                <w:sz w:val="24"/>
                <w:szCs w:val="24"/>
              </w:rPr>
            </w:pPr>
            <w:r>
              <w:rPr>
                <w:rFonts w:hint="eastAsia" w:cs="宋体"/>
                <w:sz w:val="24"/>
                <w:szCs w:val="24"/>
              </w:rPr>
              <w:t>2</w:t>
            </w:r>
          </w:p>
        </w:tc>
        <w:tc>
          <w:tcPr>
            <w:tcW w:w="1962" w:type="dxa"/>
            <w:vAlign w:val="center"/>
          </w:tcPr>
          <w:p w14:paraId="0C6994E5">
            <w:pPr>
              <w:pStyle w:val="71"/>
              <w:spacing w:line="360" w:lineRule="auto"/>
              <w:ind w:firstLine="50"/>
              <w:rPr>
                <w:rFonts w:cs="宋体"/>
                <w:sz w:val="24"/>
                <w:szCs w:val="24"/>
              </w:rPr>
            </w:pPr>
            <w:r>
              <w:rPr>
                <w:rFonts w:hint="eastAsia" w:cs="宋体"/>
                <w:sz w:val="24"/>
                <w:szCs w:val="24"/>
              </w:rPr>
              <w:t>57</w:t>
            </w:r>
          </w:p>
        </w:tc>
        <w:tc>
          <w:tcPr>
            <w:tcW w:w="1705" w:type="dxa"/>
            <w:vMerge w:val="continue"/>
            <w:vAlign w:val="center"/>
          </w:tcPr>
          <w:p w14:paraId="3B7FC5B1">
            <w:pPr>
              <w:pStyle w:val="71"/>
              <w:spacing w:line="360" w:lineRule="auto"/>
              <w:ind w:firstLine="50"/>
              <w:rPr>
                <w:rFonts w:cs="宋体"/>
                <w:sz w:val="24"/>
                <w:szCs w:val="24"/>
              </w:rPr>
            </w:pPr>
          </w:p>
        </w:tc>
      </w:tr>
    </w:tbl>
    <w:p w14:paraId="49F21146">
      <w:pPr>
        <w:adjustRightInd w:val="0"/>
        <w:spacing w:line="360" w:lineRule="auto"/>
        <w:ind w:firstLine="482"/>
        <w:rPr>
          <w:rFonts w:ascii="宋体" w:hAnsi="宋体" w:cs="宋体"/>
          <w:b/>
          <w:sz w:val="24"/>
        </w:rPr>
      </w:pPr>
      <w:r>
        <w:rPr>
          <w:rFonts w:hint="eastAsia" w:ascii="宋体" w:hAnsi="宋体" w:cs="宋体"/>
          <w:b/>
          <w:sz w:val="24"/>
        </w:rPr>
        <w:t>镀锌钢管</w:t>
      </w:r>
    </w:p>
    <w:p w14:paraId="5B3F7CED">
      <w:pPr>
        <w:spacing w:line="360" w:lineRule="auto"/>
        <w:ind w:firstLine="480"/>
        <w:rPr>
          <w:rFonts w:ascii="宋体" w:hAnsi="宋体" w:cs="宋体"/>
          <w:sz w:val="24"/>
        </w:rPr>
      </w:pPr>
      <w:r>
        <w:rPr>
          <w:rFonts w:hint="eastAsia" w:ascii="宋体" w:hAnsi="宋体" w:cs="宋体"/>
          <w:sz w:val="24"/>
        </w:rPr>
        <w:t>钢管应符合ISO65：重量级，并且镀锌符合ISO1459、1460、1461。在50mm以下管径的钢管可以用螺纹短管连接，其它型式的接头可以是与2.5MPa压力法兰螺丝连接，螺纹应用铬酸锌涂胶保护。</w:t>
      </w:r>
    </w:p>
    <w:p w14:paraId="6B84EE28">
      <w:pPr>
        <w:adjustRightInd w:val="0"/>
        <w:spacing w:line="360" w:lineRule="auto"/>
        <w:ind w:firstLine="482"/>
        <w:rPr>
          <w:rFonts w:ascii="宋体" w:hAnsi="宋体" w:cs="宋体"/>
          <w:b/>
          <w:sz w:val="24"/>
        </w:rPr>
      </w:pPr>
      <w:r>
        <w:rPr>
          <w:rFonts w:hint="eastAsia" w:ascii="宋体" w:hAnsi="宋体" w:cs="宋体"/>
          <w:b/>
          <w:sz w:val="24"/>
        </w:rPr>
        <w:t>HDPE管和配件</w:t>
      </w:r>
    </w:p>
    <w:p w14:paraId="22848A97">
      <w:pPr>
        <w:spacing w:line="360" w:lineRule="auto"/>
        <w:ind w:firstLine="480"/>
        <w:rPr>
          <w:rFonts w:ascii="宋体" w:hAnsi="宋体" w:cs="宋体"/>
          <w:sz w:val="24"/>
        </w:rPr>
      </w:pPr>
      <w:r>
        <w:rPr>
          <w:rFonts w:hint="eastAsia" w:ascii="宋体" w:hAnsi="宋体" w:cs="宋体"/>
          <w:sz w:val="24"/>
        </w:rPr>
        <w:t>用于污水污泥的HDPE管一般应符合CECS282-2010标准和ASTM D1248等级要求，最小压力等级为0.6Mpa。管道埋设及埋深按图施工，施工前需向土建施工单位核对标高。</w:t>
      </w:r>
    </w:p>
    <w:p w14:paraId="509F28A5">
      <w:pPr>
        <w:spacing w:line="360" w:lineRule="auto"/>
        <w:ind w:firstLine="480"/>
        <w:rPr>
          <w:rFonts w:ascii="宋体" w:hAnsi="宋体" w:cs="宋体"/>
          <w:sz w:val="24"/>
        </w:rPr>
      </w:pPr>
      <w:r>
        <w:rPr>
          <w:rFonts w:hint="eastAsia" w:ascii="宋体" w:hAnsi="宋体" w:cs="宋体"/>
          <w:sz w:val="24"/>
        </w:rPr>
        <w:t>溶剂连接接头和配件可以使用，但应提供足够的机械接头以便利管道和设备的拆卸和维护。在要求机械接头承受外部推力之处应采用法兰型接头，法兰接头应为短法兰并带有止退挡圈。</w:t>
      </w:r>
    </w:p>
    <w:p w14:paraId="64E4AEA5">
      <w:pPr>
        <w:spacing w:line="360" w:lineRule="auto"/>
        <w:ind w:firstLine="480"/>
        <w:rPr>
          <w:rFonts w:ascii="宋体" w:hAnsi="宋体" w:cs="宋体"/>
          <w:sz w:val="24"/>
        </w:rPr>
      </w:pPr>
      <w:r>
        <w:rPr>
          <w:rFonts w:hint="eastAsia" w:ascii="宋体" w:hAnsi="宋体" w:cs="宋体"/>
          <w:sz w:val="24"/>
        </w:rPr>
        <w:t>所有法兰的螺孔应符合ISO7005：1MPa设计压力标准，除非法兰与现有的设备连接，而法兰的螺孔不同，在此情况下，螺孔及其布置应按照连接法兰。</w:t>
      </w:r>
    </w:p>
    <w:p w14:paraId="6DEC21AB">
      <w:pPr>
        <w:adjustRightInd w:val="0"/>
        <w:spacing w:line="360" w:lineRule="auto"/>
        <w:ind w:firstLine="482"/>
        <w:rPr>
          <w:rFonts w:ascii="宋体" w:hAnsi="宋体" w:cs="宋体"/>
          <w:b/>
          <w:sz w:val="24"/>
        </w:rPr>
      </w:pPr>
      <w:r>
        <w:rPr>
          <w:rFonts w:hint="eastAsia" w:ascii="宋体" w:hAnsi="宋体" w:cs="宋体"/>
          <w:b/>
          <w:sz w:val="24"/>
        </w:rPr>
        <w:t>化学药剂管和软管</w:t>
      </w:r>
    </w:p>
    <w:p w14:paraId="73CD89F7">
      <w:pPr>
        <w:spacing w:line="360" w:lineRule="auto"/>
        <w:ind w:firstLine="480"/>
        <w:rPr>
          <w:rFonts w:ascii="宋体" w:hAnsi="宋体" w:cs="宋体"/>
          <w:sz w:val="24"/>
        </w:rPr>
      </w:pPr>
      <w:r>
        <w:rPr>
          <w:rFonts w:hint="eastAsia" w:ascii="宋体" w:hAnsi="宋体" w:cs="宋体"/>
          <w:sz w:val="24"/>
        </w:rPr>
        <w:t>化学药剂管和软管应为适用于化学药剂的阻燃材料制成并应提供双份。管子的布置应能方便拆卸清洗，如在任何一路管道中采用螺纹接头或溶剂连接接头，应提供足量的法兰或者挠性接头以便拆卸任何一段管子。应在合适之处装置三通和旋塞阀以方便连接压力水冲洗管道。</w:t>
      </w:r>
    </w:p>
    <w:p w14:paraId="15A06530">
      <w:pPr>
        <w:spacing w:line="360" w:lineRule="auto"/>
        <w:ind w:firstLine="480"/>
        <w:rPr>
          <w:rFonts w:ascii="宋体" w:hAnsi="宋体" w:cs="宋体"/>
          <w:sz w:val="24"/>
        </w:rPr>
      </w:pPr>
      <w:r>
        <w:rPr>
          <w:rFonts w:hint="eastAsia" w:ascii="宋体" w:hAnsi="宋体" w:cs="宋体"/>
          <w:sz w:val="24"/>
        </w:rPr>
        <w:t>所有化学药剂管和软管应箍紧并能识辨每一管路的走向。尽可能地将支架或槽线板固定在管槽墙上或建筑物和池子墙上，化学药剂管用管箍固定在支架和槽线板上，管箍应能方便拆卸而不妨碍相邻管子。中标人应提供包括所有这些支架或槽线板。所有应提供的软管，管子，支架和槽线板的详细资料应提交业主批准 。</w:t>
      </w:r>
    </w:p>
    <w:p w14:paraId="27B020FD">
      <w:pPr>
        <w:adjustRightInd w:val="0"/>
        <w:spacing w:line="360" w:lineRule="auto"/>
        <w:ind w:firstLine="482"/>
        <w:rPr>
          <w:rFonts w:ascii="宋体" w:hAnsi="宋体" w:cs="宋体"/>
          <w:b/>
          <w:sz w:val="24"/>
        </w:rPr>
      </w:pPr>
      <w:r>
        <w:rPr>
          <w:rFonts w:hint="eastAsia" w:ascii="宋体" w:hAnsi="宋体" w:cs="宋体"/>
          <w:b/>
          <w:sz w:val="24"/>
        </w:rPr>
        <w:t>风管</w:t>
      </w:r>
    </w:p>
    <w:p w14:paraId="1BA5855C">
      <w:pPr>
        <w:adjustRightInd w:val="0"/>
        <w:spacing w:line="360" w:lineRule="auto"/>
        <w:ind w:firstLine="226" w:firstLineChars="94"/>
        <w:rPr>
          <w:rFonts w:ascii="宋体" w:hAnsi="宋体" w:cs="宋体"/>
          <w:b/>
          <w:sz w:val="24"/>
        </w:rPr>
      </w:pPr>
      <w:r>
        <w:rPr>
          <w:rFonts w:hint="eastAsia" w:ascii="宋体" w:hAnsi="宋体" w:cs="宋体"/>
          <w:b/>
          <w:sz w:val="24"/>
        </w:rPr>
        <w:t>（1）主要材料</w:t>
      </w:r>
    </w:p>
    <w:p w14:paraId="253C9649">
      <w:pPr>
        <w:spacing w:line="360" w:lineRule="auto"/>
        <w:ind w:firstLine="480"/>
        <w:rPr>
          <w:rFonts w:ascii="宋体" w:hAnsi="宋体" w:cs="宋体"/>
          <w:sz w:val="24"/>
        </w:rPr>
      </w:pPr>
      <w:r>
        <w:rPr>
          <w:rFonts w:hint="eastAsia" w:ascii="宋体" w:hAnsi="宋体" w:cs="宋体"/>
          <w:sz w:val="24"/>
        </w:rPr>
        <w:t>风管               热镀锌材质</w:t>
      </w:r>
    </w:p>
    <w:p w14:paraId="003B6118">
      <w:pPr>
        <w:spacing w:line="360" w:lineRule="auto"/>
        <w:ind w:firstLine="480"/>
        <w:rPr>
          <w:rFonts w:ascii="宋体" w:hAnsi="宋体" w:cs="宋体"/>
          <w:sz w:val="24"/>
        </w:rPr>
      </w:pPr>
      <w:r>
        <w:rPr>
          <w:rFonts w:hint="eastAsia" w:ascii="宋体" w:hAnsi="宋体" w:cs="宋体"/>
          <w:sz w:val="24"/>
        </w:rPr>
        <w:t>风口               不锈钢</w:t>
      </w:r>
    </w:p>
    <w:p w14:paraId="6468F328">
      <w:pPr>
        <w:spacing w:line="360" w:lineRule="auto"/>
        <w:ind w:firstLine="480"/>
        <w:rPr>
          <w:rFonts w:ascii="宋体" w:hAnsi="宋体" w:cs="宋体"/>
          <w:sz w:val="24"/>
        </w:rPr>
      </w:pPr>
      <w:r>
        <w:rPr>
          <w:rFonts w:hint="eastAsia" w:ascii="宋体" w:hAnsi="宋体" w:cs="宋体"/>
          <w:sz w:val="24"/>
        </w:rPr>
        <w:t>螺栓、螺母、垫圈   不锈钢</w:t>
      </w:r>
    </w:p>
    <w:p w14:paraId="37D15AC3">
      <w:pPr>
        <w:spacing w:line="360" w:lineRule="auto"/>
        <w:ind w:firstLine="480"/>
        <w:rPr>
          <w:rFonts w:ascii="宋体" w:hAnsi="宋体" w:cs="宋体"/>
          <w:sz w:val="24"/>
        </w:rPr>
      </w:pPr>
      <w:r>
        <w:rPr>
          <w:rFonts w:hint="eastAsia" w:ascii="宋体" w:hAnsi="宋体" w:cs="宋体"/>
          <w:sz w:val="24"/>
        </w:rPr>
        <w:t>法兰垫料           橡胶板</w:t>
      </w:r>
    </w:p>
    <w:p w14:paraId="16C22F96">
      <w:pPr>
        <w:adjustRightInd w:val="0"/>
        <w:spacing w:line="360" w:lineRule="auto"/>
        <w:ind w:firstLine="241" w:firstLineChars="100"/>
        <w:rPr>
          <w:rFonts w:ascii="宋体" w:hAnsi="宋体" w:cs="宋体"/>
          <w:b/>
          <w:sz w:val="24"/>
        </w:rPr>
      </w:pPr>
      <w:r>
        <w:rPr>
          <w:rFonts w:hint="eastAsia" w:ascii="宋体" w:hAnsi="宋体" w:cs="宋体"/>
          <w:b/>
          <w:sz w:val="24"/>
        </w:rPr>
        <w:t>（2）风管安装技术要求</w:t>
      </w:r>
    </w:p>
    <w:p w14:paraId="1731F462">
      <w:pPr>
        <w:spacing w:line="360" w:lineRule="auto"/>
        <w:ind w:firstLine="480"/>
        <w:rPr>
          <w:rFonts w:ascii="宋体" w:hAnsi="宋体" w:cs="宋体"/>
          <w:sz w:val="24"/>
        </w:rPr>
      </w:pPr>
      <w:r>
        <w:rPr>
          <w:rFonts w:hint="eastAsia" w:ascii="宋体" w:hAnsi="宋体" w:cs="宋体"/>
          <w:sz w:val="24"/>
        </w:rPr>
        <w:t>① 风管安装要求：</w:t>
      </w:r>
    </w:p>
    <w:p w14:paraId="6FF8B3E0">
      <w:pPr>
        <w:spacing w:line="360" w:lineRule="auto"/>
        <w:ind w:firstLine="480"/>
        <w:rPr>
          <w:rFonts w:ascii="宋体" w:hAnsi="宋体" w:cs="宋体"/>
          <w:sz w:val="24"/>
        </w:rPr>
      </w:pPr>
      <w:r>
        <w:rPr>
          <w:rFonts w:hint="eastAsia" w:ascii="宋体" w:hAnsi="宋体" w:cs="宋体"/>
          <w:sz w:val="24"/>
        </w:rPr>
        <w:t>搬运风管应防止碰、撬、摔等机械损伤，安装时严禁攀登倚靠风管。</w:t>
      </w:r>
    </w:p>
    <w:p w14:paraId="67393D07">
      <w:pPr>
        <w:spacing w:line="360" w:lineRule="auto"/>
        <w:ind w:firstLine="480"/>
        <w:rPr>
          <w:rFonts w:ascii="宋体" w:hAnsi="宋体" w:cs="宋体"/>
          <w:sz w:val="24"/>
        </w:rPr>
      </w:pPr>
      <w:r>
        <w:rPr>
          <w:rFonts w:hint="eastAsia" w:ascii="宋体" w:hAnsi="宋体" w:cs="宋体"/>
          <w:sz w:val="24"/>
        </w:rPr>
        <w:t>风管安装前应对其外观进行质量检查，并清除其内外表面粉尘及管内杂物。安装中途停顿时，应将风管端口封闭。</w:t>
      </w:r>
    </w:p>
    <w:p w14:paraId="621AD2DC">
      <w:pPr>
        <w:spacing w:line="360" w:lineRule="auto"/>
        <w:ind w:firstLine="480"/>
        <w:rPr>
          <w:rFonts w:ascii="宋体" w:hAnsi="宋体" w:cs="宋体"/>
          <w:sz w:val="24"/>
        </w:rPr>
      </w:pPr>
      <w:r>
        <w:rPr>
          <w:rFonts w:hint="eastAsia" w:ascii="宋体" w:hAnsi="宋体" w:cs="宋体"/>
          <w:sz w:val="24"/>
        </w:rPr>
        <w:t>风管接口不得安装在墙内或楼板中，风管沿墙体或楼板安装时，距离墙面、楼板宜大于150mm。</w:t>
      </w:r>
    </w:p>
    <w:p w14:paraId="0B54AE0E">
      <w:pPr>
        <w:spacing w:line="360" w:lineRule="auto"/>
        <w:ind w:firstLine="480"/>
        <w:rPr>
          <w:rFonts w:ascii="宋体" w:hAnsi="宋体" w:cs="宋体"/>
          <w:sz w:val="24"/>
        </w:rPr>
      </w:pPr>
      <w:r>
        <w:rPr>
          <w:rFonts w:hint="eastAsia" w:ascii="宋体" w:hAnsi="宋体" w:cs="宋体"/>
          <w:sz w:val="24"/>
        </w:rPr>
        <w:t>风管内不得敷设各种管道、电线或电缆，室外立管的固定拉索严禁拉在避雷针或避雷网上。</w:t>
      </w:r>
    </w:p>
    <w:p w14:paraId="46F84BCC">
      <w:pPr>
        <w:spacing w:line="360" w:lineRule="auto"/>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风管安装偏差应符合下列规定：</w:t>
      </w:r>
    </w:p>
    <w:p w14:paraId="18A04841">
      <w:pPr>
        <w:spacing w:line="360" w:lineRule="auto"/>
        <w:ind w:firstLine="480"/>
        <w:rPr>
          <w:rFonts w:ascii="宋体" w:hAnsi="宋体" w:cs="宋体"/>
          <w:sz w:val="24"/>
        </w:rPr>
      </w:pPr>
      <w:r>
        <w:rPr>
          <w:rFonts w:hint="eastAsia" w:ascii="宋体" w:hAnsi="宋体" w:cs="宋体"/>
          <w:sz w:val="24"/>
        </w:rPr>
        <w:t>a.明装水平风管水平度偏差应为3mm/m，总偏差不得大于20mm；</w:t>
      </w:r>
    </w:p>
    <w:p w14:paraId="4A7DA7B5">
      <w:pPr>
        <w:spacing w:line="360" w:lineRule="auto"/>
        <w:ind w:firstLine="480"/>
        <w:rPr>
          <w:rFonts w:ascii="宋体" w:hAnsi="宋体" w:cs="宋体"/>
          <w:sz w:val="24"/>
        </w:rPr>
      </w:pPr>
      <w:r>
        <w:rPr>
          <w:rFonts w:hint="eastAsia" w:ascii="宋体" w:hAnsi="宋体" w:cs="宋体"/>
          <w:sz w:val="24"/>
        </w:rPr>
        <w:t>b.明装垂直风管垂直度偏差应为2mm/m，总偏差不得大于20mm；</w:t>
      </w:r>
    </w:p>
    <w:p w14:paraId="67CDD3B8">
      <w:pPr>
        <w:spacing w:line="360" w:lineRule="auto"/>
        <w:ind w:firstLine="480"/>
        <w:rPr>
          <w:rFonts w:ascii="宋体" w:hAnsi="宋体" w:cs="宋体"/>
          <w:sz w:val="24"/>
        </w:rPr>
      </w:pPr>
      <w:r>
        <w:rPr>
          <w:rFonts w:hint="eastAsia" w:ascii="宋体" w:hAnsi="宋体" w:cs="宋体"/>
          <w:sz w:val="24"/>
        </w:rPr>
        <w:t>c.暗装风管位置应正确，无明显偏差。</w:t>
      </w:r>
    </w:p>
    <w:p w14:paraId="1D1ABDF2">
      <w:pPr>
        <w:spacing w:line="360" w:lineRule="auto"/>
        <w:ind w:firstLine="480"/>
        <w:rPr>
          <w:rFonts w:ascii="宋体" w:hAnsi="宋体" w:cs="宋体"/>
          <w:sz w:val="24"/>
        </w:rPr>
      </w:pPr>
      <w:r>
        <w:rPr>
          <w:rFonts w:hint="eastAsia" w:ascii="宋体" w:hAnsi="宋体" w:cs="宋体"/>
          <w:sz w:val="24"/>
        </w:rPr>
        <w:t>支吊架的预埋件位置应正确、牢固可靠，埋入部分应除锈、除油污，并不得涂漆。支吊架外露部分应做防腐处理。</w:t>
      </w:r>
    </w:p>
    <w:p w14:paraId="30DAB316">
      <w:pPr>
        <w:spacing w:line="360" w:lineRule="auto"/>
        <w:ind w:firstLine="480"/>
        <w:rPr>
          <w:rFonts w:ascii="宋体" w:hAnsi="宋体" w:cs="宋体"/>
          <w:sz w:val="24"/>
        </w:rPr>
      </w:pPr>
      <w:r>
        <w:rPr>
          <w:rFonts w:hint="eastAsia" w:ascii="宋体" w:hAnsi="宋体" w:cs="宋体"/>
          <w:sz w:val="24"/>
        </w:rPr>
        <w:t>支吊架不应设置在风口处或阀门、检查门和自控机构的操作部位，距离风口或插接管不宜小于200mm。</w:t>
      </w:r>
    </w:p>
    <w:p w14:paraId="25BCCC5A">
      <w:pPr>
        <w:spacing w:line="360" w:lineRule="auto"/>
        <w:ind w:firstLine="480"/>
        <w:rPr>
          <w:rFonts w:ascii="宋体" w:hAnsi="宋体" w:cs="宋体"/>
          <w:sz w:val="24"/>
        </w:rPr>
      </w:pPr>
      <w:r>
        <w:rPr>
          <w:rFonts w:hint="eastAsia" w:ascii="宋体" w:hAnsi="宋体" w:cs="宋体"/>
          <w:sz w:val="24"/>
        </w:rPr>
        <w:t>风管各管段的连接，应采用可拆卸的型式，风管和部件可拆卸的接口，不得装设在墙和楼板内。</w:t>
      </w:r>
    </w:p>
    <w:p w14:paraId="52FE6602">
      <w:pPr>
        <w:spacing w:line="360" w:lineRule="auto"/>
        <w:ind w:firstLine="480"/>
        <w:rPr>
          <w:rFonts w:ascii="宋体" w:hAnsi="宋体" w:cs="宋体"/>
          <w:sz w:val="24"/>
        </w:rPr>
      </w:pPr>
      <w:r>
        <w:rPr>
          <w:rFonts w:hint="eastAsia" w:ascii="宋体" w:hAnsi="宋体" w:cs="宋体"/>
          <w:sz w:val="24"/>
        </w:rPr>
        <w:t>直接与通风机相连接的风管，宜在设备就位后安装。</w:t>
      </w:r>
    </w:p>
    <w:p w14:paraId="30E6AFF7">
      <w:pPr>
        <w:spacing w:line="360" w:lineRule="auto"/>
        <w:ind w:firstLine="480"/>
        <w:rPr>
          <w:rFonts w:ascii="宋体" w:hAnsi="宋体" w:cs="宋体"/>
          <w:sz w:val="24"/>
        </w:rPr>
      </w:pPr>
      <w:r>
        <w:rPr>
          <w:rFonts w:hint="eastAsia" w:ascii="宋体" w:hAnsi="宋体" w:cs="宋体"/>
          <w:sz w:val="24"/>
        </w:rPr>
        <w:t>风管和部件在安装前，内壁必须擦拭干净，做到无浮尘和其它杂物。</w:t>
      </w:r>
    </w:p>
    <w:p w14:paraId="18FAF082">
      <w:pPr>
        <w:spacing w:line="360" w:lineRule="auto"/>
        <w:ind w:firstLine="480"/>
        <w:rPr>
          <w:rFonts w:ascii="宋体" w:hAnsi="宋体" w:cs="宋体"/>
          <w:sz w:val="24"/>
        </w:rPr>
      </w:pPr>
      <w:r>
        <w:rPr>
          <w:rFonts w:hint="eastAsia" w:ascii="宋体" w:hAnsi="宋体" w:cs="宋体"/>
          <w:sz w:val="24"/>
        </w:rPr>
        <w:t>法兰破损和脱落处，应完全修复后才能安装。</w:t>
      </w:r>
    </w:p>
    <w:p w14:paraId="026BF1C1">
      <w:pPr>
        <w:spacing w:line="360" w:lineRule="auto"/>
        <w:ind w:firstLine="480"/>
        <w:rPr>
          <w:rFonts w:ascii="宋体" w:hAnsi="宋体" w:cs="宋体"/>
          <w:sz w:val="24"/>
        </w:rPr>
      </w:pPr>
      <w:r>
        <w:rPr>
          <w:rFonts w:hint="eastAsia" w:ascii="宋体" w:hAnsi="宋体" w:cs="宋体"/>
          <w:sz w:val="24"/>
        </w:rPr>
        <w:t>支、吊、托架的预埋件或膨胀螺栓，位置应正确、牢固，预埋件的埋入部分不得油漆，并应除去油污。</w:t>
      </w:r>
    </w:p>
    <w:p w14:paraId="6E76F9B2">
      <w:pPr>
        <w:spacing w:line="360" w:lineRule="auto"/>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风管支、吊、托架间距，如设计无特殊要求，应符合下列规定：</w:t>
      </w:r>
    </w:p>
    <w:p w14:paraId="52B038C1">
      <w:pPr>
        <w:spacing w:line="360" w:lineRule="auto"/>
        <w:ind w:firstLine="480"/>
        <w:rPr>
          <w:rFonts w:ascii="宋体" w:hAnsi="宋体" w:cs="宋体"/>
          <w:sz w:val="24"/>
        </w:rPr>
      </w:pPr>
      <w:r>
        <w:rPr>
          <w:rFonts w:hint="eastAsia" w:ascii="宋体" w:hAnsi="宋体" w:cs="宋体"/>
          <w:sz w:val="24"/>
        </w:rPr>
        <w:t>a.水平安装：当圆管直径、矩形管大边长为501～2000mm时，间距不应大于3500mm。</w:t>
      </w:r>
    </w:p>
    <w:p w14:paraId="28A8BE47">
      <w:pPr>
        <w:spacing w:line="360" w:lineRule="auto"/>
        <w:ind w:firstLine="480"/>
        <w:rPr>
          <w:rFonts w:ascii="宋体" w:hAnsi="宋体" w:cs="宋体"/>
          <w:sz w:val="24"/>
        </w:rPr>
      </w:pPr>
      <w:r>
        <w:rPr>
          <w:rFonts w:hint="eastAsia" w:ascii="宋体" w:hAnsi="宋体" w:cs="宋体"/>
          <w:sz w:val="24"/>
        </w:rPr>
        <w:t>b.垂直安装：间距不应大于4000mm，但每根立管固定件不应少于2个。</w:t>
      </w:r>
    </w:p>
    <w:p w14:paraId="7E8F5070">
      <w:pPr>
        <w:spacing w:line="360" w:lineRule="auto"/>
        <w:ind w:firstLine="480"/>
        <w:rPr>
          <w:rFonts w:ascii="宋体" w:hAnsi="宋体" w:cs="宋体"/>
          <w:sz w:val="24"/>
        </w:rPr>
      </w:pPr>
      <w:r>
        <w:rPr>
          <w:rFonts w:hint="eastAsia" w:ascii="宋体" w:hAnsi="宋体" w:cs="宋体"/>
          <w:sz w:val="24"/>
        </w:rPr>
        <w:t>支、吊架应避开风口、阀门等处。</w:t>
      </w:r>
    </w:p>
    <w:p w14:paraId="7B9556CE">
      <w:pPr>
        <w:spacing w:line="360" w:lineRule="auto"/>
        <w:ind w:firstLine="48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风管支、吊架用材应符合下列规定：</w:t>
      </w:r>
    </w:p>
    <w:p w14:paraId="1203D20B">
      <w:pPr>
        <w:spacing w:line="360" w:lineRule="auto"/>
        <w:ind w:firstLine="480"/>
        <w:rPr>
          <w:rFonts w:ascii="宋体" w:hAnsi="宋体" w:cs="宋体"/>
          <w:sz w:val="24"/>
        </w:rPr>
      </w:pPr>
      <w:r>
        <w:rPr>
          <w:rFonts w:hint="eastAsia" w:ascii="宋体" w:hAnsi="宋体" w:cs="宋体"/>
          <w:sz w:val="24"/>
        </w:rPr>
        <w:t>a.风管支、吊架应用扁钢、角钢、槽钢、圆钢制作；</w:t>
      </w:r>
    </w:p>
    <w:p w14:paraId="5BD1F0E4">
      <w:pPr>
        <w:spacing w:line="360" w:lineRule="auto"/>
        <w:ind w:firstLine="480"/>
        <w:rPr>
          <w:rFonts w:ascii="宋体" w:hAnsi="宋体" w:cs="宋体"/>
          <w:sz w:val="24"/>
        </w:rPr>
      </w:pPr>
      <w:r>
        <w:rPr>
          <w:rFonts w:hint="eastAsia" w:ascii="宋体" w:hAnsi="宋体" w:cs="宋体"/>
          <w:sz w:val="24"/>
        </w:rPr>
        <w:t>b.托座扁钢：圆管直径为501～1000mm时，托座应使用不小于25×6扁钢。</w:t>
      </w:r>
    </w:p>
    <w:p w14:paraId="3743C671">
      <w:pPr>
        <w:spacing w:line="360" w:lineRule="auto"/>
        <w:ind w:firstLine="480"/>
        <w:rPr>
          <w:rFonts w:ascii="宋体" w:hAnsi="宋体" w:cs="宋体"/>
          <w:sz w:val="24"/>
        </w:rPr>
      </w:pPr>
      <w:r>
        <w:rPr>
          <w:rFonts w:hint="eastAsia" w:ascii="宋体" w:hAnsi="宋体" w:cs="宋体"/>
          <w:sz w:val="24"/>
        </w:rPr>
        <w:t>c.吊杆圆钢：圆管直径、矩形管大边长小于1000mm时，应使用直径不小于8mm圆钢。</w:t>
      </w:r>
    </w:p>
    <w:p w14:paraId="729EB3CE">
      <w:pPr>
        <w:spacing w:line="360" w:lineRule="auto"/>
        <w:ind w:firstLine="480"/>
        <w:rPr>
          <w:rFonts w:ascii="宋体" w:hAnsi="宋体" w:cs="宋体"/>
          <w:sz w:val="24"/>
        </w:rPr>
      </w:pPr>
      <w:r>
        <w:rPr>
          <w:rFonts w:hint="eastAsia" w:ascii="宋体" w:hAnsi="宋体" w:cs="宋体"/>
          <w:sz w:val="24"/>
        </w:rPr>
        <w:t>风管钢制支、吊架、吊杆螺栓必须刷防锈漆；风管螺栓必须使用不锈钢螺栓。</w:t>
      </w:r>
    </w:p>
    <w:p w14:paraId="1E6B7414">
      <w:pPr>
        <w:adjustRightInd w:val="0"/>
        <w:spacing w:line="360" w:lineRule="auto"/>
        <w:ind w:firstLine="226" w:firstLineChars="94"/>
        <w:rPr>
          <w:rFonts w:ascii="宋体" w:hAnsi="宋体" w:cs="宋体"/>
          <w:b/>
          <w:sz w:val="24"/>
        </w:rPr>
      </w:pPr>
      <w:r>
        <w:rPr>
          <w:rFonts w:hint="eastAsia" w:ascii="宋体" w:hAnsi="宋体" w:cs="宋体"/>
          <w:b/>
          <w:sz w:val="24"/>
        </w:rPr>
        <w:t>（3）参考标准</w:t>
      </w:r>
    </w:p>
    <w:p w14:paraId="782D84FC">
      <w:pPr>
        <w:spacing w:line="360" w:lineRule="auto"/>
        <w:ind w:firstLine="480"/>
        <w:rPr>
          <w:rFonts w:ascii="宋体" w:hAnsi="宋体" w:cs="宋体"/>
          <w:sz w:val="24"/>
        </w:rPr>
      </w:pPr>
      <w:r>
        <w:rPr>
          <w:rFonts w:hint="eastAsia" w:ascii="宋体" w:hAnsi="宋体" w:cs="宋体"/>
          <w:sz w:val="24"/>
        </w:rPr>
        <w:t>GB50243-2002       通风与空调工程施工及验收规范</w:t>
      </w:r>
    </w:p>
    <w:p w14:paraId="6FB6C0AA">
      <w:pPr>
        <w:spacing w:line="360" w:lineRule="auto"/>
        <w:ind w:firstLine="480"/>
        <w:rPr>
          <w:rFonts w:ascii="宋体" w:hAnsi="宋体" w:cs="宋体"/>
          <w:sz w:val="24"/>
        </w:rPr>
      </w:pPr>
      <w:r>
        <w:rPr>
          <w:rFonts w:hint="eastAsia" w:ascii="宋体" w:hAnsi="宋体" w:cs="宋体"/>
          <w:sz w:val="24"/>
        </w:rPr>
        <w:t>JGJ141-2004         通风管道技术规程</w:t>
      </w:r>
    </w:p>
    <w:p w14:paraId="756F84BB">
      <w:pPr>
        <w:adjustRightInd w:val="0"/>
        <w:spacing w:line="360" w:lineRule="auto"/>
        <w:ind w:firstLine="226" w:firstLineChars="94"/>
        <w:rPr>
          <w:rFonts w:ascii="宋体" w:hAnsi="宋体" w:cs="宋体"/>
          <w:b/>
          <w:sz w:val="24"/>
        </w:rPr>
      </w:pPr>
      <w:r>
        <w:rPr>
          <w:rFonts w:hint="eastAsia" w:ascii="宋体" w:hAnsi="宋体" w:cs="宋体"/>
          <w:b/>
          <w:sz w:val="24"/>
        </w:rPr>
        <w:t>（4）检验和试验</w:t>
      </w:r>
    </w:p>
    <w:p w14:paraId="2F84052B">
      <w:pPr>
        <w:spacing w:line="360" w:lineRule="auto"/>
        <w:ind w:firstLine="480"/>
        <w:rPr>
          <w:rFonts w:ascii="宋体" w:hAnsi="宋体" w:cs="宋体"/>
          <w:sz w:val="24"/>
        </w:rPr>
      </w:pPr>
      <w:r>
        <w:rPr>
          <w:rFonts w:hint="eastAsia" w:ascii="宋体" w:hAnsi="宋体" w:cs="宋体"/>
          <w:sz w:val="24"/>
        </w:rPr>
        <w:t>① 一般规定</w:t>
      </w:r>
    </w:p>
    <w:p w14:paraId="25F7FDF2">
      <w:pPr>
        <w:spacing w:line="360" w:lineRule="auto"/>
        <w:ind w:firstLine="480"/>
        <w:rPr>
          <w:rFonts w:ascii="宋体" w:hAnsi="宋体" w:cs="宋体"/>
          <w:sz w:val="24"/>
        </w:rPr>
      </w:pPr>
      <w:r>
        <w:rPr>
          <w:rFonts w:hint="eastAsia" w:ascii="宋体" w:hAnsi="宋体" w:cs="宋体"/>
          <w:sz w:val="24"/>
        </w:rPr>
        <w:t>风管制作与安装工艺过程中的质量控制和检验应符合规程的要求。风管制作与安装的质量验收应符合设计要求，并应符合现行国家标准《通风与空调工程施工质量验收规范》GB50243的规定。</w:t>
      </w:r>
    </w:p>
    <w:p w14:paraId="3465316A">
      <w:pPr>
        <w:spacing w:line="360" w:lineRule="auto"/>
        <w:ind w:firstLine="480"/>
        <w:rPr>
          <w:rFonts w:ascii="宋体" w:hAnsi="宋体" w:cs="宋体"/>
          <w:sz w:val="24"/>
        </w:rPr>
      </w:pPr>
      <w:r>
        <w:rPr>
          <w:rFonts w:hint="eastAsia" w:ascii="宋体" w:hAnsi="宋体" w:cs="宋体"/>
          <w:sz w:val="24"/>
        </w:rPr>
        <w:t>风管制作质量的检验应按其材料、工艺。工程中使用的外购成品风管应有检测机构提供的风管耐压强度、严密性检测报告。</w:t>
      </w:r>
    </w:p>
    <w:p w14:paraId="0A2542CF">
      <w:pPr>
        <w:spacing w:line="360" w:lineRule="auto"/>
        <w:ind w:firstLine="480"/>
        <w:rPr>
          <w:rFonts w:ascii="宋体" w:hAnsi="宋体" w:cs="宋体"/>
          <w:sz w:val="24"/>
        </w:rPr>
      </w:pPr>
      <w:r>
        <w:rPr>
          <w:rFonts w:hint="eastAsia" w:ascii="宋体" w:hAnsi="宋体" w:cs="宋体"/>
          <w:sz w:val="24"/>
        </w:rPr>
        <w:t>风管系统的主风管安装完毕，尚未连接风口和支风管前，应以主干管为主进行风管系统的严密性检验。</w:t>
      </w:r>
    </w:p>
    <w:p w14:paraId="02D251AD">
      <w:pPr>
        <w:spacing w:line="360" w:lineRule="auto"/>
        <w:ind w:firstLine="480"/>
        <w:rPr>
          <w:rFonts w:ascii="宋体" w:hAnsi="宋体" w:cs="宋体"/>
          <w:sz w:val="24"/>
        </w:rPr>
      </w:pPr>
      <w:r>
        <w:rPr>
          <w:rFonts w:hint="eastAsia" w:ascii="宋体" w:hAnsi="宋体" w:cs="宋体"/>
          <w:sz w:val="24"/>
        </w:rPr>
        <w:t>② 一般项目</w:t>
      </w:r>
    </w:p>
    <w:p w14:paraId="1CB4AF2A">
      <w:pPr>
        <w:spacing w:line="360" w:lineRule="auto"/>
        <w:ind w:firstLine="480"/>
        <w:rPr>
          <w:rFonts w:ascii="宋体" w:hAnsi="宋体" w:cs="宋体"/>
          <w:sz w:val="24"/>
        </w:rPr>
      </w:pPr>
      <w:r>
        <w:rPr>
          <w:rFonts w:hint="eastAsia" w:ascii="宋体" w:hAnsi="宋体" w:cs="宋体"/>
          <w:sz w:val="24"/>
        </w:rPr>
        <w:t>风管密封材料应符合系统工作条件，法兰与接口处应严密；</w:t>
      </w:r>
    </w:p>
    <w:p w14:paraId="0A24C9F2">
      <w:pPr>
        <w:spacing w:line="360" w:lineRule="auto"/>
        <w:ind w:firstLine="480"/>
        <w:rPr>
          <w:rFonts w:ascii="宋体" w:hAnsi="宋体" w:cs="宋体"/>
          <w:sz w:val="24"/>
        </w:rPr>
      </w:pPr>
      <w:r>
        <w:rPr>
          <w:rFonts w:hint="eastAsia" w:ascii="宋体" w:hAnsi="宋体" w:cs="宋体"/>
          <w:sz w:val="24"/>
        </w:rPr>
        <w:t>风管表面应平整、不脱胶、无气鼓和破损，接口处粘接牢固严密。风管内表面层不应有损坏；</w:t>
      </w:r>
    </w:p>
    <w:p w14:paraId="232780AE">
      <w:pPr>
        <w:spacing w:line="360" w:lineRule="auto"/>
        <w:ind w:firstLine="480"/>
        <w:rPr>
          <w:rFonts w:ascii="宋体" w:hAnsi="宋体" w:cs="宋体"/>
          <w:sz w:val="24"/>
        </w:rPr>
      </w:pPr>
      <w:r>
        <w:rPr>
          <w:rFonts w:hint="eastAsia" w:ascii="宋体" w:hAnsi="宋体" w:cs="宋体"/>
          <w:sz w:val="24"/>
        </w:rPr>
        <w:t>风管表面应无裂纹、分层、明显泛霜且光洁；</w:t>
      </w:r>
    </w:p>
    <w:p w14:paraId="7C38CCCC">
      <w:pPr>
        <w:spacing w:line="360" w:lineRule="auto"/>
        <w:ind w:firstLine="480"/>
        <w:rPr>
          <w:rFonts w:ascii="宋体" w:hAnsi="宋体" w:cs="宋体"/>
          <w:sz w:val="24"/>
        </w:rPr>
      </w:pPr>
      <w:r>
        <w:rPr>
          <w:rFonts w:hint="eastAsia" w:ascii="宋体" w:hAnsi="宋体" w:cs="宋体"/>
          <w:sz w:val="24"/>
        </w:rPr>
        <w:t>中标人还应提交下述风管的工厂试验报告，以证明符合设计要求：</w:t>
      </w:r>
    </w:p>
    <w:p w14:paraId="6E5591BA">
      <w:pPr>
        <w:spacing w:line="360" w:lineRule="auto"/>
        <w:ind w:firstLine="480"/>
        <w:rPr>
          <w:rFonts w:ascii="宋体" w:hAnsi="宋体" w:cs="宋体"/>
          <w:sz w:val="24"/>
        </w:rPr>
      </w:pPr>
      <w:r>
        <w:rPr>
          <w:rFonts w:hint="eastAsia" w:ascii="宋体" w:hAnsi="宋体" w:cs="宋体"/>
          <w:sz w:val="24"/>
        </w:rPr>
        <w:t>风管耐压强度及漏风量测试；</w:t>
      </w:r>
    </w:p>
    <w:p w14:paraId="37F71A5A">
      <w:pPr>
        <w:spacing w:line="360" w:lineRule="auto"/>
        <w:ind w:firstLine="480"/>
        <w:rPr>
          <w:rFonts w:ascii="宋体" w:hAnsi="宋体" w:cs="宋体"/>
          <w:sz w:val="24"/>
        </w:rPr>
      </w:pPr>
      <w:r>
        <w:rPr>
          <w:rFonts w:hint="eastAsia" w:ascii="宋体" w:hAnsi="宋体" w:cs="宋体"/>
          <w:sz w:val="24"/>
        </w:rPr>
        <w:t>表观密度测试；</w:t>
      </w:r>
    </w:p>
    <w:p w14:paraId="14248CD3">
      <w:pPr>
        <w:spacing w:line="360" w:lineRule="auto"/>
        <w:ind w:firstLine="480"/>
        <w:rPr>
          <w:rFonts w:ascii="宋体" w:hAnsi="宋体" w:cs="宋体"/>
          <w:sz w:val="24"/>
        </w:rPr>
      </w:pPr>
      <w:r>
        <w:rPr>
          <w:rFonts w:hint="eastAsia" w:ascii="宋体" w:hAnsi="宋体" w:cs="宋体"/>
          <w:sz w:val="24"/>
        </w:rPr>
        <w:t>抗折强度试验；</w:t>
      </w:r>
    </w:p>
    <w:p w14:paraId="1139B7C9">
      <w:pPr>
        <w:spacing w:line="360" w:lineRule="auto"/>
        <w:ind w:firstLine="480"/>
        <w:rPr>
          <w:rFonts w:ascii="宋体" w:hAnsi="宋体" w:cs="宋体"/>
          <w:sz w:val="24"/>
        </w:rPr>
      </w:pPr>
      <w:r>
        <w:rPr>
          <w:rFonts w:hint="eastAsia" w:ascii="宋体" w:hAnsi="宋体" w:cs="宋体"/>
          <w:sz w:val="24"/>
        </w:rPr>
        <w:t>抗冻性试验；</w:t>
      </w:r>
    </w:p>
    <w:p w14:paraId="30795C33">
      <w:pPr>
        <w:spacing w:line="360" w:lineRule="auto"/>
        <w:ind w:firstLine="480"/>
        <w:rPr>
          <w:rFonts w:ascii="宋体" w:hAnsi="宋体" w:cs="宋体"/>
          <w:sz w:val="24"/>
        </w:rPr>
      </w:pPr>
      <w:r>
        <w:rPr>
          <w:rFonts w:hint="eastAsia" w:ascii="宋体" w:hAnsi="宋体" w:cs="宋体"/>
          <w:sz w:val="24"/>
        </w:rPr>
        <w:t>耐酸腐蚀性测试；</w:t>
      </w:r>
    </w:p>
    <w:p w14:paraId="540D050F">
      <w:pPr>
        <w:spacing w:line="360" w:lineRule="auto"/>
        <w:ind w:firstLine="480"/>
        <w:rPr>
          <w:rFonts w:ascii="宋体" w:hAnsi="宋体" w:cs="宋体"/>
          <w:sz w:val="24"/>
        </w:rPr>
      </w:pPr>
      <w:r>
        <w:rPr>
          <w:rFonts w:hint="eastAsia" w:ascii="宋体" w:hAnsi="宋体" w:cs="宋体"/>
          <w:sz w:val="24"/>
        </w:rPr>
        <w:t>燃烧性能试验；</w:t>
      </w:r>
    </w:p>
    <w:p w14:paraId="76E93A0C">
      <w:pPr>
        <w:spacing w:line="360" w:lineRule="auto"/>
        <w:ind w:firstLine="480"/>
        <w:rPr>
          <w:rFonts w:ascii="宋体" w:hAnsi="宋体" w:cs="宋体"/>
          <w:sz w:val="24"/>
        </w:rPr>
      </w:pPr>
      <w:r>
        <w:rPr>
          <w:rFonts w:hint="eastAsia" w:ascii="宋体" w:hAnsi="宋体" w:cs="宋体"/>
          <w:sz w:val="24"/>
        </w:rPr>
        <w:t>表面粗糙度测试；</w:t>
      </w:r>
    </w:p>
    <w:p w14:paraId="6C947D12">
      <w:pPr>
        <w:spacing w:line="360" w:lineRule="auto"/>
        <w:ind w:firstLine="480"/>
        <w:rPr>
          <w:rFonts w:ascii="宋体" w:hAnsi="宋体" w:cs="宋体"/>
          <w:sz w:val="24"/>
        </w:rPr>
      </w:pPr>
      <w:r>
        <w:rPr>
          <w:rFonts w:hint="eastAsia" w:ascii="宋体" w:hAnsi="宋体" w:cs="宋体"/>
          <w:sz w:val="24"/>
        </w:rPr>
        <w:t>现场验收试验应证明风管在任何情况下都保证：</w:t>
      </w:r>
    </w:p>
    <w:p w14:paraId="723579F6">
      <w:pPr>
        <w:spacing w:line="360" w:lineRule="auto"/>
        <w:ind w:firstLine="480"/>
        <w:rPr>
          <w:rFonts w:ascii="宋体" w:hAnsi="宋体" w:cs="宋体"/>
          <w:sz w:val="24"/>
        </w:rPr>
      </w:pPr>
      <w:r>
        <w:rPr>
          <w:rFonts w:hint="eastAsia" w:ascii="宋体" w:hAnsi="宋体" w:cs="宋体"/>
          <w:sz w:val="24"/>
        </w:rPr>
        <w:t>安装和运输过程中无损坏；</w:t>
      </w:r>
    </w:p>
    <w:p w14:paraId="0DFA187B">
      <w:pPr>
        <w:spacing w:line="360" w:lineRule="auto"/>
        <w:ind w:firstLine="480"/>
        <w:rPr>
          <w:rFonts w:ascii="宋体" w:hAnsi="宋体" w:cs="宋体"/>
          <w:sz w:val="24"/>
        </w:rPr>
      </w:pPr>
      <w:r>
        <w:rPr>
          <w:rFonts w:hint="eastAsia" w:ascii="宋体" w:hAnsi="宋体" w:cs="宋体"/>
          <w:sz w:val="24"/>
        </w:rPr>
        <w:t>安装正确；</w:t>
      </w:r>
    </w:p>
    <w:p w14:paraId="39185533">
      <w:pPr>
        <w:spacing w:line="360" w:lineRule="auto"/>
        <w:ind w:firstLine="480"/>
        <w:rPr>
          <w:rFonts w:ascii="宋体" w:hAnsi="宋体" w:cs="宋体"/>
          <w:sz w:val="24"/>
        </w:rPr>
      </w:pPr>
      <w:r>
        <w:rPr>
          <w:rFonts w:hint="eastAsia" w:ascii="宋体" w:hAnsi="宋体" w:cs="宋体"/>
          <w:sz w:val="24"/>
        </w:rPr>
        <w:t>连接正确；</w:t>
      </w:r>
    </w:p>
    <w:p w14:paraId="101C8C00">
      <w:pPr>
        <w:adjustRightInd w:val="0"/>
        <w:spacing w:line="360" w:lineRule="auto"/>
        <w:ind w:firstLine="482"/>
        <w:rPr>
          <w:rFonts w:ascii="宋体" w:hAnsi="宋体" w:cs="宋体"/>
          <w:b/>
          <w:sz w:val="24"/>
        </w:rPr>
      </w:pPr>
      <w:r>
        <w:rPr>
          <w:rFonts w:hint="eastAsia" w:ascii="宋体" w:hAnsi="宋体" w:cs="宋体"/>
          <w:b/>
          <w:sz w:val="24"/>
        </w:rPr>
        <w:t>齿轮箱</w:t>
      </w:r>
    </w:p>
    <w:p w14:paraId="40F0B067">
      <w:pPr>
        <w:spacing w:line="360" w:lineRule="auto"/>
        <w:ind w:firstLine="480"/>
        <w:rPr>
          <w:rFonts w:ascii="宋体" w:hAnsi="宋体" w:cs="宋体"/>
          <w:sz w:val="24"/>
        </w:rPr>
      </w:pPr>
      <w:r>
        <w:rPr>
          <w:rFonts w:hint="eastAsia" w:ascii="宋体" w:hAnsi="宋体" w:cs="宋体"/>
          <w:sz w:val="24"/>
        </w:rPr>
        <w:t>驱动设备需要一个减速和增速的驱动系统时，驱动系统应由驱动设备专业制造商供货。</w:t>
      </w:r>
    </w:p>
    <w:p w14:paraId="11F4998C">
      <w:pPr>
        <w:spacing w:line="360" w:lineRule="auto"/>
        <w:ind w:firstLine="480"/>
        <w:rPr>
          <w:rFonts w:ascii="宋体" w:hAnsi="宋体" w:cs="宋体"/>
          <w:sz w:val="24"/>
        </w:rPr>
      </w:pPr>
      <w:r>
        <w:rPr>
          <w:rFonts w:hint="eastAsia" w:ascii="宋体" w:hAnsi="宋体" w:cs="宋体"/>
          <w:sz w:val="24"/>
        </w:rPr>
        <w:t>除非在详细技术规定中有其他说明，所有驱动系统假定都以电机驱动，电源由当地供电局提供，则电源频率的变化不超过</w:t>
      </w:r>
      <w:r>
        <w:rPr>
          <w:rFonts w:hint="eastAsia" w:ascii="宋体" w:hAnsi="宋体" w:cs="宋体"/>
          <w:sz w:val="24"/>
        </w:rPr>
        <w:sym w:font="Symbol" w:char="F0B1"/>
      </w:r>
      <w:r>
        <w:rPr>
          <w:rFonts w:hint="eastAsia" w:ascii="宋体" w:hAnsi="宋体" w:cs="宋体"/>
          <w:sz w:val="24"/>
        </w:rPr>
        <w:t>1%。</w:t>
      </w:r>
    </w:p>
    <w:p w14:paraId="156F77B4">
      <w:pPr>
        <w:spacing w:line="360" w:lineRule="auto"/>
        <w:ind w:firstLine="480"/>
        <w:rPr>
          <w:rFonts w:ascii="宋体" w:hAnsi="宋体" w:cs="宋体"/>
          <w:sz w:val="24"/>
        </w:rPr>
      </w:pPr>
      <w:r>
        <w:rPr>
          <w:rFonts w:hint="eastAsia" w:ascii="宋体" w:hAnsi="宋体" w:cs="宋体"/>
          <w:sz w:val="24"/>
        </w:rPr>
        <w:t>除非在详细技术规定中有其他说明，齿轮的类型由驱动设备制造商决定。齿轮形状应符合ISO和AGMA标准的有关规定。齿轮强度和磨损的负荷能力应由ISO和AGMA有关标准决定。但下列的参数至少应予采用：</w:t>
      </w:r>
    </w:p>
    <w:p w14:paraId="303A29B3">
      <w:pPr>
        <w:spacing w:line="360" w:lineRule="auto"/>
        <w:ind w:firstLine="480"/>
        <w:rPr>
          <w:rFonts w:ascii="宋体" w:hAnsi="宋体" w:cs="宋体"/>
          <w:sz w:val="24"/>
        </w:rPr>
      </w:pPr>
      <w:r>
        <w:rPr>
          <w:rFonts w:hint="eastAsia" w:ascii="宋体" w:hAnsi="宋体" w:cs="宋体"/>
          <w:sz w:val="24"/>
        </w:rPr>
        <w:t>每天24h连续运行；</w:t>
      </w:r>
    </w:p>
    <w:p w14:paraId="18D7A84C">
      <w:pPr>
        <w:spacing w:line="360" w:lineRule="auto"/>
        <w:ind w:firstLine="480"/>
        <w:rPr>
          <w:rFonts w:ascii="宋体" w:hAnsi="宋体" w:cs="宋体"/>
          <w:sz w:val="24"/>
        </w:rPr>
      </w:pPr>
      <w:r>
        <w:rPr>
          <w:rFonts w:hint="eastAsia" w:ascii="宋体" w:hAnsi="宋体" w:cs="宋体"/>
          <w:sz w:val="24"/>
        </w:rPr>
        <w:t>工作系数不小于1.4；</w:t>
      </w:r>
    </w:p>
    <w:p w14:paraId="10E60F80">
      <w:pPr>
        <w:spacing w:line="360" w:lineRule="auto"/>
        <w:ind w:firstLine="480"/>
        <w:rPr>
          <w:rFonts w:ascii="宋体" w:hAnsi="宋体" w:cs="宋体"/>
          <w:sz w:val="24"/>
        </w:rPr>
      </w:pPr>
      <w:r>
        <w:rPr>
          <w:rFonts w:hint="eastAsia" w:ascii="宋体" w:hAnsi="宋体" w:cs="宋体"/>
          <w:sz w:val="24"/>
        </w:rPr>
        <w:t>额定寿命50000h；</w:t>
      </w:r>
    </w:p>
    <w:p w14:paraId="5D2AB4F8">
      <w:pPr>
        <w:spacing w:line="360" w:lineRule="auto"/>
        <w:ind w:firstLine="480"/>
        <w:rPr>
          <w:rFonts w:ascii="宋体" w:hAnsi="宋体" w:cs="宋体"/>
          <w:sz w:val="24"/>
        </w:rPr>
      </w:pPr>
      <w:r>
        <w:rPr>
          <w:rFonts w:hint="eastAsia" w:ascii="宋体" w:hAnsi="宋体" w:cs="宋体"/>
          <w:sz w:val="24"/>
        </w:rPr>
        <w:t>齿轮表面硬度应根据ISO和AGMA相关标准决定。齿轮表面淬硬层应在磨削后不低于0.4mm。</w:t>
      </w:r>
    </w:p>
    <w:p w14:paraId="0D4E5066">
      <w:pPr>
        <w:spacing w:line="360" w:lineRule="auto"/>
        <w:ind w:firstLine="480"/>
        <w:rPr>
          <w:rFonts w:ascii="宋体" w:hAnsi="宋体" w:cs="宋体"/>
          <w:sz w:val="24"/>
        </w:rPr>
      </w:pPr>
      <w:r>
        <w:rPr>
          <w:rFonts w:hint="eastAsia" w:ascii="宋体" w:hAnsi="宋体" w:cs="宋体"/>
          <w:sz w:val="24"/>
        </w:rPr>
        <w:t>齿轮应放在铸铁箱中或钢结构箱中，钢结构箱应在加工前消除应力。齿轮箱应有箱盖，以便不拆除齿轮轴就能观察到齿轮。</w:t>
      </w:r>
    </w:p>
    <w:p w14:paraId="2CEB514E">
      <w:pPr>
        <w:spacing w:line="360" w:lineRule="auto"/>
        <w:ind w:firstLine="480"/>
        <w:rPr>
          <w:rFonts w:ascii="宋体" w:hAnsi="宋体" w:cs="宋体"/>
          <w:sz w:val="24"/>
        </w:rPr>
      </w:pPr>
      <w:r>
        <w:rPr>
          <w:rFonts w:hint="eastAsia" w:ascii="宋体" w:hAnsi="宋体" w:cs="宋体"/>
          <w:sz w:val="24"/>
        </w:rPr>
        <w:t>齿轮轴承寿命应在齿轮最大速度和最高输出功率下额定寿命为50000h，所有齿轮的推力应有轴承承受。</w:t>
      </w:r>
    </w:p>
    <w:p w14:paraId="14BC19F7">
      <w:pPr>
        <w:spacing w:line="360" w:lineRule="auto"/>
        <w:ind w:firstLine="480"/>
        <w:rPr>
          <w:rFonts w:ascii="宋体" w:hAnsi="宋体" w:cs="宋体"/>
          <w:sz w:val="24"/>
        </w:rPr>
      </w:pPr>
      <w:r>
        <w:rPr>
          <w:rFonts w:hint="eastAsia" w:ascii="宋体" w:hAnsi="宋体" w:cs="宋体"/>
          <w:sz w:val="24"/>
        </w:rPr>
        <w:t>油浴润滑齿轮箱应在热油、冷油段中设置玻璃油位显示器。</w:t>
      </w:r>
    </w:p>
    <w:p w14:paraId="44BAA844">
      <w:pPr>
        <w:spacing w:line="360" w:lineRule="auto"/>
        <w:ind w:firstLine="480"/>
        <w:rPr>
          <w:rFonts w:ascii="宋体" w:hAnsi="宋体" w:cs="宋体"/>
          <w:sz w:val="24"/>
        </w:rPr>
      </w:pPr>
      <w:r>
        <w:rPr>
          <w:rFonts w:hint="eastAsia" w:ascii="宋体" w:hAnsi="宋体" w:cs="宋体"/>
          <w:sz w:val="24"/>
        </w:rPr>
        <w:t>压力表具</w:t>
      </w:r>
    </w:p>
    <w:p w14:paraId="025B2D17">
      <w:pPr>
        <w:spacing w:line="360" w:lineRule="auto"/>
        <w:ind w:firstLine="480"/>
        <w:rPr>
          <w:rFonts w:ascii="宋体" w:hAnsi="宋体" w:cs="宋体"/>
          <w:sz w:val="24"/>
        </w:rPr>
      </w:pPr>
      <w:r>
        <w:rPr>
          <w:rFonts w:hint="eastAsia" w:ascii="宋体" w:hAnsi="宋体" w:cs="宋体"/>
          <w:sz w:val="24"/>
        </w:rPr>
        <w:t>在中央控制盘中的压力表应至少为100mm直径，装在每台设备中压力表不小于150mm。铝合金不能用在表的结构中，刻度盘和表盖应为紫铜，内部元件应为不锈钢、紫铜和其他抗腐蚀材料（不包括铝合金）。</w:t>
      </w:r>
    </w:p>
    <w:p w14:paraId="0A9D5E5B">
      <w:pPr>
        <w:spacing w:line="360" w:lineRule="auto"/>
        <w:ind w:firstLine="480"/>
        <w:rPr>
          <w:rFonts w:ascii="宋体" w:hAnsi="宋体" w:cs="宋体"/>
          <w:sz w:val="24"/>
        </w:rPr>
      </w:pPr>
      <w:r>
        <w:rPr>
          <w:rFonts w:hint="eastAsia" w:ascii="宋体" w:hAnsi="宋体" w:cs="宋体"/>
          <w:sz w:val="24"/>
        </w:rPr>
        <w:t>压力表可以直接安装在主要系统管道上或一个接一个地安装在控制台或柜中，每个压力表后应紧接着一个旋塞，在压力表管道连接主系统端头应有一个隔离阀。装在控制盘中的压力表，隔离阀应连接一个试验压力表，装有旋塞的压力表，应能用经批准的标签和文字识别。</w:t>
      </w:r>
    </w:p>
    <w:p w14:paraId="241DB65F">
      <w:pPr>
        <w:spacing w:line="360" w:lineRule="auto"/>
        <w:ind w:firstLine="480"/>
        <w:rPr>
          <w:rFonts w:ascii="宋体" w:hAnsi="宋体" w:cs="宋体"/>
          <w:sz w:val="24"/>
        </w:rPr>
      </w:pPr>
      <w:r>
        <w:rPr>
          <w:rFonts w:hint="eastAsia" w:ascii="宋体" w:hAnsi="宋体" w:cs="宋体"/>
          <w:sz w:val="24"/>
        </w:rPr>
        <w:t>用于污水和污泥的压力表，应有一个压力变送系统。变送系统应为充气密封型，内含铜或不锈钢毛细管和隔膜变送仪。</w:t>
      </w:r>
    </w:p>
    <w:p w14:paraId="751C5607">
      <w:pPr>
        <w:spacing w:line="360" w:lineRule="auto"/>
        <w:ind w:firstLine="480"/>
        <w:rPr>
          <w:rFonts w:ascii="宋体" w:hAnsi="宋体" w:cs="宋体"/>
          <w:sz w:val="24"/>
        </w:rPr>
      </w:pPr>
      <w:r>
        <w:rPr>
          <w:rFonts w:hint="eastAsia" w:ascii="宋体" w:hAnsi="宋体" w:cs="宋体"/>
          <w:sz w:val="24"/>
        </w:rPr>
        <w:t>隔膜应装在一个可清扫的壳中，变送仪的外壳应直接与25mm或更大口径的直通式隔离旋塞连接，隔离旋塞再直接接到压力管口上。</w:t>
      </w:r>
    </w:p>
    <w:p w14:paraId="15775ECE">
      <w:pPr>
        <w:adjustRightInd w:val="0"/>
        <w:spacing w:line="360" w:lineRule="auto"/>
        <w:ind w:firstLine="480"/>
        <w:rPr>
          <w:rFonts w:ascii="宋体" w:hAnsi="宋体" w:cs="宋体"/>
          <w:sz w:val="24"/>
        </w:rPr>
      </w:pPr>
      <w:r>
        <w:rPr>
          <w:rFonts w:hint="eastAsia" w:ascii="宋体" w:hAnsi="宋体" w:cs="宋体"/>
          <w:sz w:val="24"/>
        </w:rPr>
        <w:t>压力表应以水深m为最小刻度，以MPa为压力单位。有真空的地方应有真空度，系统的精度应为全量程的</w:t>
      </w:r>
      <w:r>
        <w:rPr>
          <w:rFonts w:hint="eastAsia" w:ascii="宋体" w:hAnsi="宋体" w:cs="宋体"/>
          <w:sz w:val="24"/>
        </w:rPr>
        <w:sym w:font="Symbol" w:char="F0B1"/>
      </w:r>
      <w:r>
        <w:rPr>
          <w:rFonts w:hint="eastAsia" w:ascii="宋体" w:hAnsi="宋体" w:cs="宋体"/>
          <w:sz w:val="24"/>
        </w:rPr>
        <w:t>1.5%或</w:t>
      </w:r>
      <w:r>
        <w:rPr>
          <w:rFonts w:hint="eastAsia" w:ascii="宋体" w:hAnsi="宋体" w:cs="宋体"/>
          <w:sz w:val="24"/>
        </w:rPr>
        <w:sym w:font="Symbol" w:char="F0B1"/>
      </w:r>
      <w:r>
        <w:rPr>
          <w:rFonts w:hint="eastAsia" w:ascii="宋体" w:hAnsi="宋体" w:cs="宋体"/>
          <w:sz w:val="24"/>
        </w:rPr>
        <w:t>2.5m。</w:t>
      </w:r>
    </w:p>
    <w:p w14:paraId="0CFFAE8C">
      <w:pPr>
        <w:adjustRightInd w:val="0"/>
        <w:spacing w:line="360" w:lineRule="auto"/>
        <w:rPr>
          <w:rFonts w:ascii="宋体" w:hAnsi="宋体" w:cs="宋体"/>
          <w:sz w:val="24"/>
        </w:rPr>
      </w:pPr>
    </w:p>
    <w:p w14:paraId="3E76E4F4">
      <w:pPr>
        <w:tabs>
          <w:tab w:val="left" w:pos="0"/>
        </w:tabs>
        <w:spacing w:line="360" w:lineRule="auto"/>
        <w:rPr>
          <w:rFonts w:ascii="宋体" w:hAnsi="宋体" w:cs="宋体"/>
          <w:sz w:val="24"/>
        </w:rPr>
      </w:pPr>
      <w:r>
        <w:rPr>
          <w:rFonts w:hint="eastAsia" w:ascii="宋体" w:hAnsi="宋体" w:cs="宋体"/>
          <w:sz w:val="24"/>
        </w:rPr>
        <w:t>机电设备特殊技术规定</w:t>
      </w:r>
    </w:p>
    <w:p w14:paraId="1862907E">
      <w:pPr>
        <w:tabs>
          <w:tab w:val="left" w:pos="0"/>
        </w:tabs>
        <w:spacing w:line="360" w:lineRule="auto"/>
        <w:rPr>
          <w:rFonts w:ascii="宋体" w:hAnsi="宋体" w:cs="宋体"/>
          <w:sz w:val="24"/>
        </w:rPr>
      </w:pPr>
      <w:r>
        <w:rPr>
          <w:rFonts w:hint="eastAsia" w:ascii="宋体" w:hAnsi="宋体" w:cs="宋体"/>
          <w:sz w:val="24"/>
        </w:rPr>
        <w:t>总则</w:t>
      </w:r>
    </w:p>
    <w:p w14:paraId="62D9DCA6">
      <w:pPr>
        <w:adjustRightInd w:val="0"/>
        <w:spacing w:line="360" w:lineRule="auto"/>
        <w:ind w:firstLine="480"/>
        <w:rPr>
          <w:rFonts w:ascii="宋体" w:hAnsi="宋体" w:cs="宋体"/>
          <w:sz w:val="24"/>
        </w:rPr>
      </w:pPr>
      <w:r>
        <w:rPr>
          <w:rFonts w:hint="eastAsia" w:ascii="宋体" w:hAnsi="宋体" w:cs="宋体"/>
          <w:sz w:val="24"/>
        </w:rPr>
        <w:t>承包商提供的成套设备（系统）应含该设备（系统）能正常、稳定运行所需的全部零件及材料并计入总价，如报价中没有单独列项，则视作隐含在其他项目报价中，中标后应无条件提供所需零部件、材料等。</w:t>
      </w:r>
    </w:p>
    <w:p w14:paraId="78EDF794">
      <w:pPr>
        <w:adjustRightInd w:val="0"/>
        <w:spacing w:line="360" w:lineRule="auto"/>
        <w:ind w:firstLine="480"/>
        <w:rPr>
          <w:rFonts w:ascii="宋体" w:hAnsi="宋体" w:cs="宋体"/>
          <w:sz w:val="24"/>
        </w:rPr>
      </w:pPr>
      <w:r>
        <w:rPr>
          <w:rFonts w:hint="eastAsia" w:ascii="宋体" w:hAnsi="宋体" w:cs="宋体"/>
          <w:sz w:val="24"/>
        </w:rPr>
        <w:t>根据技术规范要求，投标人应对本污水处理站工程的处理水量、工艺流程及应达到的出水水质标准进行合理的设备配置，并对所选用的设备及配套附件应进行详细描述，下述仅为主要处理设备的技术要求。</w:t>
      </w:r>
    </w:p>
    <w:p w14:paraId="035BC558">
      <w:pPr>
        <w:adjustRightInd w:val="0"/>
        <w:spacing w:line="360" w:lineRule="auto"/>
        <w:ind w:firstLine="480"/>
        <w:rPr>
          <w:rFonts w:ascii="宋体" w:hAnsi="宋体" w:cs="宋体"/>
          <w:sz w:val="24"/>
        </w:rPr>
      </w:pPr>
      <w:r>
        <w:rPr>
          <w:rFonts w:hint="eastAsia" w:ascii="宋体" w:hAnsi="宋体" w:cs="宋体"/>
          <w:sz w:val="24"/>
        </w:rPr>
        <w:t>投标人需在投标文件中注明品牌、产地及详细的性能指标。</w:t>
      </w:r>
    </w:p>
    <w:p w14:paraId="1B592C3F">
      <w:pPr>
        <w:adjustRightInd w:val="0"/>
        <w:spacing w:line="360" w:lineRule="auto"/>
        <w:ind w:firstLine="480"/>
        <w:rPr>
          <w:rFonts w:ascii="宋体" w:hAnsi="宋体" w:cs="宋体"/>
          <w:sz w:val="24"/>
        </w:rPr>
      </w:pPr>
      <w:r>
        <w:rPr>
          <w:rFonts w:hint="eastAsia" w:ascii="宋体" w:hAnsi="宋体" w:cs="宋体"/>
          <w:sz w:val="24"/>
        </w:rPr>
        <w:t>中标单位设备进场前需提交以下资料供业主、设计、监理单位审核确认，确认无误后设备方可进场。</w:t>
      </w:r>
    </w:p>
    <w:p w14:paraId="2A3598A3">
      <w:pPr>
        <w:numPr>
          <w:ilvl w:val="0"/>
          <w:numId w:val="2"/>
        </w:numPr>
        <w:adjustRightInd w:val="0"/>
        <w:spacing w:line="360" w:lineRule="auto"/>
        <w:ind w:left="0" w:firstLine="480"/>
        <w:jc w:val="left"/>
        <w:rPr>
          <w:rFonts w:ascii="宋体" w:hAnsi="宋体" w:cs="宋体"/>
          <w:sz w:val="24"/>
        </w:rPr>
      </w:pPr>
      <w:r>
        <w:rPr>
          <w:rFonts w:hint="eastAsia" w:ascii="宋体" w:hAnsi="宋体" w:cs="宋体"/>
          <w:sz w:val="24"/>
        </w:rPr>
        <w:t>提供设备的外形尺寸和安装图；</w:t>
      </w:r>
    </w:p>
    <w:p w14:paraId="5A03CBA9">
      <w:pPr>
        <w:numPr>
          <w:ilvl w:val="0"/>
          <w:numId w:val="2"/>
        </w:numPr>
        <w:adjustRightInd w:val="0"/>
        <w:spacing w:line="360" w:lineRule="auto"/>
        <w:ind w:left="0" w:firstLine="480"/>
        <w:jc w:val="left"/>
        <w:rPr>
          <w:rFonts w:ascii="宋体" w:hAnsi="宋体" w:cs="宋体"/>
          <w:sz w:val="24"/>
        </w:rPr>
      </w:pPr>
      <w:r>
        <w:rPr>
          <w:rFonts w:hint="eastAsia" w:ascii="宋体" w:hAnsi="宋体" w:cs="宋体"/>
          <w:sz w:val="24"/>
        </w:rPr>
        <w:t>提供产品合格证及出厂说明文件；</w:t>
      </w:r>
    </w:p>
    <w:p w14:paraId="5C0BDCB4">
      <w:pPr>
        <w:numPr>
          <w:ilvl w:val="0"/>
          <w:numId w:val="2"/>
        </w:numPr>
        <w:adjustRightInd w:val="0"/>
        <w:spacing w:line="360" w:lineRule="auto"/>
        <w:ind w:left="0" w:firstLine="480"/>
        <w:jc w:val="left"/>
        <w:rPr>
          <w:rFonts w:ascii="宋体" w:hAnsi="宋体" w:cs="宋体"/>
          <w:sz w:val="24"/>
        </w:rPr>
      </w:pPr>
      <w:r>
        <w:rPr>
          <w:rFonts w:hint="eastAsia" w:ascii="宋体" w:hAnsi="宋体" w:cs="宋体"/>
          <w:sz w:val="24"/>
        </w:rPr>
        <w:t>提供安装说明书及维修保养手册；</w:t>
      </w:r>
    </w:p>
    <w:p w14:paraId="4B6C488A">
      <w:pPr>
        <w:numPr>
          <w:ilvl w:val="0"/>
          <w:numId w:val="2"/>
        </w:numPr>
        <w:adjustRightInd w:val="0"/>
        <w:spacing w:line="360" w:lineRule="auto"/>
        <w:ind w:left="0" w:firstLine="480"/>
        <w:jc w:val="left"/>
        <w:rPr>
          <w:rFonts w:ascii="宋体" w:hAnsi="宋体" w:cs="宋体"/>
          <w:sz w:val="24"/>
        </w:rPr>
      </w:pPr>
      <w:r>
        <w:rPr>
          <w:rFonts w:hint="eastAsia" w:ascii="宋体" w:hAnsi="宋体" w:cs="宋体"/>
          <w:sz w:val="24"/>
        </w:rPr>
        <w:t>提供厂家本项目授权委托书，确认所供设备为原厂正品。</w:t>
      </w:r>
    </w:p>
    <w:p w14:paraId="4F41F3AE">
      <w:pPr>
        <w:tabs>
          <w:tab w:val="left" w:pos="0"/>
        </w:tabs>
        <w:spacing w:line="360" w:lineRule="auto"/>
        <w:rPr>
          <w:rFonts w:ascii="宋体" w:hAnsi="宋体" w:cs="宋体"/>
          <w:sz w:val="24"/>
        </w:rPr>
      </w:pPr>
      <w:r>
        <w:rPr>
          <w:rFonts w:hint="eastAsia" w:ascii="宋体" w:hAnsi="宋体" w:cs="宋体"/>
          <w:sz w:val="24"/>
        </w:rPr>
        <w:t>设备</w:t>
      </w:r>
    </w:p>
    <w:p w14:paraId="39E16BB9">
      <w:pPr>
        <w:tabs>
          <w:tab w:val="left" w:pos="0"/>
        </w:tabs>
        <w:spacing w:line="360" w:lineRule="auto"/>
        <w:rPr>
          <w:rFonts w:ascii="宋体" w:hAnsi="宋体" w:cs="宋体"/>
          <w:sz w:val="24"/>
        </w:rPr>
      </w:pPr>
      <w:r>
        <w:rPr>
          <w:rFonts w:hint="eastAsia" w:ascii="宋体" w:hAnsi="宋体" w:cs="宋体"/>
          <w:sz w:val="24"/>
        </w:rPr>
        <w:t>潜污泵</w:t>
      </w:r>
    </w:p>
    <w:p w14:paraId="26801C96">
      <w:pPr>
        <w:tabs>
          <w:tab w:val="left" w:pos="0"/>
        </w:tabs>
        <w:spacing w:line="360" w:lineRule="auto"/>
        <w:rPr>
          <w:rFonts w:ascii="宋体" w:hAnsi="宋体" w:cs="宋体"/>
          <w:sz w:val="24"/>
        </w:rPr>
      </w:pPr>
      <w:r>
        <w:rPr>
          <w:rFonts w:hint="eastAsia" w:ascii="宋体" w:hAnsi="宋体" w:cs="宋体"/>
          <w:sz w:val="24"/>
        </w:rPr>
        <w:t>总则</w:t>
      </w:r>
    </w:p>
    <w:p w14:paraId="4E3DB039">
      <w:pPr>
        <w:adjustRightInd w:val="0"/>
        <w:spacing w:line="360" w:lineRule="auto"/>
        <w:ind w:firstLine="480"/>
        <w:rPr>
          <w:rFonts w:ascii="宋体" w:hAnsi="宋体" w:cs="宋体"/>
          <w:sz w:val="24"/>
        </w:rPr>
      </w:pPr>
      <w:r>
        <w:rPr>
          <w:rFonts w:hint="eastAsia" w:ascii="宋体" w:hAnsi="宋体" w:cs="宋体"/>
          <w:sz w:val="24"/>
        </w:rPr>
        <w:t>标准化的外观、运行、维修、备品备件及制造商的服务，所提供的设备必须是一个制造商的最终产品，全新未经使用。</w:t>
      </w:r>
    </w:p>
    <w:p w14:paraId="6EFCB363">
      <w:pPr>
        <w:adjustRightInd w:val="0"/>
        <w:spacing w:line="360" w:lineRule="auto"/>
        <w:ind w:firstLine="480"/>
        <w:rPr>
          <w:rFonts w:ascii="宋体" w:hAnsi="宋体" w:cs="宋体"/>
          <w:sz w:val="24"/>
        </w:rPr>
      </w:pPr>
      <w:r>
        <w:rPr>
          <w:rFonts w:hint="eastAsia" w:ascii="宋体" w:hAnsi="宋体" w:cs="宋体"/>
          <w:sz w:val="24"/>
        </w:rPr>
        <w:t>投标商应该根据设计文件及图纸要求所规定的流量、扬程及功率及安装位置对潜水提升泵进行核算选型，并提供潜水提升泵的平面布置图，在设计的条件下，投标商对潜水泵的效率负责。</w:t>
      </w:r>
    </w:p>
    <w:p w14:paraId="0128E23E">
      <w:pPr>
        <w:adjustRightInd w:val="0"/>
        <w:spacing w:line="360" w:lineRule="auto"/>
        <w:ind w:firstLine="480"/>
        <w:rPr>
          <w:rFonts w:ascii="宋体" w:hAnsi="宋体" w:cs="宋体"/>
          <w:sz w:val="24"/>
        </w:rPr>
      </w:pPr>
      <w:r>
        <w:rPr>
          <w:rFonts w:hint="eastAsia" w:ascii="宋体" w:hAnsi="宋体" w:cs="宋体"/>
          <w:sz w:val="24"/>
        </w:rPr>
        <w:t>本工程土建完成后，投标商应保证所投设备可以安装。</w:t>
      </w:r>
    </w:p>
    <w:p w14:paraId="4007A9ED">
      <w:pPr>
        <w:tabs>
          <w:tab w:val="left" w:pos="0"/>
        </w:tabs>
        <w:spacing w:line="360" w:lineRule="auto"/>
        <w:rPr>
          <w:rFonts w:ascii="宋体" w:hAnsi="宋体" w:cs="宋体"/>
          <w:sz w:val="24"/>
        </w:rPr>
      </w:pPr>
      <w:r>
        <w:rPr>
          <w:rFonts w:hint="eastAsia" w:ascii="宋体" w:hAnsi="宋体" w:cs="宋体"/>
          <w:sz w:val="24"/>
        </w:rPr>
        <w:t>供货范围</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456"/>
        <w:gridCol w:w="5419"/>
        <w:gridCol w:w="823"/>
        <w:gridCol w:w="903"/>
      </w:tblGrid>
      <w:tr w14:paraId="6449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83" w:type="pct"/>
            <w:vAlign w:val="center"/>
          </w:tcPr>
          <w:p w14:paraId="03A0F6EE">
            <w:pPr>
              <w:pStyle w:val="71"/>
              <w:spacing w:line="360" w:lineRule="auto"/>
              <w:ind w:firstLine="50"/>
              <w:rPr>
                <w:rFonts w:cs="宋体"/>
                <w:sz w:val="24"/>
                <w:szCs w:val="24"/>
              </w:rPr>
            </w:pPr>
            <w:r>
              <w:rPr>
                <w:rFonts w:hint="eastAsia" w:cs="宋体"/>
                <w:sz w:val="24"/>
                <w:szCs w:val="24"/>
              </w:rPr>
              <w:t>安装位置</w:t>
            </w:r>
          </w:p>
        </w:tc>
        <w:tc>
          <w:tcPr>
            <w:tcW w:w="731" w:type="pct"/>
            <w:vAlign w:val="center"/>
          </w:tcPr>
          <w:p w14:paraId="1A283860">
            <w:pPr>
              <w:pStyle w:val="71"/>
              <w:spacing w:line="360" w:lineRule="auto"/>
              <w:ind w:firstLine="50"/>
              <w:rPr>
                <w:rFonts w:cs="宋体"/>
                <w:sz w:val="24"/>
                <w:szCs w:val="24"/>
              </w:rPr>
            </w:pPr>
            <w:r>
              <w:rPr>
                <w:rFonts w:hint="eastAsia" w:cs="宋体"/>
                <w:sz w:val="24"/>
                <w:szCs w:val="24"/>
              </w:rPr>
              <w:t>设备名称</w:t>
            </w:r>
          </w:p>
        </w:tc>
        <w:tc>
          <w:tcPr>
            <w:tcW w:w="2720" w:type="pct"/>
            <w:vAlign w:val="center"/>
          </w:tcPr>
          <w:p w14:paraId="72FD404A">
            <w:pPr>
              <w:pStyle w:val="71"/>
              <w:spacing w:line="360" w:lineRule="auto"/>
              <w:ind w:firstLine="50"/>
              <w:rPr>
                <w:rFonts w:cs="宋体"/>
                <w:sz w:val="24"/>
                <w:szCs w:val="24"/>
              </w:rPr>
            </w:pPr>
            <w:r>
              <w:rPr>
                <w:rFonts w:hint="eastAsia" w:cs="宋体"/>
                <w:sz w:val="24"/>
                <w:szCs w:val="24"/>
              </w:rPr>
              <w:t>规格及主要尺寸</w:t>
            </w:r>
          </w:p>
        </w:tc>
        <w:tc>
          <w:tcPr>
            <w:tcW w:w="413" w:type="pct"/>
            <w:vAlign w:val="center"/>
          </w:tcPr>
          <w:p w14:paraId="1C01E473">
            <w:pPr>
              <w:pStyle w:val="71"/>
              <w:spacing w:line="360" w:lineRule="auto"/>
              <w:ind w:firstLine="50"/>
              <w:rPr>
                <w:rFonts w:cs="宋体"/>
                <w:sz w:val="24"/>
                <w:szCs w:val="24"/>
              </w:rPr>
            </w:pPr>
            <w:r>
              <w:rPr>
                <w:rFonts w:hint="eastAsia" w:cs="宋体"/>
                <w:sz w:val="24"/>
                <w:szCs w:val="24"/>
              </w:rPr>
              <w:t>单位</w:t>
            </w:r>
          </w:p>
        </w:tc>
        <w:tc>
          <w:tcPr>
            <w:tcW w:w="453" w:type="pct"/>
            <w:vAlign w:val="center"/>
          </w:tcPr>
          <w:p w14:paraId="0D346E4E">
            <w:pPr>
              <w:pStyle w:val="71"/>
              <w:spacing w:line="360" w:lineRule="auto"/>
              <w:ind w:firstLine="50"/>
              <w:rPr>
                <w:rFonts w:cs="宋体"/>
                <w:sz w:val="24"/>
                <w:szCs w:val="24"/>
              </w:rPr>
            </w:pPr>
            <w:r>
              <w:rPr>
                <w:rFonts w:hint="eastAsia" w:cs="宋体"/>
                <w:sz w:val="24"/>
                <w:szCs w:val="24"/>
              </w:rPr>
              <w:t>数量</w:t>
            </w:r>
          </w:p>
        </w:tc>
      </w:tr>
      <w:tr w14:paraId="4939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33B4EDD0">
            <w:pPr>
              <w:pStyle w:val="71"/>
              <w:spacing w:line="360" w:lineRule="auto"/>
              <w:ind w:firstLine="50"/>
              <w:rPr>
                <w:rFonts w:cs="宋体"/>
                <w:sz w:val="24"/>
                <w:szCs w:val="24"/>
              </w:rPr>
            </w:pPr>
            <w:r>
              <w:rPr>
                <w:rFonts w:hint="eastAsia" w:cs="宋体"/>
                <w:sz w:val="24"/>
                <w:szCs w:val="24"/>
              </w:rPr>
              <w:t>中间水池</w:t>
            </w:r>
          </w:p>
        </w:tc>
        <w:tc>
          <w:tcPr>
            <w:tcW w:w="731" w:type="pct"/>
            <w:vAlign w:val="center"/>
          </w:tcPr>
          <w:p w14:paraId="01430938">
            <w:pPr>
              <w:pStyle w:val="71"/>
              <w:spacing w:line="360" w:lineRule="auto"/>
              <w:ind w:firstLine="50"/>
              <w:rPr>
                <w:rFonts w:cs="宋体"/>
                <w:sz w:val="24"/>
                <w:szCs w:val="24"/>
              </w:rPr>
            </w:pPr>
            <w:r>
              <w:rPr>
                <w:rFonts w:hint="eastAsia" w:cs="宋体"/>
                <w:sz w:val="24"/>
                <w:szCs w:val="24"/>
              </w:rPr>
              <w:t>潜水泵</w:t>
            </w:r>
          </w:p>
        </w:tc>
        <w:tc>
          <w:tcPr>
            <w:tcW w:w="2720" w:type="pct"/>
            <w:vAlign w:val="center"/>
          </w:tcPr>
          <w:p w14:paraId="376AF131">
            <w:pPr>
              <w:pStyle w:val="71"/>
              <w:spacing w:line="360" w:lineRule="auto"/>
              <w:ind w:firstLine="50"/>
              <w:jc w:val="left"/>
              <w:rPr>
                <w:rFonts w:cs="宋体"/>
                <w:sz w:val="24"/>
                <w:szCs w:val="24"/>
              </w:rPr>
            </w:pPr>
            <w:r>
              <w:rPr>
                <w:rFonts w:hint="eastAsia" w:cs="宋体"/>
                <w:sz w:val="24"/>
                <w:szCs w:val="24"/>
              </w:rPr>
              <w:t>Q=25m3/h，H=14m，N=3.0kW，切割型</w:t>
            </w:r>
          </w:p>
        </w:tc>
        <w:tc>
          <w:tcPr>
            <w:tcW w:w="413" w:type="pct"/>
            <w:vAlign w:val="center"/>
          </w:tcPr>
          <w:p w14:paraId="7D7B4FAA">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131E827D">
            <w:pPr>
              <w:pStyle w:val="71"/>
              <w:spacing w:line="360" w:lineRule="auto"/>
              <w:ind w:firstLine="50"/>
              <w:rPr>
                <w:rFonts w:cs="宋体"/>
                <w:sz w:val="24"/>
                <w:szCs w:val="24"/>
              </w:rPr>
            </w:pPr>
            <w:r>
              <w:rPr>
                <w:rFonts w:hint="eastAsia" w:cs="宋体"/>
                <w:sz w:val="24"/>
                <w:szCs w:val="24"/>
              </w:rPr>
              <w:t>2</w:t>
            </w:r>
          </w:p>
        </w:tc>
      </w:tr>
      <w:tr w14:paraId="780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55C11249">
            <w:pPr>
              <w:pStyle w:val="71"/>
              <w:spacing w:line="360" w:lineRule="auto"/>
              <w:ind w:firstLine="50"/>
              <w:rPr>
                <w:rFonts w:cs="宋体"/>
                <w:sz w:val="24"/>
                <w:szCs w:val="24"/>
              </w:rPr>
            </w:pPr>
            <w:r>
              <w:rPr>
                <w:rFonts w:hint="eastAsia" w:cs="宋体"/>
                <w:sz w:val="24"/>
                <w:szCs w:val="24"/>
              </w:rPr>
              <w:t>应急池</w:t>
            </w:r>
          </w:p>
        </w:tc>
        <w:tc>
          <w:tcPr>
            <w:tcW w:w="731" w:type="pct"/>
            <w:vAlign w:val="center"/>
          </w:tcPr>
          <w:p w14:paraId="1E7E27A7">
            <w:pPr>
              <w:pStyle w:val="71"/>
              <w:spacing w:line="360" w:lineRule="auto"/>
              <w:ind w:firstLine="50"/>
              <w:rPr>
                <w:rFonts w:cs="宋体"/>
                <w:sz w:val="24"/>
                <w:szCs w:val="24"/>
              </w:rPr>
            </w:pPr>
            <w:r>
              <w:rPr>
                <w:rFonts w:hint="eastAsia" w:cs="宋体"/>
                <w:sz w:val="24"/>
                <w:szCs w:val="24"/>
              </w:rPr>
              <w:t>潜水泵</w:t>
            </w:r>
          </w:p>
        </w:tc>
        <w:tc>
          <w:tcPr>
            <w:tcW w:w="2720" w:type="pct"/>
            <w:vAlign w:val="center"/>
          </w:tcPr>
          <w:p w14:paraId="31AEECBA">
            <w:pPr>
              <w:pStyle w:val="71"/>
              <w:spacing w:line="360" w:lineRule="auto"/>
              <w:ind w:firstLine="50"/>
              <w:jc w:val="left"/>
              <w:rPr>
                <w:rFonts w:cs="宋体"/>
                <w:sz w:val="24"/>
                <w:szCs w:val="24"/>
              </w:rPr>
            </w:pPr>
            <w:r>
              <w:rPr>
                <w:rFonts w:hint="eastAsia" w:cs="宋体"/>
                <w:sz w:val="24"/>
                <w:szCs w:val="24"/>
              </w:rPr>
              <w:t>WQ20-15-2.2</w:t>
            </w:r>
          </w:p>
          <w:p w14:paraId="4F946D38">
            <w:pPr>
              <w:pStyle w:val="71"/>
              <w:spacing w:line="360" w:lineRule="auto"/>
              <w:ind w:firstLine="50"/>
              <w:jc w:val="left"/>
              <w:rPr>
                <w:rFonts w:cs="宋体"/>
                <w:sz w:val="24"/>
                <w:szCs w:val="24"/>
              </w:rPr>
            </w:pPr>
            <w:r>
              <w:rPr>
                <w:rFonts w:hint="eastAsia" w:cs="宋体"/>
                <w:sz w:val="24"/>
                <w:szCs w:val="24"/>
              </w:rPr>
              <w:t>绝缘电阻（MΩ):热态＞480，冷态＞460;</w:t>
            </w:r>
          </w:p>
          <w:p w14:paraId="65F7F57F">
            <w:pPr>
              <w:pStyle w:val="71"/>
              <w:spacing w:line="360" w:lineRule="auto"/>
              <w:ind w:firstLine="50"/>
              <w:jc w:val="left"/>
              <w:rPr>
                <w:rFonts w:cs="宋体"/>
                <w:sz w:val="24"/>
                <w:szCs w:val="24"/>
              </w:rPr>
            </w:pPr>
            <w:r>
              <w:rPr>
                <w:rFonts w:hint="eastAsia" w:cs="宋体"/>
                <w:sz w:val="24"/>
                <w:szCs w:val="24"/>
              </w:rPr>
              <w:t>规定点效率（效率）≥49.44%;</w:t>
            </w:r>
          </w:p>
          <w:p w14:paraId="7BB087A6">
            <w:pPr>
              <w:pStyle w:val="71"/>
              <w:spacing w:line="360" w:lineRule="auto"/>
              <w:ind w:firstLine="50"/>
              <w:jc w:val="left"/>
              <w:rPr>
                <w:rFonts w:cs="宋体"/>
                <w:sz w:val="24"/>
                <w:szCs w:val="24"/>
              </w:rPr>
            </w:pPr>
            <w:r>
              <w:rPr>
                <w:rFonts w:hint="eastAsia" w:cs="宋体"/>
                <w:sz w:val="24"/>
                <w:szCs w:val="24"/>
              </w:rPr>
              <w:t>功率因数≥0.89;</w:t>
            </w:r>
          </w:p>
          <w:p w14:paraId="3C143322">
            <w:pPr>
              <w:pStyle w:val="71"/>
              <w:spacing w:line="360" w:lineRule="auto"/>
              <w:ind w:firstLine="50"/>
              <w:jc w:val="left"/>
              <w:rPr>
                <w:rFonts w:cs="宋体"/>
                <w:sz w:val="24"/>
                <w:szCs w:val="24"/>
              </w:rPr>
            </w:pPr>
            <w:r>
              <w:rPr>
                <w:rFonts w:hint="eastAsia" w:cs="宋体"/>
                <w:sz w:val="24"/>
                <w:szCs w:val="24"/>
              </w:rPr>
              <w:t>定子的温升限值≤65.5;额定流量时的扬程（m）≥18.01；</w:t>
            </w:r>
          </w:p>
          <w:p w14:paraId="0C92D098">
            <w:pPr>
              <w:pStyle w:val="71"/>
              <w:spacing w:line="360" w:lineRule="auto"/>
              <w:ind w:firstLine="50"/>
              <w:jc w:val="left"/>
              <w:rPr>
                <w:rFonts w:cs="宋体"/>
                <w:sz w:val="24"/>
                <w:szCs w:val="24"/>
              </w:rPr>
            </w:pPr>
            <w:r>
              <w:rPr>
                <w:rFonts w:hint="eastAsia" w:cs="宋体"/>
                <w:sz w:val="24"/>
                <w:szCs w:val="24"/>
              </w:rPr>
              <w:t>电泵轴功率（电泵在0.7~1.3倍规定流量范围内）≤1.768；</w:t>
            </w:r>
          </w:p>
          <w:p w14:paraId="048A2C7E">
            <w:pPr>
              <w:pStyle w:val="71"/>
              <w:spacing w:line="360" w:lineRule="auto"/>
              <w:ind w:firstLine="50"/>
              <w:jc w:val="left"/>
              <w:rPr>
                <w:rFonts w:cs="宋体"/>
                <w:sz w:val="24"/>
                <w:szCs w:val="24"/>
              </w:rPr>
            </w:pPr>
            <w:r>
              <w:rPr>
                <w:rFonts w:hint="eastAsia" w:cs="宋体"/>
                <w:sz w:val="24"/>
                <w:szCs w:val="24"/>
              </w:rPr>
              <w:t>电泵轴功率（电泵在规定点轴功率的1.3倍）≤2.074；</w:t>
            </w:r>
          </w:p>
        </w:tc>
        <w:tc>
          <w:tcPr>
            <w:tcW w:w="413" w:type="pct"/>
            <w:vAlign w:val="center"/>
          </w:tcPr>
          <w:p w14:paraId="1F57CC95">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6698FB54">
            <w:pPr>
              <w:pStyle w:val="71"/>
              <w:spacing w:line="360" w:lineRule="auto"/>
              <w:ind w:firstLine="50"/>
              <w:rPr>
                <w:rFonts w:cs="宋体"/>
                <w:sz w:val="24"/>
                <w:szCs w:val="24"/>
              </w:rPr>
            </w:pPr>
            <w:r>
              <w:rPr>
                <w:rFonts w:hint="eastAsia" w:cs="宋体"/>
                <w:sz w:val="24"/>
                <w:szCs w:val="24"/>
              </w:rPr>
              <w:t>2</w:t>
            </w:r>
          </w:p>
        </w:tc>
      </w:tr>
      <w:tr w14:paraId="110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5035895F">
            <w:pPr>
              <w:pStyle w:val="71"/>
              <w:spacing w:line="360" w:lineRule="auto"/>
              <w:ind w:firstLine="50"/>
              <w:rPr>
                <w:rFonts w:cs="宋体"/>
                <w:sz w:val="24"/>
                <w:szCs w:val="24"/>
              </w:rPr>
            </w:pPr>
            <w:r>
              <w:rPr>
                <w:rFonts w:hint="eastAsia" w:cs="宋体"/>
                <w:sz w:val="24"/>
                <w:szCs w:val="24"/>
              </w:rPr>
              <w:t>调节池</w:t>
            </w:r>
          </w:p>
        </w:tc>
        <w:tc>
          <w:tcPr>
            <w:tcW w:w="731" w:type="pct"/>
            <w:vAlign w:val="center"/>
          </w:tcPr>
          <w:p w14:paraId="7A485EED">
            <w:pPr>
              <w:pStyle w:val="71"/>
              <w:spacing w:line="360" w:lineRule="auto"/>
              <w:ind w:firstLine="50"/>
              <w:rPr>
                <w:rFonts w:cs="宋体"/>
                <w:sz w:val="24"/>
                <w:szCs w:val="24"/>
              </w:rPr>
            </w:pPr>
            <w:r>
              <w:rPr>
                <w:rFonts w:hint="eastAsia" w:cs="宋体"/>
                <w:sz w:val="24"/>
                <w:szCs w:val="24"/>
              </w:rPr>
              <w:t>潜水泵</w:t>
            </w:r>
          </w:p>
        </w:tc>
        <w:tc>
          <w:tcPr>
            <w:tcW w:w="2720" w:type="pct"/>
            <w:vAlign w:val="center"/>
          </w:tcPr>
          <w:p w14:paraId="44D630F9">
            <w:pPr>
              <w:pStyle w:val="71"/>
              <w:spacing w:line="360" w:lineRule="auto"/>
              <w:ind w:firstLine="50"/>
              <w:jc w:val="left"/>
              <w:rPr>
                <w:rFonts w:cs="宋体"/>
                <w:sz w:val="24"/>
                <w:szCs w:val="24"/>
              </w:rPr>
            </w:pPr>
            <w:r>
              <w:rPr>
                <w:rFonts w:hint="eastAsia" w:cs="宋体"/>
                <w:sz w:val="24"/>
                <w:szCs w:val="24"/>
              </w:rPr>
              <w:t>WQ20-15-2.2</w:t>
            </w:r>
          </w:p>
          <w:p w14:paraId="522E4A56">
            <w:pPr>
              <w:pStyle w:val="71"/>
              <w:spacing w:line="360" w:lineRule="auto"/>
              <w:ind w:firstLine="50"/>
              <w:jc w:val="left"/>
              <w:rPr>
                <w:rFonts w:cs="宋体"/>
                <w:sz w:val="24"/>
                <w:szCs w:val="24"/>
              </w:rPr>
            </w:pPr>
            <w:r>
              <w:rPr>
                <w:rFonts w:hint="eastAsia" w:cs="宋体"/>
                <w:sz w:val="24"/>
                <w:szCs w:val="24"/>
              </w:rPr>
              <w:t>绝缘电阻（MΩ):热态＞480，冷态＞460;</w:t>
            </w:r>
          </w:p>
          <w:p w14:paraId="7AF501DA">
            <w:pPr>
              <w:pStyle w:val="71"/>
              <w:spacing w:line="360" w:lineRule="auto"/>
              <w:ind w:firstLine="50"/>
              <w:jc w:val="left"/>
              <w:rPr>
                <w:rFonts w:cs="宋体"/>
                <w:sz w:val="24"/>
                <w:szCs w:val="24"/>
              </w:rPr>
            </w:pPr>
            <w:r>
              <w:rPr>
                <w:rFonts w:hint="eastAsia" w:cs="宋体"/>
                <w:sz w:val="24"/>
                <w:szCs w:val="24"/>
              </w:rPr>
              <w:t>规定点效率（效率）≥49.44%;</w:t>
            </w:r>
          </w:p>
          <w:p w14:paraId="4104D572">
            <w:pPr>
              <w:pStyle w:val="71"/>
              <w:spacing w:line="360" w:lineRule="auto"/>
              <w:ind w:firstLine="50"/>
              <w:jc w:val="left"/>
              <w:rPr>
                <w:rFonts w:cs="宋体"/>
                <w:sz w:val="24"/>
                <w:szCs w:val="24"/>
              </w:rPr>
            </w:pPr>
            <w:r>
              <w:rPr>
                <w:rFonts w:hint="eastAsia" w:cs="宋体"/>
                <w:sz w:val="24"/>
                <w:szCs w:val="24"/>
              </w:rPr>
              <w:t>功率因数≥0.89;</w:t>
            </w:r>
          </w:p>
          <w:p w14:paraId="6AAF0671">
            <w:pPr>
              <w:pStyle w:val="71"/>
              <w:spacing w:line="360" w:lineRule="auto"/>
              <w:ind w:firstLine="50"/>
              <w:jc w:val="left"/>
              <w:rPr>
                <w:rFonts w:cs="宋体"/>
                <w:sz w:val="24"/>
                <w:szCs w:val="24"/>
              </w:rPr>
            </w:pPr>
            <w:r>
              <w:rPr>
                <w:rFonts w:hint="eastAsia" w:cs="宋体"/>
                <w:sz w:val="24"/>
                <w:szCs w:val="24"/>
              </w:rPr>
              <w:t>定子的温升限值≤65.5;额定流量时的扬程（m）≥18.01；</w:t>
            </w:r>
          </w:p>
          <w:p w14:paraId="1A50F248">
            <w:pPr>
              <w:pStyle w:val="71"/>
              <w:spacing w:line="360" w:lineRule="auto"/>
              <w:ind w:firstLine="50"/>
              <w:jc w:val="left"/>
              <w:rPr>
                <w:rFonts w:cs="宋体"/>
                <w:sz w:val="24"/>
                <w:szCs w:val="24"/>
              </w:rPr>
            </w:pPr>
            <w:r>
              <w:rPr>
                <w:rFonts w:hint="eastAsia" w:cs="宋体"/>
                <w:sz w:val="24"/>
                <w:szCs w:val="24"/>
              </w:rPr>
              <w:t>电泵轴功率（电泵在0.7~1.3倍规定流量范围内）≤1.768；</w:t>
            </w:r>
          </w:p>
          <w:p w14:paraId="46972726">
            <w:pPr>
              <w:pStyle w:val="71"/>
              <w:spacing w:line="360" w:lineRule="auto"/>
              <w:ind w:firstLine="50"/>
              <w:jc w:val="left"/>
              <w:rPr>
                <w:rFonts w:cs="宋体"/>
                <w:sz w:val="24"/>
                <w:szCs w:val="24"/>
              </w:rPr>
            </w:pPr>
            <w:r>
              <w:rPr>
                <w:rFonts w:hint="eastAsia" w:cs="宋体"/>
                <w:sz w:val="24"/>
                <w:szCs w:val="24"/>
              </w:rPr>
              <w:t>电泵轴功率（电泵在规定点轴功率的1.3倍）≤2.074；</w:t>
            </w:r>
          </w:p>
        </w:tc>
        <w:tc>
          <w:tcPr>
            <w:tcW w:w="413" w:type="pct"/>
            <w:vAlign w:val="center"/>
          </w:tcPr>
          <w:p w14:paraId="6FB0482F">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2E4F28AB">
            <w:pPr>
              <w:pStyle w:val="71"/>
              <w:spacing w:line="360" w:lineRule="auto"/>
              <w:ind w:firstLine="50"/>
              <w:rPr>
                <w:rFonts w:cs="宋体"/>
                <w:sz w:val="24"/>
                <w:szCs w:val="24"/>
              </w:rPr>
            </w:pPr>
            <w:r>
              <w:rPr>
                <w:rFonts w:hint="eastAsia" w:cs="宋体"/>
                <w:sz w:val="24"/>
                <w:szCs w:val="24"/>
              </w:rPr>
              <w:t>2</w:t>
            </w:r>
          </w:p>
        </w:tc>
      </w:tr>
      <w:tr w14:paraId="53FD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1A533D86">
            <w:pPr>
              <w:pStyle w:val="71"/>
              <w:spacing w:line="360" w:lineRule="auto"/>
              <w:ind w:firstLine="50"/>
              <w:rPr>
                <w:rFonts w:cs="宋体"/>
                <w:sz w:val="24"/>
                <w:szCs w:val="24"/>
              </w:rPr>
            </w:pPr>
            <w:r>
              <w:rPr>
                <w:rFonts w:hint="eastAsia" w:cs="宋体"/>
                <w:sz w:val="24"/>
                <w:szCs w:val="24"/>
              </w:rPr>
              <w:t>接触氧化池</w:t>
            </w:r>
          </w:p>
        </w:tc>
        <w:tc>
          <w:tcPr>
            <w:tcW w:w="731" w:type="pct"/>
            <w:vAlign w:val="center"/>
          </w:tcPr>
          <w:p w14:paraId="1F4C596D">
            <w:pPr>
              <w:pStyle w:val="71"/>
              <w:spacing w:line="360" w:lineRule="auto"/>
              <w:ind w:firstLine="50"/>
              <w:rPr>
                <w:rFonts w:cs="宋体"/>
                <w:sz w:val="24"/>
                <w:szCs w:val="24"/>
              </w:rPr>
            </w:pPr>
            <w:r>
              <w:rPr>
                <w:rFonts w:hint="eastAsia" w:cs="宋体"/>
                <w:sz w:val="24"/>
                <w:szCs w:val="24"/>
              </w:rPr>
              <w:t>回流泵</w:t>
            </w:r>
          </w:p>
        </w:tc>
        <w:tc>
          <w:tcPr>
            <w:tcW w:w="2720" w:type="pct"/>
            <w:vAlign w:val="center"/>
          </w:tcPr>
          <w:p w14:paraId="337BC723">
            <w:pPr>
              <w:pStyle w:val="71"/>
              <w:spacing w:line="360" w:lineRule="auto"/>
              <w:ind w:firstLine="50"/>
              <w:jc w:val="left"/>
              <w:rPr>
                <w:rFonts w:cs="宋体"/>
                <w:sz w:val="24"/>
                <w:szCs w:val="24"/>
              </w:rPr>
            </w:pPr>
            <w:r>
              <w:rPr>
                <w:rFonts w:hint="eastAsia" w:cs="宋体"/>
                <w:sz w:val="24"/>
                <w:szCs w:val="24"/>
              </w:rPr>
              <w:t>WQ40-8-2.2</w:t>
            </w:r>
          </w:p>
          <w:p w14:paraId="09AED7F0">
            <w:pPr>
              <w:pStyle w:val="71"/>
              <w:spacing w:line="360" w:lineRule="auto"/>
              <w:ind w:firstLine="50"/>
              <w:jc w:val="left"/>
              <w:rPr>
                <w:rFonts w:cs="宋体"/>
                <w:sz w:val="24"/>
                <w:szCs w:val="24"/>
              </w:rPr>
            </w:pPr>
            <w:r>
              <w:rPr>
                <w:rFonts w:hint="eastAsia" w:cs="宋体"/>
                <w:sz w:val="24"/>
                <w:szCs w:val="24"/>
              </w:rPr>
              <w:t>绝缘电阻（MΩ):热态＞503，冷态＞518；</w:t>
            </w:r>
          </w:p>
          <w:p w14:paraId="0FA98D1F">
            <w:pPr>
              <w:pStyle w:val="71"/>
              <w:spacing w:line="360" w:lineRule="auto"/>
              <w:ind w:firstLine="50"/>
              <w:jc w:val="left"/>
              <w:rPr>
                <w:rFonts w:cs="宋体"/>
                <w:sz w:val="24"/>
                <w:szCs w:val="24"/>
              </w:rPr>
            </w:pPr>
            <w:r>
              <w:rPr>
                <w:rFonts w:hint="eastAsia" w:cs="宋体"/>
                <w:sz w:val="24"/>
                <w:szCs w:val="24"/>
              </w:rPr>
              <w:t>规定点效率（效率）≥50.68%；</w:t>
            </w:r>
          </w:p>
          <w:p w14:paraId="0A94FF3B">
            <w:pPr>
              <w:pStyle w:val="71"/>
              <w:spacing w:line="360" w:lineRule="auto"/>
              <w:ind w:firstLine="50"/>
              <w:jc w:val="left"/>
              <w:rPr>
                <w:rFonts w:cs="宋体"/>
                <w:sz w:val="24"/>
                <w:szCs w:val="24"/>
              </w:rPr>
            </w:pPr>
            <w:r>
              <w:rPr>
                <w:rFonts w:hint="eastAsia" w:cs="宋体"/>
                <w:sz w:val="24"/>
                <w:szCs w:val="24"/>
              </w:rPr>
              <w:t>功率因数≥0.88；</w:t>
            </w:r>
          </w:p>
          <w:p w14:paraId="408A9EF4">
            <w:pPr>
              <w:pStyle w:val="71"/>
              <w:spacing w:line="360" w:lineRule="auto"/>
              <w:ind w:firstLine="50"/>
              <w:jc w:val="left"/>
              <w:rPr>
                <w:rFonts w:cs="宋体"/>
                <w:sz w:val="24"/>
                <w:szCs w:val="24"/>
              </w:rPr>
            </w:pPr>
            <w:r>
              <w:rPr>
                <w:rFonts w:hint="eastAsia" w:cs="宋体"/>
                <w:sz w:val="24"/>
                <w:szCs w:val="24"/>
              </w:rPr>
              <w:t>定子的温升限值≤26.1；</w:t>
            </w:r>
          </w:p>
          <w:p w14:paraId="3D60388F">
            <w:pPr>
              <w:pStyle w:val="71"/>
              <w:spacing w:line="360" w:lineRule="auto"/>
              <w:ind w:firstLine="50"/>
              <w:jc w:val="left"/>
              <w:rPr>
                <w:rFonts w:cs="宋体"/>
                <w:sz w:val="24"/>
                <w:szCs w:val="24"/>
              </w:rPr>
            </w:pPr>
            <w:r>
              <w:rPr>
                <w:rFonts w:hint="eastAsia" w:cs="宋体"/>
                <w:sz w:val="24"/>
                <w:szCs w:val="24"/>
              </w:rPr>
              <w:t>额定流量时的扬程（m）≥9.77；</w:t>
            </w:r>
          </w:p>
          <w:p w14:paraId="5D9461E0">
            <w:pPr>
              <w:pStyle w:val="71"/>
              <w:spacing w:line="360" w:lineRule="auto"/>
              <w:ind w:firstLine="50"/>
              <w:jc w:val="left"/>
              <w:rPr>
                <w:rFonts w:cs="宋体"/>
                <w:sz w:val="24"/>
                <w:szCs w:val="24"/>
              </w:rPr>
            </w:pPr>
            <w:r>
              <w:rPr>
                <w:rFonts w:hint="eastAsia" w:cs="宋体"/>
                <w:sz w:val="24"/>
                <w:szCs w:val="24"/>
              </w:rPr>
              <w:t>电泵轴功率（电泵在0.7~1.3倍规定流量范围内）≤1.849；</w:t>
            </w:r>
          </w:p>
        </w:tc>
        <w:tc>
          <w:tcPr>
            <w:tcW w:w="413" w:type="pct"/>
            <w:vAlign w:val="center"/>
          </w:tcPr>
          <w:p w14:paraId="210BF5AE">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669F17B8">
            <w:pPr>
              <w:pStyle w:val="71"/>
              <w:spacing w:line="360" w:lineRule="auto"/>
              <w:ind w:firstLine="50"/>
              <w:rPr>
                <w:rFonts w:cs="宋体"/>
                <w:sz w:val="24"/>
                <w:szCs w:val="24"/>
              </w:rPr>
            </w:pPr>
            <w:r>
              <w:rPr>
                <w:rFonts w:hint="eastAsia" w:cs="宋体"/>
                <w:sz w:val="24"/>
                <w:szCs w:val="24"/>
              </w:rPr>
              <w:t>2</w:t>
            </w:r>
          </w:p>
        </w:tc>
      </w:tr>
      <w:tr w14:paraId="1C20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571E302D">
            <w:pPr>
              <w:pStyle w:val="71"/>
              <w:spacing w:line="360" w:lineRule="auto"/>
              <w:ind w:firstLine="50"/>
              <w:rPr>
                <w:rFonts w:cs="宋体"/>
                <w:sz w:val="24"/>
                <w:szCs w:val="24"/>
              </w:rPr>
            </w:pPr>
            <w:r>
              <w:rPr>
                <w:rFonts w:hint="eastAsia" w:cs="宋体"/>
                <w:sz w:val="24"/>
                <w:szCs w:val="24"/>
              </w:rPr>
              <w:t>二沉池</w:t>
            </w:r>
          </w:p>
        </w:tc>
        <w:tc>
          <w:tcPr>
            <w:tcW w:w="731" w:type="pct"/>
            <w:vAlign w:val="center"/>
          </w:tcPr>
          <w:p w14:paraId="44396CB7">
            <w:pPr>
              <w:pStyle w:val="71"/>
              <w:spacing w:line="360" w:lineRule="auto"/>
              <w:ind w:firstLine="50"/>
              <w:rPr>
                <w:rFonts w:cs="宋体"/>
                <w:sz w:val="24"/>
                <w:szCs w:val="24"/>
              </w:rPr>
            </w:pPr>
            <w:r>
              <w:rPr>
                <w:rFonts w:hint="eastAsia" w:cs="宋体"/>
                <w:sz w:val="24"/>
                <w:szCs w:val="24"/>
              </w:rPr>
              <w:t>潜水泵</w:t>
            </w:r>
          </w:p>
        </w:tc>
        <w:tc>
          <w:tcPr>
            <w:tcW w:w="2720" w:type="pct"/>
            <w:vAlign w:val="center"/>
          </w:tcPr>
          <w:p w14:paraId="32E5D5CB">
            <w:pPr>
              <w:pStyle w:val="71"/>
              <w:spacing w:line="360" w:lineRule="auto"/>
              <w:ind w:firstLine="50"/>
              <w:jc w:val="left"/>
              <w:rPr>
                <w:rFonts w:cs="宋体"/>
                <w:sz w:val="24"/>
                <w:szCs w:val="24"/>
              </w:rPr>
            </w:pPr>
            <w:r>
              <w:rPr>
                <w:rFonts w:hint="eastAsia" w:cs="宋体"/>
                <w:sz w:val="24"/>
                <w:szCs w:val="24"/>
              </w:rPr>
              <w:t>WQ20-15-2.2</w:t>
            </w:r>
          </w:p>
          <w:p w14:paraId="404724FE">
            <w:pPr>
              <w:pStyle w:val="71"/>
              <w:spacing w:line="360" w:lineRule="auto"/>
              <w:ind w:firstLine="50"/>
              <w:jc w:val="left"/>
              <w:rPr>
                <w:rFonts w:cs="宋体"/>
                <w:sz w:val="24"/>
                <w:szCs w:val="24"/>
              </w:rPr>
            </w:pPr>
            <w:r>
              <w:rPr>
                <w:rFonts w:hint="eastAsia" w:cs="宋体"/>
                <w:sz w:val="24"/>
                <w:szCs w:val="24"/>
              </w:rPr>
              <w:t>绝缘电阻（MΩ):热态＞480，冷态＞460;</w:t>
            </w:r>
          </w:p>
          <w:p w14:paraId="46775714">
            <w:pPr>
              <w:pStyle w:val="71"/>
              <w:spacing w:line="360" w:lineRule="auto"/>
              <w:ind w:firstLine="50"/>
              <w:jc w:val="left"/>
              <w:rPr>
                <w:rFonts w:cs="宋体"/>
                <w:sz w:val="24"/>
                <w:szCs w:val="24"/>
              </w:rPr>
            </w:pPr>
            <w:r>
              <w:rPr>
                <w:rFonts w:hint="eastAsia" w:cs="宋体"/>
                <w:sz w:val="24"/>
                <w:szCs w:val="24"/>
              </w:rPr>
              <w:t>规定点效率（效率）≥49.44%;</w:t>
            </w:r>
          </w:p>
          <w:p w14:paraId="3BD7D9FF">
            <w:pPr>
              <w:pStyle w:val="71"/>
              <w:spacing w:line="360" w:lineRule="auto"/>
              <w:ind w:firstLine="50"/>
              <w:jc w:val="left"/>
              <w:rPr>
                <w:rFonts w:cs="宋体"/>
                <w:sz w:val="24"/>
                <w:szCs w:val="24"/>
              </w:rPr>
            </w:pPr>
            <w:r>
              <w:rPr>
                <w:rFonts w:hint="eastAsia" w:cs="宋体"/>
                <w:sz w:val="24"/>
                <w:szCs w:val="24"/>
              </w:rPr>
              <w:t>功率因数≥0.89;</w:t>
            </w:r>
          </w:p>
          <w:p w14:paraId="75853828">
            <w:pPr>
              <w:pStyle w:val="71"/>
              <w:spacing w:line="360" w:lineRule="auto"/>
              <w:ind w:firstLine="50"/>
              <w:jc w:val="left"/>
              <w:rPr>
                <w:rFonts w:cs="宋体"/>
                <w:sz w:val="24"/>
                <w:szCs w:val="24"/>
              </w:rPr>
            </w:pPr>
            <w:r>
              <w:rPr>
                <w:rFonts w:hint="eastAsia" w:cs="宋体"/>
                <w:sz w:val="24"/>
                <w:szCs w:val="24"/>
              </w:rPr>
              <w:t>定子的温升限值≤65.5;额定流量时的扬程（m）≥18.01；</w:t>
            </w:r>
          </w:p>
          <w:p w14:paraId="5C80D11B">
            <w:pPr>
              <w:pStyle w:val="71"/>
              <w:spacing w:line="360" w:lineRule="auto"/>
              <w:ind w:firstLine="50"/>
              <w:jc w:val="left"/>
              <w:rPr>
                <w:rFonts w:cs="宋体"/>
                <w:sz w:val="24"/>
                <w:szCs w:val="24"/>
              </w:rPr>
            </w:pPr>
            <w:r>
              <w:rPr>
                <w:rFonts w:hint="eastAsia" w:cs="宋体"/>
                <w:sz w:val="24"/>
                <w:szCs w:val="24"/>
              </w:rPr>
              <w:t>电泵轴功率（电泵在0.7~1.3倍规定流量范围内）≤1.768；</w:t>
            </w:r>
          </w:p>
          <w:p w14:paraId="25A343C7">
            <w:pPr>
              <w:pStyle w:val="71"/>
              <w:spacing w:line="360" w:lineRule="auto"/>
              <w:ind w:firstLine="50"/>
              <w:jc w:val="left"/>
              <w:rPr>
                <w:rFonts w:cs="宋体"/>
                <w:sz w:val="24"/>
                <w:szCs w:val="24"/>
              </w:rPr>
            </w:pPr>
            <w:r>
              <w:rPr>
                <w:rFonts w:hint="eastAsia" w:cs="宋体"/>
                <w:sz w:val="24"/>
                <w:szCs w:val="24"/>
              </w:rPr>
              <w:t>电泵轴功率（电泵在规定点轴功率的1.3倍）≤2.074；</w:t>
            </w:r>
          </w:p>
        </w:tc>
        <w:tc>
          <w:tcPr>
            <w:tcW w:w="413" w:type="pct"/>
            <w:vAlign w:val="center"/>
          </w:tcPr>
          <w:p w14:paraId="1D77F631">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045B6133">
            <w:pPr>
              <w:pStyle w:val="71"/>
              <w:spacing w:line="360" w:lineRule="auto"/>
              <w:ind w:firstLine="50"/>
              <w:rPr>
                <w:rFonts w:cs="宋体"/>
                <w:sz w:val="24"/>
                <w:szCs w:val="24"/>
              </w:rPr>
            </w:pPr>
            <w:r>
              <w:rPr>
                <w:rFonts w:hint="eastAsia" w:cs="宋体"/>
                <w:sz w:val="24"/>
                <w:szCs w:val="24"/>
              </w:rPr>
              <w:t>4</w:t>
            </w:r>
          </w:p>
        </w:tc>
      </w:tr>
      <w:tr w14:paraId="7377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4E89F6D9">
            <w:pPr>
              <w:pStyle w:val="71"/>
              <w:spacing w:line="360" w:lineRule="auto"/>
              <w:ind w:firstLine="50"/>
              <w:rPr>
                <w:rFonts w:cs="宋体"/>
                <w:sz w:val="24"/>
                <w:szCs w:val="24"/>
              </w:rPr>
            </w:pPr>
            <w:r>
              <w:rPr>
                <w:rFonts w:hint="eastAsia" w:cs="宋体"/>
                <w:sz w:val="24"/>
                <w:szCs w:val="24"/>
              </w:rPr>
              <w:t>污泥池</w:t>
            </w:r>
          </w:p>
        </w:tc>
        <w:tc>
          <w:tcPr>
            <w:tcW w:w="731" w:type="pct"/>
            <w:vAlign w:val="center"/>
          </w:tcPr>
          <w:p w14:paraId="6F74A0EE">
            <w:pPr>
              <w:pStyle w:val="71"/>
              <w:spacing w:line="360" w:lineRule="auto"/>
              <w:ind w:firstLine="50"/>
              <w:rPr>
                <w:rFonts w:cs="宋体"/>
                <w:sz w:val="24"/>
                <w:szCs w:val="24"/>
              </w:rPr>
            </w:pPr>
            <w:r>
              <w:rPr>
                <w:rFonts w:hint="eastAsia" w:cs="宋体"/>
                <w:sz w:val="24"/>
                <w:szCs w:val="24"/>
              </w:rPr>
              <w:t>潜水泵</w:t>
            </w:r>
          </w:p>
        </w:tc>
        <w:tc>
          <w:tcPr>
            <w:tcW w:w="2720" w:type="pct"/>
            <w:vAlign w:val="center"/>
          </w:tcPr>
          <w:p w14:paraId="5EE55D00">
            <w:pPr>
              <w:pStyle w:val="71"/>
              <w:spacing w:line="360" w:lineRule="auto"/>
              <w:ind w:firstLine="50"/>
              <w:jc w:val="left"/>
              <w:rPr>
                <w:rFonts w:cs="宋体"/>
                <w:color w:val="000000"/>
                <w:sz w:val="24"/>
                <w:szCs w:val="24"/>
              </w:rPr>
            </w:pPr>
            <w:r>
              <w:rPr>
                <w:rFonts w:hint="eastAsia" w:cs="宋体"/>
                <w:sz w:val="24"/>
                <w:szCs w:val="24"/>
              </w:rPr>
              <w:t>Q=10m3/h，H=13m，N=1.1kW</w:t>
            </w:r>
          </w:p>
        </w:tc>
        <w:tc>
          <w:tcPr>
            <w:tcW w:w="413" w:type="pct"/>
            <w:vAlign w:val="center"/>
          </w:tcPr>
          <w:p w14:paraId="2B4762D8">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153619B9">
            <w:pPr>
              <w:pStyle w:val="71"/>
              <w:spacing w:line="360" w:lineRule="auto"/>
              <w:ind w:firstLine="50"/>
              <w:rPr>
                <w:rFonts w:cs="宋体"/>
                <w:sz w:val="24"/>
                <w:szCs w:val="24"/>
              </w:rPr>
            </w:pPr>
            <w:r>
              <w:rPr>
                <w:rFonts w:hint="eastAsia" w:cs="宋体"/>
                <w:sz w:val="24"/>
                <w:szCs w:val="24"/>
              </w:rPr>
              <w:t>2</w:t>
            </w:r>
          </w:p>
        </w:tc>
      </w:tr>
      <w:tr w14:paraId="115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3" w:type="pct"/>
            <w:vAlign w:val="center"/>
          </w:tcPr>
          <w:p w14:paraId="3E088806">
            <w:pPr>
              <w:pStyle w:val="71"/>
              <w:spacing w:line="360" w:lineRule="auto"/>
              <w:ind w:firstLine="50"/>
              <w:rPr>
                <w:rFonts w:cs="宋体"/>
                <w:sz w:val="24"/>
                <w:szCs w:val="24"/>
              </w:rPr>
            </w:pPr>
            <w:r>
              <w:rPr>
                <w:rFonts w:hint="eastAsia" w:cs="宋体"/>
                <w:sz w:val="24"/>
                <w:szCs w:val="24"/>
              </w:rPr>
              <w:t>风机间</w:t>
            </w:r>
          </w:p>
        </w:tc>
        <w:tc>
          <w:tcPr>
            <w:tcW w:w="731" w:type="pct"/>
            <w:vAlign w:val="center"/>
          </w:tcPr>
          <w:p w14:paraId="45F82383">
            <w:pPr>
              <w:pStyle w:val="71"/>
              <w:spacing w:line="360" w:lineRule="auto"/>
              <w:ind w:firstLine="50"/>
              <w:rPr>
                <w:rFonts w:cs="宋体"/>
                <w:sz w:val="24"/>
                <w:szCs w:val="24"/>
              </w:rPr>
            </w:pPr>
            <w:r>
              <w:rPr>
                <w:rFonts w:hint="eastAsia" w:cs="宋体"/>
                <w:sz w:val="24"/>
                <w:szCs w:val="24"/>
              </w:rPr>
              <w:t>排水泵</w:t>
            </w:r>
          </w:p>
        </w:tc>
        <w:tc>
          <w:tcPr>
            <w:tcW w:w="2720" w:type="pct"/>
            <w:vAlign w:val="center"/>
          </w:tcPr>
          <w:p w14:paraId="08506E7A">
            <w:pPr>
              <w:pStyle w:val="71"/>
              <w:spacing w:line="360" w:lineRule="auto"/>
              <w:ind w:firstLine="50"/>
              <w:jc w:val="left"/>
              <w:rPr>
                <w:rFonts w:cs="宋体"/>
                <w:sz w:val="24"/>
                <w:szCs w:val="24"/>
              </w:rPr>
            </w:pPr>
            <w:r>
              <w:rPr>
                <w:rFonts w:hint="eastAsia" w:cs="宋体"/>
                <w:sz w:val="24"/>
                <w:szCs w:val="24"/>
              </w:rPr>
              <w:t>Q=7m3/h，H=15m，N=1.1kW</w:t>
            </w:r>
          </w:p>
        </w:tc>
        <w:tc>
          <w:tcPr>
            <w:tcW w:w="413" w:type="pct"/>
            <w:vAlign w:val="center"/>
          </w:tcPr>
          <w:p w14:paraId="57238740">
            <w:pPr>
              <w:pStyle w:val="71"/>
              <w:spacing w:line="360" w:lineRule="auto"/>
              <w:ind w:firstLine="50"/>
              <w:rPr>
                <w:rFonts w:cs="宋体"/>
                <w:sz w:val="24"/>
                <w:szCs w:val="24"/>
              </w:rPr>
            </w:pPr>
            <w:r>
              <w:rPr>
                <w:rFonts w:hint="eastAsia" w:cs="宋体"/>
                <w:sz w:val="24"/>
                <w:szCs w:val="24"/>
              </w:rPr>
              <w:t>台</w:t>
            </w:r>
          </w:p>
        </w:tc>
        <w:tc>
          <w:tcPr>
            <w:tcW w:w="453" w:type="pct"/>
            <w:vAlign w:val="center"/>
          </w:tcPr>
          <w:p w14:paraId="461E09C8">
            <w:pPr>
              <w:pStyle w:val="71"/>
              <w:spacing w:line="360" w:lineRule="auto"/>
              <w:ind w:firstLine="50"/>
              <w:rPr>
                <w:rFonts w:cs="宋体"/>
                <w:sz w:val="24"/>
                <w:szCs w:val="24"/>
              </w:rPr>
            </w:pPr>
            <w:r>
              <w:rPr>
                <w:rFonts w:hint="eastAsia" w:cs="宋体"/>
                <w:sz w:val="24"/>
                <w:szCs w:val="24"/>
              </w:rPr>
              <w:t>2</w:t>
            </w:r>
          </w:p>
        </w:tc>
      </w:tr>
    </w:tbl>
    <w:p w14:paraId="37DA38A1">
      <w:pPr>
        <w:spacing w:line="360" w:lineRule="auto"/>
        <w:ind w:firstLine="480"/>
        <w:rPr>
          <w:rFonts w:ascii="宋体" w:hAnsi="宋体" w:cs="宋体"/>
          <w:b/>
          <w:sz w:val="24"/>
        </w:rPr>
      </w:pPr>
      <w:r>
        <w:rPr>
          <w:rFonts w:hint="eastAsia" w:ascii="宋体" w:hAnsi="宋体" w:cs="宋体"/>
          <w:sz w:val="24"/>
        </w:rPr>
        <w:t>1）卖方提供潜水离心泵应为成套装置，并需配备出水弯座、耦合装置、提升用导向杆、提升链、水下电缆（8m）、电缆网兜等有效和安全运行所必需的附件。</w:t>
      </w:r>
    </w:p>
    <w:p w14:paraId="789EE661">
      <w:pPr>
        <w:spacing w:line="360" w:lineRule="auto"/>
        <w:ind w:firstLine="480"/>
        <w:rPr>
          <w:rFonts w:ascii="宋体" w:hAnsi="宋体" w:cs="宋体"/>
          <w:sz w:val="24"/>
        </w:rPr>
      </w:pPr>
      <w:r>
        <w:rPr>
          <w:rFonts w:hint="eastAsia" w:ascii="宋体" w:hAnsi="宋体" w:cs="宋体"/>
          <w:sz w:val="24"/>
        </w:rPr>
        <w:t>2）卖方应提供安装用的所有紧固件（包括膨胀地脚螺栓、螺母、垫圈等），并应符合相关的技术要求。</w:t>
      </w:r>
    </w:p>
    <w:p w14:paraId="1D74CF62">
      <w:pPr>
        <w:spacing w:line="360" w:lineRule="auto"/>
        <w:ind w:firstLine="480"/>
        <w:rPr>
          <w:rFonts w:ascii="宋体" w:hAnsi="宋体" w:cs="宋体"/>
          <w:sz w:val="24"/>
        </w:rPr>
      </w:pPr>
      <w:r>
        <w:rPr>
          <w:rFonts w:hint="eastAsia" w:ascii="宋体" w:hAnsi="宋体" w:cs="宋体"/>
          <w:sz w:val="24"/>
        </w:rPr>
        <w:t>3）结构形式</w:t>
      </w:r>
    </w:p>
    <w:p w14:paraId="5D255DDE">
      <w:pPr>
        <w:spacing w:line="360" w:lineRule="auto"/>
        <w:ind w:firstLine="480"/>
        <w:rPr>
          <w:rFonts w:ascii="宋体" w:hAnsi="宋体" w:cs="宋体"/>
          <w:sz w:val="24"/>
        </w:rPr>
      </w:pPr>
      <w:r>
        <w:rPr>
          <w:rFonts w:hint="eastAsia" w:ascii="宋体" w:hAnsi="宋体" w:cs="宋体"/>
          <w:sz w:val="24"/>
        </w:rPr>
        <w:t>潜水离心泵应是立式、单级和可脱卸的潜水泵，并与潜水电机的轴为一个整体，潜水离心泵应能泵送原生污水及污泥。</w:t>
      </w:r>
    </w:p>
    <w:p w14:paraId="3B8A6D4E">
      <w:pPr>
        <w:spacing w:line="360" w:lineRule="auto"/>
        <w:ind w:firstLine="480"/>
        <w:rPr>
          <w:rFonts w:ascii="宋体" w:hAnsi="宋体" w:cs="宋体"/>
          <w:sz w:val="24"/>
        </w:rPr>
      </w:pPr>
      <w:r>
        <w:rPr>
          <w:rFonts w:hint="eastAsia" w:ascii="宋体" w:hAnsi="宋体" w:cs="宋体"/>
          <w:sz w:val="24"/>
        </w:rPr>
        <w:t>潜水电机应直接与泵叶轮同轴相连，水力部件由水泵壳体、叶轮组成。泵应能够在20m水深下持续长期运行。为了确保流量稳定且没有过多涡旋，水力部件应设计和制造成没有锐利的棱角。泵出水配管法兰应按DIN EN 1092-2，PN10或DIN2633 PN16标准。</w:t>
      </w:r>
    </w:p>
    <w:p w14:paraId="13FA53A5">
      <w:pPr>
        <w:spacing w:line="360" w:lineRule="auto"/>
        <w:ind w:firstLine="480"/>
        <w:rPr>
          <w:rFonts w:ascii="宋体" w:hAnsi="宋体" w:cs="宋体"/>
          <w:sz w:val="24"/>
        </w:rPr>
      </w:pPr>
      <w:r>
        <w:rPr>
          <w:rFonts w:hint="eastAsia" w:ascii="宋体" w:hAnsi="宋体" w:cs="宋体"/>
          <w:sz w:val="24"/>
        </w:rPr>
        <w:t>除非有其他规定，潜水离心泵输送的介质为含有固体颗粒的城市污水，在不需看护的情况下，无故障运行至少10，000小时。潜水泵应能通过粘性材料、破布、废纸和塑料等而不发生堵塞现象，流量扬程曲线上任何一点都不超载，可靠和无故障的运行以及低成本的维修费用将成为选择水泵的首要因素。</w:t>
      </w:r>
    </w:p>
    <w:p w14:paraId="17161A64">
      <w:pPr>
        <w:spacing w:line="360" w:lineRule="auto"/>
        <w:ind w:firstLine="480"/>
        <w:rPr>
          <w:rFonts w:ascii="宋体" w:hAnsi="宋体" w:cs="宋体"/>
          <w:sz w:val="24"/>
        </w:rPr>
      </w:pPr>
      <w:r>
        <w:rPr>
          <w:rFonts w:hint="eastAsia" w:ascii="宋体" w:hAnsi="宋体" w:cs="宋体"/>
          <w:sz w:val="24"/>
        </w:rPr>
        <w:t>潜水泵出水法兰与出水耦合弯座为重力自动无刮擦性硬面耦合，应密封可靠，采用橡胶等弹性密封将不被采用。</w:t>
      </w:r>
    </w:p>
    <w:p w14:paraId="480815B7">
      <w:pPr>
        <w:spacing w:line="360" w:lineRule="auto"/>
        <w:ind w:firstLine="480"/>
        <w:rPr>
          <w:rFonts w:ascii="宋体" w:hAnsi="宋体" w:cs="宋体"/>
          <w:sz w:val="24"/>
        </w:rPr>
      </w:pPr>
      <w:r>
        <w:rPr>
          <w:rFonts w:hint="eastAsia" w:ascii="宋体" w:hAnsi="宋体" w:cs="宋体"/>
          <w:sz w:val="24"/>
        </w:rPr>
        <w:t>泵的所有旋转零件（包括电动机）应在制造时进行静平衡试验，装配后进行动平衡试验，精度应至少达到ISO1940 G6.3级的要求。</w:t>
      </w:r>
    </w:p>
    <w:p w14:paraId="7EBEAA67">
      <w:pPr>
        <w:spacing w:line="360" w:lineRule="auto"/>
        <w:ind w:firstLine="482"/>
        <w:rPr>
          <w:rFonts w:ascii="宋体" w:hAnsi="宋体" w:cs="宋体"/>
          <w:b/>
          <w:bCs/>
          <w:sz w:val="24"/>
        </w:rPr>
      </w:pPr>
      <w:r>
        <w:rPr>
          <w:rFonts w:hint="eastAsia" w:ascii="宋体" w:hAnsi="宋体" w:cs="宋体"/>
          <w:b/>
          <w:bCs/>
          <w:sz w:val="24"/>
        </w:rPr>
        <w:t>泵壳</w:t>
      </w:r>
    </w:p>
    <w:p w14:paraId="69ADE8B3">
      <w:pPr>
        <w:spacing w:line="360" w:lineRule="auto"/>
        <w:ind w:firstLine="480"/>
        <w:rPr>
          <w:rFonts w:ascii="宋体" w:hAnsi="宋体" w:cs="宋体"/>
          <w:sz w:val="24"/>
        </w:rPr>
      </w:pPr>
      <w:r>
        <w:rPr>
          <w:rFonts w:hint="eastAsia" w:ascii="宋体" w:hAnsi="宋体" w:cs="宋体"/>
          <w:sz w:val="24"/>
        </w:rPr>
        <w:t>泵壳采用全不锈钢制品，泵壳内表面经加工后为光滑、无疵瑕形式，所有水流通过部分应设计成无锐角形式，以使流速和流向变化趋于平稳。通道的断面要足够大，以使相应粒径的杂物能通过叶轮。泵壳要有足够的厚度来承受所有的载荷，包括要求的静水试验压力以及连续工作的最大压力。</w:t>
      </w:r>
    </w:p>
    <w:p w14:paraId="4542B315">
      <w:pPr>
        <w:spacing w:line="360" w:lineRule="auto"/>
        <w:ind w:firstLine="480"/>
        <w:rPr>
          <w:rFonts w:ascii="宋体" w:hAnsi="宋体" w:cs="宋体"/>
          <w:sz w:val="24"/>
        </w:rPr>
      </w:pPr>
      <w:r>
        <w:rPr>
          <w:rFonts w:hint="eastAsia" w:ascii="宋体" w:hAnsi="宋体" w:cs="宋体"/>
          <w:sz w:val="24"/>
        </w:rPr>
        <w:t>泵壳设计时要考虑到能够把叶轮从顶部或底部抽出。离心式潜水泵须提供出水联接底座和定位挡板以便水泵安装时能自动入座锁紧。</w:t>
      </w:r>
    </w:p>
    <w:p w14:paraId="0EF0F1B7">
      <w:pPr>
        <w:spacing w:line="360" w:lineRule="auto"/>
        <w:ind w:firstLine="480"/>
        <w:rPr>
          <w:rFonts w:ascii="宋体" w:hAnsi="宋体" w:cs="宋体"/>
          <w:sz w:val="24"/>
        </w:rPr>
      </w:pPr>
      <w:r>
        <w:rPr>
          <w:rFonts w:hint="eastAsia" w:ascii="宋体" w:hAnsi="宋体" w:cs="宋体"/>
          <w:sz w:val="24"/>
        </w:rPr>
        <w:t>每台泵壳都必须在制造车间进行静压试验，试验压力不得小于关闭水头的2倍（如特性曲线所示），试验时间应至少持续10min。在这一试验压力下，泵的任一部分均不得有变形现象发生，或出现变形的迹象及其它缺陷。</w:t>
      </w:r>
    </w:p>
    <w:p w14:paraId="79D331E0">
      <w:pPr>
        <w:spacing w:line="360" w:lineRule="auto"/>
        <w:ind w:firstLine="482"/>
        <w:rPr>
          <w:rFonts w:ascii="宋体" w:hAnsi="宋体" w:cs="宋体"/>
          <w:b/>
          <w:bCs/>
          <w:sz w:val="24"/>
        </w:rPr>
      </w:pPr>
      <w:r>
        <w:rPr>
          <w:rFonts w:hint="eastAsia" w:ascii="宋体" w:hAnsi="宋体" w:cs="宋体"/>
          <w:b/>
          <w:bCs/>
          <w:sz w:val="24"/>
        </w:rPr>
        <w:t>泵叶轮</w:t>
      </w:r>
    </w:p>
    <w:p w14:paraId="10AC1725">
      <w:pPr>
        <w:spacing w:line="360" w:lineRule="auto"/>
        <w:ind w:firstLine="480"/>
        <w:rPr>
          <w:rFonts w:ascii="宋体" w:hAnsi="宋体" w:cs="宋体"/>
          <w:sz w:val="24"/>
        </w:rPr>
      </w:pPr>
      <w:r>
        <w:rPr>
          <w:rFonts w:hint="eastAsia" w:ascii="宋体" w:hAnsi="宋体" w:cs="宋体"/>
          <w:sz w:val="24"/>
        </w:rPr>
        <w:t>潜水泵应采用双通道式叶轮，叶轮为静态及动态平衡。叶轮应具有较大的抽吸能力，并精心地进行加工和表面处理。</w:t>
      </w:r>
    </w:p>
    <w:p w14:paraId="2BFE7839">
      <w:pPr>
        <w:spacing w:line="360" w:lineRule="auto"/>
        <w:ind w:firstLine="482"/>
        <w:rPr>
          <w:rFonts w:ascii="宋体" w:hAnsi="宋体" w:cs="宋体"/>
          <w:b/>
          <w:bCs/>
          <w:sz w:val="24"/>
        </w:rPr>
      </w:pPr>
      <w:r>
        <w:rPr>
          <w:rFonts w:hint="eastAsia" w:ascii="宋体" w:hAnsi="宋体" w:cs="宋体"/>
          <w:b/>
          <w:bCs/>
          <w:sz w:val="24"/>
        </w:rPr>
        <w:t>泵轴</w:t>
      </w:r>
    </w:p>
    <w:p w14:paraId="1494C8DF">
      <w:pPr>
        <w:spacing w:line="360" w:lineRule="auto"/>
        <w:ind w:firstLine="480"/>
        <w:rPr>
          <w:rFonts w:ascii="宋体" w:hAnsi="宋体" w:cs="宋体"/>
          <w:sz w:val="24"/>
        </w:rPr>
      </w:pPr>
      <w:r>
        <w:rPr>
          <w:rFonts w:hint="eastAsia" w:ascii="宋体" w:hAnsi="宋体" w:cs="宋体"/>
          <w:sz w:val="24"/>
        </w:rPr>
        <w:t>泵轴和电机轴必须为整体结构，并与泵送的水流完全分开。轴材料采用高强度耐腐蚀不锈钢AISI420制造。</w:t>
      </w:r>
    </w:p>
    <w:p w14:paraId="208A2633">
      <w:pPr>
        <w:spacing w:line="360" w:lineRule="auto"/>
        <w:ind w:firstLine="482"/>
        <w:rPr>
          <w:rFonts w:ascii="宋体" w:hAnsi="宋体" w:cs="宋体"/>
          <w:b/>
          <w:bCs/>
          <w:sz w:val="24"/>
        </w:rPr>
      </w:pPr>
      <w:r>
        <w:rPr>
          <w:rFonts w:hint="eastAsia" w:ascii="宋体" w:hAnsi="宋体" w:cs="宋体"/>
          <w:b/>
          <w:bCs/>
          <w:sz w:val="24"/>
        </w:rPr>
        <w:t>泵轴承</w:t>
      </w:r>
    </w:p>
    <w:p w14:paraId="19D6F774">
      <w:pPr>
        <w:spacing w:line="360" w:lineRule="auto"/>
        <w:ind w:firstLine="480"/>
        <w:rPr>
          <w:rFonts w:ascii="宋体" w:hAnsi="宋体" w:cs="宋体"/>
          <w:sz w:val="24"/>
        </w:rPr>
      </w:pPr>
      <w:r>
        <w:rPr>
          <w:rFonts w:hint="eastAsia" w:ascii="宋体" w:hAnsi="宋体" w:cs="宋体"/>
          <w:sz w:val="24"/>
        </w:rPr>
        <w:t>应采用高质量的终身润滑轴承，轴承的设计使用寿命应大于</w:t>
      </w:r>
      <w:r>
        <w:rPr>
          <w:rFonts w:hint="eastAsia" w:ascii="宋体" w:hAnsi="宋体" w:cs="宋体"/>
          <w:bCs/>
          <w:sz w:val="24"/>
        </w:rPr>
        <w:t>100，000小时</w:t>
      </w:r>
      <w:r>
        <w:rPr>
          <w:rFonts w:hint="eastAsia" w:ascii="宋体" w:hAnsi="宋体" w:cs="宋体"/>
          <w:sz w:val="24"/>
        </w:rPr>
        <w:t>。设计的轴承必须能够承受所有轴向和径向负荷，并完全与泵送的水流分开。</w:t>
      </w:r>
    </w:p>
    <w:p w14:paraId="43CD19EC">
      <w:pPr>
        <w:spacing w:line="360" w:lineRule="auto"/>
        <w:ind w:firstLine="482"/>
        <w:rPr>
          <w:rFonts w:ascii="宋体" w:hAnsi="宋体" w:cs="宋体"/>
          <w:b/>
          <w:bCs/>
          <w:sz w:val="24"/>
        </w:rPr>
      </w:pPr>
      <w:r>
        <w:rPr>
          <w:rFonts w:hint="eastAsia" w:ascii="宋体" w:hAnsi="宋体" w:cs="宋体"/>
          <w:b/>
          <w:bCs/>
          <w:sz w:val="24"/>
        </w:rPr>
        <w:t>叶轮间隙调整</w:t>
      </w:r>
    </w:p>
    <w:p w14:paraId="567D1100">
      <w:pPr>
        <w:spacing w:line="360" w:lineRule="auto"/>
        <w:ind w:firstLine="480"/>
        <w:rPr>
          <w:rFonts w:ascii="宋体" w:hAnsi="宋体" w:cs="宋体"/>
          <w:sz w:val="24"/>
        </w:rPr>
      </w:pPr>
      <w:r>
        <w:rPr>
          <w:rFonts w:hint="eastAsia" w:ascii="宋体" w:hAnsi="宋体" w:cs="宋体"/>
          <w:sz w:val="24"/>
        </w:rPr>
        <w:t>应采用叶轮间隙可调的形式，叶轮间隙调节应能保证蜗壳和叶轮吸口之间有效的间隙性，并且叶轮间隙应多次可调，当泵由于磨损而效率降低时，可通过调整叶轮的间隙来恢复水泵的效率。叶轮间隙调节时以轴向调节为准，并在泵的外部调节和测量。</w:t>
      </w:r>
    </w:p>
    <w:p w14:paraId="1B5E4558">
      <w:pPr>
        <w:spacing w:line="360" w:lineRule="auto"/>
        <w:ind w:firstLine="482"/>
        <w:rPr>
          <w:rFonts w:ascii="宋体" w:hAnsi="宋体" w:cs="宋体"/>
          <w:b/>
          <w:bCs/>
          <w:sz w:val="24"/>
        </w:rPr>
      </w:pPr>
      <w:r>
        <w:rPr>
          <w:rFonts w:hint="eastAsia" w:ascii="宋体" w:hAnsi="宋体" w:cs="宋体"/>
          <w:b/>
          <w:bCs/>
          <w:sz w:val="24"/>
        </w:rPr>
        <w:t>泵的密封</w:t>
      </w:r>
    </w:p>
    <w:p w14:paraId="41224A5E">
      <w:pPr>
        <w:spacing w:line="360" w:lineRule="auto"/>
        <w:ind w:firstLine="480"/>
        <w:rPr>
          <w:rFonts w:ascii="宋体" w:hAnsi="宋体" w:cs="宋体"/>
          <w:sz w:val="24"/>
        </w:rPr>
      </w:pPr>
      <w:r>
        <w:rPr>
          <w:rFonts w:hint="eastAsia" w:ascii="宋体" w:hAnsi="宋体" w:cs="宋体"/>
          <w:sz w:val="24"/>
        </w:rPr>
        <w:t>采用两个上下双重独立的高质量机械密封系统，可以顺时针或逆时针转动，而不会带来不良后果。机械密封均采用耐腐蚀碳化硅/耐腐蚀碳化硅或耐腐蚀碳化钨/耐腐蚀碳化硅，介质酸碱度范围为PH6~9。</w:t>
      </w:r>
    </w:p>
    <w:p w14:paraId="3E062267">
      <w:pPr>
        <w:spacing w:line="360" w:lineRule="auto"/>
        <w:ind w:firstLine="480"/>
        <w:rPr>
          <w:rFonts w:ascii="宋体" w:hAnsi="宋体" w:cs="宋体"/>
          <w:sz w:val="24"/>
        </w:rPr>
      </w:pPr>
      <w:r>
        <w:rPr>
          <w:rFonts w:hint="eastAsia" w:ascii="宋体" w:hAnsi="宋体" w:cs="宋体"/>
          <w:sz w:val="24"/>
        </w:rPr>
        <w:t>机械密封应该是免维护的，应能抵抗热冲击，并具有良好紧急运行的特点。</w:t>
      </w:r>
    </w:p>
    <w:p w14:paraId="29EE3177">
      <w:pPr>
        <w:spacing w:line="360" w:lineRule="auto"/>
        <w:ind w:firstLine="480"/>
        <w:rPr>
          <w:rFonts w:ascii="宋体" w:hAnsi="宋体" w:cs="宋体"/>
          <w:sz w:val="24"/>
        </w:rPr>
      </w:pPr>
      <w:r>
        <w:rPr>
          <w:rFonts w:hint="eastAsia" w:ascii="宋体" w:hAnsi="宋体" w:cs="宋体"/>
          <w:sz w:val="24"/>
        </w:rPr>
        <w:t>制造厂家应保证机械密封的使用寿命不低于25，000小时。</w:t>
      </w:r>
    </w:p>
    <w:p w14:paraId="55C13BF0">
      <w:pPr>
        <w:spacing w:line="360" w:lineRule="auto"/>
        <w:ind w:firstLine="482"/>
        <w:rPr>
          <w:rFonts w:ascii="宋体" w:hAnsi="宋体" w:cs="宋体"/>
          <w:b/>
          <w:bCs/>
          <w:sz w:val="24"/>
        </w:rPr>
      </w:pPr>
      <w:r>
        <w:rPr>
          <w:rFonts w:hint="eastAsia" w:ascii="宋体" w:hAnsi="宋体" w:cs="宋体"/>
          <w:b/>
          <w:bCs/>
          <w:sz w:val="24"/>
        </w:rPr>
        <w:t>电机</w:t>
      </w:r>
    </w:p>
    <w:p w14:paraId="33D2B99C">
      <w:pPr>
        <w:spacing w:line="360" w:lineRule="auto"/>
        <w:ind w:firstLine="480"/>
        <w:rPr>
          <w:rFonts w:ascii="宋体" w:hAnsi="宋体" w:cs="宋体"/>
          <w:sz w:val="24"/>
        </w:rPr>
      </w:pPr>
      <w:r>
        <w:rPr>
          <w:rFonts w:hint="eastAsia" w:ascii="宋体" w:hAnsi="宋体" w:cs="宋体"/>
          <w:sz w:val="24"/>
        </w:rPr>
        <w:t>泵的电机是鼠笼式感应电机，装在充气的防水的壳内。电机符合IEC IP68级封水性要求。定子绕组和定子接线的绝缘等级不低于F级155℃。定子浸入F级绝缘漆三次。定子用热缩法嵌入定子室。电机设计为可在泵送温度为40℃的介质而温升不超过80℃的情况下连续运行，能每小时至少起动15次而不对泵带来任何有害影响。</w:t>
      </w:r>
    </w:p>
    <w:p w14:paraId="67CF1B74">
      <w:pPr>
        <w:spacing w:line="360" w:lineRule="auto"/>
        <w:ind w:firstLine="480"/>
        <w:rPr>
          <w:rFonts w:ascii="宋体" w:hAnsi="宋体" w:cs="宋体"/>
          <w:sz w:val="24"/>
        </w:rPr>
      </w:pPr>
      <w:r>
        <w:rPr>
          <w:rFonts w:hint="eastAsia" w:ascii="宋体" w:hAnsi="宋体" w:cs="宋体"/>
          <w:sz w:val="24"/>
        </w:rPr>
        <w:t>为监控每相绕组的温度，需在每相定子线圈中装入热敏开关。热敏开关需在≤70℃时常闭，在125℃时跳开。热敏开关与电机过载保护连接并接至控制柜，接线盒包括端子板。端子板用弹性O形环与电机密封。接线板采用穿线压紧杆方式长期固定和联接电缆导线和定子进线。</w:t>
      </w:r>
    </w:p>
    <w:p w14:paraId="19BC5AF4">
      <w:pPr>
        <w:spacing w:line="360" w:lineRule="auto"/>
        <w:ind w:firstLine="480"/>
        <w:rPr>
          <w:rFonts w:ascii="宋体" w:hAnsi="宋体" w:cs="宋体"/>
          <w:sz w:val="24"/>
        </w:rPr>
      </w:pPr>
      <w:r>
        <w:rPr>
          <w:rFonts w:hint="eastAsia" w:ascii="宋体" w:hAnsi="宋体" w:cs="宋体"/>
          <w:sz w:val="24"/>
        </w:rPr>
        <w:t>综合工作因素（即电压、频率及比重的综合效）至少为1.15。电机的允许电压波动为正负10％。电机能在水下20米处连续使用而不失去其防水性能（根据IP58标准，原IP68标准）。电机有足够的轴功率，以保证泵在其整个性能曲线范围内运行时不过载。动力电缆包括2—7根1．5平方毫米的控制电缆，以连接热敏电阻及其它监控传感器。</w:t>
      </w:r>
    </w:p>
    <w:p w14:paraId="22F6E730">
      <w:pPr>
        <w:spacing w:line="360" w:lineRule="auto"/>
        <w:ind w:firstLine="482"/>
        <w:rPr>
          <w:rFonts w:ascii="宋体" w:hAnsi="宋体" w:cs="宋体"/>
          <w:b/>
          <w:bCs/>
          <w:sz w:val="24"/>
        </w:rPr>
      </w:pPr>
      <w:r>
        <w:rPr>
          <w:rFonts w:hint="eastAsia" w:ascii="宋体" w:hAnsi="宋体" w:cs="宋体"/>
          <w:b/>
          <w:bCs/>
          <w:sz w:val="24"/>
        </w:rPr>
        <w:t>电缆进线的水密封</w:t>
      </w:r>
    </w:p>
    <w:p w14:paraId="50FEB09F">
      <w:pPr>
        <w:spacing w:line="360" w:lineRule="auto"/>
        <w:ind w:firstLine="480"/>
        <w:rPr>
          <w:rFonts w:ascii="宋体" w:hAnsi="宋体" w:cs="宋体"/>
          <w:sz w:val="24"/>
        </w:rPr>
      </w:pPr>
      <w:r>
        <w:rPr>
          <w:rFonts w:hint="eastAsia" w:ascii="宋体" w:hAnsi="宋体" w:cs="宋体"/>
          <w:sz w:val="24"/>
        </w:rPr>
        <w:t>电机在电缆入口处有弹性衬套，用密封盖进行挤压，保证防水和水密封。弹性衬套应有精密的公差，以适应电缆的外径和入口的内径。防水电缆进线有防拉紧、防缠绕保护及每根走线密封。</w:t>
      </w:r>
    </w:p>
    <w:p w14:paraId="2E8C941E">
      <w:pPr>
        <w:spacing w:line="360" w:lineRule="auto"/>
        <w:ind w:firstLine="482"/>
        <w:rPr>
          <w:rFonts w:ascii="宋体" w:hAnsi="宋体" w:cs="宋体"/>
          <w:b/>
          <w:bCs/>
          <w:sz w:val="24"/>
        </w:rPr>
      </w:pPr>
      <w:r>
        <w:rPr>
          <w:rFonts w:hint="eastAsia" w:ascii="宋体" w:hAnsi="宋体" w:cs="宋体"/>
          <w:b/>
          <w:bCs/>
          <w:sz w:val="24"/>
        </w:rPr>
        <w:t>接线室</w:t>
      </w:r>
    </w:p>
    <w:p w14:paraId="6DC190F3">
      <w:pPr>
        <w:spacing w:line="360" w:lineRule="auto"/>
        <w:ind w:firstLine="480"/>
        <w:rPr>
          <w:rFonts w:ascii="宋体" w:hAnsi="宋体" w:cs="宋体"/>
          <w:sz w:val="24"/>
        </w:rPr>
      </w:pPr>
      <w:r>
        <w:rPr>
          <w:rFonts w:hint="eastAsia" w:ascii="宋体" w:hAnsi="宋体" w:cs="宋体"/>
          <w:sz w:val="24"/>
        </w:rPr>
        <w:t>潜水电缆和定子接线的连接通过接线室内的接线板进行连接，接线室应通过橡胶件与定子室隔离密封，保护电机，避免物质进入电机腔。</w:t>
      </w:r>
    </w:p>
    <w:p w14:paraId="538C9C46">
      <w:pPr>
        <w:spacing w:line="360" w:lineRule="auto"/>
        <w:ind w:firstLine="482"/>
        <w:rPr>
          <w:rFonts w:ascii="宋体" w:hAnsi="宋体" w:cs="宋体"/>
          <w:b/>
          <w:bCs/>
          <w:sz w:val="24"/>
        </w:rPr>
      </w:pPr>
      <w:r>
        <w:rPr>
          <w:rFonts w:hint="eastAsia" w:ascii="宋体" w:hAnsi="宋体" w:cs="宋体"/>
          <w:b/>
          <w:bCs/>
          <w:sz w:val="24"/>
        </w:rPr>
        <w:t>供电及控制电缆</w:t>
      </w:r>
    </w:p>
    <w:p w14:paraId="40E1B53B">
      <w:pPr>
        <w:spacing w:line="360" w:lineRule="auto"/>
        <w:ind w:firstLine="480"/>
        <w:rPr>
          <w:rFonts w:ascii="宋体" w:hAnsi="宋体" w:cs="宋体"/>
          <w:sz w:val="24"/>
        </w:rPr>
      </w:pPr>
      <w:r>
        <w:rPr>
          <w:rFonts w:hint="eastAsia" w:ascii="宋体" w:hAnsi="宋体" w:cs="宋体"/>
          <w:sz w:val="24"/>
        </w:rPr>
        <w:t>电机电缆线为适用于污水环境的潜水电缆，电缆设计温度最高可达到80℃。</w:t>
      </w:r>
    </w:p>
    <w:p w14:paraId="668EB74A">
      <w:pPr>
        <w:spacing w:line="360" w:lineRule="auto"/>
        <w:ind w:firstLine="482"/>
        <w:rPr>
          <w:rFonts w:ascii="宋体" w:hAnsi="宋体" w:cs="宋体"/>
          <w:b/>
          <w:bCs/>
          <w:sz w:val="24"/>
        </w:rPr>
      </w:pPr>
      <w:r>
        <w:rPr>
          <w:rFonts w:hint="eastAsia" w:ascii="宋体" w:hAnsi="宋体" w:cs="宋体"/>
          <w:b/>
          <w:bCs/>
          <w:sz w:val="24"/>
        </w:rPr>
        <w:t>电机保护装置</w:t>
      </w:r>
    </w:p>
    <w:p w14:paraId="524077B0">
      <w:pPr>
        <w:spacing w:line="360" w:lineRule="auto"/>
        <w:ind w:firstLine="480"/>
        <w:rPr>
          <w:rFonts w:ascii="宋体" w:hAnsi="宋体" w:cs="宋体"/>
          <w:sz w:val="24"/>
        </w:rPr>
      </w:pPr>
      <w:r>
        <w:rPr>
          <w:rFonts w:hint="eastAsia" w:ascii="宋体" w:hAnsi="宋体" w:cs="宋体"/>
          <w:sz w:val="24"/>
        </w:rPr>
        <w:t>电机的每一相均设有温度传感器，当电机过热时将发出报警信号并自动切断电源。这些传感器都应在摄氏140℃时断开，可以与电机过载保护相连接，并接至控制柜。油腔中应装有密封泄露传感器，监测是否有水从轴封处浸入油室。所有常闭热敏传感器都应采用双金属片式传感器。所有泄漏传感器都应为电极式传感器，输出信号为开关量信号。</w:t>
      </w:r>
    </w:p>
    <w:p w14:paraId="359F2746">
      <w:pPr>
        <w:spacing w:line="360" w:lineRule="auto"/>
        <w:ind w:firstLine="482"/>
        <w:rPr>
          <w:rFonts w:ascii="宋体" w:hAnsi="宋体" w:cs="宋体"/>
          <w:b/>
          <w:bCs/>
          <w:sz w:val="24"/>
        </w:rPr>
      </w:pPr>
      <w:r>
        <w:rPr>
          <w:rFonts w:hint="eastAsia" w:ascii="宋体" w:hAnsi="宋体" w:cs="宋体"/>
          <w:b/>
          <w:bCs/>
          <w:sz w:val="24"/>
        </w:rPr>
        <w:t>防腐要求</w:t>
      </w:r>
    </w:p>
    <w:p w14:paraId="5F92B5C8">
      <w:pPr>
        <w:spacing w:line="360" w:lineRule="auto"/>
        <w:ind w:firstLine="480"/>
        <w:rPr>
          <w:rFonts w:ascii="宋体" w:hAnsi="宋体" w:cs="宋体"/>
          <w:sz w:val="24"/>
        </w:rPr>
      </w:pPr>
      <w:r>
        <w:rPr>
          <w:rFonts w:hint="eastAsia" w:ascii="宋体" w:hAnsi="宋体" w:cs="宋体"/>
          <w:sz w:val="24"/>
        </w:rPr>
        <w:t>制造潜水泵的全部材料应适用于污水的腐蚀环境以及腐蚀性气体的环境，未经保护或非防腐性材料应进行除锈和涂环氧防锈漆处理。</w:t>
      </w:r>
    </w:p>
    <w:p w14:paraId="4FD3CD21">
      <w:pPr>
        <w:spacing w:line="360" w:lineRule="auto"/>
        <w:ind w:firstLine="482"/>
        <w:rPr>
          <w:rFonts w:ascii="宋体" w:hAnsi="宋体" w:cs="宋体"/>
          <w:b/>
          <w:bCs/>
          <w:sz w:val="24"/>
        </w:rPr>
      </w:pPr>
      <w:r>
        <w:rPr>
          <w:rFonts w:hint="eastAsia" w:ascii="宋体" w:hAnsi="宋体" w:cs="宋体"/>
          <w:b/>
          <w:bCs/>
          <w:sz w:val="24"/>
        </w:rPr>
        <w:t>控制方式</w:t>
      </w:r>
    </w:p>
    <w:p w14:paraId="7E7AC133">
      <w:pPr>
        <w:spacing w:line="360" w:lineRule="auto"/>
        <w:ind w:firstLine="480"/>
        <w:rPr>
          <w:rFonts w:ascii="宋体" w:hAnsi="宋体" w:cs="宋体"/>
          <w:sz w:val="24"/>
        </w:rPr>
      </w:pPr>
      <w:r>
        <w:rPr>
          <w:rFonts w:hint="eastAsia" w:ascii="宋体" w:hAnsi="宋体" w:cs="宋体"/>
          <w:sz w:val="24"/>
        </w:rPr>
        <w:t>潜水提升泵的操作方式为就地手动控制和PLC自动控制二种方式。另外应具备向中心控制室PLC传输状态显示信号并接受PLC输出控制信号的接口和接受中控室遥控的信号接口。</w:t>
      </w:r>
    </w:p>
    <w:p w14:paraId="7DAE06A4">
      <w:pPr>
        <w:tabs>
          <w:tab w:val="left" w:pos="0"/>
        </w:tabs>
        <w:spacing w:line="360" w:lineRule="auto"/>
        <w:rPr>
          <w:rFonts w:ascii="宋体" w:hAnsi="宋体" w:cs="宋体"/>
          <w:sz w:val="24"/>
        </w:rPr>
      </w:pPr>
      <w:r>
        <w:rPr>
          <w:rFonts w:hint="eastAsia" w:ascii="宋体" w:hAnsi="宋体" w:cs="宋体"/>
          <w:sz w:val="24"/>
        </w:rPr>
        <w:t>资料提交</w:t>
      </w:r>
    </w:p>
    <w:p w14:paraId="4FDBBF6B">
      <w:pPr>
        <w:spacing w:line="360" w:lineRule="auto"/>
        <w:ind w:firstLine="480"/>
        <w:rPr>
          <w:rFonts w:ascii="宋体" w:hAnsi="宋体" w:cs="宋体"/>
          <w:sz w:val="24"/>
        </w:rPr>
      </w:pPr>
      <w:r>
        <w:rPr>
          <w:rFonts w:hint="eastAsia" w:ascii="宋体" w:hAnsi="宋体" w:cs="宋体"/>
          <w:sz w:val="24"/>
        </w:rPr>
        <w:t>需满足如下要求：</w:t>
      </w:r>
    </w:p>
    <w:p w14:paraId="56A9408D">
      <w:pPr>
        <w:numPr>
          <w:ilvl w:val="0"/>
          <w:numId w:val="3"/>
        </w:numPr>
        <w:spacing w:line="360" w:lineRule="auto"/>
        <w:ind w:firstLine="480"/>
        <w:rPr>
          <w:rFonts w:ascii="宋体" w:hAnsi="宋体" w:cs="宋体"/>
          <w:snapToGrid w:val="0"/>
          <w:sz w:val="24"/>
        </w:rPr>
      </w:pPr>
      <w:r>
        <w:rPr>
          <w:rFonts w:hint="eastAsia" w:ascii="宋体" w:hAnsi="宋体" w:cs="宋体"/>
          <w:snapToGrid w:val="0"/>
          <w:sz w:val="24"/>
        </w:rPr>
        <w:t>★WQ20-15-2.2绝缘电阻（MΩ):热态＞480，冷态＞460;规定点效率（效率）≥49.44%;功率因数≥0.89；定子的温升限值≤65.5;额定流量时的扬程（m）≥18.01；电泵轴功率（电泵在0.7~1.3倍规定流量范围内）≤1.768；电泵轴功率（电泵在规定点轴功率的1.3倍）≤2.074；提供第三方单位检测报告。</w:t>
      </w:r>
    </w:p>
    <w:p w14:paraId="4E39B593">
      <w:pPr>
        <w:numPr>
          <w:ilvl w:val="0"/>
          <w:numId w:val="3"/>
        </w:numPr>
        <w:spacing w:line="360" w:lineRule="auto"/>
        <w:ind w:firstLine="480"/>
        <w:rPr>
          <w:rFonts w:ascii="宋体" w:hAnsi="宋体" w:cs="宋体"/>
          <w:snapToGrid w:val="0"/>
          <w:sz w:val="24"/>
        </w:rPr>
      </w:pPr>
      <w:r>
        <w:rPr>
          <w:rFonts w:hint="eastAsia" w:ascii="宋体" w:hAnsi="宋体" w:cs="宋体"/>
          <w:snapToGrid w:val="0"/>
          <w:sz w:val="24"/>
        </w:rPr>
        <w:t>★WQ40-8-2.2绝缘电阻（MΩ):热态＞503，冷态＞518；规定点效率（效率）≥50.68%；功率因数≥0.88；定子的温升限值≤26.1；额定流量时的扬程（m）≥9.77；电泵轴功率（电泵在0.7~1.3倍规定流量范围内）≤1.849；提供第三方单位检测报告。</w:t>
      </w:r>
    </w:p>
    <w:p w14:paraId="34EB0BBB">
      <w:pPr>
        <w:numPr>
          <w:ilvl w:val="0"/>
          <w:numId w:val="3"/>
        </w:numPr>
        <w:spacing w:line="360" w:lineRule="auto"/>
        <w:ind w:firstLine="480"/>
        <w:rPr>
          <w:rFonts w:ascii="宋体" w:hAnsi="宋体" w:cs="宋体"/>
          <w:snapToGrid w:val="0"/>
          <w:sz w:val="24"/>
        </w:rPr>
      </w:pPr>
      <w:r>
        <w:rPr>
          <w:rFonts w:hint="eastAsia" w:ascii="宋体" w:hAnsi="宋体" w:cs="宋体"/>
          <w:snapToGrid w:val="0"/>
          <w:sz w:val="24"/>
        </w:rPr>
        <w:t>★提供厂家授权书。</w:t>
      </w:r>
    </w:p>
    <w:p w14:paraId="15D70186">
      <w:pPr>
        <w:tabs>
          <w:tab w:val="left" w:pos="0"/>
        </w:tabs>
        <w:spacing w:line="360" w:lineRule="auto"/>
        <w:rPr>
          <w:rFonts w:ascii="宋体" w:hAnsi="宋体" w:cs="宋体"/>
          <w:sz w:val="24"/>
        </w:rPr>
      </w:pPr>
      <w:r>
        <w:rPr>
          <w:rFonts w:hint="eastAsia" w:ascii="宋体" w:hAnsi="宋体" w:cs="宋体"/>
          <w:sz w:val="24"/>
        </w:rPr>
        <w:t>曝气风机</w:t>
      </w:r>
    </w:p>
    <w:p w14:paraId="30FE1ECE">
      <w:pPr>
        <w:tabs>
          <w:tab w:val="left" w:pos="0"/>
        </w:tabs>
        <w:spacing w:line="360" w:lineRule="auto"/>
        <w:rPr>
          <w:rFonts w:ascii="宋体" w:hAnsi="宋体" w:cs="宋体"/>
          <w:sz w:val="24"/>
        </w:rPr>
      </w:pPr>
      <w:r>
        <w:rPr>
          <w:rFonts w:hint="eastAsia" w:ascii="宋体" w:hAnsi="宋体" w:cs="宋体"/>
          <w:sz w:val="24"/>
        </w:rPr>
        <w:t>总则</w:t>
      </w:r>
    </w:p>
    <w:p w14:paraId="541CDFAF">
      <w:pPr>
        <w:spacing w:line="360" w:lineRule="auto"/>
        <w:ind w:firstLine="480"/>
        <w:rPr>
          <w:rFonts w:ascii="宋体" w:hAnsi="宋体" w:cs="宋体"/>
          <w:sz w:val="24"/>
        </w:rPr>
      </w:pPr>
      <w:r>
        <w:rPr>
          <w:rFonts w:hint="eastAsia" w:ascii="宋体" w:hAnsi="宋体" w:cs="宋体"/>
          <w:sz w:val="24"/>
        </w:rPr>
        <w:t>标准化的外观、运行、维修、备品备件及制造商的服务，所提供的设备必须是一个制造商的最终产品，全新未经使用。</w:t>
      </w:r>
    </w:p>
    <w:p w14:paraId="014AAE44">
      <w:pPr>
        <w:spacing w:line="360" w:lineRule="auto"/>
        <w:ind w:firstLine="480"/>
        <w:rPr>
          <w:rFonts w:ascii="宋体" w:hAnsi="宋体" w:cs="宋体"/>
          <w:sz w:val="24"/>
        </w:rPr>
      </w:pPr>
      <w:r>
        <w:rPr>
          <w:rFonts w:hint="eastAsia" w:ascii="宋体" w:hAnsi="宋体" w:cs="宋体"/>
          <w:sz w:val="24"/>
        </w:rPr>
        <w:t>投标商应该根据设计文件及图纸要求所规定的风量、风压及功率及安装位置对曝气风机进行核算选型，并提供曝气风机的平面布置图，在设计的条件下，投标商对风机的效率负责。</w:t>
      </w:r>
    </w:p>
    <w:p w14:paraId="60340399">
      <w:pPr>
        <w:spacing w:line="360" w:lineRule="auto"/>
        <w:ind w:firstLine="480"/>
        <w:rPr>
          <w:rFonts w:ascii="宋体" w:hAnsi="宋体" w:cs="宋体"/>
          <w:sz w:val="24"/>
        </w:rPr>
      </w:pPr>
      <w:r>
        <w:rPr>
          <w:rFonts w:hint="eastAsia" w:ascii="宋体" w:hAnsi="宋体" w:cs="宋体"/>
          <w:sz w:val="24"/>
        </w:rPr>
        <w:t>本工程土建完成后，投标商应保证所投设备可以安装。</w:t>
      </w:r>
    </w:p>
    <w:p w14:paraId="545CEFA7">
      <w:pPr>
        <w:tabs>
          <w:tab w:val="left" w:pos="0"/>
        </w:tabs>
        <w:spacing w:line="360" w:lineRule="auto"/>
        <w:rPr>
          <w:rFonts w:ascii="宋体" w:hAnsi="宋体" w:cs="宋体"/>
          <w:sz w:val="24"/>
        </w:rPr>
      </w:pPr>
      <w:r>
        <w:rPr>
          <w:rFonts w:hint="eastAsia" w:ascii="宋体" w:hAnsi="宋体" w:cs="宋体"/>
          <w:sz w:val="24"/>
        </w:rPr>
        <w:t>供货范围</w:t>
      </w:r>
    </w:p>
    <w:tbl>
      <w:tblPr>
        <w:tblStyle w:val="26"/>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497"/>
        <w:gridCol w:w="5650"/>
        <w:gridCol w:w="645"/>
        <w:gridCol w:w="982"/>
      </w:tblGrid>
      <w:tr w14:paraId="55CE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6" w:type="pct"/>
            <w:vAlign w:val="center"/>
          </w:tcPr>
          <w:p w14:paraId="75BEF8C2">
            <w:pPr>
              <w:pStyle w:val="71"/>
              <w:spacing w:line="360" w:lineRule="auto"/>
              <w:ind w:firstLine="50"/>
              <w:rPr>
                <w:rFonts w:cs="宋体"/>
                <w:sz w:val="24"/>
                <w:szCs w:val="24"/>
              </w:rPr>
            </w:pPr>
            <w:r>
              <w:rPr>
                <w:rFonts w:hint="eastAsia" w:cs="宋体"/>
                <w:sz w:val="24"/>
                <w:szCs w:val="24"/>
              </w:rPr>
              <w:t>安装位置</w:t>
            </w:r>
          </w:p>
        </w:tc>
        <w:tc>
          <w:tcPr>
            <w:tcW w:w="736" w:type="pct"/>
            <w:vAlign w:val="center"/>
          </w:tcPr>
          <w:p w14:paraId="012B330F">
            <w:pPr>
              <w:pStyle w:val="71"/>
              <w:spacing w:line="360" w:lineRule="auto"/>
              <w:ind w:firstLine="50"/>
              <w:rPr>
                <w:rFonts w:cs="宋体"/>
                <w:sz w:val="24"/>
                <w:szCs w:val="24"/>
              </w:rPr>
            </w:pPr>
            <w:r>
              <w:rPr>
                <w:rFonts w:hint="eastAsia" w:cs="宋体"/>
                <w:sz w:val="24"/>
                <w:szCs w:val="24"/>
              </w:rPr>
              <w:t>设备名称</w:t>
            </w:r>
          </w:p>
        </w:tc>
        <w:tc>
          <w:tcPr>
            <w:tcW w:w="2778" w:type="pct"/>
            <w:vAlign w:val="center"/>
          </w:tcPr>
          <w:p w14:paraId="1CF5FFD2">
            <w:pPr>
              <w:pStyle w:val="71"/>
              <w:spacing w:line="360" w:lineRule="auto"/>
              <w:ind w:firstLine="50"/>
              <w:rPr>
                <w:rFonts w:cs="宋体"/>
                <w:sz w:val="24"/>
                <w:szCs w:val="24"/>
              </w:rPr>
            </w:pPr>
            <w:r>
              <w:rPr>
                <w:rFonts w:hint="eastAsia" w:cs="宋体"/>
                <w:sz w:val="24"/>
                <w:szCs w:val="24"/>
              </w:rPr>
              <w:t>规格及主要尺寸</w:t>
            </w:r>
          </w:p>
        </w:tc>
        <w:tc>
          <w:tcPr>
            <w:tcW w:w="317" w:type="pct"/>
            <w:vAlign w:val="center"/>
          </w:tcPr>
          <w:p w14:paraId="5C928D3B">
            <w:pPr>
              <w:pStyle w:val="71"/>
              <w:spacing w:line="360" w:lineRule="auto"/>
              <w:ind w:firstLine="50"/>
              <w:rPr>
                <w:rFonts w:cs="宋体"/>
                <w:sz w:val="24"/>
                <w:szCs w:val="24"/>
              </w:rPr>
            </w:pPr>
            <w:r>
              <w:rPr>
                <w:rFonts w:hint="eastAsia" w:cs="宋体"/>
                <w:sz w:val="24"/>
                <w:szCs w:val="24"/>
              </w:rPr>
              <w:t>单位</w:t>
            </w:r>
          </w:p>
        </w:tc>
        <w:tc>
          <w:tcPr>
            <w:tcW w:w="483" w:type="pct"/>
            <w:vAlign w:val="center"/>
          </w:tcPr>
          <w:p w14:paraId="450387D0">
            <w:pPr>
              <w:pStyle w:val="71"/>
              <w:spacing w:line="360" w:lineRule="auto"/>
              <w:ind w:firstLine="50"/>
              <w:rPr>
                <w:rFonts w:cs="宋体"/>
                <w:sz w:val="24"/>
                <w:szCs w:val="24"/>
              </w:rPr>
            </w:pPr>
            <w:r>
              <w:rPr>
                <w:rFonts w:hint="eastAsia" w:cs="宋体"/>
                <w:sz w:val="24"/>
                <w:szCs w:val="24"/>
              </w:rPr>
              <w:t>数量</w:t>
            </w:r>
          </w:p>
        </w:tc>
      </w:tr>
      <w:tr w14:paraId="52B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86" w:type="pct"/>
            <w:vAlign w:val="center"/>
          </w:tcPr>
          <w:p w14:paraId="11A61A3F">
            <w:pPr>
              <w:pStyle w:val="71"/>
              <w:spacing w:line="360" w:lineRule="auto"/>
              <w:ind w:firstLine="50"/>
              <w:rPr>
                <w:rFonts w:cs="宋体"/>
                <w:sz w:val="24"/>
                <w:szCs w:val="24"/>
              </w:rPr>
            </w:pPr>
            <w:r>
              <w:rPr>
                <w:rFonts w:hint="eastAsia" w:cs="宋体"/>
                <w:sz w:val="24"/>
                <w:szCs w:val="24"/>
              </w:rPr>
              <w:t>设备房</w:t>
            </w:r>
          </w:p>
        </w:tc>
        <w:tc>
          <w:tcPr>
            <w:tcW w:w="736" w:type="pct"/>
            <w:vAlign w:val="center"/>
          </w:tcPr>
          <w:p w14:paraId="61CCEC43">
            <w:pPr>
              <w:pStyle w:val="71"/>
              <w:spacing w:line="360" w:lineRule="auto"/>
              <w:ind w:firstLine="50"/>
              <w:rPr>
                <w:rFonts w:cs="宋体"/>
                <w:sz w:val="24"/>
                <w:szCs w:val="24"/>
              </w:rPr>
            </w:pPr>
            <w:r>
              <w:rPr>
                <w:rFonts w:hint="eastAsia" w:cs="宋体"/>
                <w:sz w:val="24"/>
                <w:szCs w:val="24"/>
              </w:rPr>
              <w:t>罗茨风机</w:t>
            </w:r>
          </w:p>
        </w:tc>
        <w:tc>
          <w:tcPr>
            <w:tcW w:w="2778" w:type="pct"/>
            <w:vAlign w:val="center"/>
          </w:tcPr>
          <w:p w14:paraId="4CFD4DC0">
            <w:pPr>
              <w:pStyle w:val="71"/>
              <w:spacing w:line="360" w:lineRule="auto"/>
              <w:ind w:firstLine="50"/>
              <w:jc w:val="left"/>
              <w:rPr>
                <w:rFonts w:cs="宋体"/>
                <w:sz w:val="24"/>
                <w:szCs w:val="24"/>
              </w:rPr>
            </w:pPr>
            <w:r>
              <w:rPr>
                <w:rFonts w:hint="eastAsia" w:cs="宋体"/>
                <w:sz w:val="24"/>
                <w:szCs w:val="24"/>
              </w:rPr>
              <w:t>4.2m³/min, 39.2Kpa N=5.5kw，配套多功能隔音罩。</w:t>
            </w:r>
          </w:p>
          <w:p w14:paraId="3CE8D2E5">
            <w:pPr>
              <w:pStyle w:val="71"/>
              <w:spacing w:line="360" w:lineRule="auto"/>
              <w:ind w:firstLine="50"/>
              <w:jc w:val="left"/>
              <w:rPr>
                <w:rFonts w:cs="宋体"/>
                <w:sz w:val="24"/>
                <w:szCs w:val="24"/>
              </w:rPr>
            </w:pPr>
            <w:r>
              <w:rPr>
                <w:rFonts w:hint="eastAsia" w:cs="宋体"/>
                <w:sz w:val="24"/>
                <w:szCs w:val="24"/>
              </w:rPr>
              <w:t>油箱温度≤66℃；</w:t>
            </w:r>
          </w:p>
          <w:p w14:paraId="5B892461">
            <w:pPr>
              <w:pStyle w:val="71"/>
              <w:spacing w:line="360" w:lineRule="auto"/>
              <w:ind w:firstLine="50"/>
              <w:jc w:val="left"/>
              <w:rPr>
                <w:rFonts w:cs="宋体"/>
                <w:sz w:val="24"/>
                <w:szCs w:val="24"/>
              </w:rPr>
            </w:pPr>
            <w:r>
              <w:rPr>
                <w:rFonts w:hint="eastAsia" w:cs="宋体"/>
                <w:sz w:val="24"/>
                <w:szCs w:val="24"/>
              </w:rPr>
              <w:t>轴承温度≤75℃；</w:t>
            </w:r>
          </w:p>
          <w:p w14:paraId="21DD561B">
            <w:pPr>
              <w:pStyle w:val="71"/>
              <w:spacing w:line="360" w:lineRule="auto"/>
              <w:ind w:firstLine="50"/>
              <w:jc w:val="left"/>
              <w:rPr>
                <w:rFonts w:cs="宋体"/>
                <w:sz w:val="24"/>
                <w:szCs w:val="24"/>
              </w:rPr>
            </w:pPr>
            <w:r>
              <w:rPr>
                <w:rFonts w:hint="eastAsia" w:cs="宋体"/>
                <w:sz w:val="24"/>
                <w:szCs w:val="24"/>
              </w:rPr>
              <w:t>振动速度≤3.6mm/s；</w:t>
            </w:r>
          </w:p>
          <w:p w14:paraId="59635EA1">
            <w:pPr>
              <w:pStyle w:val="71"/>
              <w:spacing w:line="360" w:lineRule="auto"/>
              <w:ind w:firstLine="50"/>
              <w:jc w:val="left"/>
              <w:rPr>
                <w:rFonts w:cs="宋体"/>
                <w:sz w:val="24"/>
                <w:szCs w:val="24"/>
              </w:rPr>
            </w:pPr>
            <w:r>
              <w:rPr>
                <w:rFonts w:hint="eastAsia" w:cs="宋体"/>
                <w:sz w:val="24"/>
                <w:szCs w:val="24"/>
              </w:rPr>
              <w:t>噪声≤80dB；</w:t>
            </w:r>
          </w:p>
        </w:tc>
        <w:tc>
          <w:tcPr>
            <w:tcW w:w="317" w:type="pct"/>
            <w:vAlign w:val="center"/>
          </w:tcPr>
          <w:p w14:paraId="686EEF9C">
            <w:pPr>
              <w:pStyle w:val="71"/>
              <w:spacing w:line="360" w:lineRule="auto"/>
              <w:ind w:firstLine="50"/>
              <w:rPr>
                <w:rFonts w:cs="宋体"/>
                <w:sz w:val="24"/>
                <w:szCs w:val="24"/>
              </w:rPr>
            </w:pPr>
            <w:r>
              <w:rPr>
                <w:rFonts w:hint="eastAsia" w:cs="宋体"/>
                <w:sz w:val="24"/>
                <w:szCs w:val="24"/>
              </w:rPr>
              <w:t>台</w:t>
            </w:r>
          </w:p>
        </w:tc>
        <w:tc>
          <w:tcPr>
            <w:tcW w:w="483" w:type="pct"/>
            <w:vAlign w:val="center"/>
          </w:tcPr>
          <w:p w14:paraId="69274FA0">
            <w:pPr>
              <w:pStyle w:val="71"/>
              <w:spacing w:line="360" w:lineRule="auto"/>
              <w:ind w:firstLine="50"/>
              <w:rPr>
                <w:rFonts w:cs="宋体"/>
                <w:sz w:val="24"/>
                <w:szCs w:val="24"/>
              </w:rPr>
            </w:pPr>
            <w:r>
              <w:rPr>
                <w:rFonts w:hint="eastAsia" w:cs="宋体"/>
                <w:sz w:val="24"/>
                <w:szCs w:val="24"/>
              </w:rPr>
              <w:t>2</w:t>
            </w:r>
          </w:p>
        </w:tc>
      </w:tr>
    </w:tbl>
    <w:p w14:paraId="44587BE8">
      <w:pPr>
        <w:spacing w:line="360" w:lineRule="auto"/>
        <w:ind w:firstLine="480"/>
        <w:rPr>
          <w:rFonts w:ascii="宋体" w:hAnsi="宋体" w:cs="宋体"/>
          <w:sz w:val="24"/>
        </w:rPr>
      </w:pPr>
      <w:r>
        <w:rPr>
          <w:rFonts w:hint="eastAsia" w:ascii="宋体" w:hAnsi="宋体" w:cs="宋体"/>
          <w:sz w:val="24"/>
        </w:rPr>
        <w:t>1）卖方提供风机应为成套装置，并需配备机壳、叶轮、轴承、电机底座、消音器机壳、主轴、排气管、弹性接头、手动蝶阀、空气过滤器、逆止阀/止回阀、油封、异径管（扩展管）等有效和安全运行所必需的附件。</w:t>
      </w:r>
    </w:p>
    <w:p w14:paraId="45A47C34">
      <w:pPr>
        <w:spacing w:line="360" w:lineRule="auto"/>
        <w:ind w:firstLine="480"/>
        <w:rPr>
          <w:rFonts w:ascii="宋体" w:hAnsi="宋体" w:cs="宋体"/>
          <w:sz w:val="24"/>
        </w:rPr>
      </w:pPr>
      <w:r>
        <w:rPr>
          <w:rFonts w:hint="eastAsia" w:ascii="宋体" w:hAnsi="宋体" w:cs="宋体"/>
          <w:sz w:val="24"/>
        </w:rPr>
        <w:t>2）卖方应提供安装用的所有紧固件（包括膨胀地脚螺栓、螺母、垫圈等），并应符合相关的技术要求。</w:t>
      </w:r>
    </w:p>
    <w:p w14:paraId="1A9E3026">
      <w:pPr>
        <w:spacing w:line="360" w:lineRule="auto"/>
        <w:ind w:firstLine="480"/>
        <w:rPr>
          <w:rFonts w:ascii="宋体" w:hAnsi="宋体" w:cs="宋体"/>
          <w:sz w:val="24"/>
        </w:rPr>
      </w:pPr>
      <w:r>
        <w:rPr>
          <w:rFonts w:hint="eastAsia" w:ascii="宋体" w:hAnsi="宋体" w:cs="宋体"/>
          <w:sz w:val="24"/>
        </w:rPr>
        <w:t>技术要求</w:t>
      </w:r>
    </w:p>
    <w:p w14:paraId="7B51F8D1">
      <w:pPr>
        <w:spacing w:line="360" w:lineRule="auto"/>
        <w:ind w:firstLine="480"/>
        <w:rPr>
          <w:rFonts w:ascii="宋体" w:hAnsi="宋体" w:cs="宋体"/>
          <w:sz w:val="24"/>
        </w:rPr>
      </w:pPr>
      <w:r>
        <w:rPr>
          <w:rFonts w:hint="eastAsia" w:ascii="宋体" w:hAnsi="宋体" w:cs="宋体"/>
          <w:sz w:val="24"/>
        </w:rPr>
        <w:t>1、为保证系统设备的一致性，</w:t>
      </w:r>
      <w:r>
        <w:rPr>
          <w:rFonts w:hint="eastAsia" w:ascii="宋体" w:hAnsi="宋体" w:cs="宋体"/>
          <w:bCs/>
          <w:sz w:val="24"/>
        </w:rPr>
        <w:t>曝气风机</w:t>
      </w:r>
      <w:r>
        <w:rPr>
          <w:rFonts w:hint="eastAsia" w:ascii="宋体" w:hAnsi="宋体" w:cs="宋体"/>
          <w:sz w:val="24"/>
        </w:rPr>
        <w:t>及其辅助设备均应由风机制造商配套提供和组装成整体单元。</w:t>
      </w:r>
    </w:p>
    <w:p w14:paraId="787DBE73">
      <w:pPr>
        <w:spacing w:line="360" w:lineRule="auto"/>
        <w:ind w:firstLine="480"/>
        <w:rPr>
          <w:rFonts w:ascii="宋体" w:hAnsi="宋体" w:cs="宋体"/>
          <w:sz w:val="24"/>
        </w:rPr>
      </w:pPr>
      <w:r>
        <w:rPr>
          <w:rFonts w:hint="eastAsia" w:ascii="宋体" w:hAnsi="宋体" w:cs="宋体"/>
          <w:sz w:val="24"/>
        </w:rPr>
        <w:t>2、在运行工况条件下，不允许发生喘振现象或实际运行功率超过电机铭牌功率，出口压力应平稳，不得有压力脉冲现象。</w:t>
      </w:r>
    </w:p>
    <w:p w14:paraId="6A0FFADB">
      <w:pPr>
        <w:spacing w:line="360" w:lineRule="auto"/>
        <w:ind w:firstLine="480"/>
        <w:rPr>
          <w:rFonts w:ascii="宋体" w:hAnsi="宋体" w:cs="宋体"/>
          <w:sz w:val="24"/>
        </w:rPr>
      </w:pPr>
      <w:r>
        <w:rPr>
          <w:rFonts w:hint="eastAsia" w:ascii="宋体" w:hAnsi="宋体" w:cs="宋体"/>
          <w:sz w:val="24"/>
        </w:rPr>
        <w:t>控制方式</w:t>
      </w:r>
    </w:p>
    <w:p w14:paraId="6CED50A2">
      <w:pPr>
        <w:spacing w:line="360" w:lineRule="auto"/>
        <w:ind w:firstLine="480"/>
        <w:rPr>
          <w:rFonts w:ascii="宋体" w:hAnsi="宋体" w:cs="宋体"/>
          <w:sz w:val="24"/>
        </w:rPr>
      </w:pPr>
      <w:r>
        <w:rPr>
          <w:rFonts w:hint="eastAsia" w:ascii="宋体" w:hAnsi="宋体" w:cs="宋体"/>
          <w:sz w:val="24"/>
        </w:rPr>
        <w:t>风机的操作方式为就地手动控制和PLC自动控制二种方式。另外应具备向控制柜PLC传输状态显示信号并接受PLC输出控制信号的接口和接受中控室遥控的信号接口。</w:t>
      </w:r>
    </w:p>
    <w:p w14:paraId="387C86FF">
      <w:pPr>
        <w:tabs>
          <w:tab w:val="left" w:pos="0"/>
        </w:tabs>
        <w:spacing w:line="360" w:lineRule="auto"/>
        <w:rPr>
          <w:rFonts w:ascii="宋体" w:hAnsi="宋体" w:cs="宋体"/>
          <w:sz w:val="24"/>
        </w:rPr>
      </w:pPr>
      <w:r>
        <w:rPr>
          <w:rFonts w:hint="eastAsia" w:ascii="宋体" w:hAnsi="宋体" w:cs="宋体"/>
          <w:sz w:val="24"/>
        </w:rPr>
        <w:t>资料提交</w:t>
      </w:r>
    </w:p>
    <w:p w14:paraId="5AA8CF1C">
      <w:pPr>
        <w:spacing w:line="360" w:lineRule="auto"/>
        <w:ind w:firstLine="480" w:firstLineChars="200"/>
        <w:jc w:val="left"/>
        <w:rPr>
          <w:rFonts w:ascii="宋体" w:hAnsi="宋体" w:cs="宋体"/>
          <w:snapToGrid w:val="0"/>
          <w:sz w:val="24"/>
        </w:rPr>
      </w:pPr>
      <w:r>
        <w:rPr>
          <w:rFonts w:hint="eastAsia" w:ascii="宋体" w:hAnsi="宋体" w:cs="宋体"/>
          <w:snapToGrid w:val="0"/>
          <w:sz w:val="24"/>
        </w:rPr>
        <w:t xml:space="preserve">1.★油箱温度≤66℃；轴承温度≤75℃；振动速度≤3.6mm/s；噪声≤80dB； </w:t>
      </w:r>
    </w:p>
    <w:p w14:paraId="79716B21">
      <w:pPr>
        <w:spacing w:line="360" w:lineRule="auto"/>
        <w:ind w:firstLine="480" w:firstLineChars="200"/>
        <w:jc w:val="left"/>
        <w:rPr>
          <w:rFonts w:ascii="宋体" w:hAnsi="宋体" w:cs="宋体"/>
          <w:snapToGrid w:val="0"/>
          <w:sz w:val="24"/>
        </w:rPr>
      </w:pPr>
      <w:r>
        <w:rPr>
          <w:rFonts w:hint="eastAsia" w:ascii="宋体" w:hAnsi="宋体" w:cs="宋体"/>
          <w:snapToGrid w:val="0"/>
          <w:sz w:val="24"/>
        </w:rPr>
        <w:t>2.★提供厂家授权书。</w:t>
      </w:r>
    </w:p>
    <w:p w14:paraId="3053BE8B">
      <w:pPr>
        <w:tabs>
          <w:tab w:val="left" w:pos="0"/>
        </w:tabs>
        <w:spacing w:line="360" w:lineRule="auto"/>
        <w:rPr>
          <w:rFonts w:ascii="宋体" w:hAnsi="宋体" w:cs="宋体"/>
          <w:sz w:val="24"/>
        </w:rPr>
      </w:pPr>
      <w:r>
        <w:rPr>
          <w:rFonts w:hint="eastAsia" w:ascii="宋体" w:hAnsi="宋体" w:cs="宋体"/>
          <w:sz w:val="24"/>
        </w:rPr>
        <w:t>填料、曝气器</w:t>
      </w:r>
    </w:p>
    <w:p w14:paraId="0F89E1F8">
      <w:pPr>
        <w:tabs>
          <w:tab w:val="left" w:pos="0"/>
        </w:tabs>
        <w:spacing w:line="360" w:lineRule="auto"/>
        <w:rPr>
          <w:rFonts w:ascii="宋体" w:hAnsi="宋体" w:cs="宋体"/>
          <w:sz w:val="24"/>
        </w:rPr>
      </w:pPr>
      <w:r>
        <w:rPr>
          <w:rFonts w:hint="eastAsia" w:ascii="宋体" w:hAnsi="宋体" w:cs="宋体"/>
          <w:sz w:val="24"/>
        </w:rPr>
        <w:t>总则</w:t>
      </w:r>
    </w:p>
    <w:p w14:paraId="51B26B92">
      <w:pPr>
        <w:spacing w:line="360" w:lineRule="auto"/>
        <w:ind w:firstLine="480"/>
        <w:rPr>
          <w:rFonts w:ascii="宋体" w:hAnsi="宋体" w:cs="宋体"/>
          <w:sz w:val="24"/>
        </w:rPr>
      </w:pPr>
      <w:r>
        <w:rPr>
          <w:rFonts w:hint="eastAsia" w:ascii="宋体" w:hAnsi="宋体" w:cs="宋体"/>
          <w:sz w:val="24"/>
        </w:rPr>
        <w:t>标准化的外观、运行、维修、备品备件及制造商的服务，所提供的设备必须是一个制造商的最终产品，全新未经使用。</w:t>
      </w:r>
    </w:p>
    <w:p w14:paraId="22106AC1">
      <w:pPr>
        <w:spacing w:line="360" w:lineRule="auto"/>
        <w:ind w:firstLine="480"/>
        <w:rPr>
          <w:rFonts w:ascii="宋体" w:hAnsi="宋体" w:cs="宋体"/>
          <w:sz w:val="24"/>
        </w:rPr>
      </w:pPr>
      <w:r>
        <w:rPr>
          <w:rFonts w:hint="eastAsia" w:ascii="宋体" w:hAnsi="宋体" w:cs="宋体"/>
          <w:sz w:val="24"/>
        </w:rPr>
        <w:t>投标商应该根据设计文件及图纸要求所规定的池体尺寸及安装位置对非标设备进行核算选型，并提供非标设备的平面布置图，在设计的条件下，投标商对填料的挂膜效果负责。</w:t>
      </w:r>
    </w:p>
    <w:p w14:paraId="19CC148E">
      <w:pPr>
        <w:spacing w:line="360" w:lineRule="auto"/>
        <w:ind w:firstLine="480"/>
        <w:rPr>
          <w:rFonts w:ascii="宋体" w:hAnsi="宋体" w:cs="宋体"/>
          <w:b/>
          <w:sz w:val="24"/>
        </w:rPr>
      </w:pPr>
      <w:r>
        <w:rPr>
          <w:rFonts w:hint="eastAsia" w:ascii="宋体" w:hAnsi="宋体" w:cs="宋体"/>
          <w:sz w:val="24"/>
        </w:rPr>
        <w:t>本工程土建完成后，投标商应保证所投设备可以安装</w:t>
      </w:r>
    </w:p>
    <w:p w14:paraId="24B33FC0">
      <w:pPr>
        <w:tabs>
          <w:tab w:val="left" w:pos="0"/>
        </w:tabs>
        <w:spacing w:line="360" w:lineRule="auto"/>
        <w:rPr>
          <w:rFonts w:ascii="宋体" w:hAnsi="宋体" w:cs="宋体"/>
          <w:b/>
          <w:bCs/>
          <w:sz w:val="24"/>
        </w:rPr>
      </w:pPr>
      <w:r>
        <w:rPr>
          <w:rFonts w:hint="eastAsia" w:ascii="宋体" w:hAnsi="宋体" w:cs="宋体"/>
          <w:b/>
          <w:bCs/>
          <w:sz w:val="24"/>
        </w:rPr>
        <w:t>供货范围</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859"/>
        <w:gridCol w:w="4165"/>
        <w:gridCol w:w="1038"/>
        <w:gridCol w:w="1041"/>
      </w:tblGrid>
      <w:tr w14:paraId="0C8D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33" w:type="pct"/>
            <w:vAlign w:val="center"/>
          </w:tcPr>
          <w:p w14:paraId="5CC73314">
            <w:pPr>
              <w:pStyle w:val="71"/>
              <w:spacing w:line="360" w:lineRule="auto"/>
              <w:ind w:firstLine="50"/>
              <w:rPr>
                <w:rFonts w:cs="宋体"/>
                <w:sz w:val="24"/>
                <w:szCs w:val="24"/>
              </w:rPr>
            </w:pPr>
            <w:r>
              <w:rPr>
                <w:rFonts w:hint="eastAsia" w:cs="宋体"/>
                <w:sz w:val="24"/>
                <w:szCs w:val="24"/>
              </w:rPr>
              <w:t>安装位置</w:t>
            </w:r>
          </w:p>
        </w:tc>
        <w:tc>
          <w:tcPr>
            <w:tcW w:w="933" w:type="pct"/>
            <w:vAlign w:val="center"/>
          </w:tcPr>
          <w:p w14:paraId="4AE8014F">
            <w:pPr>
              <w:pStyle w:val="71"/>
              <w:spacing w:line="360" w:lineRule="auto"/>
              <w:ind w:firstLine="50"/>
              <w:rPr>
                <w:rFonts w:cs="宋体"/>
                <w:sz w:val="24"/>
                <w:szCs w:val="24"/>
              </w:rPr>
            </w:pPr>
            <w:r>
              <w:rPr>
                <w:rFonts w:hint="eastAsia" w:cs="宋体"/>
                <w:sz w:val="24"/>
                <w:szCs w:val="24"/>
              </w:rPr>
              <w:t>设备名称</w:t>
            </w:r>
          </w:p>
        </w:tc>
        <w:tc>
          <w:tcPr>
            <w:tcW w:w="2090" w:type="pct"/>
            <w:vAlign w:val="center"/>
          </w:tcPr>
          <w:p w14:paraId="2DAF5A31">
            <w:pPr>
              <w:pStyle w:val="71"/>
              <w:spacing w:line="360" w:lineRule="auto"/>
              <w:ind w:firstLine="50"/>
              <w:rPr>
                <w:rFonts w:cs="宋体"/>
                <w:sz w:val="24"/>
                <w:szCs w:val="24"/>
              </w:rPr>
            </w:pPr>
            <w:r>
              <w:rPr>
                <w:rFonts w:hint="eastAsia" w:cs="宋体"/>
                <w:sz w:val="24"/>
                <w:szCs w:val="24"/>
              </w:rPr>
              <w:t>规格及主要尺寸</w:t>
            </w:r>
          </w:p>
        </w:tc>
        <w:tc>
          <w:tcPr>
            <w:tcW w:w="521" w:type="pct"/>
            <w:vAlign w:val="center"/>
          </w:tcPr>
          <w:p w14:paraId="0F16E311">
            <w:pPr>
              <w:pStyle w:val="71"/>
              <w:spacing w:line="360" w:lineRule="auto"/>
              <w:ind w:firstLine="50"/>
              <w:rPr>
                <w:rFonts w:cs="宋体"/>
                <w:sz w:val="24"/>
                <w:szCs w:val="24"/>
              </w:rPr>
            </w:pPr>
            <w:r>
              <w:rPr>
                <w:rFonts w:hint="eastAsia" w:cs="宋体"/>
                <w:sz w:val="24"/>
                <w:szCs w:val="24"/>
              </w:rPr>
              <w:t>单位</w:t>
            </w:r>
          </w:p>
        </w:tc>
        <w:tc>
          <w:tcPr>
            <w:tcW w:w="522" w:type="pct"/>
            <w:vAlign w:val="center"/>
          </w:tcPr>
          <w:p w14:paraId="2B79205F">
            <w:pPr>
              <w:pStyle w:val="71"/>
              <w:spacing w:line="360" w:lineRule="auto"/>
              <w:ind w:firstLine="50"/>
              <w:rPr>
                <w:rFonts w:cs="宋体"/>
                <w:sz w:val="24"/>
                <w:szCs w:val="24"/>
              </w:rPr>
            </w:pPr>
            <w:r>
              <w:rPr>
                <w:rFonts w:hint="eastAsia" w:cs="宋体"/>
                <w:sz w:val="24"/>
                <w:szCs w:val="24"/>
              </w:rPr>
              <w:t>数量</w:t>
            </w:r>
          </w:p>
        </w:tc>
      </w:tr>
      <w:tr w14:paraId="088B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933" w:type="pct"/>
            <w:vAlign w:val="center"/>
          </w:tcPr>
          <w:p w14:paraId="6A9A9F84">
            <w:pPr>
              <w:pStyle w:val="71"/>
              <w:spacing w:line="360" w:lineRule="auto"/>
              <w:ind w:firstLine="50"/>
              <w:rPr>
                <w:rFonts w:cs="宋体"/>
                <w:sz w:val="24"/>
                <w:szCs w:val="24"/>
              </w:rPr>
            </w:pPr>
            <w:r>
              <w:rPr>
                <w:rFonts w:hint="eastAsia" w:cs="宋体"/>
                <w:sz w:val="24"/>
                <w:szCs w:val="24"/>
              </w:rPr>
              <w:t>水解酸化池</w:t>
            </w:r>
          </w:p>
        </w:tc>
        <w:tc>
          <w:tcPr>
            <w:tcW w:w="933" w:type="pct"/>
            <w:vAlign w:val="center"/>
          </w:tcPr>
          <w:p w14:paraId="4B173302">
            <w:pPr>
              <w:pStyle w:val="71"/>
              <w:spacing w:line="360" w:lineRule="auto"/>
              <w:ind w:firstLine="50"/>
              <w:rPr>
                <w:rFonts w:cs="宋体"/>
                <w:sz w:val="24"/>
                <w:szCs w:val="24"/>
              </w:rPr>
            </w:pPr>
            <w:r>
              <w:rPr>
                <w:rFonts w:hint="eastAsia" w:cs="宋体"/>
                <w:sz w:val="24"/>
                <w:szCs w:val="24"/>
              </w:rPr>
              <w:t>弹性填料</w:t>
            </w:r>
          </w:p>
        </w:tc>
        <w:tc>
          <w:tcPr>
            <w:tcW w:w="2090" w:type="pct"/>
            <w:vAlign w:val="center"/>
          </w:tcPr>
          <w:p w14:paraId="4BC72CFA">
            <w:pPr>
              <w:pStyle w:val="71"/>
              <w:spacing w:line="360" w:lineRule="auto"/>
              <w:ind w:firstLine="50"/>
              <w:jc w:val="left"/>
              <w:rPr>
                <w:rFonts w:cs="宋体"/>
                <w:sz w:val="24"/>
                <w:szCs w:val="24"/>
              </w:rPr>
            </w:pPr>
            <w:r>
              <w:rPr>
                <w:rFonts w:hint="eastAsia" w:cs="宋体"/>
                <w:sz w:val="24"/>
                <w:szCs w:val="24"/>
              </w:rPr>
              <w:t>弹性填料φ150mm</w:t>
            </w:r>
          </w:p>
        </w:tc>
        <w:tc>
          <w:tcPr>
            <w:tcW w:w="521" w:type="pct"/>
            <w:vAlign w:val="center"/>
          </w:tcPr>
          <w:p w14:paraId="7F079EFC">
            <w:pPr>
              <w:pStyle w:val="71"/>
              <w:spacing w:line="360" w:lineRule="auto"/>
              <w:ind w:firstLine="50"/>
              <w:rPr>
                <w:rFonts w:cs="宋体"/>
                <w:sz w:val="24"/>
                <w:szCs w:val="24"/>
              </w:rPr>
            </w:pPr>
            <w:r>
              <w:rPr>
                <w:rFonts w:hint="eastAsia" w:cs="宋体"/>
                <w:sz w:val="24"/>
                <w:szCs w:val="24"/>
              </w:rPr>
              <w:t>m</w:t>
            </w:r>
            <w:r>
              <w:rPr>
                <w:rFonts w:hint="eastAsia" w:cs="宋体"/>
                <w:sz w:val="24"/>
                <w:szCs w:val="24"/>
                <w:vertAlign w:val="superscript"/>
              </w:rPr>
              <w:t>3</w:t>
            </w:r>
          </w:p>
        </w:tc>
        <w:tc>
          <w:tcPr>
            <w:tcW w:w="522" w:type="pct"/>
            <w:vAlign w:val="center"/>
          </w:tcPr>
          <w:p w14:paraId="0AA97120">
            <w:pPr>
              <w:pStyle w:val="71"/>
              <w:spacing w:line="360" w:lineRule="auto"/>
              <w:ind w:firstLine="50"/>
              <w:rPr>
                <w:rFonts w:cs="宋体"/>
                <w:sz w:val="24"/>
                <w:szCs w:val="24"/>
              </w:rPr>
            </w:pPr>
            <w:r>
              <w:rPr>
                <w:rFonts w:hint="eastAsia" w:cs="宋体"/>
                <w:sz w:val="24"/>
                <w:szCs w:val="24"/>
              </w:rPr>
              <w:t>30</w:t>
            </w:r>
          </w:p>
        </w:tc>
      </w:tr>
      <w:tr w14:paraId="59EF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3" w:type="pct"/>
            <w:vAlign w:val="center"/>
          </w:tcPr>
          <w:p w14:paraId="011716C7">
            <w:pPr>
              <w:pStyle w:val="71"/>
              <w:spacing w:line="360" w:lineRule="auto"/>
              <w:ind w:firstLine="50"/>
              <w:rPr>
                <w:rFonts w:cs="宋体"/>
                <w:sz w:val="24"/>
                <w:szCs w:val="24"/>
              </w:rPr>
            </w:pPr>
            <w:r>
              <w:rPr>
                <w:rFonts w:hint="eastAsia" w:cs="宋体"/>
                <w:sz w:val="24"/>
                <w:szCs w:val="24"/>
              </w:rPr>
              <w:t>接触氧化池</w:t>
            </w:r>
          </w:p>
        </w:tc>
        <w:tc>
          <w:tcPr>
            <w:tcW w:w="933" w:type="pct"/>
            <w:vAlign w:val="center"/>
          </w:tcPr>
          <w:p w14:paraId="6D8E1161">
            <w:pPr>
              <w:pStyle w:val="71"/>
              <w:spacing w:line="360" w:lineRule="auto"/>
              <w:ind w:firstLine="50"/>
              <w:rPr>
                <w:rFonts w:cs="宋体"/>
                <w:sz w:val="24"/>
                <w:szCs w:val="24"/>
              </w:rPr>
            </w:pPr>
            <w:r>
              <w:rPr>
                <w:rFonts w:hint="eastAsia" w:cs="宋体"/>
                <w:sz w:val="24"/>
                <w:szCs w:val="24"/>
              </w:rPr>
              <w:t>组合填料</w:t>
            </w:r>
          </w:p>
        </w:tc>
        <w:tc>
          <w:tcPr>
            <w:tcW w:w="2090" w:type="pct"/>
            <w:vAlign w:val="center"/>
          </w:tcPr>
          <w:p w14:paraId="2770DD2E">
            <w:pPr>
              <w:pStyle w:val="71"/>
              <w:spacing w:line="360" w:lineRule="auto"/>
              <w:ind w:firstLine="50"/>
              <w:jc w:val="left"/>
              <w:rPr>
                <w:rFonts w:cs="宋体"/>
                <w:sz w:val="24"/>
                <w:szCs w:val="24"/>
              </w:rPr>
            </w:pPr>
            <w:r>
              <w:rPr>
                <w:rFonts w:hint="eastAsia" w:cs="宋体"/>
                <w:sz w:val="24"/>
                <w:szCs w:val="24"/>
              </w:rPr>
              <w:t>组合填料φ150mm</w:t>
            </w:r>
          </w:p>
        </w:tc>
        <w:tc>
          <w:tcPr>
            <w:tcW w:w="521" w:type="pct"/>
            <w:vAlign w:val="center"/>
          </w:tcPr>
          <w:p w14:paraId="12236FBE">
            <w:pPr>
              <w:pStyle w:val="71"/>
              <w:spacing w:line="360" w:lineRule="auto"/>
              <w:ind w:firstLine="50"/>
              <w:rPr>
                <w:rFonts w:cs="宋体"/>
                <w:sz w:val="24"/>
                <w:szCs w:val="24"/>
              </w:rPr>
            </w:pPr>
            <w:r>
              <w:rPr>
                <w:rFonts w:hint="eastAsia" w:cs="宋体"/>
                <w:sz w:val="24"/>
                <w:szCs w:val="24"/>
              </w:rPr>
              <w:t>m</w:t>
            </w:r>
            <w:r>
              <w:rPr>
                <w:rFonts w:hint="eastAsia" w:cs="宋体"/>
                <w:sz w:val="24"/>
                <w:szCs w:val="24"/>
                <w:vertAlign w:val="superscript"/>
              </w:rPr>
              <w:t>3</w:t>
            </w:r>
          </w:p>
        </w:tc>
        <w:tc>
          <w:tcPr>
            <w:tcW w:w="522" w:type="pct"/>
            <w:vAlign w:val="center"/>
          </w:tcPr>
          <w:p w14:paraId="7C3AECFA">
            <w:pPr>
              <w:pStyle w:val="71"/>
              <w:spacing w:line="360" w:lineRule="auto"/>
              <w:ind w:firstLine="50"/>
              <w:rPr>
                <w:rFonts w:cs="宋体"/>
                <w:sz w:val="24"/>
                <w:szCs w:val="24"/>
              </w:rPr>
            </w:pPr>
            <w:r>
              <w:rPr>
                <w:rFonts w:hint="eastAsia" w:cs="宋体"/>
                <w:sz w:val="24"/>
                <w:szCs w:val="24"/>
              </w:rPr>
              <w:t>58</w:t>
            </w:r>
          </w:p>
        </w:tc>
      </w:tr>
      <w:tr w14:paraId="499B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933" w:type="pct"/>
            <w:vAlign w:val="center"/>
          </w:tcPr>
          <w:p w14:paraId="59954F21">
            <w:pPr>
              <w:pStyle w:val="71"/>
              <w:spacing w:line="360" w:lineRule="auto"/>
              <w:ind w:firstLine="50"/>
              <w:rPr>
                <w:rFonts w:cs="宋体"/>
                <w:sz w:val="24"/>
                <w:szCs w:val="24"/>
              </w:rPr>
            </w:pPr>
            <w:r>
              <w:rPr>
                <w:rFonts w:hint="eastAsia" w:cs="宋体"/>
                <w:sz w:val="24"/>
                <w:szCs w:val="24"/>
              </w:rPr>
              <w:t>接触氧化池</w:t>
            </w:r>
          </w:p>
        </w:tc>
        <w:tc>
          <w:tcPr>
            <w:tcW w:w="933" w:type="pct"/>
            <w:vAlign w:val="center"/>
          </w:tcPr>
          <w:p w14:paraId="66653032">
            <w:pPr>
              <w:pStyle w:val="71"/>
              <w:spacing w:line="360" w:lineRule="auto"/>
              <w:ind w:firstLine="50"/>
              <w:rPr>
                <w:rFonts w:cs="宋体"/>
                <w:sz w:val="24"/>
                <w:szCs w:val="24"/>
              </w:rPr>
            </w:pPr>
            <w:r>
              <w:rPr>
                <w:rFonts w:hint="eastAsia" w:cs="宋体"/>
                <w:sz w:val="24"/>
                <w:szCs w:val="24"/>
              </w:rPr>
              <w:t>DN200橡胶膜盘式曝气器</w:t>
            </w:r>
          </w:p>
        </w:tc>
        <w:tc>
          <w:tcPr>
            <w:tcW w:w="2090" w:type="pct"/>
            <w:vAlign w:val="center"/>
          </w:tcPr>
          <w:p w14:paraId="35C4CA79">
            <w:pPr>
              <w:pStyle w:val="71"/>
              <w:spacing w:line="360" w:lineRule="auto"/>
              <w:ind w:firstLine="50"/>
              <w:jc w:val="left"/>
              <w:rPr>
                <w:rFonts w:cs="宋体"/>
                <w:sz w:val="24"/>
                <w:szCs w:val="24"/>
              </w:rPr>
            </w:pPr>
            <w:r>
              <w:rPr>
                <w:rFonts w:hint="eastAsia" w:cs="宋体"/>
                <w:sz w:val="24"/>
                <w:szCs w:val="24"/>
              </w:rPr>
              <w:t>氧的利用率≥34%，充氧能力≥0.19 kgO</w:t>
            </w:r>
            <w:r>
              <w:rPr>
                <w:rFonts w:hint="eastAsia" w:cs="宋体"/>
                <w:sz w:val="24"/>
                <w:szCs w:val="24"/>
                <w:vertAlign w:val="subscript"/>
              </w:rPr>
              <w:t>2</w:t>
            </w:r>
            <w:r>
              <w:rPr>
                <w:rFonts w:hint="eastAsia" w:cs="宋体"/>
                <w:sz w:val="24"/>
                <w:szCs w:val="24"/>
              </w:rPr>
              <w:t>/h，理论动力效率≥8.8 kgO</w:t>
            </w:r>
            <w:r>
              <w:rPr>
                <w:rFonts w:hint="eastAsia" w:cs="宋体"/>
                <w:sz w:val="24"/>
                <w:szCs w:val="24"/>
                <w:vertAlign w:val="subscript"/>
              </w:rPr>
              <w:t>2</w:t>
            </w:r>
            <w:r>
              <w:rPr>
                <w:rFonts w:hint="eastAsia" w:cs="宋体"/>
                <w:sz w:val="24"/>
                <w:szCs w:val="24"/>
              </w:rPr>
              <w:t>/kW·h，曝气器阻力损失≤3500 Pa，检测池面积1.13 m</w:t>
            </w:r>
            <w:r>
              <w:rPr>
                <w:rFonts w:hint="eastAsia" w:cs="宋体"/>
                <w:sz w:val="24"/>
                <w:szCs w:val="24"/>
                <w:vertAlign w:val="superscript"/>
              </w:rPr>
              <w:t>2</w:t>
            </w:r>
            <w:r>
              <w:rPr>
                <w:rFonts w:hint="eastAsia" w:cs="宋体"/>
                <w:sz w:val="24"/>
                <w:szCs w:val="24"/>
              </w:rPr>
              <w:t>，曝气器淹没水深6.0 m，供气量2.0m</w:t>
            </w:r>
            <w:r>
              <w:rPr>
                <w:rFonts w:hint="eastAsia" w:cs="宋体"/>
                <w:sz w:val="24"/>
                <w:szCs w:val="24"/>
                <w:vertAlign w:val="superscript"/>
              </w:rPr>
              <w:t>3</w:t>
            </w:r>
            <w:r>
              <w:rPr>
                <w:rFonts w:hint="eastAsia" w:cs="宋体"/>
                <w:sz w:val="24"/>
                <w:szCs w:val="24"/>
              </w:rPr>
              <w:t>/h</w:t>
            </w:r>
          </w:p>
        </w:tc>
        <w:tc>
          <w:tcPr>
            <w:tcW w:w="521" w:type="pct"/>
            <w:vAlign w:val="center"/>
          </w:tcPr>
          <w:p w14:paraId="428B54A4">
            <w:pPr>
              <w:pStyle w:val="71"/>
              <w:spacing w:line="360" w:lineRule="auto"/>
              <w:ind w:firstLine="50"/>
              <w:rPr>
                <w:rFonts w:cs="宋体"/>
                <w:sz w:val="24"/>
                <w:szCs w:val="24"/>
              </w:rPr>
            </w:pPr>
            <w:r>
              <w:rPr>
                <w:rFonts w:hint="eastAsia" w:cs="宋体"/>
                <w:sz w:val="24"/>
                <w:szCs w:val="24"/>
              </w:rPr>
              <w:t>套</w:t>
            </w:r>
          </w:p>
        </w:tc>
        <w:tc>
          <w:tcPr>
            <w:tcW w:w="522" w:type="pct"/>
            <w:vAlign w:val="center"/>
          </w:tcPr>
          <w:p w14:paraId="3DD3C36B">
            <w:pPr>
              <w:pStyle w:val="71"/>
              <w:spacing w:line="360" w:lineRule="auto"/>
              <w:ind w:firstLine="50"/>
              <w:rPr>
                <w:rFonts w:cs="宋体"/>
                <w:sz w:val="24"/>
                <w:szCs w:val="24"/>
              </w:rPr>
            </w:pPr>
            <w:r>
              <w:rPr>
                <w:rFonts w:hint="eastAsia" w:cs="宋体"/>
                <w:sz w:val="24"/>
                <w:szCs w:val="24"/>
              </w:rPr>
              <w:t>75</w:t>
            </w:r>
          </w:p>
        </w:tc>
      </w:tr>
    </w:tbl>
    <w:p w14:paraId="59669762">
      <w:pPr>
        <w:spacing w:line="360" w:lineRule="auto"/>
        <w:ind w:firstLine="480"/>
        <w:rPr>
          <w:rFonts w:ascii="宋体" w:hAnsi="宋体" w:cs="宋体"/>
          <w:sz w:val="24"/>
        </w:rPr>
      </w:pPr>
      <w:r>
        <w:rPr>
          <w:rFonts w:hint="eastAsia" w:ascii="宋体" w:hAnsi="宋体" w:cs="宋体"/>
          <w:sz w:val="24"/>
        </w:rPr>
        <w:t>1）卖方提非标设备等应为成套装置，并需配备有效和安全运行所必需的附件。</w:t>
      </w:r>
    </w:p>
    <w:p w14:paraId="73F49710">
      <w:pPr>
        <w:spacing w:line="360" w:lineRule="auto"/>
        <w:ind w:firstLine="480"/>
        <w:rPr>
          <w:rFonts w:ascii="宋体" w:hAnsi="宋体" w:cs="宋体"/>
          <w:sz w:val="24"/>
        </w:rPr>
      </w:pPr>
      <w:r>
        <w:rPr>
          <w:rFonts w:hint="eastAsia" w:ascii="宋体" w:hAnsi="宋体" w:cs="宋体"/>
          <w:sz w:val="24"/>
        </w:rPr>
        <w:t>2）卖方应提供安装用的所有紧固件（包括膨胀地脚螺栓、螺母、垫圈等），并应符合相关的技术要求。</w:t>
      </w:r>
    </w:p>
    <w:p w14:paraId="1573534C">
      <w:pPr>
        <w:tabs>
          <w:tab w:val="left" w:pos="0"/>
        </w:tabs>
        <w:spacing w:line="360" w:lineRule="auto"/>
        <w:rPr>
          <w:rFonts w:ascii="宋体" w:hAnsi="宋体" w:cs="宋体"/>
          <w:b/>
          <w:bCs/>
          <w:sz w:val="24"/>
        </w:rPr>
      </w:pPr>
      <w:r>
        <w:rPr>
          <w:rFonts w:hint="eastAsia" w:ascii="宋体" w:hAnsi="宋体" w:cs="宋体"/>
          <w:b/>
          <w:bCs/>
          <w:sz w:val="24"/>
        </w:rPr>
        <w:t>资料提供</w:t>
      </w:r>
    </w:p>
    <w:p w14:paraId="5EB65558">
      <w:pPr>
        <w:spacing w:line="360" w:lineRule="auto"/>
        <w:ind w:firstLine="480"/>
        <w:rPr>
          <w:rFonts w:ascii="宋体" w:hAnsi="宋体" w:cs="宋体"/>
          <w:sz w:val="24"/>
        </w:rPr>
      </w:pPr>
      <w:r>
        <w:rPr>
          <w:rFonts w:hint="eastAsia" w:ascii="宋体" w:hAnsi="宋体" w:cs="宋体"/>
          <w:sz w:val="24"/>
        </w:rPr>
        <w:t>1.★弹性填料：弹性填料φ150mm。</w:t>
      </w:r>
    </w:p>
    <w:p w14:paraId="1A806A83">
      <w:pPr>
        <w:spacing w:line="360" w:lineRule="auto"/>
        <w:ind w:firstLine="480"/>
        <w:rPr>
          <w:rFonts w:ascii="宋体" w:hAnsi="宋体" w:cs="宋体"/>
          <w:sz w:val="24"/>
        </w:rPr>
      </w:pPr>
      <w:r>
        <w:rPr>
          <w:rFonts w:hint="eastAsia" w:ascii="宋体" w:hAnsi="宋体" w:cs="宋体"/>
          <w:sz w:val="24"/>
        </w:rPr>
        <w:t>2.★组合填料：组合填料φ150mm。</w:t>
      </w:r>
    </w:p>
    <w:p w14:paraId="405F18B2">
      <w:pPr>
        <w:spacing w:line="360" w:lineRule="auto"/>
        <w:ind w:firstLine="480"/>
        <w:rPr>
          <w:rFonts w:ascii="宋体" w:hAnsi="宋体" w:cs="宋体"/>
          <w:sz w:val="24"/>
        </w:rPr>
      </w:pPr>
      <w:r>
        <w:rPr>
          <w:rFonts w:hint="eastAsia" w:ascii="宋体" w:hAnsi="宋体" w:cs="宋体"/>
          <w:sz w:val="24"/>
        </w:rPr>
        <w:t>3.★DN200橡胶膜盘式曝气器：氧的利用率≥34.0%，充氧能力≥0.19kgO</w:t>
      </w:r>
      <w:r>
        <w:rPr>
          <w:rFonts w:hint="eastAsia" w:ascii="宋体" w:hAnsi="宋体" w:cs="宋体"/>
          <w:sz w:val="24"/>
          <w:vertAlign w:val="subscript"/>
        </w:rPr>
        <w:t>2</w:t>
      </w:r>
      <w:r>
        <w:rPr>
          <w:rFonts w:hint="eastAsia" w:ascii="宋体" w:hAnsi="宋体" w:cs="宋体"/>
          <w:sz w:val="24"/>
        </w:rPr>
        <w:t>/h，理论动力效率≥8.8kgO</w:t>
      </w:r>
      <w:r>
        <w:rPr>
          <w:rFonts w:hint="eastAsia" w:ascii="宋体" w:hAnsi="宋体" w:cs="宋体"/>
          <w:sz w:val="24"/>
          <w:vertAlign w:val="subscript"/>
        </w:rPr>
        <w:t>2</w:t>
      </w:r>
      <w:r>
        <w:rPr>
          <w:rFonts w:hint="eastAsia" w:ascii="宋体" w:hAnsi="宋体" w:cs="宋体"/>
          <w:sz w:val="24"/>
        </w:rPr>
        <w:t>/kW·h，曝气器阻力损失≤3500 Pa，检测池面积1.13 m</w:t>
      </w:r>
      <w:r>
        <w:rPr>
          <w:rFonts w:hint="eastAsia" w:ascii="宋体" w:hAnsi="宋体" w:cs="宋体"/>
          <w:sz w:val="24"/>
          <w:vertAlign w:val="superscript"/>
        </w:rPr>
        <w:t>2</w:t>
      </w:r>
      <w:r>
        <w:rPr>
          <w:rFonts w:hint="eastAsia" w:ascii="宋体" w:hAnsi="宋体" w:cs="宋体"/>
          <w:sz w:val="24"/>
        </w:rPr>
        <w:t>，曝气器淹没水深6.0 m，供气量2.0m</w:t>
      </w:r>
      <w:r>
        <w:rPr>
          <w:rFonts w:hint="eastAsia" w:ascii="宋体" w:hAnsi="宋体" w:cs="宋体"/>
          <w:sz w:val="24"/>
          <w:vertAlign w:val="superscript"/>
        </w:rPr>
        <w:t>3</w:t>
      </w:r>
      <w:r>
        <w:rPr>
          <w:rFonts w:hint="eastAsia" w:ascii="宋体" w:hAnsi="宋体" w:cs="宋体"/>
          <w:sz w:val="24"/>
        </w:rPr>
        <w:t>/h。</w:t>
      </w:r>
    </w:p>
    <w:p w14:paraId="6F826E5A">
      <w:pPr>
        <w:spacing w:line="360" w:lineRule="auto"/>
        <w:ind w:firstLine="480"/>
        <w:rPr>
          <w:rFonts w:ascii="宋体" w:hAnsi="宋体" w:cs="宋体"/>
          <w:sz w:val="24"/>
        </w:rPr>
      </w:pPr>
      <w:r>
        <w:rPr>
          <w:rFonts w:hint="eastAsia" w:ascii="宋体" w:hAnsi="宋体" w:cs="宋体"/>
          <w:sz w:val="24"/>
        </w:rPr>
        <w:t>4.</w:t>
      </w:r>
      <w:r>
        <w:rPr>
          <w:rFonts w:hint="eastAsia" w:ascii="宋体" w:hAnsi="宋体" w:cs="宋体"/>
          <w:snapToGrid w:val="0"/>
          <w:sz w:val="24"/>
        </w:rPr>
        <w:t>★</w:t>
      </w:r>
      <w:r>
        <w:rPr>
          <w:rFonts w:hint="eastAsia" w:ascii="宋体" w:hAnsi="宋体" w:cs="宋体"/>
          <w:sz w:val="24"/>
        </w:rPr>
        <w:t>出具厂家授权书。</w:t>
      </w:r>
    </w:p>
    <w:p w14:paraId="3B49CB93">
      <w:pPr>
        <w:tabs>
          <w:tab w:val="left" w:pos="0"/>
        </w:tabs>
        <w:spacing w:line="360" w:lineRule="auto"/>
        <w:rPr>
          <w:rFonts w:ascii="宋体" w:hAnsi="宋体" w:cs="宋体"/>
          <w:b/>
          <w:bCs/>
          <w:sz w:val="24"/>
        </w:rPr>
      </w:pPr>
      <w:r>
        <w:rPr>
          <w:rFonts w:hint="eastAsia" w:ascii="宋体" w:hAnsi="宋体" w:cs="宋体"/>
          <w:b/>
          <w:bCs/>
          <w:sz w:val="24"/>
        </w:rPr>
        <w:t>废气处理装置</w:t>
      </w:r>
    </w:p>
    <w:p w14:paraId="438152A4">
      <w:pPr>
        <w:tabs>
          <w:tab w:val="left" w:pos="0"/>
        </w:tabs>
        <w:spacing w:line="360" w:lineRule="auto"/>
        <w:rPr>
          <w:rFonts w:ascii="宋体" w:hAnsi="宋体" w:cs="宋体"/>
          <w:b/>
          <w:bCs/>
          <w:sz w:val="24"/>
        </w:rPr>
      </w:pPr>
      <w:r>
        <w:rPr>
          <w:rFonts w:hint="eastAsia" w:ascii="宋体" w:hAnsi="宋体" w:cs="宋体"/>
          <w:b/>
          <w:bCs/>
          <w:sz w:val="24"/>
        </w:rPr>
        <w:t>总则</w:t>
      </w:r>
    </w:p>
    <w:p w14:paraId="2A5BA88E">
      <w:pPr>
        <w:spacing w:line="360" w:lineRule="auto"/>
        <w:ind w:firstLine="480"/>
        <w:rPr>
          <w:rFonts w:ascii="宋体" w:hAnsi="宋体" w:cs="宋体"/>
          <w:sz w:val="24"/>
        </w:rPr>
      </w:pPr>
      <w:r>
        <w:rPr>
          <w:rFonts w:hint="eastAsia" w:ascii="宋体" w:hAnsi="宋体" w:cs="宋体"/>
          <w:sz w:val="24"/>
        </w:rPr>
        <w:t>本工程除臭采用活性炭+玻璃钢离心风机工艺。</w:t>
      </w:r>
    </w:p>
    <w:p w14:paraId="589BCF94">
      <w:pPr>
        <w:tabs>
          <w:tab w:val="left" w:pos="0"/>
        </w:tabs>
        <w:spacing w:line="360" w:lineRule="auto"/>
        <w:rPr>
          <w:rFonts w:ascii="宋体" w:hAnsi="宋体" w:cs="宋体"/>
          <w:b/>
          <w:bCs/>
          <w:sz w:val="24"/>
        </w:rPr>
      </w:pPr>
      <w:r>
        <w:rPr>
          <w:rFonts w:hint="eastAsia" w:ascii="宋体" w:hAnsi="宋体" w:cs="宋体"/>
          <w:b/>
          <w:bCs/>
          <w:sz w:val="24"/>
        </w:rPr>
        <w:t>供货范围</w:t>
      </w:r>
    </w:p>
    <w:tbl>
      <w:tblPr>
        <w:tblStyle w:val="26"/>
        <w:tblW w:w="5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25"/>
        <w:gridCol w:w="4255"/>
        <w:gridCol w:w="1160"/>
        <w:gridCol w:w="1054"/>
      </w:tblGrid>
      <w:tr w14:paraId="71C8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32" w:type="pct"/>
            <w:vAlign w:val="center"/>
          </w:tcPr>
          <w:p w14:paraId="15673F4D">
            <w:pPr>
              <w:pStyle w:val="71"/>
              <w:spacing w:line="360" w:lineRule="auto"/>
              <w:ind w:firstLine="50"/>
              <w:rPr>
                <w:rFonts w:cs="宋体"/>
                <w:sz w:val="24"/>
                <w:szCs w:val="24"/>
              </w:rPr>
            </w:pPr>
            <w:r>
              <w:rPr>
                <w:rFonts w:hint="eastAsia" w:cs="宋体"/>
                <w:sz w:val="24"/>
                <w:szCs w:val="24"/>
              </w:rPr>
              <w:t>安装位置</w:t>
            </w:r>
          </w:p>
        </w:tc>
        <w:tc>
          <w:tcPr>
            <w:tcW w:w="933" w:type="pct"/>
            <w:vAlign w:val="center"/>
          </w:tcPr>
          <w:p w14:paraId="4BD78807">
            <w:pPr>
              <w:pStyle w:val="71"/>
              <w:spacing w:line="360" w:lineRule="auto"/>
              <w:ind w:firstLine="50"/>
              <w:rPr>
                <w:rFonts w:cs="宋体"/>
                <w:sz w:val="24"/>
                <w:szCs w:val="24"/>
              </w:rPr>
            </w:pPr>
            <w:r>
              <w:rPr>
                <w:rFonts w:hint="eastAsia" w:cs="宋体"/>
                <w:sz w:val="24"/>
                <w:szCs w:val="24"/>
              </w:rPr>
              <w:t>设备名称</w:t>
            </w:r>
          </w:p>
        </w:tc>
        <w:tc>
          <w:tcPr>
            <w:tcW w:w="2062" w:type="pct"/>
            <w:vAlign w:val="center"/>
          </w:tcPr>
          <w:p w14:paraId="399B903A">
            <w:pPr>
              <w:pStyle w:val="71"/>
              <w:spacing w:line="360" w:lineRule="auto"/>
              <w:ind w:firstLine="50"/>
              <w:rPr>
                <w:rFonts w:cs="宋体"/>
                <w:sz w:val="24"/>
                <w:szCs w:val="24"/>
              </w:rPr>
            </w:pPr>
            <w:r>
              <w:rPr>
                <w:rFonts w:hint="eastAsia" w:cs="宋体"/>
                <w:sz w:val="24"/>
                <w:szCs w:val="24"/>
              </w:rPr>
              <w:t>规格及主要尺寸</w:t>
            </w:r>
          </w:p>
        </w:tc>
        <w:tc>
          <w:tcPr>
            <w:tcW w:w="562" w:type="pct"/>
            <w:vAlign w:val="center"/>
          </w:tcPr>
          <w:p w14:paraId="0FD32B93">
            <w:pPr>
              <w:pStyle w:val="71"/>
              <w:spacing w:line="360" w:lineRule="auto"/>
              <w:ind w:firstLine="50"/>
              <w:rPr>
                <w:rFonts w:cs="宋体"/>
                <w:sz w:val="24"/>
                <w:szCs w:val="24"/>
              </w:rPr>
            </w:pPr>
            <w:r>
              <w:rPr>
                <w:rFonts w:hint="eastAsia" w:cs="宋体"/>
                <w:sz w:val="24"/>
                <w:szCs w:val="24"/>
              </w:rPr>
              <w:t>单位</w:t>
            </w:r>
          </w:p>
        </w:tc>
        <w:tc>
          <w:tcPr>
            <w:tcW w:w="512" w:type="pct"/>
            <w:vAlign w:val="center"/>
          </w:tcPr>
          <w:p w14:paraId="26367E25">
            <w:pPr>
              <w:pStyle w:val="71"/>
              <w:spacing w:line="360" w:lineRule="auto"/>
              <w:ind w:firstLine="50"/>
              <w:rPr>
                <w:rFonts w:cs="宋体"/>
                <w:sz w:val="24"/>
                <w:szCs w:val="24"/>
              </w:rPr>
            </w:pPr>
            <w:r>
              <w:rPr>
                <w:rFonts w:hint="eastAsia" w:cs="宋体"/>
                <w:sz w:val="24"/>
                <w:szCs w:val="24"/>
              </w:rPr>
              <w:t>数量</w:t>
            </w:r>
          </w:p>
        </w:tc>
      </w:tr>
      <w:tr w14:paraId="7237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2" w:type="pct"/>
            <w:vAlign w:val="center"/>
          </w:tcPr>
          <w:p w14:paraId="432B6EB9">
            <w:pPr>
              <w:pStyle w:val="71"/>
              <w:spacing w:line="360" w:lineRule="auto"/>
              <w:ind w:firstLine="50"/>
              <w:rPr>
                <w:rFonts w:cs="宋体"/>
                <w:sz w:val="24"/>
                <w:szCs w:val="24"/>
              </w:rPr>
            </w:pPr>
            <w:r>
              <w:rPr>
                <w:rFonts w:hint="eastAsia" w:cs="宋体"/>
                <w:sz w:val="24"/>
                <w:szCs w:val="24"/>
              </w:rPr>
              <w:t>设备房</w:t>
            </w:r>
          </w:p>
        </w:tc>
        <w:tc>
          <w:tcPr>
            <w:tcW w:w="933" w:type="pct"/>
            <w:vAlign w:val="center"/>
          </w:tcPr>
          <w:p w14:paraId="230AC6CB">
            <w:pPr>
              <w:pStyle w:val="71"/>
              <w:spacing w:line="360" w:lineRule="auto"/>
              <w:ind w:firstLine="50"/>
              <w:rPr>
                <w:rFonts w:cs="宋体"/>
                <w:sz w:val="24"/>
                <w:szCs w:val="24"/>
              </w:rPr>
            </w:pPr>
            <w:r>
              <w:rPr>
                <w:rFonts w:hint="eastAsia" w:cs="宋体"/>
                <w:sz w:val="24"/>
                <w:szCs w:val="24"/>
              </w:rPr>
              <w:t>废气处理装置</w:t>
            </w:r>
          </w:p>
        </w:tc>
        <w:tc>
          <w:tcPr>
            <w:tcW w:w="2062" w:type="pct"/>
            <w:vAlign w:val="center"/>
          </w:tcPr>
          <w:p w14:paraId="73F54DD1">
            <w:pPr>
              <w:pStyle w:val="71"/>
              <w:spacing w:line="360" w:lineRule="auto"/>
              <w:ind w:firstLine="50"/>
              <w:jc w:val="left"/>
              <w:rPr>
                <w:rFonts w:cs="宋体"/>
                <w:sz w:val="24"/>
                <w:szCs w:val="24"/>
              </w:rPr>
            </w:pPr>
            <w:r>
              <w:rPr>
                <w:rFonts w:hint="eastAsia" w:cs="宋体"/>
                <w:sz w:val="24"/>
                <w:szCs w:val="24"/>
              </w:rPr>
              <w:t>活性炭+玻璃钢离心风机，总处理量2000m³/h，15米高空排放。</w:t>
            </w:r>
          </w:p>
        </w:tc>
        <w:tc>
          <w:tcPr>
            <w:tcW w:w="562" w:type="pct"/>
            <w:vAlign w:val="center"/>
          </w:tcPr>
          <w:p w14:paraId="28BE927E">
            <w:pPr>
              <w:pStyle w:val="71"/>
              <w:spacing w:line="360" w:lineRule="auto"/>
              <w:ind w:firstLine="50"/>
              <w:rPr>
                <w:rFonts w:cs="宋体"/>
                <w:sz w:val="24"/>
                <w:szCs w:val="24"/>
              </w:rPr>
            </w:pPr>
            <w:r>
              <w:rPr>
                <w:rFonts w:hint="eastAsia" w:cs="宋体"/>
                <w:sz w:val="24"/>
                <w:szCs w:val="24"/>
              </w:rPr>
              <w:t>套</w:t>
            </w:r>
          </w:p>
        </w:tc>
        <w:tc>
          <w:tcPr>
            <w:tcW w:w="512" w:type="pct"/>
            <w:vAlign w:val="center"/>
          </w:tcPr>
          <w:p w14:paraId="372B97E2">
            <w:pPr>
              <w:pStyle w:val="71"/>
              <w:spacing w:line="360" w:lineRule="auto"/>
              <w:ind w:firstLine="50"/>
              <w:rPr>
                <w:rFonts w:cs="宋体"/>
                <w:sz w:val="24"/>
                <w:szCs w:val="24"/>
              </w:rPr>
            </w:pPr>
            <w:r>
              <w:rPr>
                <w:rFonts w:hint="eastAsia" w:cs="宋体"/>
                <w:sz w:val="24"/>
                <w:szCs w:val="24"/>
              </w:rPr>
              <w:t>1</w:t>
            </w:r>
          </w:p>
        </w:tc>
      </w:tr>
    </w:tbl>
    <w:p w14:paraId="56390DBC">
      <w:pPr>
        <w:spacing w:line="360" w:lineRule="auto"/>
        <w:ind w:firstLine="480"/>
        <w:rPr>
          <w:rFonts w:ascii="宋体" w:hAnsi="宋体" w:cs="宋体"/>
          <w:sz w:val="24"/>
        </w:rPr>
      </w:pPr>
      <w:r>
        <w:rPr>
          <w:rFonts w:hint="eastAsia" w:ascii="宋体" w:hAnsi="宋体" w:cs="宋体"/>
          <w:sz w:val="24"/>
        </w:rPr>
        <w:t>①投标人提供废气处理设备等应为成套装置，并需配备有效和安全运行所必需的附件。</w:t>
      </w:r>
    </w:p>
    <w:p w14:paraId="521D90BC">
      <w:pPr>
        <w:spacing w:line="360" w:lineRule="auto"/>
        <w:ind w:firstLine="480"/>
        <w:rPr>
          <w:rFonts w:ascii="宋体" w:hAnsi="宋体" w:cs="宋体"/>
          <w:sz w:val="24"/>
        </w:rPr>
      </w:pPr>
      <w:r>
        <w:rPr>
          <w:rFonts w:hint="eastAsia" w:ascii="宋体" w:hAnsi="宋体" w:cs="宋体"/>
          <w:sz w:val="24"/>
        </w:rPr>
        <w:t>②投标人提供安装用的所有紧固件（包括膨胀地脚螺栓、螺母、垫圈等），并应符合相关的技术要求。</w:t>
      </w:r>
    </w:p>
    <w:p w14:paraId="4FC05632">
      <w:pPr>
        <w:tabs>
          <w:tab w:val="left" w:pos="0"/>
        </w:tabs>
        <w:spacing w:line="360" w:lineRule="auto"/>
        <w:rPr>
          <w:rFonts w:ascii="宋体" w:hAnsi="宋体" w:cs="宋体"/>
          <w:b/>
          <w:bCs/>
          <w:sz w:val="24"/>
        </w:rPr>
      </w:pPr>
      <w:r>
        <w:rPr>
          <w:rFonts w:hint="eastAsia" w:ascii="宋体" w:hAnsi="宋体" w:cs="宋体"/>
          <w:b/>
          <w:bCs/>
          <w:sz w:val="24"/>
        </w:rPr>
        <w:t>资料提供</w:t>
      </w:r>
    </w:p>
    <w:p w14:paraId="2ADA9E50">
      <w:pPr>
        <w:spacing w:line="360" w:lineRule="auto"/>
        <w:ind w:firstLine="480"/>
        <w:rPr>
          <w:rFonts w:ascii="宋体" w:hAnsi="宋体" w:cs="宋体"/>
          <w:sz w:val="24"/>
        </w:rPr>
      </w:pPr>
      <w:r>
        <w:rPr>
          <w:rFonts w:hint="eastAsia" w:ascii="宋体" w:hAnsi="宋体" w:cs="宋体"/>
          <w:snapToGrid w:val="0"/>
          <w:sz w:val="24"/>
        </w:rPr>
        <w:t>1.</w:t>
      </w:r>
      <w:r>
        <w:rPr>
          <w:rFonts w:hint="eastAsia" w:ascii="宋体" w:hAnsi="宋体" w:cs="宋体"/>
          <w:snapToGrid w:val="0"/>
          <w:sz w:val="24"/>
          <w:lang w:val="zh-CN"/>
        </w:rPr>
        <w:t>★</w:t>
      </w:r>
      <w:r>
        <w:rPr>
          <w:rFonts w:hint="eastAsia" w:ascii="宋体" w:hAnsi="宋体" w:cs="宋体"/>
          <w:sz w:val="24"/>
        </w:rPr>
        <w:t>出具离心引风机节能证书和检测报告。</w:t>
      </w:r>
    </w:p>
    <w:p w14:paraId="1D8EF88D">
      <w:pPr>
        <w:adjustRightInd w:val="0"/>
        <w:snapToGrid w:val="0"/>
        <w:spacing w:line="360" w:lineRule="auto"/>
        <w:ind w:left="420" w:leftChars="200"/>
        <w:rPr>
          <w:rFonts w:ascii="宋体" w:hAnsi="宋体" w:cs="宋体"/>
          <w:sz w:val="24"/>
          <w:highlight w:val="yellow"/>
        </w:rPr>
      </w:pPr>
      <w:r>
        <w:rPr>
          <w:rFonts w:hint="eastAsia" w:ascii="宋体" w:hAnsi="宋体" w:cs="宋体"/>
          <w:sz w:val="24"/>
        </w:rPr>
        <w:t>2.★</w:t>
      </w:r>
      <w:r>
        <w:rPr>
          <w:rFonts w:hint="eastAsia" w:ascii="宋体" w:hAnsi="宋体" w:cs="宋体"/>
          <w:sz w:val="24"/>
          <w:lang w:bidi="ar"/>
        </w:rPr>
        <w:t>玻璃钢防腐风机应符合《建筑材料及制品燃烧性能分级》GB 8624-2012，进行型式检验 (安全性能)其燃烧性能达到GB8624-2012规定的难燃B1(B-s2,d0,t1)级。</w:t>
      </w:r>
      <w:r>
        <w:rPr>
          <w:rFonts w:hint="eastAsia" w:ascii="宋体" w:hAnsi="宋体" w:cs="宋体"/>
          <w:b/>
          <w:bCs/>
          <w:sz w:val="24"/>
          <w:lang w:bidi="ar"/>
        </w:rPr>
        <w:t>投标人应提供玻璃纤维增强制品燃烧性能标识授权书并</w:t>
      </w:r>
      <w:r>
        <w:rPr>
          <w:rFonts w:hint="eastAsia" w:ascii="宋体" w:hAnsi="宋体" w:cs="宋体"/>
          <w:b/>
          <w:bCs/>
          <w:sz w:val="24"/>
        </w:rPr>
        <w:t>加盖制造商公章佐证。</w:t>
      </w:r>
    </w:p>
    <w:p w14:paraId="4A3819E9">
      <w:pPr>
        <w:spacing w:line="360" w:lineRule="auto"/>
        <w:ind w:firstLine="480"/>
        <w:rPr>
          <w:rFonts w:ascii="宋体" w:hAnsi="宋体" w:cs="宋体"/>
          <w:snapToGrid w:val="0"/>
          <w:sz w:val="24"/>
        </w:rPr>
      </w:pPr>
      <w:r>
        <w:rPr>
          <w:rFonts w:hint="eastAsia" w:ascii="宋体" w:hAnsi="宋体" w:cs="宋体"/>
          <w:snapToGrid w:val="0"/>
          <w:sz w:val="24"/>
        </w:rPr>
        <w:t>3</w:t>
      </w:r>
      <w:r>
        <w:rPr>
          <w:rFonts w:hint="eastAsia" w:ascii="宋体" w:hAnsi="宋体" w:cs="宋体"/>
          <w:snapToGrid w:val="0"/>
          <w:sz w:val="24"/>
          <w:lang w:val="zh-CN"/>
        </w:rPr>
        <w:t>.</w:t>
      </w:r>
      <w:r>
        <w:rPr>
          <w:rFonts w:hint="eastAsia" w:ascii="宋体" w:hAnsi="宋体" w:cs="宋体"/>
          <w:snapToGrid w:val="0"/>
          <w:sz w:val="24"/>
        </w:rPr>
        <w:t>★</w:t>
      </w:r>
      <w:r>
        <w:rPr>
          <w:rFonts w:hint="eastAsia" w:ascii="宋体" w:hAnsi="宋体" w:cs="宋体"/>
          <w:snapToGrid w:val="0"/>
          <w:sz w:val="24"/>
          <w:lang w:val="zh-CN"/>
        </w:rPr>
        <w:t>提供离心引风机的厂家授权书。</w:t>
      </w:r>
    </w:p>
    <w:p w14:paraId="227BB21E">
      <w:pPr>
        <w:tabs>
          <w:tab w:val="left" w:pos="0"/>
        </w:tabs>
        <w:spacing w:line="360" w:lineRule="auto"/>
        <w:rPr>
          <w:rFonts w:ascii="宋体" w:hAnsi="宋体" w:cs="宋体"/>
          <w:sz w:val="24"/>
        </w:rPr>
      </w:pPr>
      <w:r>
        <w:rPr>
          <w:rFonts w:hint="eastAsia" w:ascii="宋体" w:hAnsi="宋体" w:cs="宋体"/>
          <w:sz w:val="24"/>
        </w:rPr>
        <w:t>低压开关柜</w:t>
      </w:r>
    </w:p>
    <w:p w14:paraId="05D079F3">
      <w:pPr>
        <w:tabs>
          <w:tab w:val="left" w:pos="0"/>
        </w:tabs>
        <w:spacing w:line="360" w:lineRule="auto"/>
        <w:rPr>
          <w:rFonts w:ascii="宋体" w:hAnsi="宋体" w:cs="宋体"/>
          <w:sz w:val="24"/>
        </w:rPr>
      </w:pPr>
      <w:r>
        <w:rPr>
          <w:rFonts w:hint="eastAsia" w:ascii="宋体" w:hAnsi="宋体" w:cs="宋体"/>
          <w:sz w:val="24"/>
        </w:rPr>
        <w:t>技术要求</w:t>
      </w:r>
    </w:p>
    <w:p w14:paraId="7DE1A28F">
      <w:pPr>
        <w:spacing w:line="360" w:lineRule="auto"/>
        <w:ind w:firstLine="480"/>
        <w:rPr>
          <w:rFonts w:ascii="宋体" w:hAnsi="宋体" w:cs="宋体"/>
          <w:snapToGrid w:val="0"/>
          <w:sz w:val="24"/>
        </w:rPr>
      </w:pPr>
      <w:r>
        <w:rPr>
          <w:rFonts w:hint="eastAsia" w:ascii="宋体" w:hAnsi="宋体" w:cs="宋体"/>
          <w:snapToGrid w:val="0"/>
          <w:sz w:val="24"/>
        </w:rPr>
        <w:t>1.开关柜技术参数：</w:t>
      </w:r>
    </w:p>
    <w:p w14:paraId="77078EB9">
      <w:pPr>
        <w:spacing w:line="360" w:lineRule="auto"/>
        <w:ind w:firstLine="480"/>
        <w:rPr>
          <w:rFonts w:ascii="宋体" w:hAnsi="宋体" w:cs="宋体"/>
          <w:snapToGrid w:val="0"/>
          <w:sz w:val="24"/>
        </w:rPr>
      </w:pPr>
      <w:r>
        <w:rPr>
          <w:rFonts w:hint="eastAsia" w:ascii="宋体" w:hAnsi="宋体" w:cs="宋体"/>
          <w:snapToGrid w:val="0"/>
          <w:sz w:val="24"/>
        </w:rPr>
        <w:t>1）</w:t>
      </w:r>
      <w:r>
        <w:rPr>
          <w:rFonts w:hint="eastAsia" w:ascii="宋体" w:hAnsi="宋体" w:cs="宋体"/>
          <w:b/>
          <w:bCs/>
          <w:snapToGrid w:val="0"/>
          <w:sz w:val="24"/>
        </w:rPr>
        <w:t>额定工作电压：</w:t>
      </w:r>
      <w:r>
        <w:rPr>
          <w:rFonts w:hint="eastAsia" w:ascii="宋体" w:hAnsi="宋体" w:cs="宋体"/>
          <w:snapToGrid w:val="0"/>
          <w:sz w:val="24"/>
        </w:rPr>
        <w:t>380V</w:t>
      </w:r>
    </w:p>
    <w:p w14:paraId="6F9C989D">
      <w:pPr>
        <w:spacing w:line="360" w:lineRule="auto"/>
        <w:ind w:firstLine="480"/>
        <w:rPr>
          <w:rFonts w:ascii="宋体" w:hAnsi="宋体" w:cs="宋体"/>
          <w:snapToGrid w:val="0"/>
          <w:sz w:val="24"/>
        </w:rPr>
      </w:pPr>
      <w:r>
        <w:rPr>
          <w:rFonts w:hint="eastAsia" w:ascii="宋体" w:hAnsi="宋体" w:cs="宋体"/>
          <w:snapToGrid w:val="0"/>
          <w:sz w:val="24"/>
        </w:rPr>
        <w:t>2）额定频率：50Hz</w:t>
      </w:r>
    </w:p>
    <w:p w14:paraId="2BE4D044">
      <w:pPr>
        <w:spacing w:line="360" w:lineRule="auto"/>
        <w:ind w:firstLine="480"/>
        <w:rPr>
          <w:rFonts w:ascii="宋体" w:hAnsi="宋体" w:cs="宋体"/>
          <w:snapToGrid w:val="0"/>
          <w:sz w:val="24"/>
        </w:rPr>
      </w:pPr>
      <w:r>
        <w:rPr>
          <w:rFonts w:hint="eastAsia" w:ascii="宋体" w:hAnsi="宋体" w:cs="宋体"/>
          <w:snapToGrid w:val="0"/>
          <w:sz w:val="24"/>
        </w:rPr>
        <w:t>3）相数：三相（三相五线制）</w:t>
      </w:r>
    </w:p>
    <w:p w14:paraId="1F7AACE1">
      <w:pPr>
        <w:spacing w:line="360" w:lineRule="auto"/>
        <w:ind w:firstLine="480"/>
        <w:rPr>
          <w:rFonts w:ascii="宋体" w:hAnsi="宋体" w:cs="宋体"/>
          <w:snapToGrid w:val="0"/>
          <w:sz w:val="24"/>
        </w:rPr>
      </w:pPr>
      <w:r>
        <w:rPr>
          <w:rFonts w:hint="eastAsia" w:ascii="宋体" w:hAnsi="宋体" w:cs="宋体"/>
          <w:snapToGrid w:val="0"/>
          <w:sz w:val="24"/>
        </w:rPr>
        <w:t>4）额定电流 ： 水平母线：</w:t>
      </w:r>
    </w:p>
    <w:p w14:paraId="0C6178C0">
      <w:pPr>
        <w:spacing w:line="360" w:lineRule="auto"/>
        <w:ind w:firstLine="480"/>
        <w:rPr>
          <w:rFonts w:ascii="宋体" w:hAnsi="宋体" w:cs="宋体"/>
          <w:snapToGrid w:val="0"/>
          <w:sz w:val="24"/>
        </w:rPr>
      </w:pPr>
      <w:r>
        <w:rPr>
          <w:rFonts w:hint="eastAsia" w:ascii="宋体" w:hAnsi="宋体" w:cs="宋体"/>
          <w:snapToGrid w:val="0"/>
          <w:sz w:val="24"/>
        </w:rPr>
        <w:t>5）额定绝缘电压：690V；</w:t>
      </w:r>
    </w:p>
    <w:p w14:paraId="2CF579A4">
      <w:pPr>
        <w:spacing w:line="360" w:lineRule="auto"/>
        <w:ind w:firstLine="480"/>
        <w:rPr>
          <w:rFonts w:ascii="宋体" w:hAnsi="宋体" w:cs="宋体"/>
          <w:snapToGrid w:val="0"/>
          <w:sz w:val="24"/>
        </w:rPr>
      </w:pPr>
      <w:r>
        <w:rPr>
          <w:rFonts w:hint="eastAsia" w:ascii="宋体" w:hAnsi="宋体" w:cs="宋体"/>
          <w:snapToGrid w:val="0"/>
          <w:sz w:val="24"/>
        </w:rPr>
        <w:t>6）推荐型号为：MNS</w:t>
      </w:r>
    </w:p>
    <w:p w14:paraId="23BB48A0">
      <w:pPr>
        <w:spacing w:line="360" w:lineRule="auto"/>
        <w:ind w:firstLine="480"/>
        <w:rPr>
          <w:rFonts w:ascii="宋体" w:hAnsi="宋体" w:cs="宋体"/>
          <w:snapToGrid w:val="0"/>
          <w:sz w:val="24"/>
        </w:rPr>
      </w:pPr>
      <w:r>
        <w:rPr>
          <w:rFonts w:hint="eastAsia" w:ascii="宋体" w:hAnsi="宋体" w:cs="宋体"/>
          <w:snapToGrid w:val="0"/>
          <w:sz w:val="24"/>
        </w:rPr>
        <w:t>2.柜体结构</w:t>
      </w:r>
    </w:p>
    <w:p w14:paraId="4B6088F9">
      <w:pPr>
        <w:spacing w:line="360" w:lineRule="auto"/>
        <w:ind w:firstLine="480"/>
        <w:rPr>
          <w:rFonts w:ascii="宋体" w:hAnsi="宋体" w:cs="宋体"/>
          <w:snapToGrid w:val="0"/>
          <w:sz w:val="24"/>
        </w:rPr>
      </w:pPr>
      <w:r>
        <w:rPr>
          <w:rFonts w:hint="eastAsia" w:ascii="宋体" w:hAnsi="宋体" w:cs="宋体"/>
          <w:snapToGrid w:val="0"/>
          <w:sz w:val="24"/>
        </w:rPr>
        <w:t>开关柜的一般结构满足如下要求：</w:t>
      </w:r>
    </w:p>
    <w:p w14:paraId="14662C4D">
      <w:pPr>
        <w:spacing w:line="360" w:lineRule="auto"/>
        <w:ind w:firstLine="480"/>
        <w:rPr>
          <w:rFonts w:ascii="宋体" w:hAnsi="宋体" w:cs="宋体"/>
          <w:snapToGrid w:val="0"/>
          <w:sz w:val="24"/>
        </w:rPr>
      </w:pPr>
      <w:r>
        <w:rPr>
          <w:rFonts w:hint="eastAsia" w:ascii="宋体" w:hAnsi="宋体" w:cs="宋体"/>
          <w:snapToGrid w:val="0"/>
          <w:sz w:val="24"/>
        </w:rPr>
        <w:t>开关柜外形平整美观，柜体由刚性框架组成，骨架全部采用2.0mm优质冷轧钢板经数控机床加工成型，壳体焊接后表面喷塑处理， 开关柜的骨架尺寸精确而稳固。围绕骨架设步型模数为25mm的孔以供各种扩展的需要。其余门和侧板可采用优质冷轧钢板，厚度不小于2.0mm，钢支架均以自攻螺丝组合而成坚固一体，无任何焊电。内部隔板选用镀锌钢板或者覆铝锌板。</w:t>
      </w:r>
    </w:p>
    <w:p w14:paraId="74949884">
      <w:pPr>
        <w:spacing w:line="360" w:lineRule="auto"/>
        <w:ind w:firstLine="480"/>
        <w:rPr>
          <w:rFonts w:ascii="宋体" w:hAnsi="宋体" w:cs="宋体"/>
          <w:snapToGrid w:val="0"/>
          <w:sz w:val="24"/>
        </w:rPr>
      </w:pPr>
      <w:r>
        <w:rPr>
          <w:rFonts w:hint="eastAsia" w:ascii="宋体" w:hAnsi="宋体" w:cs="宋体"/>
          <w:snapToGrid w:val="0"/>
          <w:sz w:val="24"/>
        </w:rPr>
        <w:t>骨架、门、侧板和隔板等组成的柜体能承受系统短路所产生的机械和热应力的作用，能承受开关动作产生的冲击力而不致影响其他电器的工作，并能承受正常吊装、运输所导致的应力作用保护其性能不受影响。</w:t>
      </w:r>
    </w:p>
    <w:p w14:paraId="0D2BC36E">
      <w:pPr>
        <w:spacing w:line="360" w:lineRule="auto"/>
        <w:ind w:firstLine="480"/>
        <w:rPr>
          <w:rFonts w:ascii="宋体" w:hAnsi="宋体" w:cs="宋体"/>
          <w:snapToGrid w:val="0"/>
          <w:sz w:val="24"/>
        </w:rPr>
      </w:pPr>
      <w:r>
        <w:rPr>
          <w:rFonts w:hint="eastAsia" w:ascii="宋体" w:hAnsi="宋体" w:cs="宋体"/>
          <w:snapToGrid w:val="0"/>
          <w:sz w:val="24"/>
        </w:rPr>
        <w:t>开关柜应由门、封板、隔板、安装支架，以及母线、功能单元等零部件组装而成。开关柜内零部件尺寸、隔室尺寸，均应实行模数化。</w:t>
      </w:r>
    </w:p>
    <w:p w14:paraId="0E2B223A">
      <w:pPr>
        <w:spacing w:line="360" w:lineRule="auto"/>
        <w:ind w:firstLine="480"/>
        <w:rPr>
          <w:rFonts w:ascii="宋体" w:hAnsi="宋体" w:cs="宋体"/>
          <w:snapToGrid w:val="0"/>
          <w:sz w:val="24"/>
        </w:rPr>
      </w:pPr>
      <w:r>
        <w:rPr>
          <w:rFonts w:hint="eastAsia" w:ascii="宋体" w:hAnsi="宋体" w:cs="宋体"/>
          <w:snapToGrid w:val="0"/>
          <w:sz w:val="24"/>
        </w:rPr>
        <w:t>开关柜为自然通风式，所有电缆有柜低或柜顶引入，电缆进线孔应有密封措施。</w:t>
      </w:r>
    </w:p>
    <w:p w14:paraId="1AE920E4">
      <w:pPr>
        <w:spacing w:line="360" w:lineRule="auto"/>
        <w:ind w:firstLine="480"/>
        <w:rPr>
          <w:rFonts w:ascii="宋体" w:hAnsi="宋体" w:cs="宋体"/>
          <w:snapToGrid w:val="0"/>
          <w:sz w:val="24"/>
        </w:rPr>
      </w:pPr>
      <w:r>
        <w:rPr>
          <w:rFonts w:hint="eastAsia" w:ascii="宋体" w:hAnsi="宋体" w:cs="宋体"/>
          <w:snapToGrid w:val="0"/>
          <w:sz w:val="24"/>
        </w:rPr>
        <w:t>（1） 分隔措施： 低压开关柜应利用隔板划分为几个隔室。如主母线室、功能单元室、电缆室、控制回路室，分隔清晰。形成隔室的材料有足够的机械强度，以保证：</w:t>
      </w:r>
    </w:p>
    <w:p w14:paraId="444DDF6D">
      <w:pPr>
        <w:spacing w:line="360" w:lineRule="auto"/>
        <w:ind w:firstLine="480"/>
        <w:rPr>
          <w:rFonts w:ascii="宋体" w:hAnsi="宋体" w:cs="宋体"/>
          <w:snapToGrid w:val="0"/>
          <w:sz w:val="24"/>
        </w:rPr>
      </w:pPr>
      <w:r>
        <w:rPr>
          <w:rFonts w:hint="eastAsia" w:ascii="宋体" w:hAnsi="宋体" w:cs="宋体"/>
          <w:snapToGrid w:val="0"/>
          <w:sz w:val="24"/>
        </w:rPr>
        <w:t>防止非专职人员触及本单元的带电部件;</w:t>
      </w:r>
    </w:p>
    <w:p w14:paraId="61DC6AE0">
      <w:pPr>
        <w:spacing w:line="360" w:lineRule="auto"/>
        <w:ind w:firstLine="480"/>
        <w:rPr>
          <w:rFonts w:ascii="宋体" w:hAnsi="宋体" w:cs="宋体"/>
          <w:snapToGrid w:val="0"/>
          <w:sz w:val="24"/>
        </w:rPr>
      </w:pPr>
      <w:r>
        <w:rPr>
          <w:rFonts w:hint="eastAsia" w:ascii="宋体" w:hAnsi="宋体" w:cs="宋体"/>
          <w:snapToGrid w:val="0"/>
          <w:sz w:val="24"/>
        </w:rPr>
        <w:t>防止所有人员触及相邻单元的带电部件;</w:t>
      </w:r>
    </w:p>
    <w:p w14:paraId="213B51DC">
      <w:pPr>
        <w:spacing w:line="360" w:lineRule="auto"/>
        <w:ind w:firstLine="480"/>
        <w:rPr>
          <w:rFonts w:ascii="宋体" w:hAnsi="宋体" w:cs="宋体"/>
          <w:snapToGrid w:val="0"/>
          <w:sz w:val="24"/>
        </w:rPr>
      </w:pPr>
      <w:r>
        <w:rPr>
          <w:rFonts w:hint="eastAsia" w:ascii="宋体" w:hAnsi="宋体" w:cs="宋体"/>
          <w:snapToGrid w:val="0"/>
          <w:sz w:val="24"/>
        </w:rPr>
        <w:t>防止一个回路开关电器的通断动作影响相邻单元的运行稳定性;</w:t>
      </w:r>
    </w:p>
    <w:p w14:paraId="4BC35B0C">
      <w:pPr>
        <w:spacing w:line="360" w:lineRule="auto"/>
        <w:ind w:firstLine="480"/>
        <w:rPr>
          <w:rFonts w:ascii="宋体" w:hAnsi="宋体" w:cs="宋体"/>
          <w:snapToGrid w:val="0"/>
          <w:sz w:val="24"/>
        </w:rPr>
      </w:pPr>
      <w:r>
        <w:rPr>
          <w:rFonts w:hint="eastAsia" w:ascii="宋体" w:hAnsi="宋体" w:cs="宋体"/>
          <w:snapToGrid w:val="0"/>
          <w:sz w:val="24"/>
        </w:rPr>
        <w:t>限制事故电弧不致扩大到相邻单元。</w:t>
      </w:r>
    </w:p>
    <w:p w14:paraId="1855393A">
      <w:pPr>
        <w:spacing w:line="360" w:lineRule="auto"/>
        <w:ind w:firstLine="480"/>
        <w:rPr>
          <w:rFonts w:ascii="宋体" w:hAnsi="宋体" w:cs="宋体"/>
          <w:snapToGrid w:val="0"/>
          <w:sz w:val="24"/>
        </w:rPr>
      </w:pPr>
      <w:r>
        <w:rPr>
          <w:rFonts w:hint="eastAsia" w:ascii="宋体" w:hAnsi="宋体" w:cs="宋体"/>
          <w:snapToGrid w:val="0"/>
          <w:sz w:val="24"/>
        </w:rPr>
        <w:t>3. 电气间隙、爬电距离和间隔距离</w:t>
      </w:r>
    </w:p>
    <w:p w14:paraId="2234B372">
      <w:pPr>
        <w:spacing w:line="360" w:lineRule="auto"/>
        <w:ind w:firstLine="480"/>
        <w:rPr>
          <w:rFonts w:ascii="宋体" w:hAnsi="宋体" w:cs="宋体"/>
          <w:snapToGrid w:val="0"/>
          <w:sz w:val="24"/>
        </w:rPr>
      </w:pPr>
      <w:r>
        <w:rPr>
          <w:rFonts w:hint="eastAsia" w:ascii="宋体" w:hAnsi="宋体" w:cs="宋体"/>
          <w:snapToGrid w:val="0"/>
          <w:sz w:val="24"/>
        </w:rPr>
        <w:t>主母线、垂直母线、分支母线和主电路连接件带电部件之间及其接地金属构件之间的爬电距离气间隙应不小于20mm。母线连接和电气元件进出线端子间，某些部分达不到规定时，应允许采用包扎绝缘的措施，但不能低于下表规定：</w:t>
      </w:r>
    </w:p>
    <w:tbl>
      <w:tblPr>
        <w:tblStyle w:val="26"/>
        <w:tblW w:w="774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405"/>
        <w:gridCol w:w="1260"/>
        <w:gridCol w:w="1575"/>
        <w:gridCol w:w="1365"/>
      </w:tblGrid>
      <w:tr w14:paraId="1AE2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vAlign w:val="center"/>
          </w:tcPr>
          <w:p w14:paraId="34A0A3C0">
            <w:pPr>
              <w:pStyle w:val="71"/>
              <w:spacing w:line="360" w:lineRule="auto"/>
              <w:ind w:firstLine="50"/>
              <w:rPr>
                <w:rFonts w:cs="宋体"/>
                <w:snapToGrid w:val="0"/>
                <w:sz w:val="24"/>
                <w:szCs w:val="24"/>
              </w:rPr>
            </w:pPr>
            <w:r>
              <w:rPr>
                <w:rFonts w:hint="eastAsia" w:cs="宋体"/>
                <w:snapToGrid w:val="0"/>
                <w:sz w:val="24"/>
                <w:szCs w:val="24"/>
              </w:rPr>
              <w:t>额定绝缘电压</w:t>
            </w:r>
          </w:p>
        </w:tc>
        <w:tc>
          <w:tcPr>
            <w:tcW w:w="2665" w:type="dxa"/>
            <w:gridSpan w:val="2"/>
            <w:vAlign w:val="center"/>
          </w:tcPr>
          <w:p w14:paraId="178D12DA">
            <w:pPr>
              <w:pStyle w:val="71"/>
              <w:spacing w:line="360" w:lineRule="auto"/>
              <w:ind w:firstLine="50"/>
              <w:rPr>
                <w:rFonts w:cs="宋体"/>
                <w:snapToGrid w:val="0"/>
                <w:sz w:val="24"/>
                <w:szCs w:val="24"/>
              </w:rPr>
            </w:pPr>
            <w:r>
              <w:rPr>
                <w:rFonts w:hint="eastAsia" w:cs="宋体"/>
                <w:snapToGrid w:val="0"/>
                <w:sz w:val="24"/>
                <w:szCs w:val="24"/>
              </w:rPr>
              <w:t>电气间隙</w:t>
            </w:r>
          </w:p>
        </w:tc>
        <w:tc>
          <w:tcPr>
            <w:tcW w:w="2940" w:type="dxa"/>
            <w:gridSpan w:val="2"/>
            <w:vAlign w:val="center"/>
          </w:tcPr>
          <w:p w14:paraId="14BA2EBB">
            <w:pPr>
              <w:pStyle w:val="71"/>
              <w:spacing w:line="360" w:lineRule="auto"/>
              <w:ind w:firstLine="50"/>
              <w:rPr>
                <w:rFonts w:cs="宋体"/>
                <w:snapToGrid w:val="0"/>
                <w:sz w:val="24"/>
                <w:szCs w:val="24"/>
              </w:rPr>
            </w:pPr>
            <w:r>
              <w:rPr>
                <w:rFonts w:hint="eastAsia" w:cs="宋体"/>
                <w:snapToGrid w:val="0"/>
                <w:sz w:val="24"/>
                <w:szCs w:val="24"/>
              </w:rPr>
              <w:t>爬电距离</w:t>
            </w:r>
          </w:p>
        </w:tc>
      </w:tr>
      <w:tr w14:paraId="0BF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140" w:type="dxa"/>
            <w:vAlign w:val="center"/>
          </w:tcPr>
          <w:p w14:paraId="5F2FC415">
            <w:pPr>
              <w:pStyle w:val="71"/>
              <w:spacing w:line="360" w:lineRule="auto"/>
              <w:ind w:firstLine="50"/>
              <w:rPr>
                <w:rFonts w:cs="宋体"/>
                <w:snapToGrid w:val="0"/>
                <w:sz w:val="24"/>
                <w:szCs w:val="24"/>
              </w:rPr>
            </w:pPr>
            <w:r>
              <w:rPr>
                <w:rFonts w:hint="eastAsia" w:cs="宋体"/>
                <w:snapToGrid w:val="0"/>
                <w:sz w:val="24"/>
                <w:szCs w:val="24"/>
              </w:rPr>
              <w:t>V</w:t>
            </w:r>
          </w:p>
        </w:tc>
        <w:tc>
          <w:tcPr>
            <w:tcW w:w="1405" w:type="dxa"/>
            <w:vAlign w:val="center"/>
          </w:tcPr>
          <w:p w14:paraId="72D5BEF0">
            <w:pPr>
              <w:pStyle w:val="71"/>
              <w:spacing w:line="360" w:lineRule="auto"/>
              <w:ind w:firstLine="50"/>
              <w:rPr>
                <w:rFonts w:cs="宋体"/>
                <w:snapToGrid w:val="0"/>
                <w:sz w:val="24"/>
                <w:szCs w:val="24"/>
              </w:rPr>
            </w:pPr>
            <w:r>
              <w:rPr>
                <w:rFonts w:hint="eastAsia" w:cs="宋体"/>
                <w:snapToGrid w:val="0"/>
                <w:sz w:val="24"/>
                <w:szCs w:val="24"/>
              </w:rPr>
              <w:t>63A及以下</w:t>
            </w:r>
          </w:p>
        </w:tc>
        <w:tc>
          <w:tcPr>
            <w:tcW w:w="1260" w:type="dxa"/>
            <w:vAlign w:val="center"/>
          </w:tcPr>
          <w:p w14:paraId="508A0593">
            <w:pPr>
              <w:pStyle w:val="71"/>
              <w:spacing w:line="360" w:lineRule="auto"/>
              <w:ind w:firstLine="50"/>
              <w:rPr>
                <w:rFonts w:cs="宋体"/>
                <w:snapToGrid w:val="0"/>
                <w:sz w:val="24"/>
                <w:szCs w:val="24"/>
              </w:rPr>
            </w:pPr>
            <w:r>
              <w:rPr>
                <w:rFonts w:hint="eastAsia" w:cs="宋体"/>
                <w:snapToGrid w:val="0"/>
                <w:sz w:val="24"/>
                <w:szCs w:val="24"/>
              </w:rPr>
              <w:t>大于63A</w:t>
            </w:r>
          </w:p>
        </w:tc>
        <w:tc>
          <w:tcPr>
            <w:tcW w:w="1575" w:type="dxa"/>
            <w:vAlign w:val="center"/>
          </w:tcPr>
          <w:p w14:paraId="4427044A">
            <w:pPr>
              <w:pStyle w:val="71"/>
              <w:spacing w:line="360" w:lineRule="auto"/>
              <w:ind w:firstLine="50"/>
              <w:rPr>
                <w:rFonts w:cs="宋体"/>
                <w:snapToGrid w:val="0"/>
                <w:sz w:val="24"/>
                <w:szCs w:val="24"/>
              </w:rPr>
            </w:pPr>
            <w:r>
              <w:rPr>
                <w:rFonts w:hint="eastAsia" w:cs="宋体"/>
                <w:snapToGrid w:val="0"/>
                <w:sz w:val="24"/>
                <w:szCs w:val="24"/>
              </w:rPr>
              <w:t>63A及以下</w:t>
            </w:r>
          </w:p>
        </w:tc>
        <w:tc>
          <w:tcPr>
            <w:tcW w:w="1365" w:type="dxa"/>
            <w:vAlign w:val="center"/>
          </w:tcPr>
          <w:p w14:paraId="449943B2">
            <w:pPr>
              <w:pStyle w:val="71"/>
              <w:spacing w:line="360" w:lineRule="auto"/>
              <w:ind w:firstLine="50"/>
              <w:rPr>
                <w:rFonts w:cs="宋体"/>
                <w:snapToGrid w:val="0"/>
                <w:sz w:val="24"/>
                <w:szCs w:val="24"/>
              </w:rPr>
            </w:pPr>
            <w:r>
              <w:rPr>
                <w:rFonts w:hint="eastAsia" w:cs="宋体"/>
                <w:snapToGrid w:val="0"/>
                <w:sz w:val="24"/>
                <w:szCs w:val="24"/>
              </w:rPr>
              <w:t>大于63A</w:t>
            </w:r>
          </w:p>
        </w:tc>
      </w:tr>
      <w:tr w14:paraId="727A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vAlign w:val="center"/>
          </w:tcPr>
          <w:p w14:paraId="094FEA15">
            <w:pPr>
              <w:pStyle w:val="71"/>
              <w:spacing w:line="360" w:lineRule="auto"/>
              <w:ind w:firstLine="50"/>
              <w:rPr>
                <w:rFonts w:cs="宋体"/>
                <w:snapToGrid w:val="0"/>
                <w:sz w:val="24"/>
                <w:szCs w:val="24"/>
              </w:rPr>
            </w:pPr>
            <w:r>
              <w:rPr>
                <w:rFonts w:hint="eastAsia" w:cs="宋体"/>
                <w:snapToGrid w:val="0"/>
                <w:sz w:val="24"/>
                <w:szCs w:val="24"/>
              </w:rPr>
              <w:t>ui≦60</w:t>
            </w:r>
          </w:p>
        </w:tc>
        <w:tc>
          <w:tcPr>
            <w:tcW w:w="1405" w:type="dxa"/>
            <w:vAlign w:val="center"/>
          </w:tcPr>
          <w:p w14:paraId="51627E23">
            <w:pPr>
              <w:pStyle w:val="71"/>
              <w:spacing w:line="360" w:lineRule="auto"/>
              <w:ind w:firstLine="50"/>
              <w:rPr>
                <w:rFonts w:cs="宋体"/>
                <w:snapToGrid w:val="0"/>
                <w:sz w:val="24"/>
                <w:szCs w:val="24"/>
              </w:rPr>
            </w:pPr>
            <w:r>
              <w:rPr>
                <w:rFonts w:hint="eastAsia" w:cs="宋体"/>
                <w:snapToGrid w:val="0"/>
                <w:sz w:val="24"/>
                <w:szCs w:val="24"/>
              </w:rPr>
              <w:t>3</w:t>
            </w:r>
          </w:p>
        </w:tc>
        <w:tc>
          <w:tcPr>
            <w:tcW w:w="1260" w:type="dxa"/>
            <w:vAlign w:val="center"/>
          </w:tcPr>
          <w:p w14:paraId="03278F3C">
            <w:pPr>
              <w:pStyle w:val="71"/>
              <w:spacing w:line="360" w:lineRule="auto"/>
              <w:ind w:firstLine="50"/>
              <w:rPr>
                <w:rFonts w:cs="宋体"/>
                <w:snapToGrid w:val="0"/>
                <w:sz w:val="24"/>
                <w:szCs w:val="24"/>
              </w:rPr>
            </w:pPr>
            <w:r>
              <w:rPr>
                <w:rFonts w:hint="eastAsia" w:cs="宋体"/>
                <w:snapToGrid w:val="0"/>
                <w:sz w:val="24"/>
                <w:szCs w:val="24"/>
              </w:rPr>
              <w:t>7</w:t>
            </w:r>
          </w:p>
        </w:tc>
        <w:tc>
          <w:tcPr>
            <w:tcW w:w="1575" w:type="dxa"/>
            <w:vAlign w:val="center"/>
          </w:tcPr>
          <w:p w14:paraId="3FC67638">
            <w:pPr>
              <w:pStyle w:val="71"/>
              <w:spacing w:line="360" w:lineRule="auto"/>
              <w:ind w:firstLine="50"/>
              <w:rPr>
                <w:rFonts w:cs="宋体"/>
                <w:snapToGrid w:val="0"/>
                <w:sz w:val="24"/>
                <w:szCs w:val="24"/>
              </w:rPr>
            </w:pPr>
            <w:r>
              <w:rPr>
                <w:rFonts w:hint="eastAsia" w:cs="宋体"/>
                <w:snapToGrid w:val="0"/>
                <w:sz w:val="24"/>
                <w:szCs w:val="24"/>
              </w:rPr>
              <w:t>3</w:t>
            </w:r>
          </w:p>
        </w:tc>
        <w:tc>
          <w:tcPr>
            <w:tcW w:w="1365" w:type="dxa"/>
            <w:vAlign w:val="center"/>
          </w:tcPr>
          <w:p w14:paraId="36E17E24">
            <w:pPr>
              <w:pStyle w:val="71"/>
              <w:spacing w:line="360" w:lineRule="auto"/>
              <w:ind w:firstLine="50"/>
              <w:rPr>
                <w:rFonts w:cs="宋体"/>
                <w:snapToGrid w:val="0"/>
                <w:sz w:val="24"/>
                <w:szCs w:val="24"/>
              </w:rPr>
            </w:pPr>
            <w:r>
              <w:rPr>
                <w:rFonts w:hint="eastAsia" w:cs="宋体"/>
                <w:snapToGrid w:val="0"/>
                <w:sz w:val="24"/>
                <w:szCs w:val="24"/>
              </w:rPr>
              <w:t>7</w:t>
            </w:r>
          </w:p>
        </w:tc>
      </w:tr>
      <w:tr w14:paraId="4E6A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vAlign w:val="center"/>
          </w:tcPr>
          <w:p w14:paraId="1AB0822B">
            <w:pPr>
              <w:pStyle w:val="71"/>
              <w:spacing w:line="360" w:lineRule="auto"/>
              <w:ind w:firstLine="50"/>
              <w:rPr>
                <w:rFonts w:cs="宋体"/>
                <w:snapToGrid w:val="0"/>
                <w:sz w:val="24"/>
                <w:szCs w:val="24"/>
              </w:rPr>
            </w:pPr>
            <w:r>
              <w:rPr>
                <w:rFonts w:hint="eastAsia" w:cs="宋体"/>
                <w:snapToGrid w:val="0"/>
                <w:sz w:val="24"/>
                <w:szCs w:val="24"/>
              </w:rPr>
              <w:t>60＜ui≦300</w:t>
            </w:r>
          </w:p>
        </w:tc>
        <w:tc>
          <w:tcPr>
            <w:tcW w:w="1405" w:type="dxa"/>
            <w:vAlign w:val="center"/>
          </w:tcPr>
          <w:p w14:paraId="6479013C">
            <w:pPr>
              <w:pStyle w:val="71"/>
              <w:spacing w:line="360" w:lineRule="auto"/>
              <w:ind w:firstLine="50"/>
              <w:rPr>
                <w:rFonts w:cs="宋体"/>
                <w:snapToGrid w:val="0"/>
                <w:sz w:val="24"/>
                <w:szCs w:val="24"/>
              </w:rPr>
            </w:pPr>
            <w:r>
              <w:rPr>
                <w:rFonts w:hint="eastAsia" w:cs="宋体"/>
                <w:snapToGrid w:val="0"/>
                <w:sz w:val="24"/>
                <w:szCs w:val="24"/>
              </w:rPr>
              <w:t>7</w:t>
            </w:r>
          </w:p>
        </w:tc>
        <w:tc>
          <w:tcPr>
            <w:tcW w:w="1260" w:type="dxa"/>
            <w:vAlign w:val="center"/>
          </w:tcPr>
          <w:p w14:paraId="61161817">
            <w:pPr>
              <w:pStyle w:val="71"/>
              <w:spacing w:line="360" w:lineRule="auto"/>
              <w:ind w:firstLine="50"/>
              <w:rPr>
                <w:rFonts w:cs="宋体"/>
                <w:snapToGrid w:val="0"/>
                <w:sz w:val="24"/>
                <w:szCs w:val="24"/>
              </w:rPr>
            </w:pPr>
            <w:r>
              <w:rPr>
                <w:rFonts w:hint="eastAsia" w:cs="宋体"/>
                <w:snapToGrid w:val="0"/>
                <w:sz w:val="24"/>
                <w:szCs w:val="24"/>
              </w:rPr>
              <w:t>6</w:t>
            </w:r>
          </w:p>
        </w:tc>
        <w:tc>
          <w:tcPr>
            <w:tcW w:w="1575" w:type="dxa"/>
            <w:vAlign w:val="center"/>
          </w:tcPr>
          <w:p w14:paraId="4AD652D7">
            <w:pPr>
              <w:pStyle w:val="71"/>
              <w:spacing w:line="360" w:lineRule="auto"/>
              <w:ind w:firstLine="50"/>
              <w:rPr>
                <w:rFonts w:cs="宋体"/>
                <w:snapToGrid w:val="0"/>
                <w:sz w:val="24"/>
                <w:szCs w:val="24"/>
              </w:rPr>
            </w:pPr>
            <w:r>
              <w:rPr>
                <w:rFonts w:hint="eastAsia" w:cs="宋体"/>
                <w:snapToGrid w:val="0"/>
                <w:sz w:val="24"/>
                <w:szCs w:val="24"/>
              </w:rPr>
              <w:t>6</w:t>
            </w:r>
          </w:p>
        </w:tc>
        <w:tc>
          <w:tcPr>
            <w:tcW w:w="1365" w:type="dxa"/>
            <w:vAlign w:val="center"/>
          </w:tcPr>
          <w:p w14:paraId="5E94E1A3">
            <w:pPr>
              <w:pStyle w:val="71"/>
              <w:spacing w:line="360" w:lineRule="auto"/>
              <w:ind w:firstLine="50"/>
              <w:rPr>
                <w:rFonts w:cs="宋体"/>
                <w:snapToGrid w:val="0"/>
                <w:sz w:val="24"/>
                <w:szCs w:val="24"/>
              </w:rPr>
            </w:pPr>
            <w:r>
              <w:rPr>
                <w:rFonts w:hint="eastAsia" w:cs="宋体"/>
                <w:snapToGrid w:val="0"/>
                <w:sz w:val="24"/>
                <w:szCs w:val="24"/>
              </w:rPr>
              <w:t>8</w:t>
            </w:r>
          </w:p>
        </w:tc>
      </w:tr>
      <w:tr w14:paraId="3FB1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vAlign w:val="center"/>
          </w:tcPr>
          <w:p w14:paraId="085F0113">
            <w:pPr>
              <w:pStyle w:val="71"/>
              <w:spacing w:line="360" w:lineRule="auto"/>
              <w:ind w:firstLine="50"/>
              <w:rPr>
                <w:rFonts w:cs="宋体"/>
                <w:snapToGrid w:val="0"/>
                <w:sz w:val="24"/>
                <w:szCs w:val="24"/>
              </w:rPr>
            </w:pPr>
            <w:r>
              <w:rPr>
                <w:rFonts w:hint="eastAsia" w:cs="宋体"/>
                <w:snapToGrid w:val="0"/>
                <w:sz w:val="24"/>
                <w:szCs w:val="24"/>
              </w:rPr>
              <w:t>300＜ui≦660</w:t>
            </w:r>
          </w:p>
        </w:tc>
        <w:tc>
          <w:tcPr>
            <w:tcW w:w="1405" w:type="dxa"/>
            <w:vAlign w:val="center"/>
          </w:tcPr>
          <w:p w14:paraId="7EFDC01A">
            <w:pPr>
              <w:pStyle w:val="71"/>
              <w:spacing w:line="360" w:lineRule="auto"/>
              <w:ind w:firstLine="50"/>
              <w:rPr>
                <w:rFonts w:cs="宋体"/>
                <w:snapToGrid w:val="0"/>
                <w:sz w:val="24"/>
                <w:szCs w:val="24"/>
              </w:rPr>
            </w:pPr>
            <w:r>
              <w:rPr>
                <w:rFonts w:hint="eastAsia" w:cs="宋体"/>
                <w:snapToGrid w:val="0"/>
                <w:sz w:val="24"/>
                <w:szCs w:val="24"/>
              </w:rPr>
              <w:t>8</w:t>
            </w:r>
          </w:p>
        </w:tc>
        <w:tc>
          <w:tcPr>
            <w:tcW w:w="1260" w:type="dxa"/>
            <w:vAlign w:val="center"/>
          </w:tcPr>
          <w:p w14:paraId="2DADC160">
            <w:pPr>
              <w:pStyle w:val="71"/>
              <w:spacing w:line="360" w:lineRule="auto"/>
              <w:ind w:firstLine="50"/>
              <w:rPr>
                <w:rFonts w:cs="宋体"/>
                <w:snapToGrid w:val="0"/>
                <w:sz w:val="24"/>
                <w:szCs w:val="24"/>
              </w:rPr>
            </w:pPr>
            <w:r>
              <w:rPr>
                <w:rFonts w:hint="eastAsia" w:cs="宋体"/>
                <w:snapToGrid w:val="0"/>
                <w:sz w:val="24"/>
                <w:szCs w:val="24"/>
              </w:rPr>
              <w:t>10</w:t>
            </w:r>
          </w:p>
        </w:tc>
        <w:tc>
          <w:tcPr>
            <w:tcW w:w="1575" w:type="dxa"/>
            <w:vAlign w:val="center"/>
          </w:tcPr>
          <w:p w14:paraId="7CCC2951">
            <w:pPr>
              <w:pStyle w:val="71"/>
              <w:spacing w:line="360" w:lineRule="auto"/>
              <w:ind w:firstLine="50"/>
              <w:rPr>
                <w:rFonts w:cs="宋体"/>
                <w:snapToGrid w:val="0"/>
                <w:sz w:val="24"/>
                <w:szCs w:val="24"/>
              </w:rPr>
            </w:pPr>
            <w:r>
              <w:rPr>
                <w:rFonts w:hint="eastAsia" w:cs="宋体"/>
                <w:snapToGrid w:val="0"/>
                <w:sz w:val="24"/>
                <w:szCs w:val="24"/>
              </w:rPr>
              <w:t>10</w:t>
            </w:r>
          </w:p>
        </w:tc>
        <w:tc>
          <w:tcPr>
            <w:tcW w:w="1365" w:type="dxa"/>
            <w:vAlign w:val="center"/>
          </w:tcPr>
          <w:p w14:paraId="66380782">
            <w:pPr>
              <w:pStyle w:val="71"/>
              <w:spacing w:line="360" w:lineRule="auto"/>
              <w:ind w:firstLine="50"/>
              <w:rPr>
                <w:rFonts w:cs="宋体"/>
                <w:snapToGrid w:val="0"/>
                <w:sz w:val="24"/>
                <w:szCs w:val="24"/>
              </w:rPr>
            </w:pPr>
            <w:r>
              <w:rPr>
                <w:rFonts w:hint="eastAsia" w:cs="宋体"/>
                <w:snapToGrid w:val="0"/>
                <w:sz w:val="24"/>
                <w:szCs w:val="24"/>
              </w:rPr>
              <w:t>12</w:t>
            </w:r>
          </w:p>
        </w:tc>
      </w:tr>
    </w:tbl>
    <w:p w14:paraId="637A9141">
      <w:pPr>
        <w:spacing w:line="360" w:lineRule="auto"/>
        <w:ind w:firstLine="480"/>
        <w:rPr>
          <w:rFonts w:ascii="宋体" w:hAnsi="宋体" w:cs="宋体"/>
          <w:snapToGrid w:val="0"/>
          <w:sz w:val="24"/>
        </w:rPr>
      </w:pPr>
      <w:r>
        <w:rPr>
          <w:rFonts w:hint="eastAsia" w:ascii="宋体" w:hAnsi="宋体" w:cs="宋体"/>
          <w:snapToGrid w:val="0"/>
          <w:sz w:val="24"/>
        </w:rPr>
        <w:t>当采用绝缘母线时允许缩小电气间隙和爬电距离。</w:t>
      </w:r>
    </w:p>
    <w:p w14:paraId="12D280AB">
      <w:pPr>
        <w:spacing w:line="360" w:lineRule="auto"/>
        <w:ind w:firstLine="480"/>
        <w:rPr>
          <w:rFonts w:ascii="宋体" w:hAnsi="宋体" w:cs="宋体"/>
          <w:snapToGrid w:val="0"/>
          <w:sz w:val="24"/>
        </w:rPr>
      </w:pPr>
      <w:r>
        <w:rPr>
          <w:rFonts w:hint="eastAsia" w:ascii="宋体" w:hAnsi="宋体" w:cs="宋体"/>
          <w:snapToGrid w:val="0"/>
          <w:sz w:val="24"/>
        </w:rPr>
        <w:t>4.接地：</w:t>
      </w:r>
    </w:p>
    <w:p w14:paraId="00C787AC">
      <w:pPr>
        <w:spacing w:line="360" w:lineRule="auto"/>
        <w:ind w:firstLine="480"/>
        <w:rPr>
          <w:rFonts w:ascii="宋体" w:hAnsi="宋体" w:cs="宋体"/>
          <w:snapToGrid w:val="0"/>
          <w:sz w:val="24"/>
        </w:rPr>
      </w:pPr>
      <w:r>
        <w:rPr>
          <w:rFonts w:hint="eastAsia" w:ascii="宋体" w:hAnsi="宋体" w:cs="宋体"/>
          <w:snapToGrid w:val="0"/>
          <w:sz w:val="24"/>
        </w:rPr>
        <w:t>所有作为隔离带电导体的金属隔板均应有效地接地，所有电气元件的金属外壳以及金属手柄均有效地接地。</w:t>
      </w:r>
    </w:p>
    <w:p w14:paraId="712250AB">
      <w:pPr>
        <w:spacing w:line="360" w:lineRule="auto"/>
        <w:ind w:firstLine="480"/>
        <w:rPr>
          <w:rFonts w:ascii="宋体" w:hAnsi="宋体" w:cs="宋体"/>
          <w:snapToGrid w:val="0"/>
          <w:sz w:val="24"/>
        </w:rPr>
      </w:pPr>
      <w:r>
        <w:rPr>
          <w:rFonts w:hint="eastAsia" w:ascii="宋体" w:hAnsi="宋体" w:cs="宋体"/>
          <w:snapToGrid w:val="0"/>
          <w:sz w:val="24"/>
        </w:rPr>
        <w:t>所有电器元件外壳应采用金属螺钉安装在已经接地的镀锌金属构件上。</w:t>
      </w:r>
    </w:p>
    <w:p w14:paraId="3B134B52">
      <w:pPr>
        <w:spacing w:line="360" w:lineRule="auto"/>
        <w:ind w:firstLine="480"/>
        <w:rPr>
          <w:rFonts w:ascii="宋体" w:hAnsi="宋体" w:cs="宋体"/>
          <w:snapToGrid w:val="0"/>
          <w:sz w:val="24"/>
        </w:rPr>
      </w:pPr>
      <w:r>
        <w:rPr>
          <w:rFonts w:hint="eastAsia" w:ascii="宋体" w:hAnsi="宋体" w:cs="宋体"/>
          <w:snapToGrid w:val="0"/>
          <w:sz w:val="24"/>
        </w:rPr>
        <w:t>镀锌的金属板、安装结构件应采用螺钉相互连接，应具有保护电流的连续性。</w:t>
      </w:r>
    </w:p>
    <w:p w14:paraId="7E5EDA2C">
      <w:pPr>
        <w:spacing w:line="360" w:lineRule="auto"/>
        <w:ind w:firstLine="480"/>
        <w:rPr>
          <w:rFonts w:ascii="宋体" w:hAnsi="宋体" w:cs="宋体"/>
          <w:snapToGrid w:val="0"/>
          <w:sz w:val="24"/>
        </w:rPr>
      </w:pPr>
      <w:r>
        <w:rPr>
          <w:rFonts w:hint="eastAsia" w:ascii="宋体" w:hAnsi="宋体" w:cs="宋体"/>
          <w:snapToGrid w:val="0"/>
          <w:sz w:val="24"/>
        </w:rPr>
        <w:t>设备的接地端子应是螺栓式，适合于铜排的连接，接地铜排的截面应不小于200mm</w:t>
      </w:r>
      <w:r>
        <w:rPr>
          <w:rFonts w:hint="eastAsia" w:ascii="宋体" w:hAnsi="宋体" w:cs="宋体"/>
          <w:snapToGrid w:val="0"/>
          <w:sz w:val="24"/>
          <w:vertAlign w:val="superscript"/>
        </w:rPr>
        <w:t>2</w:t>
      </w:r>
      <w:r>
        <w:rPr>
          <w:rFonts w:hint="eastAsia" w:ascii="宋体" w:hAnsi="宋体" w:cs="宋体"/>
          <w:snapToGrid w:val="0"/>
          <w:sz w:val="24"/>
        </w:rPr>
        <w:t>。</w:t>
      </w:r>
    </w:p>
    <w:p w14:paraId="777BBFA5">
      <w:pPr>
        <w:spacing w:line="360" w:lineRule="auto"/>
        <w:ind w:firstLine="480"/>
        <w:rPr>
          <w:rFonts w:ascii="宋体" w:hAnsi="宋体" w:cs="宋体"/>
          <w:snapToGrid w:val="0"/>
          <w:sz w:val="24"/>
        </w:rPr>
      </w:pPr>
      <w:r>
        <w:rPr>
          <w:rFonts w:hint="eastAsia" w:ascii="宋体" w:hAnsi="宋体" w:cs="宋体"/>
          <w:snapToGrid w:val="0"/>
          <w:sz w:val="24"/>
        </w:rPr>
        <w:t>5. 主母线和分支母线：</w:t>
      </w:r>
    </w:p>
    <w:p w14:paraId="0AAFE6DB">
      <w:pPr>
        <w:spacing w:line="360" w:lineRule="auto"/>
        <w:ind w:firstLine="480"/>
        <w:rPr>
          <w:rFonts w:ascii="宋体" w:hAnsi="宋体" w:cs="宋体"/>
          <w:snapToGrid w:val="0"/>
          <w:sz w:val="24"/>
        </w:rPr>
      </w:pPr>
      <w:r>
        <w:rPr>
          <w:rFonts w:hint="eastAsia" w:ascii="宋体" w:hAnsi="宋体" w:cs="宋体"/>
          <w:snapToGrid w:val="0"/>
          <w:sz w:val="24"/>
        </w:rPr>
        <w:t>低压开关柜母线系统为三相五线制，接地保护型式为TN－S系统。A，B，C，N和PE母排均由刚性、硬拉高导电的电解铜制成。主母线安装于柜体的上部，其表面和各结合部均镀锡。PE母线单独安装于柜体下部，与相线隔离。PE线贯穿于整个柜体，金属柜体的各部分与接地PE线有良好的导电性能。所有铜母线、母线接头应镀锡；分支母线接头应除锈酸洗处理并镀锡。</w:t>
      </w:r>
    </w:p>
    <w:p w14:paraId="0B93E2C9">
      <w:pPr>
        <w:spacing w:line="360" w:lineRule="auto"/>
        <w:ind w:firstLine="480"/>
        <w:rPr>
          <w:rFonts w:ascii="宋体" w:hAnsi="宋体" w:cs="宋体"/>
          <w:snapToGrid w:val="0"/>
          <w:sz w:val="24"/>
        </w:rPr>
      </w:pPr>
      <w:r>
        <w:rPr>
          <w:rFonts w:hint="eastAsia" w:ascii="宋体" w:hAnsi="宋体" w:cs="宋体"/>
          <w:snapToGrid w:val="0"/>
          <w:sz w:val="24"/>
        </w:rPr>
        <w:t>母线排用粘性色带进行标记，相色分别为：A相黄色，B相绿色，C相红色。</w:t>
      </w:r>
    </w:p>
    <w:p w14:paraId="71A36B58">
      <w:pPr>
        <w:spacing w:line="360" w:lineRule="auto"/>
        <w:ind w:firstLine="480"/>
        <w:rPr>
          <w:rFonts w:ascii="宋体" w:hAnsi="宋体" w:cs="宋体"/>
          <w:snapToGrid w:val="0"/>
          <w:sz w:val="24"/>
        </w:rPr>
      </w:pPr>
      <w:r>
        <w:rPr>
          <w:rFonts w:hint="eastAsia" w:ascii="宋体" w:hAnsi="宋体" w:cs="宋体"/>
          <w:snapToGrid w:val="0"/>
          <w:sz w:val="24"/>
        </w:rPr>
        <w:t>三相母排的排列为：由柜后向柜面排列为A、B、C相。</w:t>
      </w:r>
    </w:p>
    <w:p w14:paraId="79045608">
      <w:pPr>
        <w:spacing w:line="360" w:lineRule="auto"/>
        <w:ind w:firstLine="480"/>
        <w:rPr>
          <w:rFonts w:ascii="宋体" w:hAnsi="宋体" w:cs="宋体"/>
          <w:snapToGrid w:val="0"/>
          <w:sz w:val="24"/>
        </w:rPr>
      </w:pPr>
      <w:r>
        <w:rPr>
          <w:rFonts w:hint="eastAsia" w:ascii="宋体" w:hAnsi="宋体" w:cs="宋体"/>
          <w:snapToGrid w:val="0"/>
          <w:sz w:val="24"/>
        </w:rPr>
        <w:t>母排支撑件由特殊材料支撑，能适应机械及电气的要求，应该保证承受装置额定短时耐受电流和峰值耐受电流所产生的热应力和机械应力的冲击。</w:t>
      </w:r>
    </w:p>
    <w:p w14:paraId="5F34D087">
      <w:pPr>
        <w:tabs>
          <w:tab w:val="left" w:pos="0"/>
        </w:tabs>
        <w:spacing w:line="360" w:lineRule="auto"/>
        <w:rPr>
          <w:rFonts w:ascii="宋体" w:hAnsi="宋体" w:cs="宋体"/>
          <w:sz w:val="24"/>
        </w:rPr>
      </w:pPr>
      <w:r>
        <w:rPr>
          <w:rFonts w:hint="eastAsia" w:ascii="宋体" w:hAnsi="宋体" w:cs="宋体"/>
          <w:sz w:val="24"/>
        </w:rPr>
        <w:t>主要元件的技术要求</w:t>
      </w:r>
    </w:p>
    <w:p w14:paraId="0082EDCD">
      <w:pPr>
        <w:spacing w:line="360" w:lineRule="auto"/>
        <w:ind w:firstLine="480"/>
        <w:rPr>
          <w:rFonts w:ascii="宋体" w:hAnsi="宋体" w:cs="宋体"/>
          <w:snapToGrid w:val="0"/>
          <w:sz w:val="24"/>
        </w:rPr>
      </w:pPr>
      <w:r>
        <w:rPr>
          <w:rFonts w:hint="eastAsia" w:ascii="宋体" w:hAnsi="宋体" w:cs="宋体"/>
          <w:snapToGrid w:val="0"/>
          <w:sz w:val="24"/>
        </w:rPr>
        <w:t>进线、联络开关采用抽出式框架空气断路器。</w:t>
      </w:r>
    </w:p>
    <w:p w14:paraId="74D99CB9">
      <w:pPr>
        <w:spacing w:line="360" w:lineRule="auto"/>
        <w:ind w:firstLine="480"/>
        <w:rPr>
          <w:rFonts w:ascii="宋体" w:hAnsi="宋体" w:cs="宋体"/>
          <w:snapToGrid w:val="0"/>
          <w:sz w:val="24"/>
        </w:rPr>
      </w:pPr>
      <w:r>
        <w:rPr>
          <w:rFonts w:hint="eastAsia" w:ascii="宋体" w:hAnsi="宋体" w:cs="宋体"/>
          <w:snapToGrid w:val="0"/>
          <w:sz w:val="24"/>
        </w:rPr>
        <w:t>额定值（详细见图纸）</w:t>
      </w:r>
    </w:p>
    <w:p w14:paraId="56BA3789">
      <w:pPr>
        <w:spacing w:line="360" w:lineRule="auto"/>
        <w:ind w:firstLine="480"/>
        <w:rPr>
          <w:rFonts w:ascii="宋体" w:hAnsi="宋体" w:cs="宋体"/>
          <w:snapToGrid w:val="0"/>
          <w:sz w:val="24"/>
        </w:rPr>
      </w:pPr>
      <w:r>
        <w:rPr>
          <w:rFonts w:hint="eastAsia" w:ascii="宋体" w:hAnsi="宋体" w:cs="宋体"/>
          <w:snapToGrid w:val="0"/>
          <w:sz w:val="24"/>
        </w:rPr>
        <w:t>额定电压： AC380V</w:t>
      </w:r>
    </w:p>
    <w:p w14:paraId="2A5AC798">
      <w:pPr>
        <w:spacing w:line="360" w:lineRule="auto"/>
        <w:ind w:firstLine="480"/>
        <w:rPr>
          <w:rFonts w:ascii="宋体" w:hAnsi="宋体" w:cs="宋体"/>
          <w:snapToGrid w:val="0"/>
          <w:sz w:val="24"/>
        </w:rPr>
      </w:pPr>
      <w:r>
        <w:rPr>
          <w:rFonts w:hint="eastAsia" w:ascii="宋体" w:hAnsi="宋体" w:cs="宋体"/>
          <w:snapToGrid w:val="0"/>
          <w:sz w:val="24"/>
        </w:rPr>
        <w:t>额定工作电压：660V/50Hz</w:t>
      </w:r>
    </w:p>
    <w:p w14:paraId="3892A1BE">
      <w:pPr>
        <w:spacing w:line="360" w:lineRule="auto"/>
        <w:ind w:firstLine="480"/>
        <w:rPr>
          <w:rFonts w:ascii="宋体" w:hAnsi="宋体" w:cs="宋体"/>
          <w:snapToGrid w:val="0"/>
          <w:sz w:val="24"/>
        </w:rPr>
      </w:pPr>
      <w:r>
        <w:rPr>
          <w:rFonts w:hint="eastAsia" w:ascii="宋体" w:hAnsi="宋体" w:cs="宋体"/>
          <w:snapToGrid w:val="0"/>
          <w:sz w:val="24"/>
        </w:rPr>
        <w:t>额定极限短路分断容量及使用分断能力（KA）：≥65 KA（有效值）</w:t>
      </w:r>
    </w:p>
    <w:p w14:paraId="07E0D902">
      <w:pPr>
        <w:spacing w:line="360" w:lineRule="auto"/>
        <w:ind w:firstLine="480"/>
        <w:rPr>
          <w:rFonts w:ascii="宋体" w:hAnsi="宋体" w:cs="宋体"/>
          <w:snapToGrid w:val="0"/>
          <w:sz w:val="24"/>
        </w:rPr>
      </w:pPr>
      <w:r>
        <w:rPr>
          <w:rFonts w:hint="eastAsia" w:ascii="宋体" w:hAnsi="宋体" w:cs="宋体"/>
          <w:snapToGrid w:val="0"/>
          <w:sz w:val="24"/>
        </w:rPr>
        <w:t>机械使用寿命：≥10000次（免维护）</w:t>
      </w:r>
    </w:p>
    <w:p w14:paraId="48B9D67B">
      <w:pPr>
        <w:spacing w:line="360" w:lineRule="auto"/>
        <w:ind w:firstLine="480"/>
        <w:rPr>
          <w:rFonts w:ascii="宋体" w:hAnsi="宋体" w:cs="宋体"/>
          <w:snapToGrid w:val="0"/>
          <w:sz w:val="24"/>
        </w:rPr>
      </w:pPr>
      <w:r>
        <w:rPr>
          <w:rFonts w:hint="eastAsia" w:ascii="宋体" w:hAnsi="宋体" w:cs="宋体"/>
          <w:snapToGrid w:val="0"/>
          <w:sz w:val="24"/>
        </w:rPr>
        <w:t>电气使用寿命：≥4000次 （免维护）</w:t>
      </w:r>
    </w:p>
    <w:p w14:paraId="4201067B">
      <w:pPr>
        <w:spacing w:line="360" w:lineRule="auto"/>
        <w:ind w:firstLine="480"/>
        <w:rPr>
          <w:rFonts w:ascii="宋体" w:hAnsi="宋体" w:cs="宋体"/>
          <w:snapToGrid w:val="0"/>
          <w:sz w:val="24"/>
        </w:rPr>
      </w:pPr>
      <w:r>
        <w:rPr>
          <w:rFonts w:hint="eastAsia" w:ascii="宋体" w:hAnsi="宋体" w:cs="宋体"/>
          <w:snapToGrid w:val="0"/>
          <w:sz w:val="24"/>
        </w:rPr>
        <w:t>保护方式：框架式空气断路器采用三段保护（包含过载、瞬时短路保护、延时短路保护）。</w:t>
      </w:r>
    </w:p>
    <w:p w14:paraId="02F30654">
      <w:pPr>
        <w:spacing w:line="360" w:lineRule="auto"/>
        <w:ind w:firstLine="480"/>
        <w:rPr>
          <w:rFonts w:ascii="宋体" w:hAnsi="宋体" w:cs="宋体"/>
          <w:snapToGrid w:val="0"/>
          <w:sz w:val="24"/>
        </w:rPr>
      </w:pPr>
      <w:r>
        <w:rPr>
          <w:rFonts w:hint="eastAsia" w:ascii="宋体" w:hAnsi="宋体" w:cs="宋体"/>
          <w:snapToGrid w:val="0"/>
          <w:sz w:val="24"/>
        </w:rPr>
        <w:t>断路器及其他元器件必须满足设计图纸及以下功能要求：</w:t>
      </w:r>
    </w:p>
    <w:p w14:paraId="58AB89CB">
      <w:pPr>
        <w:spacing w:line="360" w:lineRule="auto"/>
        <w:ind w:firstLine="480"/>
        <w:rPr>
          <w:rFonts w:ascii="宋体" w:hAnsi="宋体" w:cs="宋体"/>
          <w:snapToGrid w:val="0"/>
          <w:sz w:val="24"/>
        </w:rPr>
      </w:pPr>
      <w:r>
        <w:rPr>
          <w:rFonts w:hint="eastAsia" w:ascii="宋体" w:hAnsi="宋体" w:cs="宋体"/>
          <w:snapToGrid w:val="0"/>
          <w:sz w:val="24"/>
        </w:rPr>
        <w:t>1、断路器/交流接触器/热过载继电器/浪涌保护器采用优质知名品牌，中间继电器/选择开关/指示灯/按钮采用优质知名品牌。</w:t>
      </w:r>
    </w:p>
    <w:p w14:paraId="1C19A2A3">
      <w:pPr>
        <w:spacing w:line="360" w:lineRule="auto"/>
        <w:ind w:firstLine="480"/>
        <w:rPr>
          <w:rFonts w:ascii="宋体" w:hAnsi="宋体" w:cs="宋体"/>
          <w:snapToGrid w:val="0"/>
          <w:sz w:val="24"/>
        </w:rPr>
      </w:pPr>
      <w:r>
        <w:rPr>
          <w:rFonts w:hint="eastAsia" w:ascii="宋体" w:hAnsi="宋体" w:cs="宋体"/>
          <w:snapToGrid w:val="0"/>
          <w:sz w:val="24"/>
        </w:rPr>
        <w:t>2、PLC采用优质知名品牌，配10寸屏，I/O点冗余10%。</w:t>
      </w:r>
    </w:p>
    <w:p w14:paraId="5EBD6FEE">
      <w:pPr>
        <w:spacing w:line="360" w:lineRule="auto"/>
        <w:ind w:firstLine="480"/>
        <w:rPr>
          <w:rFonts w:ascii="宋体" w:hAnsi="宋体" w:cs="宋体"/>
          <w:snapToGrid w:val="0"/>
          <w:sz w:val="24"/>
        </w:rPr>
      </w:pPr>
      <w:r>
        <w:rPr>
          <w:rFonts w:hint="eastAsia" w:ascii="宋体" w:hAnsi="宋体" w:cs="宋体"/>
          <w:snapToGrid w:val="0"/>
          <w:sz w:val="24"/>
        </w:rPr>
        <w:t>3、熔断器的熔体规格、自动开关的整定值符合设计要求；</w:t>
      </w:r>
    </w:p>
    <w:p w14:paraId="6AA3E835">
      <w:pPr>
        <w:spacing w:line="360" w:lineRule="auto"/>
        <w:ind w:firstLine="480"/>
        <w:rPr>
          <w:rFonts w:ascii="宋体" w:hAnsi="宋体" w:cs="宋体"/>
          <w:snapToGrid w:val="0"/>
          <w:sz w:val="24"/>
        </w:rPr>
      </w:pPr>
      <w:r>
        <w:rPr>
          <w:rFonts w:hint="eastAsia" w:ascii="宋体" w:hAnsi="宋体" w:cs="宋体"/>
          <w:snapToGrid w:val="0"/>
          <w:sz w:val="24"/>
        </w:rPr>
        <w:t>4、信号回路的信号灯、按扭、光字牌、电铃、电笛、事故电钟等动作和信号显示准确；</w:t>
      </w:r>
    </w:p>
    <w:p w14:paraId="1E0FAE15">
      <w:pPr>
        <w:spacing w:line="360" w:lineRule="auto"/>
        <w:ind w:firstLine="480"/>
        <w:rPr>
          <w:rFonts w:ascii="宋体" w:hAnsi="宋体" w:cs="宋体"/>
          <w:snapToGrid w:val="0"/>
          <w:sz w:val="24"/>
        </w:rPr>
      </w:pPr>
      <w:r>
        <w:rPr>
          <w:rFonts w:hint="eastAsia" w:ascii="宋体" w:hAnsi="宋体" w:cs="宋体"/>
          <w:snapToGrid w:val="0"/>
          <w:sz w:val="24"/>
        </w:rPr>
        <w:t>5、端子排安装牢固，端子有序号，强电、弱电端子隔离布置，端子规格和芯线截面积大小适配，端子预留10%的备用。</w:t>
      </w:r>
    </w:p>
    <w:p w14:paraId="27917966">
      <w:pPr>
        <w:spacing w:line="360" w:lineRule="auto"/>
        <w:ind w:firstLine="480"/>
        <w:rPr>
          <w:rFonts w:ascii="宋体" w:hAnsi="宋体" w:cs="宋体"/>
          <w:snapToGrid w:val="0"/>
          <w:sz w:val="24"/>
        </w:rPr>
      </w:pPr>
      <w:r>
        <w:rPr>
          <w:rFonts w:hint="eastAsia" w:ascii="宋体" w:hAnsi="宋体" w:cs="宋体"/>
          <w:snapToGrid w:val="0"/>
          <w:sz w:val="24"/>
        </w:rPr>
        <w:t>6、按钮和指示灯式样应协调，按钮及指示灯颜色统一为：风机水泵类的红色按钮为停止按钮，绿色按钮为启动按钮；红色指示灯为停止指示，绿色指示灯为运行指示；电动阀和电磁阀类红色按钮为关闭按钮，绿色按钮为打开按钮；红色指示灯为关到位指示，绿色指示灯为开到位指示；急停按钮及指示灯采用红色，自锁旋转复位型。电动机机旁提供的按钮箱，应配备必要的型钢结构支架、托板等附件（或以图纸要求为准），以及能清楚地表示所控制设备的标志。所有按钮、指示灯配中文或英文数字（设备位号）标牌，文字最小高度为3mm。</w:t>
      </w:r>
    </w:p>
    <w:p w14:paraId="78FCD97E">
      <w:pPr>
        <w:spacing w:line="360" w:lineRule="auto"/>
        <w:ind w:firstLine="480"/>
        <w:rPr>
          <w:rFonts w:ascii="宋体" w:hAnsi="宋体" w:cs="宋体"/>
          <w:snapToGrid w:val="0"/>
          <w:sz w:val="24"/>
        </w:rPr>
      </w:pPr>
      <w:r>
        <w:rPr>
          <w:rFonts w:hint="eastAsia" w:ascii="宋体" w:hAnsi="宋体" w:cs="宋体"/>
          <w:snapToGrid w:val="0"/>
          <w:sz w:val="24"/>
        </w:rPr>
        <w:t>7、控制继电器辅助触点最小额定值为220V，10A，采用积木式结构，相似于接触器的结构。小型继电器带可见指示器，用于指示继电器是否带电；继电器带有测试按钮。时间继电器采用电子可调式。继电器和定时器应安装在导轨上，便于维修和保养，导轨上预留安装空位置，以便将来增加继电器。</w:t>
      </w:r>
    </w:p>
    <w:p w14:paraId="268B4482">
      <w:pPr>
        <w:tabs>
          <w:tab w:val="left" w:pos="0"/>
        </w:tabs>
        <w:spacing w:line="360" w:lineRule="auto"/>
        <w:rPr>
          <w:rFonts w:ascii="宋体" w:hAnsi="宋体" w:cs="宋体"/>
          <w:b/>
          <w:bCs/>
          <w:sz w:val="24"/>
        </w:rPr>
      </w:pPr>
      <w:r>
        <w:rPr>
          <w:rFonts w:hint="eastAsia" w:ascii="宋体" w:hAnsi="宋体" w:cs="宋体"/>
          <w:b/>
          <w:bCs/>
          <w:sz w:val="24"/>
        </w:rPr>
        <w:t>PLC</w:t>
      </w:r>
    </w:p>
    <w:p w14:paraId="68F240A0">
      <w:pPr>
        <w:tabs>
          <w:tab w:val="left" w:pos="0"/>
        </w:tabs>
        <w:spacing w:line="360" w:lineRule="auto"/>
        <w:rPr>
          <w:rFonts w:ascii="宋体" w:hAnsi="宋体" w:cs="宋体"/>
          <w:sz w:val="24"/>
        </w:rPr>
      </w:pPr>
      <w:r>
        <w:rPr>
          <w:rFonts w:hint="eastAsia" w:ascii="宋体" w:hAnsi="宋体" w:cs="宋体"/>
          <w:sz w:val="24"/>
        </w:rPr>
        <w:t>范围</w:t>
      </w:r>
    </w:p>
    <w:p w14:paraId="7EF0CDE9">
      <w:pPr>
        <w:spacing w:line="360" w:lineRule="auto"/>
        <w:ind w:firstLine="480"/>
        <w:rPr>
          <w:rFonts w:ascii="宋体" w:hAnsi="宋体" w:cs="宋体"/>
          <w:sz w:val="24"/>
        </w:rPr>
      </w:pPr>
      <w:r>
        <w:rPr>
          <w:rFonts w:hint="eastAsia" w:ascii="宋体" w:hAnsi="宋体" w:cs="宋体"/>
          <w:sz w:val="24"/>
        </w:rPr>
        <w:t>PLC系统控制整个污水处理系统的设备监控、运行、数据存储、输出和输入。操作界面按污水处理系统设置，要求出口在线监测数据在PLC界面上显示。PLC界面出在污水处理站现场显示外，还需将界面传输至医院总务科（距离污水处理站中控间约400米）电脑界面。PLC采用SMART200系列，备用点引到端子上。触摸屏采用10寸。预留以太网接口I/O点数需10%备用冗余。PLC柜需带防雷浪涌器。</w:t>
      </w:r>
    </w:p>
    <w:p w14:paraId="2AA7B2AE">
      <w:pPr>
        <w:tabs>
          <w:tab w:val="left" w:pos="0"/>
        </w:tabs>
        <w:spacing w:line="360" w:lineRule="auto"/>
        <w:rPr>
          <w:rFonts w:ascii="宋体" w:hAnsi="宋体" w:cs="宋体"/>
          <w:b/>
          <w:bCs/>
          <w:sz w:val="24"/>
        </w:rPr>
      </w:pPr>
      <w:r>
        <w:rPr>
          <w:rFonts w:hint="eastAsia" w:ascii="宋体" w:hAnsi="宋体" w:cs="宋体"/>
          <w:b/>
          <w:bCs/>
          <w:sz w:val="24"/>
        </w:rPr>
        <w:t>软件程序的一般要求</w:t>
      </w:r>
    </w:p>
    <w:p w14:paraId="50B43589">
      <w:pPr>
        <w:spacing w:line="360" w:lineRule="auto"/>
        <w:ind w:firstLine="480"/>
        <w:rPr>
          <w:rFonts w:ascii="宋体" w:hAnsi="宋体" w:cs="宋体"/>
          <w:sz w:val="24"/>
        </w:rPr>
      </w:pPr>
      <w:r>
        <w:rPr>
          <w:rFonts w:hint="eastAsia" w:ascii="宋体" w:hAnsi="宋体" w:cs="宋体"/>
          <w:sz w:val="24"/>
        </w:rPr>
        <w:t>①所有PLC编程软件应是严格按质量标准开发编制的（ISO9000-3），允许操作人员能看、了解、维护和修改。</w:t>
      </w:r>
    </w:p>
    <w:p w14:paraId="543B4C50">
      <w:pPr>
        <w:spacing w:line="360" w:lineRule="auto"/>
        <w:ind w:firstLine="480"/>
        <w:rPr>
          <w:rFonts w:ascii="宋体" w:hAnsi="宋体" w:cs="宋体"/>
          <w:sz w:val="24"/>
        </w:rPr>
      </w:pPr>
      <w:r>
        <w:rPr>
          <w:rFonts w:hint="eastAsia" w:ascii="宋体" w:hAnsi="宋体" w:cs="宋体"/>
          <w:sz w:val="24"/>
        </w:rPr>
        <w:t>②软件应设计成模块化结构，以反映PLC硬件区分和设备分类。模块型式应专用于传感器、回路、设备项目和自动顺序。</w:t>
      </w:r>
    </w:p>
    <w:p w14:paraId="62B927D1">
      <w:pPr>
        <w:spacing w:line="360" w:lineRule="auto"/>
        <w:ind w:firstLine="480"/>
        <w:rPr>
          <w:rFonts w:ascii="宋体" w:hAnsi="宋体" w:cs="宋体"/>
          <w:sz w:val="24"/>
        </w:rPr>
      </w:pPr>
      <w:r>
        <w:rPr>
          <w:rFonts w:hint="eastAsia" w:ascii="宋体" w:hAnsi="宋体" w:cs="宋体"/>
          <w:sz w:val="24"/>
        </w:rPr>
        <w:t>③软件设计应是分层方式结构。如单元之间通讯、报警产生、手操输入点等处理应以同样的、容易识别的方式来产生。所安装的软件应能够使PLC执行下列功能范围，但不限于下列范围：</w:t>
      </w:r>
    </w:p>
    <w:p w14:paraId="73FB26B7">
      <w:pPr>
        <w:spacing w:line="360" w:lineRule="auto"/>
        <w:ind w:firstLine="480"/>
        <w:rPr>
          <w:rFonts w:ascii="宋体" w:hAnsi="宋体" w:cs="宋体"/>
          <w:sz w:val="24"/>
        </w:rPr>
      </w:pPr>
      <w:r>
        <w:rPr>
          <w:rFonts w:hint="eastAsia" w:ascii="宋体" w:hAnsi="宋体" w:cs="宋体"/>
          <w:sz w:val="24"/>
        </w:rPr>
        <w:t>设备和传感器的状态和报警监视</w:t>
      </w:r>
    </w:p>
    <w:p w14:paraId="764F82AC">
      <w:pPr>
        <w:spacing w:line="360" w:lineRule="auto"/>
        <w:ind w:firstLine="480"/>
        <w:rPr>
          <w:rFonts w:ascii="宋体" w:hAnsi="宋体" w:cs="宋体"/>
          <w:sz w:val="24"/>
        </w:rPr>
      </w:pPr>
      <w:r>
        <w:rPr>
          <w:rFonts w:hint="eastAsia" w:ascii="宋体" w:hAnsi="宋体" w:cs="宋体"/>
          <w:sz w:val="24"/>
        </w:rPr>
        <w:t>模拟量的数据采集</w:t>
      </w:r>
    </w:p>
    <w:p w14:paraId="4CEF5445">
      <w:pPr>
        <w:spacing w:line="360" w:lineRule="auto"/>
        <w:ind w:firstLine="480"/>
        <w:rPr>
          <w:rFonts w:ascii="宋体" w:hAnsi="宋体" w:cs="宋体"/>
          <w:sz w:val="24"/>
        </w:rPr>
      </w:pPr>
      <w:r>
        <w:rPr>
          <w:rFonts w:hint="eastAsia" w:ascii="宋体" w:hAnsi="宋体" w:cs="宋体"/>
          <w:sz w:val="24"/>
        </w:rPr>
        <w:t>监测和记录数据传送到其它系统</w:t>
      </w:r>
    </w:p>
    <w:p w14:paraId="724FEBCE">
      <w:pPr>
        <w:spacing w:line="360" w:lineRule="auto"/>
        <w:ind w:firstLine="480"/>
        <w:rPr>
          <w:rFonts w:ascii="宋体" w:hAnsi="宋体" w:cs="宋体"/>
          <w:sz w:val="24"/>
        </w:rPr>
      </w:pPr>
      <w:r>
        <w:rPr>
          <w:rFonts w:hint="eastAsia" w:ascii="宋体" w:hAnsi="宋体" w:cs="宋体"/>
          <w:sz w:val="24"/>
        </w:rPr>
        <w:t>设备的顺序控制</w:t>
      </w:r>
    </w:p>
    <w:p w14:paraId="2868952B">
      <w:pPr>
        <w:spacing w:line="360" w:lineRule="auto"/>
        <w:ind w:firstLine="480"/>
        <w:rPr>
          <w:rFonts w:ascii="宋体" w:hAnsi="宋体" w:cs="宋体"/>
          <w:sz w:val="24"/>
        </w:rPr>
      </w:pPr>
      <w:r>
        <w:rPr>
          <w:rFonts w:hint="eastAsia" w:ascii="宋体" w:hAnsi="宋体" w:cs="宋体"/>
          <w:sz w:val="24"/>
        </w:rPr>
        <w:t>闭环控制系统</w:t>
      </w:r>
    </w:p>
    <w:p w14:paraId="5E95A65E">
      <w:pPr>
        <w:spacing w:line="360" w:lineRule="auto"/>
        <w:ind w:firstLine="480"/>
        <w:rPr>
          <w:rFonts w:ascii="宋体" w:hAnsi="宋体" w:cs="宋体"/>
          <w:sz w:val="24"/>
        </w:rPr>
      </w:pPr>
      <w:r>
        <w:rPr>
          <w:rFonts w:hint="eastAsia" w:ascii="宋体" w:hAnsi="宋体" w:cs="宋体"/>
          <w:sz w:val="24"/>
        </w:rPr>
        <w:t>电源、电路、仪表、传感器、通讯或工艺设备故障时的故障安全动作</w:t>
      </w:r>
    </w:p>
    <w:p w14:paraId="43EA5980">
      <w:pPr>
        <w:spacing w:line="360" w:lineRule="auto"/>
        <w:ind w:firstLine="480"/>
        <w:rPr>
          <w:rFonts w:ascii="宋体" w:hAnsi="宋体" w:cs="宋体"/>
          <w:sz w:val="24"/>
        </w:rPr>
      </w:pPr>
      <w:r>
        <w:rPr>
          <w:rFonts w:hint="eastAsia" w:ascii="宋体" w:hAnsi="宋体" w:cs="宋体"/>
          <w:sz w:val="24"/>
        </w:rPr>
        <w:t>在各种情况下控制设备起动或停机</w:t>
      </w:r>
    </w:p>
    <w:p w14:paraId="607E1EB4">
      <w:pPr>
        <w:spacing w:line="360" w:lineRule="auto"/>
        <w:ind w:firstLine="480"/>
        <w:rPr>
          <w:rFonts w:ascii="宋体" w:hAnsi="宋体" w:cs="宋体"/>
          <w:sz w:val="24"/>
        </w:rPr>
      </w:pPr>
      <w:r>
        <w:rPr>
          <w:rFonts w:hint="eastAsia" w:ascii="宋体" w:hAnsi="宋体" w:cs="宋体"/>
          <w:sz w:val="24"/>
        </w:rPr>
        <w:t>④投标人应确保三年内标准软件的产品支持。</w:t>
      </w:r>
    </w:p>
    <w:p w14:paraId="0480F8FD">
      <w:pPr>
        <w:spacing w:line="360" w:lineRule="auto"/>
        <w:ind w:firstLine="480"/>
        <w:rPr>
          <w:rFonts w:ascii="宋体" w:hAnsi="宋体" w:cs="宋体"/>
          <w:sz w:val="24"/>
        </w:rPr>
      </w:pPr>
      <w:r>
        <w:rPr>
          <w:rFonts w:hint="eastAsia" w:ascii="宋体" w:hAnsi="宋体" w:cs="宋体"/>
          <w:sz w:val="24"/>
        </w:rPr>
        <w:t>⑤数据表应是连续的块的结构，使数据块在连续可调扫描速率下传送到其它系统。</w:t>
      </w:r>
    </w:p>
    <w:p w14:paraId="605E7C9C">
      <w:pPr>
        <w:spacing w:line="360" w:lineRule="auto"/>
        <w:ind w:firstLine="480"/>
        <w:rPr>
          <w:rFonts w:ascii="宋体" w:hAnsi="宋体" w:cs="宋体"/>
          <w:sz w:val="24"/>
        </w:rPr>
      </w:pPr>
      <w:r>
        <w:rPr>
          <w:rFonts w:hint="eastAsia" w:ascii="宋体" w:hAnsi="宋体" w:cs="宋体"/>
          <w:sz w:val="24"/>
        </w:rPr>
        <w:t>⑥可采用梯形逻辑图或更高级的编辑软件。在软件设计和监视运行中要装有安全程序，在任何故障条件下，采用如下最合适的安全行动：</w:t>
      </w:r>
    </w:p>
    <w:p w14:paraId="58BD848C">
      <w:pPr>
        <w:spacing w:line="360" w:lineRule="auto"/>
        <w:ind w:firstLine="480"/>
        <w:rPr>
          <w:rFonts w:ascii="宋体" w:hAnsi="宋体" w:cs="宋体"/>
          <w:sz w:val="24"/>
        </w:rPr>
      </w:pPr>
      <w:r>
        <w:rPr>
          <w:rFonts w:hint="eastAsia" w:ascii="宋体" w:hAnsi="宋体" w:cs="宋体"/>
          <w:sz w:val="24"/>
        </w:rPr>
        <w:t>连续“保持”值（例如：当仪表故障时的模拟量输入）</w:t>
      </w:r>
    </w:p>
    <w:p w14:paraId="5DC3F595">
      <w:pPr>
        <w:spacing w:line="360" w:lineRule="auto"/>
        <w:ind w:firstLine="480"/>
        <w:rPr>
          <w:rFonts w:ascii="宋体" w:hAnsi="宋体" w:cs="宋体"/>
          <w:sz w:val="24"/>
        </w:rPr>
      </w:pPr>
      <w:r>
        <w:rPr>
          <w:rFonts w:hint="eastAsia" w:ascii="宋体" w:hAnsi="宋体" w:cs="宋体"/>
          <w:sz w:val="24"/>
        </w:rPr>
        <w:t>过程关闭</w:t>
      </w:r>
    </w:p>
    <w:p w14:paraId="708D196B">
      <w:pPr>
        <w:spacing w:line="360" w:lineRule="auto"/>
        <w:ind w:firstLine="480"/>
        <w:rPr>
          <w:rFonts w:ascii="宋体" w:hAnsi="宋体" w:cs="宋体"/>
          <w:sz w:val="24"/>
        </w:rPr>
      </w:pPr>
      <w:r>
        <w:rPr>
          <w:rFonts w:hint="eastAsia" w:ascii="宋体" w:hAnsi="宋体" w:cs="宋体"/>
          <w:sz w:val="24"/>
        </w:rPr>
        <w:t>回复到硬线控制系统</w:t>
      </w:r>
    </w:p>
    <w:p w14:paraId="490F0FC8">
      <w:pPr>
        <w:spacing w:line="360" w:lineRule="auto"/>
        <w:ind w:firstLine="480"/>
        <w:rPr>
          <w:rFonts w:ascii="宋体" w:hAnsi="宋体" w:cs="宋体"/>
          <w:sz w:val="24"/>
        </w:rPr>
      </w:pPr>
      <w:r>
        <w:rPr>
          <w:rFonts w:hint="eastAsia" w:ascii="宋体" w:hAnsi="宋体" w:cs="宋体"/>
          <w:sz w:val="24"/>
        </w:rPr>
        <w:t>⑦软件应提供供编程设备使用的工具。</w:t>
      </w:r>
    </w:p>
    <w:p w14:paraId="08B59105">
      <w:pPr>
        <w:spacing w:line="360" w:lineRule="auto"/>
        <w:ind w:firstLine="480"/>
        <w:rPr>
          <w:rFonts w:ascii="宋体" w:hAnsi="宋体" w:cs="宋体"/>
          <w:sz w:val="24"/>
        </w:rPr>
      </w:pPr>
      <w:r>
        <w:rPr>
          <w:rFonts w:hint="eastAsia" w:ascii="宋体" w:hAnsi="宋体" w:cs="宋体"/>
          <w:sz w:val="24"/>
        </w:rPr>
        <w:t>⑧在要求设备和装置自动负荷/备用转换的地方，负荷单元应由PLC轮换，使设备磨损大致相等。设备运行小时数在PLC内累积，在维修后由中央控制室监视系统终端的计数器复位。</w:t>
      </w:r>
    </w:p>
    <w:p w14:paraId="23CDFB0C">
      <w:pPr>
        <w:tabs>
          <w:tab w:val="left" w:pos="0"/>
        </w:tabs>
        <w:spacing w:line="360" w:lineRule="auto"/>
        <w:rPr>
          <w:rFonts w:ascii="宋体" w:hAnsi="宋体" w:cs="宋体"/>
          <w:sz w:val="24"/>
        </w:rPr>
      </w:pPr>
      <w:r>
        <w:rPr>
          <w:rFonts w:hint="eastAsia" w:ascii="宋体" w:hAnsi="宋体" w:cs="宋体"/>
          <w:sz w:val="24"/>
        </w:rPr>
        <w:t>检测仪表</w:t>
      </w:r>
    </w:p>
    <w:p w14:paraId="1791B9F1">
      <w:pPr>
        <w:tabs>
          <w:tab w:val="left" w:pos="0"/>
        </w:tabs>
        <w:spacing w:line="360" w:lineRule="auto"/>
        <w:rPr>
          <w:rFonts w:ascii="宋体" w:hAnsi="宋体" w:cs="宋体"/>
          <w:sz w:val="24"/>
        </w:rPr>
      </w:pPr>
      <w:r>
        <w:rPr>
          <w:rFonts w:hint="eastAsia" w:ascii="宋体" w:hAnsi="宋体" w:cs="宋体"/>
          <w:sz w:val="24"/>
        </w:rPr>
        <w:t>供货范围</w:t>
      </w:r>
    </w:p>
    <w:p w14:paraId="49A22865">
      <w:pPr>
        <w:adjustRightInd w:val="0"/>
        <w:spacing w:line="360" w:lineRule="auto"/>
        <w:ind w:firstLine="480"/>
        <w:jc w:val="left"/>
        <w:rPr>
          <w:rFonts w:ascii="宋体" w:hAnsi="宋体" w:cs="宋体"/>
          <w:sz w:val="24"/>
        </w:rPr>
      </w:pPr>
      <w:r>
        <w:rPr>
          <w:rFonts w:hint="eastAsia" w:ascii="宋体" w:hAnsi="宋体" w:cs="宋体"/>
          <w:sz w:val="24"/>
        </w:rPr>
        <w:t>本工程仪表包括余氯检测仪、巴歇尔明渠流量计，设备设置如下：</w:t>
      </w:r>
    </w:p>
    <w:tbl>
      <w:tblPr>
        <w:tblStyle w:val="26"/>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116"/>
        <w:gridCol w:w="6532"/>
        <w:gridCol w:w="964"/>
        <w:gridCol w:w="480"/>
      </w:tblGrid>
      <w:tr w14:paraId="7620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61" w:type="pct"/>
            <w:vAlign w:val="center"/>
          </w:tcPr>
          <w:p w14:paraId="7205729E">
            <w:pPr>
              <w:pStyle w:val="71"/>
              <w:spacing w:line="360" w:lineRule="auto"/>
              <w:ind w:firstLine="0" w:firstLineChars="0"/>
              <w:rPr>
                <w:rFonts w:cs="宋体"/>
                <w:szCs w:val="21"/>
              </w:rPr>
            </w:pPr>
            <w:r>
              <w:rPr>
                <w:rFonts w:hint="eastAsia" w:cs="宋体"/>
                <w:szCs w:val="21"/>
              </w:rPr>
              <w:t>安装位置</w:t>
            </w:r>
          </w:p>
        </w:tc>
        <w:tc>
          <w:tcPr>
            <w:tcW w:w="532" w:type="pct"/>
            <w:vAlign w:val="center"/>
          </w:tcPr>
          <w:p w14:paraId="5D86E49E">
            <w:pPr>
              <w:pStyle w:val="71"/>
              <w:spacing w:line="360" w:lineRule="auto"/>
              <w:ind w:firstLine="0" w:firstLineChars="0"/>
              <w:rPr>
                <w:rFonts w:cs="宋体"/>
                <w:szCs w:val="21"/>
              </w:rPr>
            </w:pPr>
            <w:r>
              <w:rPr>
                <w:rFonts w:hint="eastAsia" w:cs="宋体"/>
                <w:szCs w:val="21"/>
              </w:rPr>
              <w:t>设备名称</w:t>
            </w:r>
          </w:p>
        </w:tc>
        <w:tc>
          <w:tcPr>
            <w:tcW w:w="3115" w:type="pct"/>
            <w:vAlign w:val="center"/>
          </w:tcPr>
          <w:p w14:paraId="5F12F7F2">
            <w:pPr>
              <w:pStyle w:val="71"/>
              <w:spacing w:line="360" w:lineRule="auto"/>
              <w:rPr>
                <w:rFonts w:cs="宋体"/>
                <w:szCs w:val="21"/>
              </w:rPr>
            </w:pPr>
            <w:r>
              <w:rPr>
                <w:rFonts w:hint="eastAsia" w:cs="宋体"/>
                <w:szCs w:val="21"/>
              </w:rPr>
              <w:t>规格及主要尺寸</w:t>
            </w:r>
          </w:p>
        </w:tc>
        <w:tc>
          <w:tcPr>
            <w:tcW w:w="460" w:type="pct"/>
            <w:vAlign w:val="center"/>
          </w:tcPr>
          <w:p w14:paraId="40702B12">
            <w:pPr>
              <w:pStyle w:val="71"/>
              <w:spacing w:line="360" w:lineRule="auto"/>
              <w:rPr>
                <w:rFonts w:cs="宋体"/>
                <w:szCs w:val="21"/>
              </w:rPr>
            </w:pPr>
            <w:r>
              <w:rPr>
                <w:rFonts w:hint="eastAsia" w:cs="宋体"/>
                <w:szCs w:val="21"/>
              </w:rPr>
              <w:t>单位</w:t>
            </w:r>
          </w:p>
        </w:tc>
        <w:tc>
          <w:tcPr>
            <w:tcW w:w="229" w:type="pct"/>
            <w:vAlign w:val="center"/>
          </w:tcPr>
          <w:p w14:paraId="53767844">
            <w:pPr>
              <w:pStyle w:val="71"/>
              <w:spacing w:line="360" w:lineRule="auto"/>
              <w:rPr>
                <w:rFonts w:cs="宋体"/>
                <w:szCs w:val="21"/>
              </w:rPr>
            </w:pPr>
            <w:r>
              <w:rPr>
                <w:rFonts w:hint="eastAsia" w:cs="宋体"/>
                <w:szCs w:val="21"/>
              </w:rPr>
              <w:t>数量</w:t>
            </w:r>
          </w:p>
        </w:tc>
      </w:tr>
      <w:tr w14:paraId="476D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661" w:type="pct"/>
            <w:vAlign w:val="center"/>
          </w:tcPr>
          <w:p w14:paraId="70B3B358">
            <w:pPr>
              <w:pStyle w:val="71"/>
              <w:spacing w:line="360" w:lineRule="auto"/>
              <w:ind w:firstLine="0" w:firstLineChars="0"/>
              <w:rPr>
                <w:rFonts w:cs="宋体"/>
                <w:szCs w:val="21"/>
              </w:rPr>
            </w:pPr>
            <w:r>
              <w:rPr>
                <w:rFonts w:hint="eastAsia" w:cs="宋体"/>
                <w:szCs w:val="21"/>
              </w:rPr>
              <w:t>在线监测系统</w:t>
            </w:r>
          </w:p>
        </w:tc>
        <w:tc>
          <w:tcPr>
            <w:tcW w:w="532" w:type="pct"/>
            <w:vAlign w:val="center"/>
          </w:tcPr>
          <w:p w14:paraId="2C6F7174">
            <w:pPr>
              <w:widowControl/>
              <w:spacing w:line="360" w:lineRule="auto"/>
              <w:textAlignment w:val="center"/>
              <w:rPr>
                <w:rFonts w:ascii="宋体" w:hAnsi="宋体" w:cs="宋体"/>
                <w:szCs w:val="21"/>
              </w:rPr>
            </w:pPr>
            <w:r>
              <w:rPr>
                <w:rFonts w:hint="eastAsia" w:ascii="宋体" w:hAnsi="宋体" w:cs="宋体"/>
                <w:color w:val="000000"/>
                <w:kern w:val="0"/>
                <w:szCs w:val="21"/>
                <w:lang w:bidi="ar"/>
              </w:rPr>
              <w:t>PH、余氯仪</w:t>
            </w:r>
          </w:p>
        </w:tc>
        <w:tc>
          <w:tcPr>
            <w:tcW w:w="3115" w:type="pct"/>
            <w:vAlign w:val="center"/>
          </w:tcPr>
          <w:p w14:paraId="574141D5">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测量方法：余氯(二氧化氯)：三电极恒电位法；总氯:膜式安培法；</w:t>
            </w:r>
          </w:p>
          <w:p w14:paraId="1F09DAC0">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温度:热电阻法；pH:电化学法；</w:t>
            </w:r>
          </w:p>
          <w:p w14:paraId="7E89A308">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量程／分辨率：余氯（二氧化氯):0～20mg/l ; 0.01mg/l；</w:t>
            </w:r>
          </w:p>
          <w:p w14:paraId="244CE01E">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pH:0～14；</w:t>
            </w:r>
          </w:p>
          <w:p w14:paraId="4C908E96">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(1)仪器支持间隔测量（节水）模式，可设置间隔式测量周期;</w:t>
            </w:r>
          </w:p>
          <w:p w14:paraId="38F6F940">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(2)余氛支持气泡自清洗，浊度支持自清洗、自排污;</w:t>
            </w:r>
          </w:p>
          <w:p w14:paraId="02D4E722">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(3)浊度采用光强监测，有光源衰减补偿功能，有消泡装置;</w:t>
            </w:r>
          </w:p>
          <w:p w14:paraId="580BFC37">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(4)余氯带自动流速补偿、自动pH补偿功能;</w:t>
            </w:r>
          </w:p>
          <w:p w14:paraId="22F84CCB">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(5)仪器支持外部（4～20）mA 信号的因子接入，可在仪器上编辑因子名称、分辨率及单位;</w:t>
            </w:r>
          </w:p>
          <w:p w14:paraId="06E72B46">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(6)仪器自带无线模块，支持2G/3G/4G全网通无线传输;</w:t>
            </w:r>
          </w:p>
          <w:p w14:paraId="72AC2630">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(7)浊度分辨率0.0001NTU。</w:t>
            </w:r>
          </w:p>
          <w:p w14:paraId="1C2F0BD0">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余氯：重复性：1.5％；响应时间：90ｓ；测定下限：0.02mg/L</w:t>
            </w:r>
          </w:p>
          <w:p w14:paraId="44B170FC">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ｐＨ：重复性：0.02响应时间：15ｓ</w:t>
            </w:r>
          </w:p>
          <w:p w14:paraId="22314DBC">
            <w:pPr>
              <w:widowControl/>
              <w:spacing w:line="360" w:lineRule="auto"/>
              <w:jc w:val="left"/>
              <w:textAlignment w:val="center"/>
              <w:rPr>
                <w:rFonts w:ascii="宋体" w:hAnsi="宋体" w:cs="宋体"/>
                <w:szCs w:val="21"/>
              </w:rPr>
            </w:pPr>
            <w:r>
              <w:rPr>
                <w:rFonts w:hint="eastAsia" w:ascii="宋体" w:hAnsi="宋体" w:cs="宋体"/>
                <w:color w:val="000000"/>
                <w:kern w:val="0"/>
                <w:szCs w:val="21"/>
                <w:lang w:bidi="ar"/>
              </w:rPr>
              <w:t>实际水样对比试验：比对试验误差：0.05</w:t>
            </w:r>
          </w:p>
        </w:tc>
        <w:tc>
          <w:tcPr>
            <w:tcW w:w="460" w:type="pct"/>
            <w:vAlign w:val="center"/>
          </w:tcPr>
          <w:p w14:paraId="1A1D5B81">
            <w:pPr>
              <w:pStyle w:val="71"/>
              <w:spacing w:line="360" w:lineRule="auto"/>
              <w:rPr>
                <w:rFonts w:cs="宋体"/>
                <w:szCs w:val="21"/>
              </w:rPr>
            </w:pPr>
            <w:r>
              <w:rPr>
                <w:rFonts w:hint="eastAsia" w:cs="宋体"/>
                <w:szCs w:val="21"/>
              </w:rPr>
              <w:t>套</w:t>
            </w:r>
          </w:p>
        </w:tc>
        <w:tc>
          <w:tcPr>
            <w:tcW w:w="229" w:type="pct"/>
            <w:vAlign w:val="center"/>
          </w:tcPr>
          <w:p w14:paraId="31BAE87C">
            <w:pPr>
              <w:pStyle w:val="71"/>
              <w:spacing w:line="360" w:lineRule="auto"/>
              <w:rPr>
                <w:rFonts w:cs="宋体"/>
                <w:szCs w:val="21"/>
              </w:rPr>
            </w:pPr>
            <w:r>
              <w:rPr>
                <w:rFonts w:hint="eastAsia" w:cs="宋体"/>
                <w:szCs w:val="21"/>
              </w:rPr>
              <w:t>1</w:t>
            </w:r>
          </w:p>
        </w:tc>
      </w:tr>
    </w:tbl>
    <w:p w14:paraId="537FBB9D">
      <w:pPr>
        <w:adjustRightInd w:val="0"/>
        <w:spacing w:line="360" w:lineRule="auto"/>
        <w:ind w:firstLine="480"/>
        <w:jc w:val="left"/>
        <w:rPr>
          <w:rFonts w:ascii="宋体" w:hAnsi="宋体" w:cs="宋体"/>
          <w:sz w:val="24"/>
        </w:rPr>
      </w:pPr>
    </w:p>
    <w:p w14:paraId="5FE0F92E">
      <w:pPr>
        <w:tabs>
          <w:tab w:val="left" w:pos="0"/>
        </w:tabs>
        <w:spacing w:line="360" w:lineRule="auto"/>
        <w:rPr>
          <w:rFonts w:ascii="宋体" w:hAnsi="宋体" w:cs="宋体"/>
          <w:sz w:val="24"/>
        </w:rPr>
      </w:pPr>
      <w:r>
        <w:rPr>
          <w:rFonts w:hint="eastAsia" w:ascii="宋体" w:hAnsi="宋体" w:cs="宋体"/>
          <w:sz w:val="24"/>
        </w:rPr>
        <w:t>资料提供</w:t>
      </w:r>
    </w:p>
    <w:p w14:paraId="4DB0F7C6">
      <w:pPr>
        <w:widowControl/>
        <w:spacing w:line="360" w:lineRule="auto"/>
        <w:ind w:firstLine="480"/>
        <w:jc w:val="left"/>
        <w:textAlignment w:val="center"/>
        <w:rPr>
          <w:rFonts w:ascii="宋体" w:hAnsi="宋体" w:cs="宋体"/>
          <w:sz w:val="24"/>
        </w:rPr>
      </w:pPr>
      <w:r>
        <w:rPr>
          <w:rFonts w:hint="eastAsia" w:ascii="宋体" w:hAnsi="宋体" w:cs="宋体"/>
          <w:sz w:val="24"/>
        </w:rPr>
        <w:t xml:space="preserve">1. ★余氯带气泡自清洗排污系统； </w:t>
      </w:r>
    </w:p>
    <w:p w14:paraId="54810159">
      <w:pPr>
        <w:pStyle w:val="8"/>
        <w:spacing w:before="120" w:after="120" w:line="360" w:lineRule="auto"/>
        <w:ind w:firstLine="480"/>
        <w:rPr>
          <w:rFonts w:hAnsi="宋体" w:eastAsia="宋体" w:cs="宋体"/>
          <w:b/>
          <w:bCs/>
        </w:rPr>
      </w:pPr>
      <w:r>
        <w:rPr>
          <w:rFonts w:hint="eastAsia" w:hAnsi="宋体" w:eastAsia="宋体" w:cs="宋体"/>
        </w:rPr>
        <w:t>2.</w:t>
      </w:r>
      <w:r>
        <w:rPr>
          <w:rFonts w:hint="eastAsia" w:hAnsi="宋体" w:eastAsia="宋体" w:cs="宋体"/>
          <w:b/>
        </w:rPr>
        <w:t xml:space="preserve"> ★</w:t>
      </w:r>
      <w:r>
        <w:rPr>
          <w:rFonts w:hint="eastAsia" w:hAnsi="宋体" w:eastAsia="宋体" w:cs="宋体"/>
        </w:rPr>
        <w:t>仪器支持间隔测量（节水）模式，可设置间隔式测量周期；</w:t>
      </w:r>
    </w:p>
    <w:p w14:paraId="73D2E3F6">
      <w:pPr>
        <w:spacing w:line="360" w:lineRule="auto"/>
        <w:ind w:firstLine="480"/>
        <w:rPr>
          <w:rFonts w:ascii="宋体" w:hAnsi="宋体" w:cs="宋体"/>
          <w:sz w:val="24"/>
          <w:lang w:val="zh-CN"/>
        </w:rPr>
      </w:pPr>
      <w:r>
        <w:rPr>
          <w:rFonts w:hint="eastAsia" w:ascii="宋体" w:hAnsi="宋体" w:cs="宋体"/>
          <w:sz w:val="24"/>
        </w:rPr>
        <w:t xml:space="preserve">3. </w:t>
      </w:r>
      <w:r>
        <w:rPr>
          <w:rFonts w:hint="eastAsia" w:ascii="宋体" w:hAnsi="宋体" w:cs="宋体"/>
          <w:sz w:val="24"/>
          <w:lang w:val="zh-CN"/>
        </w:rPr>
        <w:t>★提供厂家样册。</w:t>
      </w:r>
    </w:p>
    <w:p w14:paraId="6E6E2DDF">
      <w:pPr>
        <w:tabs>
          <w:tab w:val="left" w:pos="0"/>
        </w:tabs>
        <w:spacing w:line="360" w:lineRule="auto"/>
        <w:rPr>
          <w:rFonts w:ascii="宋体" w:hAnsi="宋体" w:cs="宋体"/>
          <w:b/>
          <w:bCs/>
          <w:sz w:val="24"/>
        </w:rPr>
      </w:pPr>
      <w:r>
        <w:rPr>
          <w:rFonts w:hint="eastAsia" w:ascii="宋体" w:hAnsi="宋体" w:cs="宋体"/>
          <w:b/>
          <w:bCs/>
          <w:sz w:val="24"/>
        </w:rPr>
        <w:t>医院污水智慧物联网平台</w:t>
      </w:r>
    </w:p>
    <w:p w14:paraId="4BC6DEBA">
      <w:pPr>
        <w:adjustRightInd w:val="0"/>
        <w:spacing w:line="360" w:lineRule="auto"/>
        <w:ind w:firstLine="480"/>
        <w:rPr>
          <w:rFonts w:ascii="宋体" w:hAnsi="宋体" w:cs="宋体"/>
        </w:rPr>
      </w:pPr>
      <w:r>
        <w:rPr>
          <w:rFonts w:hint="eastAsia" w:ascii="宋体" w:hAnsi="宋体" w:cs="宋体"/>
          <w:sz w:val="24"/>
        </w:rPr>
        <w:t>通过智慧物联网系统与PLC控制的连接，将设备运行情况通过大屏幕、PC端、手机APP展示，同时可将异常情况通过报警的方式通知监控中心或运维人员，实现后台第一时间处理问题和检修调度系统。</w:t>
      </w:r>
    </w:p>
    <w:p w14:paraId="4EBBC038">
      <w:pPr>
        <w:spacing w:line="360" w:lineRule="auto"/>
        <w:rPr>
          <w:rFonts w:ascii="宋体" w:hAnsi="宋体" w:cs="宋体"/>
        </w:rPr>
      </w:pPr>
    </w:p>
    <w:p w14:paraId="6B81315E">
      <w:pPr>
        <w:spacing w:line="360" w:lineRule="auto"/>
        <w:rPr>
          <w:rFonts w:ascii="宋体" w:hAnsi="宋体" w:cs="宋体"/>
        </w:rPr>
      </w:pPr>
    </w:p>
    <w:p w14:paraId="017FA360">
      <w:pPr>
        <w:spacing w:line="360" w:lineRule="auto"/>
        <w:rPr>
          <w:rFonts w:ascii="宋体" w:hAnsi="宋体" w:cs="宋体"/>
        </w:rPr>
      </w:pPr>
    </w:p>
    <w:p w14:paraId="6AB1478A">
      <w:pPr>
        <w:spacing w:line="360" w:lineRule="auto"/>
        <w:rPr>
          <w:rFonts w:ascii="宋体" w:hAnsi="宋体" w:cs="宋体"/>
        </w:rPr>
      </w:pPr>
    </w:p>
    <w:p w14:paraId="1747230B">
      <w:pPr>
        <w:spacing w:line="360" w:lineRule="auto"/>
        <w:rPr>
          <w:rFonts w:ascii="宋体" w:hAnsi="宋体" w:cs="宋体"/>
        </w:rPr>
      </w:pPr>
    </w:p>
    <w:p w14:paraId="0C49D393">
      <w:pPr>
        <w:spacing w:line="360" w:lineRule="auto"/>
        <w:rPr>
          <w:rFonts w:ascii="宋体" w:hAnsi="宋体" w:cs="宋体"/>
        </w:rPr>
      </w:pPr>
    </w:p>
    <w:p w14:paraId="02DC0B7D">
      <w:pPr>
        <w:keepNext/>
        <w:keepLines/>
        <w:numPr>
          <w:ilvl w:val="0"/>
          <w:numId w:val="4"/>
        </w:numPr>
        <w:spacing w:line="360" w:lineRule="auto"/>
        <w:outlineLvl w:val="1"/>
        <w:rPr>
          <w:rFonts w:ascii="宋体" w:hAnsi="宋体" w:cs="宋体"/>
          <w:b/>
          <w:bCs/>
          <w:sz w:val="24"/>
        </w:rPr>
      </w:pPr>
      <w:r>
        <w:rPr>
          <w:rFonts w:hint="eastAsia" w:ascii="宋体" w:hAnsi="宋体" w:cs="宋体"/>
          <w:b/>
          <w:bCs/>
          <w:sz w:val="24"/>
        </w:rPr>
        <w:t>招标清单</w:t>
      </w:r>
    </w:p>
    <w:tbl>
      <w:tblPr>
        <w:tblStyle w:val="26"/>
        <w:tblW w:w="9635" w:type="dxa"/>
        <w:tblInd w:w="100" w:type="dxa"/>
        <w:tblLayout w:type="fixed"/>
        <w:tblCellMar>
          <w:top w:w="0" w:type="dxa"/>
          <w:left w:w="108" w:type="dxa"/>
          <w:bottom w:w="0" w:type="dxa"/>
          <w:right w:w="108" w:type="dxa"/>
        </w:tblCellMar>
      </w:tblPr>
      <w:tblGrid>
        <w:gridCol w:w="677"/>
        <w:gridCol w:w="1806"/>
        <w:gridCol w:w="4486"/>
        <w:gridCol w:w="725"/>
        <w:gridCol w:w="1066"/>
        <w:gridCol w:w="875"/>
      </w:tblGrid>
      <w:tr w14:paraId="3726BB44">
        <w:tblPrEx>
          <w:tblCellMar>
            <w:top w:w="0" w:type="dxa"/>
            <w:left w:w="108" w:type="dxa"/>
            <w:bottom w:w="0" w:type="dxa"/>
            <w:right w:w="108" w:type="dxa"/>
          </w:tblCellMar>
        </w:tblPrEx>
        <w:trPr>
          <w:trHeight w:val="56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A7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8B2B">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DE0">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项目特征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B80A">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4C9">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工程量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CD76">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备注</w:t>
            </w:r>
          </w:p>
        </w:tc>
      </w:tr>
      <w:tr w14:paraId="44F2EC17">
        <w:tblPrEx>
          <w:tblCellMar>
            <w:top w:w="0" w:type="dxa"/>
            <w:left w:w="108" w:type="dxa"/>
            <w:bottom w:w="0" w:type="dxa"/>
            <w:right w:w="108" w:type="dxa"/>
          </w:tblCellMar>
        </w:tblPrEx>
        <w:trPr>
          <w:trHeight w:val="48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6B3">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一</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EAD">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土建工程</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8742">
            <w:pPr>
              <w:rPr>
                <w:rFonts w:ascii="宋体" w:hAnsi="宋体" w:cs="宋体"/>
                <w:b/>
                <w:bCs/>
                <w:color w:val="000000" w:themeColor="text1"/>
                <w:sz w:val="20"/>
                <w:szCs w:val="20"/>
                <w14:textFill>
                  <w14:solidFill>
                    <w14:schemeClr w14:val="tx1"/>
                  </w14:solidFill>
                </w14:textFill>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CC1">
            <w:pPr>
              <w:rPr>
                <w:rFonts w:ascii="宋体" w:hAnsi="宋体" w:cs="宋体"/>
                <w:b/>
                <w:bCs/>
                <w:color w:val="000000" w:themeColor="text1"/>
                <w:sz w:val="20"/>
                <w:szCs w:val="20"/>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FC2F">
            <w:pPr>
              <w:rPr>
                <w:rFonts w:ascii="宋体" w:hAnsi="宋体" w:cs="宋体"/>
                <w:b/>
                <w:bCs/>
                <w:color w:val="000000" w:themeColor="text1"/>
                <w:sz w:val="20"/>
                <w:szCs w:val="20"/>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644B">
            <w:pPr>
              <w:rPr>
                <w:rFonts w:ascii="宋体" w:hAnsi="宋体" w:cs="宋体"/>
                <w:b/>
                <w:bCs/>
                <w:color w:val="000000" w:themeColor="text1"/>
                <w:sz w:val="20"/>
                <w:szCs w:val="20"/>
                <w14:textFill>
                  <w14:solidFill>
                    <w14:schemeClr w14:val="tx1"/>
                  </w14:solidFill>
                </w14:textFill>
              </w:rPr>
            </w:pPr>
          </w:p>
        </w:tc>
      </w:tr>
      <w:tr w14:paraId="4198C414">
        <w:tblPrEx>
          <w:tblCellMar>
            <w:top w:w="0" w:type="dxa"/>
            <w:left w:w="108" w:type="dxa"/>
            <w:bottom w:w="0" w:type="dxa"/>
            <w:right w:w="108" w:type="dxa"/>
          </w:tblCellMar>
        </w:tblPrEx>
        <w:trPr>
          <w:trHeight w:val="53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86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9E5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挖一般土方</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D63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沟槽土石方开挖，土石方类别自行考虑</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850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9A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1723.03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772">
            <w:pPr>
              <w:jc w:val="right"/>
              <w:rPr>
                <w:rFonts w:ascii="宋体" w:hAnsi="宋体" w:cs="宋体"/>
                <w:color w:val="000000" w:themeColor="text1"/>
                <w:sz w:val="20"/>
                <w:szCs w:val="20"/>
                <w14:textFill>
                  <w14:solidFill>
                    <w14:schemeClr w14:val="tx1"/>
                  </w14:solidFill>
                </w14:textFill>
              </w:rPr>
            </w:pPr>
          </w:p>
        </w:tc>
      </w:tr>
      <w:tr w14:paraId="290B8264">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A8B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0F9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回填方</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F5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原土回填夯实</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CFE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301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1446.08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A8A">
            <w:pPr>
              <w:jc w:val="right"/>
              <w:rPr>
                <w:rFonts w:ascii="宋体" w:hAnsi="宋体" w:cs="宋体"/>
                <w:color w:val="000000" w:themeColor="text1"/>
                <w:sz w:val="20"/>
                <w:szCs w:val="20"/>
                <w14:textFill>
                  <w14:solidFill>
                    <w14:schemeClr w14:val="tx1"/>
                  </w14:solidFill>
                </w14:textFill>
              </w:rPr>
            </w:pPr>
          </w:p>
        </w:tc>
      </w:tr>
      <w:tr w14:paraId="0CE769D9">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81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D0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余方弃置</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5C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弃方装车、外运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D1B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5CCF">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276.95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3CE">
            <w:pPr>
              <w:jc w:val="right"/>
              <w:rPr>
                <w:rFonts w:ascii="宋体" w:hAnsi="宋体" w:cs="宋体"/>
                <w:color w:val="000000" w:themeColor="text1"/>
                <w:sz w:val="20"/>
                <w:szCs w:val="20"/>
                <w14:textFill>
                  <w14:solidFill>
                    <w14:schemeClr w14:val="tx1"/>
                  </w14:solidFill>
                </w14:textFill>
              </w:rPr>
            </w:pPr>
          </w:p>
        </w:tc>
      </w:tr>
      <w:tr w14:paraId="58679CF2">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133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FB9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垫层</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A85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现浇商品混凝土 垫层 C15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75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25C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23.14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CDC4">
            <w:pPr>
              <w:jc w:val="right"/>
              <w:rPr>
                <w:rFonts w:ascii="宋体" w:hAnsi="宋体" w:cs="宋体"/>
                <w:color w:val="000000" w:themeColor="text1"/>
                <w:sz w:val="20"/>
                <w:szCs w:val="20"/>
                <w14:textFill>
                  <w14:solidFill>
                    <w14:schemeClr w14:val="tx1"/>
                  </w14:solidFill>
                </w14:textFill>
              </w:rPr>
            </w:pPr>
          </w:p>
        </w:tc>
      </w:tr>
      <w:tr w14:paraId="3EE8FCBE">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2D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55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满堂基础</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ED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池底板 防水商品混凝土 C30/P8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8C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E0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110.67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AD32">
            <w:pPr>
              <w:jc w:val="right"/>
              <w:rPr>
                <w:rFonts w:ascii="宋体" w:hAnsi="宋体" w:cs="宋体"/>
                <w:color w:val="000000" w:themeColor="text1"/>
                <w:sz w:val="20"/>
                <w:szCs w:val="20"/>
                <w14:textFill>
                  <w14:solidFill>
                    <w14:schemeClr w14:val="tx1"/>
                  </w14:solidFill>
                </w14:textFill>
              </w:rPr>
            </w:pPr>
          </w:p>
        </w:tc>
      </w:tr>
      <w:tr w14:paraId="31BA5465">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FE6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E5D9">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直形墙</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7E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池直行墙 防水商品混凝土 C30/P8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A7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B74">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157.32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31E1">
            <w:pPr>
              <w:jc w:val="right"/>
              <w:rPr>
                <w:rFonts w:ascii="宋体" w:hAnsi="宋体" w:cs="宋体"/>
                <w:color w:val="000000" w:themeColor="text1"/>
                <w:sz w:val="20"/>
                <w:szCs w:val="20"/>
                <w14:textFill>
                  <w14:solidFill>
                    <w14:schemeClr w14:val="tx1"/>
                  </w14:solidFill>
                </w14:textFill>
              </w:rPr>
            </w:pPr>
          </w:p>
        </w:tc>
      </w:tr>
      <w:tr w14:paraId="5438516D">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B74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96A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平板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34A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池顶板 防水商品混凝土 C30/P8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A20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5F47">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34.58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2DD7">
            <w:pPr>
              <w:jc w:val="right"/>
              <w:rPr>
                <w:rFonts w:ascii="宋体" w:hAnsi="宋体" w:cs="宋体"/>
                <w:color w:val="000000" w:themeColor="text1"/>
                <w:sz w:val="20"/>
                <w:szCs w:val="20"/>
                <w14:textFill>
                  <w14:solidFill>
                    <w14:schemeClr w14:val="tx1"/>
                  </w14:solidFill>
                </w14:textFill>
              </w:rPr>
            </w:pPr>
          </w:p>
        </w:tc>
      </w:tr>
      <w:tr w14:paraId="1DF97E2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F4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8D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矩形梁</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F4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矩形梁 防水商品混凝土 C30/P8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B9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556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0.92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95B">
            <w:pPr>
              <w:jc w:val="right"/>
              <w:rPr>
                <w:rFonts w:ascii="宋体" w:hAnsi="宋体" w:cs="宋体"/>
                <w:color w:val="000000" w:themeColor="text1"/>
                <w:sz w:val="20"/>
                <w:szCs w:val="20"/>
                <w14:textFill>
                  <w14:solidFill>
                    <w14:schemeClr w14:val="tx1"/>
                  </w14:solidFill>
                </w14:textFill>
              </w:rPr>
            </w:pPr>
          </w:p>
        </w:tc>
      </w:tr>
      <w:tr w14:paraId="3A11DE7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114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FE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栏板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F4B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检修口栏板C30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353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F323">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4.46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4D13">
            <w:pPr>
              <w:jc w:val="right"/>
              <w:rPr>
                <w:rFonts w:ascii="宋体" w:hAnsi="宋体" w:cs="宋体"/>
                <w:color w:val="000000" w:themeColor="text1"/>
                <w:sz w:val="20"/>
                <w:szCs w:val="20"/>
                <w14:textFill>
                  <w14:solidFill>
                    <w14:schemeClr w14:val="tx1"/>
                  </w14:solidFill>
                </w14:textFill>
              </w:rPr>
            </w:pPr>
          </w:p>
        </w:tc>
      </w:tr>
      <w:tr w14:paraId="1C6FC0B2">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76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7E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其他构件</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16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小型构件 防水商品混凝土 C30/P8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29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04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1.57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831">
            <w:pPr>
              <w:jc w:val="right"/>
              <w:rPr>
                <w:rFonts w:ascii="宋体" w:hAnsi="宋体" w:cs="宋体"/>
                <w:color w:val="000000" w:themeColor="text1"/>
                <w:sz w:val="20"/>
                <w:szCs w:val="20"/>
                <w14:textFill>
                  <w14:solidFill>
                    <w14:schemeClr w14:val="tx1"/>
                  </w14:solidFill>
                </w14:textFill>
              </w:rPr>
            </w:pPr>
          </w:p>
        </w:tc>
      </w:tr>
      <w:tr w14:paraId="531CBD4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549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F3E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现浇构件钢筋</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D38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现浇构件圆钢筋HPB300 直径10mm以内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88B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t</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AF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0.377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B19">
            <w:pPr>
              <w:jc w:val="right"/>
              <w:rPr>
                <w:rFonts w:ascii="宋体" w:hAnsi="宋体" w:cs="宋体"/>
                <w:color w:val="000000" w:themeColor="text1"/>
                <w:sz w:val="20"/>
                <w:szCs w:val="20"/>
                <w14:textFill>
                  <w14:solidFill>
                    <w14:schemeClr w14:val="tx1"/>
                  </w14:solidFill>
                </w14:textFill>
              </w:rPr>
            </w:pPr>
          </w:p>
        </w:tc>
      </w:tr>
      <w:tr w14:paraId="1F19790E">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4A1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73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现浇构件钢筋</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A6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现浇构件带肋钢筋HRB400以内 直径10mm以内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221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t</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932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4.142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FA5F">
            <w:pPr>
              <w:jc w:val="right"/>
              <w:rPr>
                <w:rFonts w:ascii="宋体" w:hAnsi="宋体" w:cs="宋体"/>
                <w:color w:val="000000" w:themeColor="text1"/>
                <w:sz w:val="20"/>
                <w:szCs w:val="20"/>
                <w14:textFill>
                  <w14:solidFill>
                    <w14:schemeClr w14:val="tx1"/>
                  </w14:solidFill>
                </w14:textFill>
              </w:rPr>
            </w:pPr>
          </w:p>
        </w:tc>
      </w:tr>
      <w:tr w14:paraId="2BC838B9">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13D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E39">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现浇构件钢筋</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B4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现浇构件带肋钢筋HRB400以内 直径18mm以内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28B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t</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42B3">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23.138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106">
            <w:pPr>
              <w:jc w:val="right"/>
              <w:rPr>
                <w:rFonts w:ascii="宋体" w:hAnsi="宋体" w:cs="宋体"/>
                <w:color w:val="000000" w:themeColor="text1"/>
                <w:sz w:val="20"/>
                <w:szCs w:val="20"/>
                <w14:textFill>
                  <w14:solidFill>
                    <w14:schemeClr w14:val="tx1"/>
                  </w14:solidFill>
                </w14:textFill>
              </w:rPr>
            </w:pPr>
          </w:p>
        </w:tc>
      </w:tr>
      <w:tr w14:paraId="30507655">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94C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DB5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现浇构件钢筋</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60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现浇构件带肋钢筋HRB400以内 直径25mm以内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E8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t</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42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0.129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77E">
            <w:pPr>
              <w:jc w:val="right"/>
              <w:rPr>
                <w:rFonts w:ascii="宋体" w:hAnsi="宋体" w:cs="宋体"/>
                <w:color w:val="000000" w:themeColor="text1"/>
                <w:sz w:val="20"/>
                <w:szCs w:val="20"/>
                <w14:textFill>
                  <w14:solidFill>
                    <w14:schemeClr w14:val="tx1"/>
                  </w14:solidFill>
                </w14:textFill>
              </w:rPr>
            </w:pPr>
          </w:p>
        </w:tc>
      </w:tr>
      <w:tr w14:paraId="625D10BA">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53C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EC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钢板止水带</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CE7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3厚钢板止水带</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20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E7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111.25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067">
            <w:pPr>
              <w:jc w:val="right"/>
              <w:rPr>
                <w:rFonts w:ascii="宋体" w:hAnsi="宋体" w:cs="宋体"/>
                <w:color w:val="000000" w:themeColor="text1"/>
                <w:sz w:val="20"/>
                <w:szCs w:val="20"/>
                <w14:textFill>
                  <w14:solidFill>
                    <w14:schemeClr w14:val="tx1"/>
                  </w14:solidFill>
                </w14:textFill>
              </w:rPr>
            </w:pPr>
          </w:p>
        </w:tc>
      </w:tr>
      <w:tr w14:paraId="10D0CDD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A00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35E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套管制作安装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8C1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刚性防水套管制作 公称直径(mm以内)250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08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00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6CF5">
            <w:pPr>
              <w:jc w:val="right"/>
              <w:rPr>
                <w:rFonts w:ascii="宋体" w:hAnsi="宋体" w:cs="宋体"/>
                <w:color w:val="000000" w:themeColor="text1"/>
                <w:sz w:val="20"/>
                <w:szCs w:val="20"/>
                <w14:textFill>
                  <w14:solidFill>
                    <w14:schemeClr w14:val="tx1"/>
                  </w14:solidFill>
                </w14:textFill>
              </w:rPr>
            </w:pPr>
          </w:p>
        </w:tc>
      </w:tr>
      <w:tr w14:paraId="552E98C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B4C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03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套管制作安装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9B9">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刚性防水套管制作 公称直径(mm以内)100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B72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712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6072">
            <w:pPr>
              <w:jc w:val="right"/>
              <w:rPr>
                <w:rFonts w:ascii="宋体" w:hAnsi="宋体" w:cs="宋体"/>
                <w:color w:val="000000" w:themeColor="text1"/>
                <w:sz w:val="20"/>
                <w:szCs w:val="20"/>
                <w14:textFill>
                  <w14:solidFill>
                    <w14:schemeClr w14:val="tx1"/>
                  </w14:solidFill>
                </w14:textFill>
              </w:rPr>
            </w:pPr>
          </w:p>
        </w:tc>
      </w:tr>
      <w:tr w14:paraId="75A71EDB">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00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74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套管制作安装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BC9">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刚性防水套管制作 公称直径(mm以内)125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62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42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123">
            <w:pPr>
              <w:jc w:val="right"/>
              <w:rPr>
                <w:rFonts w:ascii="宋体" w:hAnsi="宋体" w:cs="宋体"/>
                <w:color w:val="000000" w:themeColor="text1"/>
                <w:sz w:val="20"/>
                <w:szCs w:val="20"/>
                <w14:textFill>
                  <w14:solidFill>
                    <w14:schemeClr w14:val="tx1"/>
                  </w14:solidFill>
                </w14:textFill>
              </w:rPr>
            </w:pPr>
          </w:p>
        </w:tc>
      </w:tr>
      <w:tr w14:paraId="4AADB717">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BB9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B3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钢管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C40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DN200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CEF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A03">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5.03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272">
            <w:pPr>
              <w:jc w:val="right"/>
              <w:rPr>
                <w:rFonts w:ascii="宋体" w:hAnsi="宋体" w:cs="宋体"/>
                <w:color w:val="000000" w:themeColor="text1"/>
                <w:sz w:val="20"/>
                <w:szCs w:val="20"/>
                <w14:textFill>
                  <w14:solidFill>
                    <w14:schemeClr w14:val="tx1"/>
                  </w14:solidFill>
                </w14:textFill>
              </w:rPr>
            </w:pPr>
          </w:p>
        </w:tc>
      </w:tr>
      <w:tr w14:paraId="52339A4E">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60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725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墙面涂膜防水</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0F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1.5厚单组份聚氨酯防水涂料（白色环保型）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C2C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3F3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737.63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92D">
            <w:pPr>
              <w:jc w:val="right"/>
              <w:rPr>
                <w:rFonts w:ascii="宋体" w:hAnsi="宋体" w:cs="宋体"/>
                <w:color w:val="000000" w:themeColor="text1"/>
                <w:sz w:val="20"/>
                <w:szCs w:val="20"/>
                <w14:textFill>
                  <w14:solidFill>
                    <w14:schemeClr w14:val="tx1"/>
                  </w14:solidFill>
                </w14:textFill>
              </w:rPr>
            </w:pPr>
          </w:p>
        </w:tc>
      </w:tr>
      <w:tr w14:paraId="2E6449E8">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646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87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墙面砂浆防水（防潮）</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14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1.20厚1：2水泥砂浆保护层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2.20厚1：2.5水泥砂浆（掺5%防水剂）找平层</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FA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6D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737.63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F8D">
            <w:pPr>
              <w:jc w:val="right"/>
              <w:rPr>
                <w:rFonts w:ascii="宋体" w:hAnsi="宋体" w:cs="宋体"/>
                <w:color w:val="000000" w:themeColor="text1"/>
                <w:sz w:val="20"/>
                <w:szCs w:val="20"/>
                <w14:textFill>
                  <w14:solidFill>
                    <w14:schemeClr w14:val="tx1"/>
                  </w14:solidFill>
                </w14:textFill>
              </w:rPr>
            </w:pPr>
          </w:p>
        </w:tc>
      </w:tr>
      <w:tr w14:paraId="2F19E127">
        <w:tblPrEx>
          <w:tblCellMar>
            <w:top w:w="0" w:type="dxa"/>
            <w:left w:w="108" w:type="dxa"/>
            <w:bottom w:w="0" w:type="dxa"/>
            <w:right w:w="108" w:type="dxa"/>
          </w:tblCellMar>
        </w:tblPrEx>
        <w:trPr>
          <w:trHeight w:val="9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111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C7E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楼（地）面卷材防水</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03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1.5厚PPC聚氯乙烯防水卷材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89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5D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317.08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57F">
            <w:pPr>
              <w:jc w:val="left"/>
              <w:rPr>
                <w:rFonts w:ascii="宋体" w:hAnsi="宋体" w:cs="宋体"/>
                <w:color w:val="000000" w:themeColor="text1"/>
                <w:sz w:val="20"/>
                <w:szCs w:val="20"/>
                <w14:textFill>
                  <w14:solidFill>
                    <w14:schemeClr w14:val="tx1"/>
                  </w14:solidFill>
                </w14:textFill>
              </w:rPr>
            </w:pPr>
          </w:p>
        </w:tc>
      </w:tr>
      <w:tr w14:paraId="0EFEBF54">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CD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68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水泥砂浆楼地面</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914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1.20厚1：2水泥砂浆保护层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2.2X2网格麻布片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D0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E2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317.08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B4E1">
            <w:pPr>
              <w:jc w:val="right"/>
              <w:rPr>
                <w:rFonts w:ascii="宋体" w:hAnsi="宋体" w:cs="宋体"/>
                <w:color w:val="000000" w:themeColor="text1"/>
                <w:sz w:val="20"/>
                <w:szCs w:val="20"/>
                <w14:textFill>
                  <w14:solidFill>
                    <w14:schemeClr w14:val="tx1"/>
                  </w14:solidFill>
                </w14:textFill>
              </w:rPr>
            </w:pPr>
          </w:p>
        </w:tc>
      </w:tr>
      <w:tr w14:paraId="5DA5F071">
        <w:tblPrEx>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7C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8C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盖板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DF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铸铁检查井盖</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65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61C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980">
            <w:pPr>
              <w:jc w:val="right"/>
              <w:rPr>
                <w:rFonts w:ascii="宋体" w:hAnsi="宋体" w:cs="宋体"/>
                <w:color w:val="000000" w:themeColor="text1"/>
                <w:sz w:val="20"/>
                <w:szCs w:val="20"/>
                <w14:textFill>
                  <w14:solidFill>
                    <w14:schemeClr w14:val="tx1"/>
                  </w14:solidFill>
                </w14:textFill>
              </w:rPr>
            </w:pPr>
          </w:p>
        </w:tc>
      </w:tr>
      <w:tr w14:paraId="2234A1A3">
        <w:tblPrEx>
          <w:tblCellMar>
            <w:top w:w="0" w:type="dxa"/>
            <w:left w:w="108" w:type="dxa"/>
            <w:bottom w:w="0" w:type="dxa"/>
            <w:right w:w="108" w:type="dxa"/>
          </w:tblCellMar>
        </w:tblPrEx>
        <w:trPr>
          <w:trHeight w:val="46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60C">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二</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157">
            <w:pPr>
              <w:widowControl/>
              <w:jc w:val="center"/>
              <w:textAlignment w:val="center"/>
              <w:rPr>
                <w:rFonts w:ascii="宋体" w:hAnsi="宋体" w:cs="宋体"/>
                <w:color w:val="000000"/>
                <w:kern w:val="0"/>
                <w:sz w:val="20"/>
                <w:szCs w:val="20"/>
                <w:lang w:bidi="ar"/>
              </w:rPr>
            </w:pPr>
            <w:r>
              <w:rPr>
                <w:rFonts w:hint="eastAsia" w:ascii="宋体" w:hAnsi="宋体" w:cs="宋体"/>
                <w:b/>
                <w:bCs/>
                <w:color w:val="000000" w:themeColor="text1"/>
                <w:kern w:val="0"/>
                <w:sz w:val="20"/>
                <w:szCs w:val="20"/>
                <w:lang w:bidi="ar"/>
                <w14:textFill>
                  <w14:solidFill>
                    <w14:schemeClr w14:val="tx1"/>
                  </w14:solidFill>
                </w14:textFill>
              </w:rPr>
              <w:t>设备安装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A5B6">
            <w:pPr>
              <w:widowControl/>
              <w:jc w:val="left"/>
              <w:textAlignment w:val="center"/>
              <w:rPr>
                <w:rFonts w:ascii="宋体" w:hAnsi="宋体" w:cs="宋体"/>
                <w:color w:val="000000"/>
                <w:kern w:val="0"/>
                <w:sz w:val="20"/>
                <w:szCs w:val="20"/>
                <w:lang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816">
            <w:pPr>
              <w:widowControl/>
              <w:jc w:val="center"/>
              <w:textAlignment w:val="center"/>
              <w:rPr>
                <w:rFonts w:ascii="宋体" w:hAnsi="宋体" w:cs="宋体"/>
                <w:color w:val="000000"/>
                <w:kern w:val="0"/>
                <w:sz w:val="20"/>
                <w:szCs w:val="20"/>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549F">
            <w:pPr>
              <w:widowControl/>
              <w:jc w:val="right"/>
              <w:textAlignment w:val="center"/>
              <w:rPr>
                <w:rFonts w:ascii="宋体" w:hAnsi="宋体" w:cs="宋体"/>
                <w:color w:val="000000"/>
                <w:kern w:val="0"/>
                <w:sz w:val="20"/>
                <w:szCs w:val="20"/>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7B35">
            <w:pPr>
              <w:jc w:val="right"/>
              <w:rPr>
                <w:rFonts w:ascii="宋体" w:hAnsi="宋体" w:cs="宋体"/>
                <w:color w:val="000000" w:themeColor="text1"/>
                <w:sz w:val="20"/>
                <w:szCs w:val="20"/>
                <w14:textFill>
                  <w14:solidFill>
                    <w14:schemeClr w14:val="tx1"/>
                  </w14:solidFill>
                </w14:textFill>
              </w:rPr>
            </w:pPr>
          </w:p>
        </w:tc>
      </w:tr>
      <w:tr w14:paraId="0B0E968D">
        <w:tblPrEx>
          <w:tblCellMar>
            <w:top w:w="0" w:type="dxa"/>
            <w:left w:w="108" w:type="dxa"/>
            <w:bottom w:w="0" w:type="dxa"/>
            <w:right w:w="108" w:type="dxa"/>
          </w:tblCellMar>
        </w:tblPrEx>
        <w:trPr>
          <w:trHeight w:val="52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34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963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玻璃钢水池</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6BE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玻璃钢水池（容积5000L）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D3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468">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8DF">
            <w:pPr>
              <w:jc w:val="right"/>
              <w:rPr>
                <w:rFonts w:ascii="宋体" w:hAnsi="宋体" w:cs="宋体"/>
                <w:color w:val="000000" w:themeColor="text1"/>
                <w:sz w:val="20"/>
                <w:szCs w:val="20"/>
                <w14:textFill>
                  <w14:solidFill>
                    <w14:schemeClr w14:val="tx1"/>
                  </w14:solidFill>
                </w14:textFill>
              </w:rPr>
            </w:pPr>
          </w:p>
        </w:tc>
      </w:tr>
      <w:tr w14:paraId="39F641E6">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2FB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F82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消毒器、消毒锅</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DA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预消毒</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配套预处理系统</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891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1F88">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D12">
            <w:pPr>
              <w:jc w:val="right"/>
              <w:rPr>
                <w:rFonts w:ascii="宋体" w:hAnsi="宋体" w:cs="宋体"/>
                <w:color w:val="000000" w:themeColor="text1"/>
                <w:sz w:val="20"/>
                <w:szCs w:val="20"/>
                <w14:textFill>
                  <w14:solidFill>
                    <w14:schemeClr w14:val="tx1"/>
                  </w14:solidFill>
                </w14:textFill>
              </w:rPr>
            </w:pPr>
          </w:p>
        </w:tc>
      </w:tr>
      <w:tr w14:paraId="20C200F2">
        <w:tblPrEx>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EE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7D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格栅除污机</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CF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回转式格栅除污机</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栅隙b=5mm，渠宽w=800mm，渠高H=2.8m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60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7E4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449">
            <w:pPr>
              <w:jc w:val="right"/>
              <w:rPr>
                <w:rFonts w:ascii="宋体" w:hAnsi="宋体" w:cs="宋体"/>
                <w:color w:val="000000" w:themeColor="text1"/>
                <w:sz w:val="20"/>
                <w:szCs w:val="20"/>
                <w14:textFill>
                  <w14:solidFill>
                    <w14:schemeClr w14:val="tx1"/>
                  </w14:solidFill>
                </w14:textFill>
              </w:rPr>
            </w:pPr>
          </w:p>
        </w:tc>
      </w:tr>
      <w:tr w14:paraId="728A0EBE">
        <w:tblPrEx>
          <w:tblCellMar>
            <w:top w:w="0" w:type="dxa"/>
            <w:left w:w="108" w:type="dxa"/>
            <w:bottom w:w="0" w:type="dxa"/>
            <w:right w:w="108" w:type="dxa"/>
          </w:tblCellMar>
        </w:tblPrEx>
        <w:trPr>
          <w:trHeight w:val="73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76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D8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BD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潜水泵Q=25m3/h，H=14m，N=3.0kW，切割型（含安装附件：304导杆、链条等）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2F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7C6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8B46">
            <w:pPr>
              <w:jc w:val="right"/>
              <w:rPr>
                <w:rFonts w:ascii="宋体" w:hAnsi="宋体" w:cs="宋体"/>
                <w:color w:val="000000" w:themeColor="text1"/>
                <w:sz w:val="20"/>
                <w:szCs w:val="20"/>
                <w14:textFill>
                  <w14:solidFill>
                    <w14:schemeClr w14:val="tx1"/>
                  </w14:solidFill>
                </w14:textFill>
              </w:rPr>
            </w:pPr>
          </w:p>
        </w:tc>
      </w:tr>
      <w:tr w14:paraId="50E2E211">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97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687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8F8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潜水泵WQ20-15-2.2（含安装附件：304导杆、链条等）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绝缘电阻（MΩ):热态＞480，冷态＞460;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规定点效率（效率）≥49.44%;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功率因数≥0.89;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定子的温升限值≤65.5;额定流量时的扬程（m）≥18.01；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电泵轴功率（电泵在0.7~1.3倍规定流量范围内）≤1.768；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电泵轴功率（电泵在规定点轴功率的1.3倍）≤2.074；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2F5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48E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414">
            <w:pPr>
              <w:jc w:val="right"/>
              <w:rPr>
                <w:rFonts w:ascii="宋体" w:hAnsi="宋体" w:cs="宋体"/>
                <w:color w:val="000000" w:themeColor="text1"/>
                <w:sz w:val="20"/>
                <w:szCs w:val="20"/>
                <w14:textFill>
                  <w14:solidFill>
                    <w14:schemeClr w14:val="tx1"/>
                  </w14:solidFill>
                </w14:textFill>
              </w:rPr>
            </w:pPr>
          </w:p>
        </w:tc>
      </w:tr>
      <w:tr w14:paraId="1DC7CB22">
        <w:tblPrEx>
          <w:tblCellMar>
            <w:top w:w="0" w:type="dxa"/>
            <w:left w:w="108" w:type="dxa"/>
            <w:bottom w:w="0" w:type="dxa"/>
            <w:right w:w="108" w:type="dxa"/>
          </w:tblCellMar>
        </w:tblPrEx>
        <w:trPr>
          <w:trHeight w:val="119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B0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6A8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液位计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90C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一体式超声波液位计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量程：0.25-6米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测量精度：0.25%-0.5%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分辨率：3mm或0.1%（取大者）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盲区：0.25-0.5米（小量程最6m）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模拟输出：4线制4～20mA/750Q负载；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2线制4～20mA/250Q负载；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继电器输出：可选配2组AC 250V/8A或DC 30V/5A 状态可编程；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供电：标配24VDC；可选220V AC+15%50Hz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环境温度：显示仪表-20～+60℃，探头-20～+80℃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通信：可选485，232通信(厂家协议)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防护等级：显示仪表IP65，探头IP68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E6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1B4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5D98">
            <w:pPr>
              <w:jc w:val="right"/>
              <w:rPr>
                <w:rFonts w:ascii="宋体" w:hAnsi="宋体" w:cs="宋体"/>
                <w:color w:val="000000" w:themeColor="text1"/>
                <w:sz w:val="20"/>
                <w:szCs w:val="20"/>
                <w14:textFill>
                  <w14:solidFill>
                    <w14:schemeClr w14:val="tx1"/>
                  </w14:solidFill>
                </w14:textFill>
              </w:rPr>
            </w:pPr>
          </w:p>
        </w:tc>
      </w:tr>
      <w:tr w14:paraId="69B36D01">
        <w:tblPrEx>
          <w:tblCellMar>
            <w:top w:w="0" w:type="dxa"/>
            <w:left w:w="108" w:type="dxa"/>
            <w:bottom w:w="0" w:type="dxa"/>
            <w:right w:w="108" w:type="dxa"/>
          </w:tblCellMar>
        </w:tblPrEx>
        <w:trPr>
          <w:trHeight w:val="73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41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8E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穿孔搅拌系统</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05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穿孔搅拌系统φ63/40，UPVC</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AB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46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757E">
            <w:pPr>
              <w:jc w:val="right"/>
              <w:rPr>
                <w:rFonts w:ascii="宋体" w:hAnsi="宋体" w:cs="宋体"/>
                <w:color w:val="000000" w:themeColor="text1"/>
                <w:sz w:val="20"/>
                <w:szCs w:val="20"/>
                <w14:textFill>
                  <w14:solidFill>
                    <w14:schemeClr w14:val="tx1"/>
                  </w14:solidFill>
                </w14:textFill>
              </w:rPr>
            </w:pPr>
          </w:p>
        </w:tc>
      </w:tr>
      <w:tr w14:paraId="049732CE">
        <w:tblPrEx>
          <w:tblCellMar>
            <w:top w:w="0" w:type="dxa"/>
            <w:left w:w="108" w:type="dxa"/>
            <w:bottom w:w="0" w:type="dxa"/>
            <w:right w:w="108" w:type="dxa"/>
          </w:tblCellMar>
        </w:tblPrEx>
        <w:trPr>
          <w:trHeight w:val="78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3D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0F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穿孔搅拌系统</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3D8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穿孔搅拌系统φ50/40，UPVC</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95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9974">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3A4B">
            <w:pPr>
              <w:jc w:val="right"/>
              <w:rPr>
                <w:rFonts w:ascii="宋体" w:hAnsi="宋体" w:cs="宋体"/>
                <w:color w:val="000000" w:themeColor="text1"/>
                <w:sz w:val="20"/>
                <w:szCs w:val="20"/>
                <w14:textFill>
                  <w14:solidFill>
                    <w14:schemeClr w14:val="tx1"/>
                  </w14:solidFill>
                </w14:textFill>
              </w:rPr>
            </w:pPr>
          </w:p>
        </w:tc>
      </w:tr>
      <w:tr w14:paraId="69769B64">
        <w:tblPrEx>
          <w:tblCellMar>
            <w:top w:w="0" w:type="dxa"/>
            <w:left w:w="108" w:type="dxa"/>
            <w:bottom w:w="0" w:type="dxa"/>
            <w:right w:w="108" w:type="dxa"/>
          </w:tblCellMar>
        </w:tblPrEx>
        <w:trPr>
          <w:trHeight w:val="61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DC0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00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弹性填料</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597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弹性填料φ150mm（含填料支架：设备支架制作安装槽钢、圆钢）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孔隙率99%，理论比表面积260m2/m3， 检验池面积0.56m2。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D1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697">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581">
            <w:pPr>
              <w:jc w:val="right"/>
              <w:rPr>
                <w:rFonts w:ascii="宋体" w:hAnsi="宋体" w:cs="宋体"/>
                <w:color w:val="000000" w:themeColor="text1"/>
                <w:sz w:val="20"/>
                <w:szCs w:val="20"/>
                <w14:textFill>
                  <w14:solidFill>
                    <w14:schemeClr w14:val="tx1"/>
                  </w14:solidFill>
                </w14:textFill>
              </w:rPr>
            </w:pPr>
          </w:p>
        </w:tc>
      </w:tr>
      <w:tr w14:paraId="65D20CA4">
        <w:tblPrEx>
          <w:tblCellMar>
            <w:top w:w="0" w:type="dxa"/>
            <w:left w:w="108" w:type="dxa"/>
            <w:bottom w:w="0" w:type="dxa"/>
            <w:right w:w="108" w:type="dxa"/>
          </w:tblCellMar>
        </w:tblPrEx>
        <w:trPr>
          <w:trHeight w:val="75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2BC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CA9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好氧菌种</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1A0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好氧菌种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专业实验室培养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09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182">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FB76">
            <w:pPr>
              <w:jc w:val="right"/>
              <w:rPr>
                <w:rFonts w:ascii="宋体" w:hAnsi="宋体" w:cs="宋体"/>
                <w:color w:val="000000" w:themeColor="text1"/>
                <w:sz w:val="20"/>
                <w:szCs w:val="20"/>
                <w14:textFill>
                  <w14:solidFill>
                    <w14:schemeClr w14:val="tx1"/>
                  </w14:solidFill>
                </w14:textFill>
              </w:rPr>
            </w:pPr>
          </w:p>
        </w:tc>
      </w:tr>
      <w:tr w14:paraId="396C2ED3">
        <w:tblPrEx>
          <w:tblCellMar>
            <w:top w:w="0" w:type="dxa"/>
            <w:left w:w="108" w:type="dxa"/>
            <w:bottom w:w="0" w:type="dxa"/>
            <w:right w:w="108" w:type="dxa"/>
          </w:tblCellMar>
        </w:tblPrEx>
        <w:trPr>
          <w:trHeight w:val="72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2C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770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曝气器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F2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DN200橡胶膜盘式曝气器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氧的利用率≥37.41%，充氧能力≥0.21 kgO2/h，理论动力效率≥6.07 kgO2/kW·h，曝气器阻力损失≤3268 Pa</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EE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6E5">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75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BB41">
            <w:pPr>
              <w:jc w:val="right"/>
              <w:rPr>
                <w:rFonts w:ascii="宋体" w:hAnsi="宋体" w:cs="宋体"/>
                <w:color w:val="000000" w:themeColor="text1"/>
                <w:sz w:val="20"/>
                <w:szCs w:val="20"/>
                <w14:textFill>
                  <w14:solidFill>
                    <w14:schemeClr w14:val="tx1"/>
                  </w14:solidFill>
                </w14:textFill>
              </w:rPr>
            </w:pPr>
          </w:p>
        </w:tc>
      </w:tr>
      <w:tr w14:paraId="2D62839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A19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E4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组合填料</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7DF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组合填料φ150mm（含填料支架：设备支架制作安装槽钢、圆钢）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孔隙率99%，理论比表面积1300m2/m3，检验池面积0.56m2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874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28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58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6CBA">
            <w:pPr>
              <w:jc w:val="right"/>
              <w:rPr>
                <w:rFonts w:ascii="宋体" w:hAnsi="宋体" w:cs="宋体"/>
                <w:color w:val="000000" w:themeColor="text1"/>
                <w:sz w:val="20"/>
                <w:szCs w:val="20"/>
                <w14:textFill>
                  <w14:solidFill>
                    <w14:schemeClr w14:val="tx1"/>
                  </w14:solidFill>
                </w14:textFill>
              </w:rPr>
            </w:pPr>
          </w:p>
        </w:tc>
      </w:tr>
      <w:tr w14:paraId="0A9DF33D">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217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71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91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回流泵WQ40-8-2.2（含安装附件：304导杆、链条等）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绝缘电阻（MΩ):热态＞503，冷态＞518；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规定点效率（效率）≥50.68%；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功率因数≥0.88；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定子的温升限值≤26.1；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额定流量时的扬程（m）≥9.77；</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电泵轴功率（电泵在0.7~1.3倍规定流量范围内）≤1.849；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80A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C2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51E">
            <w:pPr>
              <w:jc w:val="right"/>
              <w:rPr>
                <w:rFonts w:ascii="宋体" w:hAnsi="宋体" w:cs="宋体"/>
                <w:color w:val="000000" w:themeColor="text1"/>
                <w:sz w:val="20"/>
                <w:szCs w:val="20"/>
                <w14:textFill>
                  <w14:solidFill>
                    <w14:schemeClr w14:val="tx1"/>
                  </w14:solidFill>
                </w14:textFill>
              </w:rPr>
            </w:pPr>
          </w:p>
        </w:tc>
      </w:tr>
      <w:tr w14:paraId="516A5DE7">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C1B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44E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溢流堰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74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溢流堰（锯齿式，L*H=4000*300mm 碳钢防腐 δ=5mm）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D2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E47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49C">
            <w:pPr>
              <w:jc w:val="right"/>
              <w:rPr>
                <w:rFonts w:ascii="宋体" w:hAnsi="宋体" w:cs="宋体"/>
                <w:color w:val="000000" w:themeColor="text1"/>
                <w:sz w:val="20"/>
                <w:szCs w:val="20"/>
                <w14:textFill>
                  <w14:solidFill>
                    <w14:schemeClr w14:val="tx1"/>
                  </w14:solidFill>
                </w14:textFill>
              </w:rPr>
            </w:pPr>
          </w:p>
        </w:tc>
      </w:tr>
      <w:tr w14:paraId="6F1F17F3">
        <w:tblPrEx>
          <w:tblCellMar>
            <w:top w:w="0" w:type="dxa"/>
            <w:left w:w="108" w:type="dxa"/>
            <w:bottom w:w="0" w:type="dxa"/>
            <w:right w:w="108" w:type="dxa"/>
          </w:tblCellMar>
        </w:tblPrEx>
        <w:trPr>
          <w:trHeight w:val="53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C9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BC8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溢流堰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FD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溢流堰（锯齿式，L*H=6850*300mm 碳钢防腐 δ=5mm）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91B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D1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BD33">
            <w:pPr>
              <w:jc w:val="right"/>
              <w:rPr>
                <w:rFonts w:ascii="宋体" w:hAnsi="宋体" w:cs="宋体"/>
                <w:color w:val="000000" w:themeColor="text1"/>
                <w:sz w:val="20"/>
                <w:szCs w:val="20"/>
                <w14:textFill>
                  <w14:solidFill>
                    <w14:schemeClr w14:val="tx1"/>
                  </w14:solidFill>
                </w14:textFill>
              </w:rPr>
            </w:pPr>
          </w:p>
        </w:tc>
      </w:tr>
      <w:tr w14:paraId="4B7415C6">
        <w:tblPrEx>
          <w:tblCellMar>
            <w:top w:w="0" w:type="dxa"/>
            <w:left w:w="108" w:type="dxa"/>
            <w:bottom w:w="0" w:type="dxa"/>
            <w:right w:w="108" w:type="dxa"/>
          </w:tblCellMar>
        </w:tblPrEx>
        <w:trPr>
          <w:trHeight w:val="52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57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1F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54E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潜水泵WQ20-15-2.2（含安装附件：钢丝软管、链条等）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绝缘电阻（MΩ):热态＞480，冷态＞460;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规定点效率（效率）≥49.44%;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功率因数≥0.89;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定子的温升限值≤65.5;额定流量时的扬程（m）≥18.01；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电泵轴功率（电泵在0.7~1.3倍规定流量范围内）≤1.768；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电泵轴功率（电泵在规定点轴功率的1.3倍）≤2.074；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DB5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738">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0F0F">
            <w:pPr>
              <w:jc w:val="right"/>
              <w:rPr>
                <w:rFonts w:ascii="宋体" w:hAnsi="宋体" w:cs="宋体"/>
                <w:color w:val="000000" w:themeColor="text1"/>
                <w:sz w:val="20"/>
                <w:szCs w:val="20"/>
                <w14:textFill>
                  <w14:solidFill>
                    <w14:schemeClr w14:val="tx1"/>
                  </w14:solidFill>
                </w14:textFill>
              </w:rPr>
            </w:pPr>
          </w:p>
        </w:tc>
      </w:tr>
      <w:tr w14:paraId="1AD8566C">
        <w:tblPrEx>
          <w:tblCellMar>
            <w:top w:w="0" w:type="dxa"/>
            <w:left w:w="108" w:type="dxa"/>
            <w:bottom w:w="0" w:type="dxa"/>
            <w:right w:w="108" w:type="dxa"/>
          </w:tblCellMar>
        </w:tblPrEx>
        <w:trPr>
          <w:trHeight w:val="53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303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604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导流筒</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71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导流筒φ450（配套导流筒安装支架）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A31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9555">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D4E8">
            <w:pPr>
              <w:jc w:val="right"/>
              <w:rPr>
                <w:rFonts w:ascii="宋体" w:hAnsi="宋体" w:cs="宋体"/>
                <w:color w:val="000000" w:themeColor="text1"/>
                <w:sz w:val="20"/>
                <w:szCs w:val="20"/>
                <w14:textFill>
                  <w14:solidFill>
                    <w14:schemeClr w14:val="tx1"/>
                  </w14:solidFill>
                </w14:textFill>
              </w:rPr>
            </w:pPr>
          </w:p>
        </w:tc>
      </w:tr>
      <w:tr w14:paraId="3AE9F7F9">
        <w:tblPrEx>
          <w:tblCellMar>
            <w:top w:w="0" w:type="dxa"/>
            <w:left w:w="108" w:type="dxa"/>
            <w:bottom w:w="0" w:type="dxa"/>
            <w:right w:w="108" w:type="dxa"/>
          </w:tblCellMar>
        </w:tblPrEx>
        <w:trPr>
          <w:trHeight w:val="52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9F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3C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折流板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957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折流板，配套消毒池</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76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D01">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06EE">
            <w:pPr>
              <w:jc w:val="right"/>
              <w:rPr>
                <w:rFonts w:ascii="宋体" w:hAnsi="宋体" w:cs="宋体"/>
                <w:color w:val="000000" w:themeColor="text1"/>
                <w:sz w:val="20"/>
                <w:szCs w:val="20"/>
                <w14:textFill>
                  <w14:solidFill>
                    <w14:schemeClr w14:val="tx1"/>
                  </w14:solidFill>
                </w14:textFill>
              </w:rPr>
            </w:pPr>
          </w:p>
        </w:tc>
      </w:tr>
      <w:tr w14:paraId="00615807">
        <w:tblPrEx>
          <w:tblCellMar>
            <w:top w:w="0" w:type="dxa"/>
            <w:left w:w="108" w:type="dxa"/>
            <w:bottom w:w="0" w:type="dxa"/>
            <w:right w:w="108" w:type="dxa"/>
          </w:tblCellMar>
        </w:tblPrEx>
        <w:trPr>
          <w:trHeight w:val="52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53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AC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8D3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排泥泵Q=10m3/h，H=13m，N=1.1kW（含安装附件：304导杆、链条等）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75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B8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FD6">
            <w:pPr>
              <w:jc w:val="right"/>
              <w:rPr>
                <w:rFonts w:ascii="宋体" w:hAnsi="宋体" w:cs="宋体"/>
                <w:color w:val="000000" w:themeColor="text1"/>
                <w:sz w:val="20"/>
                <w:szCs w:val="20"/>
                <w14:textFill>
                  <w14:solidFill>
                    <w14:schemeClr w14:val="tx1"/>
                  </w14:solidFill>
                </w14:textFill>
              </w:rPr>
            </w:pPr>
          </w:p>
        </w:tc>
      </w:tr>
      <w:tr w14:paraId="740F2B14">
        <w:tblPrEx>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70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9D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巴歇尔槽</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2A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巴歇尔槽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1.型号：1#槽；2.材质：304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7B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0C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9187">
            <w:pPr>
              <w:jc w:val="right"/>
              <w:rPr>
                <w:rFonts w:ascii="宋体" w:hAnsi="宋体" w:cs="宋体"/>
                <w:color w:val="000000" w:themeColor="text1"/>
                <w:sz w:val="20"/>
                <w:szCs w:val="20"/>
                <w14:textFill>
                  <w14:solidFill>
                    <w14:schemeClr w14:val="tx1"/>
                  </w14:solidFill>
                </w14:textFill>
              </w:rPr>
            </w:pPr>
          </w:p>
        </w:tc>
      </w:tr>
      <w:tr w14:paraId="3FE6DFA4">
        <w:tblPrEx>
          <w:tblCellMar>
            <w:top w:w="0" w:type="dxa"/>
            <w:left w:w="108" w:type="dxa"/>
            <w:bottom w:w="0" w:type="dxa"/>
            <w:right w:w="108" w:type="dxa"/>
          </w:tblCellMar>
        </w:tblPrEx>
        <w:trPr>
          <w:trHeight w:val="76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099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AA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流量计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BB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超声波明渠流量计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分体式；量程0-1米；引线10米；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4-20mA输出；过程温度-20~+55℃；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过程压力0-3bar；螺纹连接/法兰连接；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测量精度：±0.5%，流量：±1%；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E5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DF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C69B">
            <w:pPr>
              <w:jc w:val="right"/>
              <w:rPr>
                <w:rFonts w:ascii="宋体" w:hAnsi="宋体" w:cs="宋体"/>
                <w:color w:val="000000" w:themeColor="text1"/>
                <w:sz w:val="20"/>
                <w:szCs w:val="20"/>
                <w14:textFill>
                  <w14:solidFill>
                    <w14:schemeClr w14:val="tx1"/>
                  </w14:solidFill>
                </w14:textFill>
              </w:rPr>
            </w:pPr>
          </w:p>
        </w:tc>
      </w:tr>
      <w:tr w14:paraId="54A37AE0">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92B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7C8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物性检测仪表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1F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PH、余氯仪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测量方法：余氯(二氧化氯)：三电极恒电位法；总氯:膜式安培法；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温度:热电阻法；pH:电化学法；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量程／分辨率：余氯（二氧化氯):0～20mg/l ; 0.01mg/l；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pH:0～14；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(1)仪器支持间隔测量（节水）模式，可设置间隔式测量周期;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(2)余氛支持气泡自清洗，浊度支持自清洗、自排污;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(3)浊度采用光强监测，有光源衰减补偿功能，有消泡装置;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(4)余氯带自动流速补偿、自动pH补偿功能;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(5)仪器支持外部（4～20）mA 信号的因子接入，可在仪器上编辑因子名称、分辨率及单位;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(6)仪器自带无线模块，</w:t>
            </w:r>
          </w:p>
          <w:p w14:paraId="5982C74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支持2G/3G/4G全网通无线传输;</w:t>
            </w:r>
          </w:p>
          <w:p w14:paraId="530A05E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(7)浊度分辨率0.0001NTU。</w:t>
            </w:r>
          </w:p>
          <w:p w14:paraId="26546F7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余氯：</w:t>
            </w:r>
          </w:p>
          <w:p w14:paraId="06771CC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重复性：0.8％；</w:t>
            </w:r>
          </w:p>
          <w:p w14:paraId="0A8EA80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响应时间：90ｓ；</w:t>
            </w:r>
          </w:p>
          <w:p w14:paraId="0ADC776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测定下限：0.01mg/L</w:t>
            </w:r>
          </w:p>
          <w:p w14:paraId="30F223B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ｐＨ：</w:t>
            </w:r>
          </w:p>
          <w:p w14:paraId="56E47A7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重复性：0.02</w:t>
            </w:r>
          </w:p>
          <w:p w14:paraId="6EDF697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响应时间：15ｓ</w:t>
            </w:r>
          </w:p>
          <w:p w14:paraId="1F24F72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实际水样对比试验：比对试验误差：0.05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D2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A7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1E8">
            <w:pPr>
              <w:jc w:val="right"/>
              <w:rPr>
                <w:rFonts w:ascii="宋体" w:hAnsi="宋体" w:cs="宋体"/>
                <w:color w:val="000000" w:themeColor="text1"/>
                <w:sz w:val="20"/>
                <w:szCs w:val="20"/>
                <w14:textFill>
                  <w14:solidFill>
                    <w14:schemeClr w14:val="tx1"/>
                  </w14:solidFill>
                </w14:textFill>
              </w:rPr>
            </w:pPr>
          </w:p>
        </w:tc>
      </w:tr>
      <w:tr w14:paraId="52FD7725">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245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913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6D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移液泵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耐腐蚀离心泵，Q=3m3/h，H=5m，N=0.25kW</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21A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58D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CBB6">
            <w:pPr>
              <w:jc w:val="right"/>
              <w:rPr>
                <w:rFonts w:ascii="宋体" w:hAnsi="宋体" w:cs="宋体"/>
                <w:color w:val="000000" w:themeColor="text1"/>
                <w:sz w:val="20"/>
                <w:szCs w:val="20"/>
                <w14:textFill>
                  <w14:solidFill>
                    <w14:schemeClr w14:val="tx1"/>
                  </w14:solidFill>
                </w14:textFill>
              </w:rPr>
            </w:pPr>
          </w:p>
        </w:tc>
      </w:tr>
      <w:tr w14:paraId="5124DB69">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E3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309">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控制台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CE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电控柜（PLC+触摸屏）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37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E4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2643">
            <w:pPr>
              <w:jc w:val="left"/>
              <w:rPr>
                <w:rFonts w:ascii="宋体" w:hAnsi="宋体" w:cs="宋体"/>
                <w:b/>
                <w:bCs/>
                <w:color w:val="000000" w:themeColor="text1"/>
                <w:sz w:val="20"/>
                <w:szCs w:val="20"/>
                <w14:textFill>
                  <w14:solidFill>
                    <w14:schemeClr w14:val="tx1"/>
                  </w14:solidFill>
                </w14:textFill>
              </w:rPr>
            </w:pPr>
          </w:p>
        </w:tc>
      </w:tr>
      <w:tr w14:paraId="314B9C0A">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3A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E07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智慧物联网平台</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AB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智慧物联网平台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通过智慧物联网系统与PLC控制的连接，将设备运行情况通过大屏幕、PC端、手机APP展示，同时可将异常情况通过报警的方式通知监控中心或运维人员，实现后台第一时间处理问题和检修调度系统</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044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6A0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86E">
            <w:pPr>
              <w:jc w:val="left"/>
              <w:rPr>
                <w:rFonts w:ascii="宋体" w:hAnsi="宋体" w:cs="宋体"/>
                <w:b/>
                <w:bCs/>
                <w:color w:val="000000" w:themeColor="text1"/>
                <w:sz w:val="20"/>
                <w:szCs w:val="20"/>
                <w14:textFill>
                  <w14:solidFill>
                    <w14:schemeClr w14:val="tx1"/>
                  </w14:solidFill>
                </w14:textFill>
              </w:rPr>
            </w:pPr>
          </w:p>
        </w:tc>
      </w:tr>
      <w:tr w14:paraId="6F8EA3D8">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18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0A2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污泥脱水机</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19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叠螺污泥脱水机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含电控系统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出泥含水率75-85%， DS标准处理量4-6Kg*DS/h，绞龙规格Ø130*1200mm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99B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7E83">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0D6">
            <w:pPr>
              <w:jc w:val="right"/>
              <w:rPr>
                <w:rFonts w:ascii="宋体" w:hAnsi="宋体" w:cs="宋体"/>
                <w:color w:val="000000" w:themeColor="text1"/>
                <w:sz w:val="20"/>
                <w:szCs w:val="20"/>
                <w14:textFill>
                  <w14:solidFill>
                    <w14:schemeClr w14:val="tx1"/>
                  </w14:solidFill>
                </w14:textFill>
              </w:rPr>
            </w:pPr>
          </w:p>
        </w:tc>
      </w:tr>
      <w:tr w14:paraId="3DC74E8F">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94C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A1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加药设备</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20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PAM自动加药装置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加药桶及配套计量泵</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A6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757">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0992">
            <w:pPr>
              <w:jc w:val="right"/>
              <w:rPr>
                <w:rFonts w:ascii="宋体" w:hAnsi="宋体" w:cs="宋体"/>
                <w:color w:val="000000" w:themeColor="text1"/>
                <w:sz w:val="20"/>
                <w:szCs w:val="20"/>
                <w14:textFill>
                  <w14:solidFill>
                    <w14:schemeClr w14:val="tx1"/>
                  </w14:solidFill>
                </w14:textFill>
              </w:rPr>
            </w:pPr>
          </w:p>
        </w:tc>
      </w:tr>
      <w:tr w14:paraId="64AE152D">
        <w:tblPrEx>
          <w:tblCellMar>
            <w:top w:w="0" w:type="dxa"/>
            <w:left w:w="108" w:type="dxa"/>
            <w:bottom w:w="0" w:type="dxa"/>
            <w:right w:w="108" w:type="dxa"/>
          </w:tblCellMar>
        </w:tblPrEx>
        <w:trPr>
          <w:trHeight w:val="10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600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BF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离心式通风机</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570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活性炭+玻璃钢离心风机，总处理量2000m³/h，15米高空排放。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玻璃钢离心风机符合《建筑材料及制品燃烧性能分级》GB 8624-2012，进行型式检验 (安全性能)其燃烧性能达到GB8624-2012规定的难燃B1(B-s2,d0,t1)级；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玻璃钢离心风机属于节能产品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79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CC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8F1">
            <w:pPr>
              <w:jc w:val="right"/>
              <w:rPr>
                <w:rFonts w:ascii="宋体" w:hAnsi="宋体" w:cs="宋体"/>
                <w:color w:val="000000" w:themeColor="text1"/>
                <w:sz w:val="20"/>
                <w:szCs w:val="20"/>
                <w14:textFill>
                  <w14:solidFill>
                    <w14:schemeClr w14:val="tx1"/>
                  </w14:solidFill>
                </w14:textFill>
              </w:rPr>
            </w:pPr>
          </w:p>
        </w:tc>
      </w:tr>
      <w:tr w14:paraId="08F78341">
        <w:tblPrEx>
          <w:tblCellMar>
            <w:top w:w="0" w:type="dxa"/>
            <w:left w:w="108" w:type="dxa"/>
            <w:bottom w:w="0" w:type="dxa"/>
            <w:right w:w="108" w:type="dxa"/>
          </w:tblCellMar>
        </w:tblPrEx>
        <w:trPr>
          <w:trHeight w:val="6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FD6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C24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离心式通风机</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5E6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罗茨风机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4.2m³/min, 39.2Kpa N=5.5kw，配套多功能隔音罩。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油箱温度≤66℃；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轴承温度≤75℃；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振动速度≤3.6mm/s；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噪声≤80dB；</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1B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83D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510">
            <w:pPr>
              <w:jc w:val="right"/>
              <w:rPr>
                <w:rFonts w:ascii="宋体" w:hAnsi="宋体" w:cs="宋体"/>
                <w:color w:val="000000" w:themeColor="text1"/>
                <w:sz w:val="20"/>
                <w:szCs w:val="20"/>
                <w14:textFill>
                  <w14:solidFill>
                    <w14:schemeClr w14:val="tx1"/>
                  </w14:solidFill>
                </w14:textFill>
              </w:rPr>
            </w:pPr>
          </w:p>
        </w:tc>
      </w:tr>
      <w:tr w14:paraId="625E47A5">
        <w:tblPrEx>
          <w:tblCellMar>
            <w:top w:w="0" w:type="dxa"/>
            <w:left w:w="108" w:type="dxa"/>
            <w:bottom w:w="0" w:type="dxa"/>
            <w:right w:w="108" w:type="dxa"/>
          </w:tblCellMar>
        </w:tblPrEx>
        <w:trPr>
          <w:trHeight w:val="63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36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2E4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爬梯</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BBF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304不锈钢爬梯</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8F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78F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CB0">
            <w:pPr>
              <w:jc w:val="right"/>
              <w:rPr>
                <w:rFonts w:ascii="宋体" w:hAnsi="宋体" w:cs="宋体"/>
                <w:color w:val="000000" w:themeColor="text1"/>
                <w:sz w:val="20"/>
                <w:szCs w:val="20"/>
                <w14:textFill>
                  <w14:solidFill>
                    <w14:schemeClr w14:val="tx1"/>
                  </w14:solidFill>
                </w14:textFill>
              </w:rPr>
            </w:pPr>
          </w:p>
        </w:tc>
      </w:tr>
      <w:tr w14:paraId="50F853DC">
        <w:tblPrEx>
          <w:tblCellMar>
            <w:top w:w="0" w:type="dxa"/>
            <w:left w:w="108" w:type="dxa"/>
            <w:bottom w:w="0" w:type="dxa"/>
            <w:right w:w="108" w:type="dxa"/>
          </w:tblCellMar>
        </w:tblPrEx>
        <w:trPr>
          <w:trHeight w:val="62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2B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5CE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离心式泵</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9D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排水泵Q=7m3/h，H=15m，N=1.1kW</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C2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277">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D637">
            <w:pPr>
              <w:jc w:val="right"/>
              <w:rPr>
                <w:rFonts w:ascii="宋体" w:hAnsi="宋体" w:cs="宋体"/>
                <w:color w:val="000000" w:themeColor="text1"/>
                <w:sz w:val="20"/>
                <w:szCs w:val="20"/>
                <w14:textFill>
                  <w14:solidFill>
                    <w14:schemeClr w14:val="tx1"/>
                  </w14:solidFill>
                </w14:textFill>
              </w:rPr>
            </w:pPr>
          </w:p>
        </w:tc>
      </w:tr>
      <w:tr w14:paraId="6FC9028E">
        <w:tblPrEx>
          <w:tblCellMar>
            <w:top w:w="0" w:type="dxa"/>
            <w:left w:w="108" w:type="dxa"/>
            <w:bottom w:w="0" w:type="dxa"/>
            <w:right w:w="108" w:type="dxa"/>
          </w:tblCellMar>
        </w:tblPrEx>
        <w:trPr>
          <w:trHeight w:val="6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71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AF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栅渣小车</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9A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栅渣小车0.3m³</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56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8C1">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FAA">
            <w:pPr>
              <w:jc w:val="right"/>
              <w:rPr>
                <w:rFonts w:ascii="宋体" w:hAnsi="宋体" w:cs="宋体"/>
                <w:color w:val="000000" w:themeColor="text1"/>
                <w:sz w:val="20"/>
                <w:szCs w:val="20"/>
                <w14:textFill>
                  <w14:solidFill>
                    <w14:schemeClr w14:val="tx1"/>
                  </w14:solidFill>
                </w14:textFill>
              </w:rPr>
            </w:pPr>
          </w:p>
        </w:tc>
      </w:tr>
      <w:tr w14:paraId="66001181">
        <w:tblPrEx>
          <w:tblCellMar>
            <w:top w:w="0" w:type="dxa"/>
            <w:left w:w="108" w:type="dxa"/>
            <w:bottom w:w="0" w:type="dxa"/>
            <w:right w:w="108" w:type="dxa"/>
          </w:tblCellMar>
        </w:tblPrEx>
        <w:trPr>
          <w:trHeight w:val="6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AF4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68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61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UPVC电线管DN25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2C2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E4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890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D2EA">
            <w:pPr>
              <w:jc w:val="right"/>
              <w:rPr>
                <w:rFonts w:ascii="宋体" w:hAnsi="宋体" w:cs="宋体"/>
                <w:color w:val="000000" w:themeColor="text1"/>
                <w:sz w:val="20"/>
                <w:szCs w:val="20"/>
                <w14:textFill>
                  <w14:solidFill>
                    <w14:schemeClr w14:val="tx1"/>
                  </w14:solidFill>
                </w14:textFill>
              </w:rPr>
            </w:pPr>
          </w:p>
        </w:tc>
      </w:tr>
      <w:tr w14:paraId="6F0E8EEF">
        <w:tblPrEx>
          <w:tblCellMar>
            <w:top w:w="0" w:type="dxa"/>
            <w:left w:w="108" w:type="dxa"/>
            <w:bottom w:w="0" w:type="dxa"/>
            <w:right w:w="108" w:type="dxa"/>
          </w:tblCellMar>
        </w:tblPrEx>
        <w:trPr>
          <w:trHeight w:val="57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02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95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控制电缆</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A38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KVV-4×1.0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E0A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6F4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4592">
            <w:pPr>
              <w:jc w:val="right"/>
              <w:rPr>
                <w:rFonts w:ascii="宋体" w:hAnsi="宋体" w:cs="宋体"/>
                <w:color w:val="000000" w:themeColor="text1"/>
                <w:sz w:val="20"/>
                <w:szCs w:val="20"/>
                <w14:textFill>
                  <w14:solidFill>
                    <w14:schemeClr w14:val="tx1"/>
                  </w14:solidFill>
                </w14:textFill>
              </w:rPr>
            </w:pPr>
          </w:p>
        </w:tc>
      </w:tr>
      <w:tr w14:paraId="2E14838A">
        <w:tblPrEx>
          <w:tblCellMar>
            <w:top w:w="0" w:type="dxa"/>
            <w:left w:w="108" w:type="dxa"/>
            <w:bottom w:w="0" w:type="dxa"/>
            <w:right w:w="108" w:type="dxa"/>
          </w:tblCellMar>
        </w:tblPrEx>
        <w:trPr>
          <w:trHeight w:val="55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98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38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AA0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WDZ-BYJ-1.5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A09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DC8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B0C">
            <w:pPr>
              <w:jc w:val="right"/>
              <w:rPr>
                <w:rFonts w:ascii="宋体" w:hAnsi="宋体" w:cs="宋体"/>
                <w:color w:val="000000" w:themeColor="text1"/>
                <w:sz w:val="20"/>
                <w:szCs w:val="20"/>
                <w14:textFill>
                  <w14:solidFill>
                    <w14:schemeClr w14:val="tx1"/>
                  </w14:solidFill>
                </w14:textFill>
              </w:rPr>
            </w:pPr>
          </w:p>
        </w:tc>
      </w:tr>
      <w:tr w14:paraId="5B5EBFCA">
        <w:tblPrEx>
          <w:tblCellMar>
            <w:top w:w="0" w:type="dxa"/>
            <w:left w:w="108" w:type="dxa"/>
            <w:bottom w:w="0" w:type="dxa"/>
            <w:right w:w="108" w:type="dxa"/>
          </w:tblCellMar>
        </w:tblPrEx>
        <w:trPr>
          <w:trHeight w:val="58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13B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45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C3B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WDZ-BYJR-1.5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C53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451">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60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8B90">
            <w:pPr>
              <w:rPr>
                <w:rFonts w:ascii="宋体" w:hAnsi="宋体" w:cs="宋体"/>
                <w:color w:val="000000" w:themeColor="text1"/>
                <w:sz w:val="20"/>
                <w:szCs w:val="20"/>
                <w14:textFill>
                  <w14:solidFill>
                    <w14:schemeClr w14:val="tx1"/>
                  </w14:solidFill>
                </w14:textFill>
              </w:rPr>
            </w:pPr>
          </w:p>
        </w:tc>
      </w:tr>
      <w:tr w14:paraId="552CAD17">
        <w:tblPrEx>
          <w:tblCellMar>
            <w:top w:w="0" w:type="dxa"/>
            <w:left w:w="108" w:type="dxa"/>
            <w:bottom w:w="0" w:type="dxa"/>
            <w:right w:w="108" w:type="dxa"/>
          </w:tblCellMar>
        </w:tblPrEx>
        <w:trPr>
          <w:trHeight w:val="59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44F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4E0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EF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FAB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489D">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1680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425E">
            <w:pPr>
              <w:jc w:val="right"/>
              <w:rPr>
                <w:rFonts w:ascii="宋体" w:hAnsi="宋体" w:cs="宋体"/>
                <w:color w:val="000000" w:themeColor="text1"/>
                <w:sz w:val="20"/>
                <w:szCs w:val="20"/>
                <w14:textFill>
                  <w14:solidFill>
                    <w14:schemeClr w14:val="tx1"/>
                  </w14:solidFill>
                </w14:textFill>
              </w:rPr>
            </w:pPr>
          </w:p>
        </w:tc>
      </w:tr>
      <w:tr w14:paraId="546B6F66">
        <w:tblPrEx>
          <w:tblCellMar>
            <w:top w:w="0" w:type="dxa"/>
            <w:left w:w="108" w:type="dxa"/>
            <w:bottom w:w="0" w:type="dxa"/>
            <w:right w:w="108" w:type="dxa"/>
          </w:tblCellMar>
        </w:tblPrEx>
        <w:trPr>
          <w:trHeight w:val="68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367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2F3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1EA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WDZ-BYJR-4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63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2E8">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560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1F55">
            <w:pPr>
              <w:jc w:val="left"/>
              <w:rPr>
                <w:rFonts w:ascii="宋体" w:hAnsi="宋体" w:cs="宋体"/>
                <w:b/>
                <w:bCs/>
                <w:color w:val="000000" w:themeColor="text1"/>
                <w:sz w:val="20"/>
                <w:szCs w:val="20"/>
                <w14:textFill>
                  <w14:solidFill>
                    <w14:schemeClr w14:val="tx1"/>
                  </w14:solidFill>
                </w14:textFill>
              </w:rPr>
            </w:pPr>
          </w:p>
        </w:tc>
      </w:tr>
      <w:tr w14:paraId="587779EA">
        <w:tblPrEx>
          <w:tblCellMar>
            <w:top w:w="0" w:type="dxa"/>
            <w:left w:w="108" w:type="dxa"/>
            <w:bottom w:w="0" w:type="dxa"/>
            <w:right w:w="108" w:type="dxa"/>
          </w:tblCellMar>
        </w:tblPrEx>
        <w:trPr>
          <w:trHeight w:val="658"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51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AF9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B7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8B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D09D">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A06">
            <w:pPr>
              <w:jc w:val="right"/>
              <w:rPr>
                <w:rFonts w:ascii="宋体" w:hAnsi="宋体" w:cs="宋体"/>
                <w:color w:val="000000" w:themeColor="text1"/>
                <w:sz w:val="20"/>
                <w:szCs w:val="20"/>
                <w14:textFill>
                  <w14:solidFill>
                    <w14:schemeClr w14:val="tx1"/>
                  </w14:solidFill>
                </w14:textFill>
              </w:rPr>
            </w:pPr>
          </w:p>
        </w:tc>
      </w:tr>
      <w:tr w14:paraId="115B1421">
        <w:tblPrEx>
          <w:tblCellMar>
            <w:top w:w="0" w:type="dxa"/>
            <w:left w:w="108" w:type="dxa"/>
            <w:bottom w:w="0" w:type="dxa"/>
            <w:right w:w="108" w:type="dxa"/>
          </w:tblCellMar>
        </w:tblPrEx>
        <w:trPr>
          <w:trHeight w:val="66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EE5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FD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配线</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32F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WDZ-BYJR-6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79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65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A0B">
            <w:pPr>
              <w:jc w:val="right"/>
              <w:rPr>
                <w:rFonts w:ascii="宋体" w:hAnsi="宋体" w:cs="宋体"/>
                <w:color w:val="000000" w:themeColor="text1"/>
                <w:sz w:val="20"/>
                <w:szCs w:val="20"/>
                <w14:textFill>
                  <w14:solidFill>
                    <w14:schemeClr w14:val="tx1"/>
                  </w14:solidFill>
                </w14:textFill>
              </w:rPr>
            </w:pPr>
          </w:p>
        </w:tc>
      </w:tr>
      <w:tr w14:paraId="219E3C2F">
        <w:tblPrEx>
          <w:tblCellMar>
            <w:top w:w="0" w:type="dxa"/>
            <w:left w:w="108" w:type="dxa"/>
            <w:bottom w:w="0" w:type="dxa"/>
            <w:right w:w="108" w:type="dxa"/>
          </w:tblCellMar>
        </w:tblPrEx>
        <w:trPr>
          <w:trHeight w:val="778"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6FF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1CA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FB4">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87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A2D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70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F6E">
            <w:pPr>
              <w:jc w:val="right"/>
              <w:rPr>
                <w:rFonts w:ascii="宋体" w:hAnsi="宋体" w:cs="宋体"/>
                <w:color w:val="000000" w:themeColor="text1"/>
                <w:sz w:val="20"/>
                <w:szCs w:val="20"/>
                <w14:textFill>
                  <w14:solidFill>
                    <w14:schemeClr w14:val="tx1"/>
                  </w14:solidFill>
                </w14:textFill>
              </w:rPr>
            </w:pPr>
          </w:p>
        </w:tc>
      </w:tr>
      <w:tr w14:paraId="126D8270">
        <w:tblPrEx>
          <w:tblCellMar>
            <w:top w:w="0" w:type="dxa"/>
            <w:left w:w="108" w:type="dxa"/>
            <w:bottom w:w="0" w:type="dxa"/>
            <w:right w:w="108" w:type="dxa"/>
          </w:tblCellMar>
        </w:tblPrEx>
        <w:trPr>
          <w:trHeight w:val="66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9F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C5A8">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997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DN25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F86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62C">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4D1">
            <w:pPr>
              <w:jc w:val="right"/>
              <w:rPr>
                <w:rFonts w:ascii="宋体" w:hAnsi="宋体" w:cs="宋体"/>
                <w:color w:val="000000" w:themeColor="text1"/>
                <w:sz w:val="20"/>
                <w:szCs w:val="20"/>
                <w14:textFill>
                  <w14:solidFill>
                    <w14:schemeClr w14:val="tx1"/>
                  </w14:solidFill>
                </w14:textFill>
              </w:rPr>
            </w:pPr>
          </w:p>
        </w:tc>
      </w:tr>
      <w:tr w14:paraId="5625F680">
        <w:tblPrEx>
          <w:tblCellMar>
            <w:top w:w="0" w:type="dxa"/>
            <w:left w:w="108" w:type="dxa"/>
            <w:bottom w:w="0" w:type="dxa"/>
            <w:right w:w="108" w:type="dxa"/>
          </w:tblCellMar>
        </w:tblPrEx>
        <w:trPr>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12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EDD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5C5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DN32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131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E8E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426">
            <w:pPr>
              <w:jc w:val="right"/>
              <w:rPr>
                <w:rFonts w:ascii="宋体" w:hAnsi="宋体" w:cs="宋体"/>
                <w:color w:val="000000" w:themeColor="text1"/>
                <w:sz w:val="20"/>
                <w:szCs w:val="20"/>
                <w14:textFill>
                  <w14:solidFill>
                    <w14:schemeClr w14:val="tx1"/>
                  </w14:solidFill>
                </w14:textFill>
              </w:rPr>
            </w:pPr>
          </w:p>
        </w:tc>
      </w:tr>
      <w:tr w14:paraId="657A5E9F">
        <w:tblPrEx>
          <w:tblCellMar>
            <w:top w:w="0" w:type="dxa"/>
            <w:left w:w="108" w:type="dxa"/>
            <w:bottom w:w="0" w:type="dxa"/>
            <w:right w:w="108" w:type="dxa"/>
          </w:tblCellMar>
        </w:tblPrEx>
        <w:trPr>
          <w:trHeight w:val="59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BC32">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55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CAC">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DN50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38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120A">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115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938C">
            <w:pPr>
              <w:jc w:val="right"/>
              <w:rPr>
                <w:rFonts w:ascii="宋体" w:hAnsi="宋体" w:cs="宋体"/>
                <w:color w:val="000000" w:themeColor="text1"/>
                <w:sz w:val="20"/>
                <w:szCs w:val="20"/>
                <w14:textFill>
                  <w14:solidFill>
                    <w14:schemeClr w14:val="tx1"/>
                  </w14:solidFill>
                </w14:textFill>
              </w:rPr>
            </w:pPr>
          </w:p>
        </w:tc>
      </w:tr>
      <w:tr w14:paraId="27B45D3C">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AD9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30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182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DN63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7E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B349">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192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72E7">
            <w:pPr>
              <w:jc w:val="right"/>
              <w:rPr>
                <w:rFonts w:ascii="宋体" w:hAnsi="宋体" w:cs="宋体"/>
                <w:color w:val="000000" w:themeColor="text1"/>
                <w:sz w:val="20"/>
                <w:szCs w:val="20"/>
                <w14:textFill>
                  <w14:solidFill>
                    <w14:schemeClr w14:val="tx1"/>
                  </w14:solidFill>
                </w14:textFill>
              </w:rPr>
            </w:pPr>
          </w:p>
        </w:tc>
      </w:tr>
      <w:tr w14:paraId="38EB7ABE">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FD6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74F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2F91">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DN75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B3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70E">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5017">
            <w:pPr>
              <w:jc w:val="right"/>
              <w:rPr>
                <w:rFonts w:ascii="宋体" w:hAnsi="宋体" w:cs="宋体"/>
                <w:color w:val="000000" w:themeColor="text1"/>
                <w:sz w:val="20"/>
                <w:szCs w:val="20"/>
                <w14:textFill>
                  <w14:solidFill>
                    <w14:schemeClr w14:val="tx1"/>
                  </w14:solidFill>
                </w14:textFill>
              </w:rPr>
            </w:pPr>
          </w:p>
        </w:tc>
      </w:tr>
      <w:tr w14:paraId="0E87DFF7">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8C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83A">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7C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341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9105">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9D2">
            <w:pPr>
              <w:jc w:val="right"/>
              <w:rPr>
                <w:rFonts w:ascii="宋体" w:hAnsi="宋体" w:cs="宋体"/>
                <w:color w:val="000000" w:themeColor="text1"/>
                <w:sz w:val="20"/>
                <w:szCs w:val="20"/>
                <w14:textFill>
                  <w14:solidFill>
                    <w14:schemeClr w14:val="tx1"/>
                  </w14:solidFill>
                </w14:textFill>
              </w:rPr>
            </w:pPr>
          </w:p>
        </w:tc>
      </w:tr>
      <w:tr w14:paraId="754448A7">
        <w:tblPrEx>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77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AA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A175">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DN110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9CD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BD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A8A2">
            <w:pPr>
              <w:jc w:val="right"/>
              <w:rPr>
                <w:rFonts w:ascii="宋体" w:hAnsi="宋体" w:cs="宋体"/>
                <w:color w:val="000000" w:themeColor="text1"/>
                <w:sz w:val="20"/>
                <w:szCs w:val="20"/>
                <w14:textFill>
                  <w14:solidFill>
                    <w14:schemeClr w14:val="tx1"/>
                  </w14:solidFill>
                </w14:textFill>
              </w:rPr>
            </w:pPr>
          </w:p>
        </w:tc>
      </w:tr>
      <w:tr w14:paraId="6A776A6F">
        <w:tblPrEx>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D69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25E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FEF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UPVC DN160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681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7101">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45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39A0">
            <w:pPr>
              <w:jc w:val="right"/>
              <w:rPr>
                <w:rFonts w:ascii="宋体" w:hAnsi="宋体" w:cs="宋体"/>
                <w:color w:val="000000" w:themeColor="text1"/>
                <w:sz w:val="20"/>
                <w:szCs w:val="20"/>
                <w14:textFill>
                  <w14:solidFill>
                    <w14:schemeClr w14:val="tx1"/>
                  </w14:solidFill>
                </w14:textFill>
              </w:rPr>
            </w:pPr>
          </w:p>
        </w:tc>
      </w:tr>
      <w:tr w14:paraId="7C479700">
        <w:tblPrEx>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3D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269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钢管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A5D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焊接钢管DN200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43A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66E0">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799">
            <w:pPr>
              <w:jc w:val="right"/>
              <w:rPr>
                <w:rFonts w:ascii="宋体" w:hAnsi="宋体" w:cs="宋体"/>
                <w:color w:val="000000" w:themeColor="text1"/>
                <w:sz w:val="20"/>
                <w:szCs w:val="20"/>
                <w14:textFill>
                  <w14:solidFill>
                    <w14:schemeClr w14:val="tx1"/>
                  </w14:solidFill>
                </w14:textFill>
              </w:rPr>
            </w:pPr>
          </w:p>
        </w:tc>
      </w:tr>
      <w:tr w14:paraId="00FDED05">
        <w:tblPrEx>
          <w:tblCellMar>
            <w:top w:w="0" w:type="dxa"/>
            <w:left w:w="108" w:type="dxa"/>
            <w:bottom w:w="0" w:type="dxa"/>
            <w:right w:w="108" w:type="dxa"/>
          </w:tblCellMar>
        </w:tblPrEx>
        <w:trPr>
          <w:trHeight w:val="76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59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EFCF">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钢管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5E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焊接钢管DN100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006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1F1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5EC">
            <w:pPr>
              <w:jc w:val="right"/>
              <w:rPr>
                <w:rFonts w:ascii="宋体" w:hAnsi="宋体" w:cs="宋体"/>
                <w:color w:val="000000" w:themeColor="text1"/>
                <w:sz w:val="20"/>
                <w:szCs w:val="20"/>
                <w14:textFill>
                  <w14:solidFill>
                    <w14:schemeClr w14:val="tx1"/>
                  </w14:solidFill>
                </w14:textFill>
              </w:rPr>
            </w:pPr>
          </w:p>
        </w:tc>
      </w:tr>
      <w:tr w14:paraId="296FD777">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B7A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AA32">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钢管</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23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焊接钢管DN80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4F7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9EBB">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358E">
            <w:pPr>
              <w:jc w:val="right"/>
              <w:rPr>
                <w:rFonts w:ascii="宋体" w:hAnsi="宋体" w:cs="宋体"/>
                <w:color w:val="000000" w:themeColor="text1"/>
                <w:sz w:val="20"/>
                <w:szCs w:val="20"/>
                <w14:textFill>
                  <w14:solidFill>
                    <w14:schemeClr w14:val="tx1"/>
                  </w14:solidFill>
                </w14:textFill>
              </w:rPr>
            </w:pPr>
          </w:p>
        </w:tc>
      </w:tr>
      <w:tr w14:paraId="285A6EB7">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8D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F0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塑料阀门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2ED">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蝶阀DN50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A6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55FF">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32A">
            <w:pPr>
              <w:jc w:val="right"/>
              <w:rPr>
                <w:rFonts w:ascii="宋体" w:hAnsi="宋体" w:cs="宋体"/>
                <w:color w:val="000000" w:themeColor="text1"/>
                <w:sz w:val="20"/>
                <w:szCs w:val="20"/>
                <w14:textFill>
                  <w14:solidFill>
                    <w14:schemeClr w14:val="tx1"/>
                  </w14:solidFill>
                </w14:textFill>
              </w:rPr>
            </w:pPr>
          </w:p>
        </w:tc>
      </w:tr>
      <w:tr w14:paraId="2323900F">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66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7AE6">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塑料阀门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94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蝶阀DN90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C1C7">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472F">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BE5">
            <w:pPr>
              <w:jc w:val="right"/>
              <w:rPr>
                <w:rFonts w:ascii="宋体" w:hAnsi="宋体" w:cs="宋体"/>
                <w:color w:val="000000" w:themeColor="text1"/>
                <w:sz w:val="20"/>
                <w:szCs w:val="20"/>
                <w14:textFill>
                  <w14:solidFill>
                    <w14:schemeClr w14:val="tx1"/>
                  </w14:solidFill>
                </w14:textFill>
              </w:rPr>
            </w:pPr>
          </w:p>
        </w:tc>
      </w:tr>
      <w:tr w14:paraId="13064745">
        <w:tblPrEx>
          <w:tblCellMar>
            <w:top w:w="0" w:type="dxa"/>
            <w:left w:w="108" w:type="dxa"/>
            <w:bottom w:w="0" w:type="dxa"/>
            <w:right w:w="108" w:type="dxa"/>
          </w:tblCellMar>
        </w:tblPrEx>
        <w:trPr>
          <w:trHeight w:val="25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48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D8B">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塑料阀门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067">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止回阀DN50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665">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3F41">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16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487">
            <w:pPr>
              <w:jc w:val="right"/>
              <w:rPr>
                <w:rFonts w:ascii="宋体" w:hAnsi="宋体" w:cs="宋体"/>
                <w:color w:val="000000" w:themeColor="text1"/>
                <w:sz w:val="20"/>
                <w:szCs w:val="20"/>
                <w14:textFill>
                  <w14:solidFill>
                    <w14:schemeClr w14:val="tx1"/>
                  </w14:solidFill>
                </w14:textFill>
              </w:rPr>
            </w:pPr>
          </w:p>
        </w:tc>
      </w:tr>
      <w:tr w14:paraId="6BB548F8">
        <w:tblPrEx>
          <w:tblCellMar>
            <w:top w:w="0" w:type="dxa"/>
            <w:left w:w="108" w:type="dxa"/>
            <w:bottom w:w="0" w:type="dxa"/>
            <w:right w:w="108" w:type="dxa"/>
          </w:tblCellMar>
        </w:tblPrEx>
        <w:trPr>
          <w:trHeight w:val="51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B55B">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8563">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塑料阀门</w:t>
            </w:r>
          </w:p>
        </w:tc>
        <w:tc>
          <w:tcPr>
            <w:tcW w:w="4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0EE">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球阀DN20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96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1146">
            <w:pPr>
              <w:widowControl/>
              <w:jc w:val="righ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92C">
            <w:pPr>
              <w:jc w:val="right"/>
              <w:rPr>
                <w:rFonts w:ascii="宋体" w:hAnsi="宋体" w:cs="宋体"/>
                <w:color w:val="000000" w:themeColor="text1"/>
                <w:sz w:val="20"/>
                <w:szCs w:val="20"/>
                <w14:textFill>
                  <w14:solidFill>
                    <w14:schemeClr w14:val="tx1"/>
                  </w14:solidFill>
                </w14:textFill>
              </w:rPr>
            </w:pPr>
          </w:p>
        </w:tc>
      </w:tr>
    </w:tbl>
    <w:p w14:paraId="2C1BD9C4">
      <w:pPr>
        <w:rPr>
          <w:rFonts w:ascii="宋体" w:hAnsi="宋体" w:cs="宋体"/>
          <w:color w:val="000000" w:themeColor="text1"/>
          <w14:textFill>
            <w14:solidFill>
              <w14:schemeClr w14:val="tx1"/>
            </w14:solidFill>
          </w14:textFill>
        </w:rPr>
      </w:pPr>
    </w:p>
    <w:p w14:paraId="49714715">
      <w:pPr>
        <w:widowControl/>
        <w:spacing w:line="360" w:lineRule="auto"/>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四、商务要求</w:t>
      </w:r>
    </w:p>
    <w:p w14:paraId="26209936">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1.报价要求</w:t>
      </w:r>
    </w:p>
    <w:p w14:paraId="616C669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本项目内容包含</w:t>
      </w:r>
      <w:r>
        <w:rPr>
          <w:rFonts w:hint="eastAsia" w:ascii="宋体" w:hAnsi="宋体" w:cs="宋体"/>
          <w:b/>
          <w:color w:val="000000" w:themeColor="text1"/>
          <w:sz w:val="24"/>
          <w14:textFill>
            <w14:solidFill>
              <w14:schemeClr w14:val="tx1"/>
            </w14:solidFill>
          </w14:textFill>
        </w:rPr>
        <w:t>设备基础制作、穿墙破洞及封堵、管路安装、二次深化设计</w:t>
      </w:r>
      <w:r>
        <w:rPr>
          <w:rFonts w:hint="eastAsia" w:ascii="宋体" w:hAnsi="宋体" w:cs="宋体"/>
          <w:bCs/>
          <w:color w:val="000000" w:themeColor="text1"/>
          <w:sz w:val="24"/>
          <w14:textFill>
            <w14:solidFill>
              <w14:schemeClr w14:val="tx1"/>
            </w14:solidFill>
          </w14:textFill>
        </w:rPr>
        <w:t>、供货材料、设备、运输、人工、安装、调试、税费等所有一切费用。</w:t>
      </w:r>
    </w:p>
    <w:p w14:paraId="54273D6F">
      <w:pPr>
        <w:pStyle w:val="101"/>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w:t>
      </w:r>
      <w:r>
        <w:rPr>
          <w:rFonts w:hint="eastAsia" w:ascii="宋体" w:hAnsi="宋体" w:cs="宋体"/>
          <w:bCs/>
          <w:color w:val="000000" w:themeColor="text1"/>
          <w14:textFill>
            <w14:solidFill>
              <w14:schemeClr w14:val="tx1"/>
            </w14:solidFill>
          </w14:textFill>
        </w:rPr>
        <w:t>清单只是招标人提出的基础清单，作为所有供应商的报价基础，供应商提供的报价清单不得少于本表规定的货物及数量。本项目采购人如存在重要功能的调整，供应商需无条件配合，相关工程量包含在投标总价中。本项目为总价一次性包干：中标方在施工过程中，除建设方的重大功能改变和设计变更引起的主要设备数量变化外，其他所有在本项目施工中用到的附属设备、材料，均视同已报价，中标方不得以此为借口而停止本项目的施工，采购方不会为本项目追加任何投资额外费用</w:t>
      </w:r>
      <w:r>
        <w:rPr>
          <w:rFonts w:hint="eastAsia" w:ascii="宋体" w:hAnsi="宋体" w:cs="宋体"/>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项目建设费用审定结算价大于中标价时，按中标价计；当审定结算价小于中标价，按审定价计。</w:t>
      </w:r>
      <w:r>
        <w:rPr>
          <w:rFonts w:hint="eastAsia" w:ascii="宋体" w:hAnsi="宋体" w:cs="宋体"/>
          <w:b/>
          <w:color w:val="000000" w:themeColor="text1"/>
          <w14:textFill>
            <w14:solidFill>
              <w14:schemeClr w14:val="tx1"/>
            </w14:solidFill>
          </w14:textFill>
        </w:rPr>
        <w:t>因此，投标方须自行考虑报价风险</w:t>
      </w:r>
      <w:r>
        <w:rPr>
          <w:rFonts w:hint="eastAsia" w:ascii="宋体" w:hAnsi="宋体" w:cs="宋体"/>
          <w:bCs/>
          <w:color w:val="000000" w:themeColor="text1"/>
          <w14:textFill>
            <w14:solidFill>
              <w14:schemeClr w14:val="tx1"/>
            </w14:solidFill>
          </w14:textFill>
        </w:rPr>
        <w:t>。</w:t>
      </w:r>
    </w:p>
    <w:p w14:paraId="53D6C8ED">
      <w:pPr>
        <w:widowControl/>
        <w:autoSpaceDE w:val="0"/>
        <w:spacing w:line="360" w:lineRule="exact"/>
        <w:ind w:firstLine="482" w:firstLineChars="200"/>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▲注：投标报价超过最高限价的投标无效</w:t>
      </w:r>
      <w:r>
        <w:rPr>
          <w:rFonts w:hint="eastAsia" w:ascii="宋体" w:hAnsi="宋体" w:cs="宋体"/>
          <w:b/>
          <w:bCs/>
          <w:color w:val="000000" w:themeColor="text1"/>
          <w:sz w:val="24"/>
          <w14:textFill>
            <w14:solidFill>
              <w14:schemeClr w14:val="tx1"/>
            </w14:solidFill>
          </w14:textFill>
        </w:rPr>
        <w:t>。</w:t>
      </w:r>
    </w:p>
    <w:p w14:paraId="3B0C7088">
      <w:pPr>
        <w:spacing w:line="229" w:lineRule="auto"/>
        <w:ind w:left="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2.工作范围</w:t>
      </w:r>
    </w:p>
    <w:p w14:paraId="1A53F75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（1）采购人的工作范围：提供污水设备安装所需要的辅助条件。</w:t>
      </w:r>
    </w:p>
    <w:p w14:paraId="4568EE27">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中标人的工作范围：中标人需按采购文件中的要求的项目内容完成设备材料的采购、制造、运输、装卸、保险、就位、成品保管、安装、调试、培训、检验、验收、质保期内的维修保养等。并按工作顺序提交所需所有资料（无论其是否被明细列在合同文件中），资料的提供必须符合本章的有关要求并按时递交。一些虽由中标人完成的项目但与第三方完成的项目密切相关，由中标人提出要求，提供相关专业协商解决方案。</w:t>
      </w:r>
    </w:p>
    <w:p w14:paraId="4D292056">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（3）中标人须提供以下工作服务但不仅限于以下：</w:t>
      </w:r>
    </w:p>
    <w:p w14:paraId="30DDDE54">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按采购人认可的设计方案和材料进行加工、制造、供货；</w:t>
      </w:r>
    </w:p>
    <w:p w14:paraId="4DC3EDE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运输及卸货：负责设备运输至建设工地并负责卸货现场存放场地；</w:t>
      </w:r>
    </w:p>
    <w:p w14:paraId="4D429F5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到货验收：货到现场，需方和供方共同清点箱件验收。如不具备开箱验收的条件，供方应妥善保管（需 防潮、防盗） 。未经需方同意，供方不得擅自拆箱。需方在接到供方开箱安装通知后，派员7天内会同供方进行货物清点验收，若发现货物与装箱单数目不符，供方须在接到需方在规定时间内将货物补齐，工期计入供货周期。如在保管期间箱件已损坏，缺件由供方负责，如对产品的外表质量有异议，应在验收时提出。在供货期以后发现货物与装箱清单数目、规格不一致的，也不能排除供方对此的保证责任。到场验收合格后，并不排除供方对相应设备的责任。</w:t>
      </w:r>
    </w:p>
    <w:p w14:paraId="67C8E5A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现场保管：需方提供现场的设备存放场地，供方负责派专人对设备进行保管。</w:t>
      </w:r>
    </w:p>
    <w:p w14:paraId="02E4CC2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供方负责产品就位、产品安装和调试。</w:t>
      </w:r>
    </w:p>
    <w:p w14:paraId="7A323F0A">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产品保护：产品安装过程中、安装完毕、调试试运行合格至相关部门检验合格前，以及检验合格至交付需方这个阶段中，供方采取相应措施对现场设备进行保护，以免设备受到损伤。如出现设备损伤，则供方需对损伤部位进行修复；不能修复的，需对损伤部位部件进行调换。</w:t>
      </w:r>
    </w:p>
    <w:p w14:paraId="172FEBD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检验：供方须做好并通过相关部门对产品的检验，并取得合格证。</w:t>
      </w:r>
    </w:p>
    <w:p w14:paraId="46D7DF96">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按承诺完成质保期内的售后服务工作。</w:t>
      </w:r>
    </w:p>
    <w:p w14:paraId="0D989DC9">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（4）其他说明</w:t>
      </w:r>
    </w:p>
    <w:p w14:paraId="0825583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投标人在取得中标资格后，须负责设备的安装、调试、测试、技术交底、技术培训、售后服务等一切与中标设备有关的附随服务工作，本项目投标报价不需要考虑总承包管理服务费。</w:t>
      </w:r>
    </w:p>
    <w:p w14:paraId="1CF669E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总承包服务费：本项目总包不收总承包管理服务费。</w:t>
      </w:r>
    </w:p>
    <w:p w14:paraId="1907D920">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3.工期、质量及人员要求</w:t>
      </w:r>
    </w:p>
    <w:p w14:paraId="7CB9226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w:t>
      </w:r>
      <w:r>
        <w:rPr>
          <w:rFonts w:hint="eastAsia" w:ascii="宋体" w:hAnsi="宋体" w:cs="宋体"/>
          <w:bCs/>
          <w:color w:val="000000" w:themeColor="text1"/>
          <w:sz w:val="24"/>
          <w14:textFill>
            <w14:solidFill>
              <w14:schemeClr w14:val="tx1"/>
            </w14:solidFill>
          </w14:textFill>
        </w:rPr>
        <w:t>质保期：质保期为</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，时间从设备全部安装调试验收合格后算起。质保期内应保证所有产品、系统正常运行。</w:t>
      </w:r>
    </w:p>
    <w:p w14:paraId="73E8D13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3.2.工期：合同签订后120天内交货并安装调试完毕。</w:t>
      </w:r>
    </w:p>
    <w:p w14:paraId="1C22649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投标人在投标时应充分考虑设备生产及供货时间提前或延后的影响，并在投标报价中给予体现，不得因采购人提前或延后要求供货而增加任何费用。</w:t>
      </w:r>
    </w:p>
    <w:p w14:paraId="3077085C">
      <w:pPr>
        <w:spacing w:line="229" w:lineRule="auto"/>
        <w:ind w:left="9" w:firstLine="508" w:firstLineChars="200"/>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注：1.需满足项目总承包进度要求，积极配合各项工艺进度要求等。2.因中标人原因造成工期延误的每日向甲方支付合同款项的千分之六作为违约金。</w:t>
      </w:r>
    </w:p>
    <w:p w14:paraId="1EA4A0B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r>
        <w:rPr>
          <w:rFonts w:hint="eastAsia" w:ascii="宋体" w:hAnsi="宋体" w:cs="宋体"/>
          <w:bCs/>
          <w:color w:val="000000" w:themeColor="text1"/>
          <w:sz w:val="24"/>
          <w14:textFill>
            <w14:solidFill>
              <w14:schemeClr w14:val="tx1"/>
            </w14:solidFill>
          </w14:textFill>
        </w:rPr>
        <w:t>质量要求：投标人应根据自身的技术力量和管理水平，明确保证项目质量目标的措施，并对项目施工质量负责。投标人必须严格按合同的条款、施工图以及设计说明文件、审定的施工组织设计及有关施工验收规范、规程等精心组织施工，严格把好各道工序的质量关，杜绝项目质量事故，并确保本项目采用优质材料、设备。且符合国家技术规范和质量标准、通过国家有关部门检测的环保合格产品，满足采购单位的使用需求，具有先进性、科学性、可靠性、安全性，设备安装调试完毕后，在功能范围内安全、稳定的运行。</w:t>
      </w:r>
    </w:p>
    <w:p w14:paraId="07A3C16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中标人须配合总承包单位做好工作，并服从总承包单位的管理。</w:t>
      </w:r>
    </w:p>
    <w:p w14:paraId="7896295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3.4 人员要求：</w:t>
      </w:r>
    </w:p>
    <w:p w14:paraId="402540D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①.未经采购人同意更换项目负责人的违约责任：支付违约金1万元。中标人报经采购人同意更 换项目负责人的仍需支付违约金0.5万元（不可抗力或因发包人原因工期延误等非中标人原因的人员变更除外）。</w:t>
      </w:r>
    </w:p>
    <w:p w14:paraId="1E7BAD38">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②.中标人无正当理由拒绝更换项目负责人的违约责任：发包人提出因原项目负责人不称职，要求更换项目负责人，中标人不予履行，则中标人向发包人支付违约金为1万元。</w:t>
      </w:r>
    </w:p>
    <w:p w14:paraId="1DDF3327">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③.中标人未经采购人同意不得更换拟派项目成员，擅自更换项目成员的支付违约金0.5万元元每人。</w:t>
      </w:r>
    </w:p>
    <w:p w14:paraId="54E6EA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④.项目实施过程（指连续工作期间）中，项目负责人及相关拟派人员每月到位率须不少于 22 天。</w:t>
      </w:r>
    </w:p>
    <w:p w14:paraId="16D2EDAC">
      <w:pPr>
        <w:spacing w:before="1" w:line="226" w:lineRule="auto"/>
        <w:ind w:firstLine="52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pacing w:val="10"/>
          <w:sz w:val="24"/>
          <w14:textFill>
            <w14:solidFill>
              <w14:schemeClr w14:val="tx1"/>
            </w14:solidFill>
          </w14:textFill>
        </w:rPr>
        <w:t>注：中标人多次发生擅自更换人员且经采购人警</w:t>
      </w:r>
      <w:r>
        <w:rPr>
          <w:rFonts w:hint="eastAsia" w:ascii="宋体" w:hAnsi="宋体" w:cs="宋体"/>
          <w:b/>
          <w:bCs/>
          <w:color w:val="000000" w:themeColor="text1"/>
          <w:spacing w:val="9"/>
          <w:sz w:val="24"/>
          <w14:textFill>
            <w14:solidFill>
              <w14:schemeClr w14:val="tx1"/>
            </w14:solidFill>
          </w14:textFill>
        </w:rPr>
        <w:t>告未改正的，采购人有权解除合同并追究责任。</w:t>
      </w:r>
    </w:p>
    <w:p w14:paraId="730D8285">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4.质量服务要求</w:t>
      </w:r>
    </w:p>
    <w:p w14:paraId="7E0688C9">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（1）设备、材料的生产制造企业提供产品的材质必须达到国家标准，产品材质必须符合国家标准，有关电器设备必须具备国家强制性认证标志。</w:t>
      </w:r>
    </w:p>
    <w:p w14:paraId="5D78D7B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（2）所有设备的材质及辅助材料要求以招标文件中要求为标准，交货时须提供设备合格的检测报告</w:t>
      </w:r>
    </w:p>
    <w:p w14:paraId="449DA78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及材料的检验报告，否则采购人有权拒收相应材料货物。</w:t>
      </w:r>
    </w:p>
    <w:p w14:paraId="742D559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（3）所有设备要求无瑕疵和缺陷，质量为合格产品，同时有明确的生产厂商或制造厂商。</w:t>
      </w:r>
    </w:p>
    <w:p w14:paraId="62A43856">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（4）缺陷保修：设备交付使用后，在质保期如有关部件缺陷多次反复出现，供方必须提供解决方案，</w:t>
      </w:r>
    </w:p>
    <w:p w14:paraId="2D0BF8C2">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直到最后调换，供方提供的质保从纠正之日起重新计算质保期。</w:t>
      </w:r>
    </w:p>
    <w:p w14:paraId="2C9FEA8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（5）所有供货设备不能涉及任何知识产权方面的法律纠纷。</w:t>
      </w:r>
    </w:p>
    <w:p w14:paraId="540B3E64">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（6）售后服务：提供 24 小时热线电话服务，若设备发生故障，应在 1 小时内响应，24 小时内到场解决问题,以保证医院日常运行需求。</w:t>
      </w:r>
    </w:p>
    <w:p w14:paraId="71914687">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5.技术服务</w:t>
      </w:r>
    </w:p>
    <w:p w14:paraId="517F94B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（1）投标人至少应派一名现场技术人员指导设备、系统的现场安装及调试。</w:t>
      </w:r>
    </w:p>
    <w:p w14:paraId="0C5B447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（2）投标人应对采购方的技术人员、操作人员和维护人员做系统全面的操作培训，并提供详细的培训资料。</w:t>
      </w:r>
    </w:p>
    <w:p w14:paraId="628B0494">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（3）设备到货后应及时派员安装、调试（费用包含在各单项报价内）。</w:t>
      </w:r>
    </w:p>
    <w:p w14:paraId="1AC6E130">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（4）投标人交付时应提供必备的技术资料</w:t>
      </w:r>
    </w:p>
    <w:p w14:paraId="125A4682">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6.安装和辅材</w:t>
      </w:r>
    </w:p>
    <w:p w14:paraId="2227885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1）中标供应商承担所有中标设备的安装、设备的辅助材料，安装施工必须服从采购人的工作安排和项目协调，中标供应商负责所供设备的全部安装工作。</w:t>
      </w:r>
    </w:p>
    <w:p w14:paraId="7A77CAA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（2）若在安装过程中，由于中标供应商的原因造成建筑结构或其它设备的损坏，须负责修理及赔偿损失。</w:t>
      </w:r>
    </w:p>
    <w:p w14:paraId="33427F8B">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7.验收和调试</w:t>
      </w:r>
    </w:p>
    <w:p w14:paraId="3EA70906">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验收由采购人和中标供应商联合参加，按规范进行验收，验收以招标文件和投标文件、合同及国家相关的现行标准为依据，验收的基本要求如下：</w:t>
      </w:r>
    </w:p>
    <w:p w14:paraId="42E87191">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（1）试运行时，各项性能满足招标文件、投标文件的要求；</w:t>
      </w:r>
    </w:p>
    <w:p w14:paraId="2D2DED66">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（2）调试和试运行时出现的问题已被解决至采购人认可；</w:t>
      </w:r>
    </w:p>
    <w:p w14:paraId="3D1D4B1B">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（3）已提供了合同范围内的全部货物和资料；</w:t>
      </w:r>
    </w:p>
    <w:p w14:paraId="3DF68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sz w:val="24"/>
          <w:highlight w:val="red"/>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（4）验收过程中所发生的费用由中标供应商负责。</w:t>
      </w:r>
    </w:p>
    <w:p w14:paraId="55647149">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8.培训</w:t>
      </w:r>
    </w:p>
    <w:p w14:paraId="036FC78A">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（1）基础理论培训内容：系统原理及功能特点等。</w:t>
      </w:r>
    </w:p>
    <w:p w14:paraId="05A43479">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（2）操作维护培训内容：运行管理基本知识；设备常见故障的修复方法。</w:t>
      </w:r>
    </w:p>
    <w:p w14:paraId="07AB8504">
      <w:pPr>
        <w:spacing w:line="229" w:lineRule="auto"/>
        <w:ind w:left="9"/>
        <w:rPr>
          <w:rFonts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4"/>
          <w14:textOutline w14:w="3797" w14:cap="sq" w14:cmpd="sng" w14:algn="ctr">
            <w14:solidFill>
              <w14:srgbClr w14:val="000000"/>
            </w14:solidFill>
            <w14:prstDash w14:val="solid"/>
            <w14:bevel/>
          </w14:textOutline>
          <w14:textFill>
            <w14:solidFill>
              <w14:schemeClr w14:val="tx1"/>
            </w14:solidFill>
          </w14:textFill>
        </w:rPr>
        <w:t>9.付款方式</w:t>
      </w:r>
    </w:p>
    <w:p w14:paraId="486AB4FD">
      <w:pPr>
        <w:widowControl/>
        <w:autoSpaceDE w:val="0"/>
        <w:spacing w:line="360" w:lineRule="auto"/>
        <w:ind w:firstLine="480" w:firstLineChars="200"/>
        <w:textAlignment w:val="center"/>
        <w:rPr>
          <w:rFonts w:hint="eastAsia" w:ascii="宋体" w:hAnsi="宋体" w:cs="宋体"/>
          <w:color w:val="000000"/>
          <w:sz w:val="24"/>
          <w:highlight w:val="none"/>
        </w:rPr>
      </w:pPr>
      <w:bookmarkStart w:id="90" w:name="OLE_LINK2"/>
      <w:r>
        <w:rPr>
          <w:rFonts w:hint="eastAsia" w:ascii="宋体" w:hAnsi="宋体" w:cs="宋体"/>
          <w:color w:val="000000"/>
          <w:sz w:val="24"/>
          <w:highlight w:val="none"/>
        </w:rPr>
        <w:t>（1）合同签订后7个工作日内支付</w:t>
      </w:r>
      <w:r>
        <w:rPr>
          <w:rFonts w:hint="eastAsia" w:ascii="宋体" w:hAnsi="宋体" w:cs="宋体"/>
          <w:color w:val="000000"/>
          <w:sz w:val="24"/>
          <w:highlight w:val="none"/>
          <w:lang w:val="en-US" w:eastAsia="zh-CN"/>
        </w:rPr>
        <w:t>合同</w:t>
      </w:r>
      <w:r>
        <w:rPr>
          <w:rFonts w:hint="eastAsia" w:ascii="宋体" w:hAnsi="宋体" w:cs="宋体"/>
          <w:color w:val="000000"/>
          <w:sz w:val="24"/>
          <w:highlight w:val="none"/>
        </w:rPr>
        <w:t>价款的40%作为预付款；</w:t>
      </w:r>
      <w:r>
        <w:rPr>
          <w:rFonts w:hint="eastAsia" w:ascii="宋体" w:hAnsi="宋体" w:cs="宋体"/>
          <w:color w:val="000000"/>
          <w:sz w:val="24"/>
          <w:highlight w:val="none"/>
          <w:lang w:val="zh-CN"/>
        </w:rPr>
        <w:t xml:space="preserve"> </w:t>
      </w:r>
    </w:p>
    <w:p w14:paraId="1FEFFAF7">
      <w:pPr>
        <w:widowControl/>
        <w:autoSpaceDE w:val="0"/>
        <w:spacing w:line="360" w:lineRule="auto"/>
        <w:ind w:firstLine="480" w:firstLineChars="200"/>
        <w:textAlignment w:val="center"/>
        <w:rPr>
          <w:rFonts w:hint="eastAsia" w:ascii="宋体" w:hAnsi="宋体" w:cs="宋体"/>
          <w:color w:val="000000"/>
          <w:sz w:val="24"/>
          <w:highlight w:val="none"/>
        </w:rPr>
      </w:pPr>
      <w:r>
        <w:rPr>
          <w:rFonts w:hint="eastAsia" w:ascii="宋体" w:hAnsi="宋体" w:cs="宋体"/>
          <w:color w:val="000000"/>
          <w:sz w:val="24"/>
          <w:highlight w:val="none"/>
        </w:rPr>
        <w:t>（2）主体设备运到项目现场经采购人确认后支付</w:t>
      </w:r>
      <w:r>
        <w:rPr>
          <w:rFonts w:hint="eastAsia" w:ascii="宋体" w:hAnsi="宋体" w:cs="宋体"/>
          <w:color w:val="000000"/>
          <w:sz w:val="24"/>
          <w:highlight w:val="none"/>
          <w:lang w:val="en-US" w:eastAsia="zh-CN"/>
        </w:rPr>
        <w:t>合同</w:t>
      </w:r>
      <w:r>
        <w:rPr>
          <w:rFonts w:hint="eastAsia" w:ascii="宋体" w:hAnsi="宋体" w:cs="宋体"/>
          <w:color w:val="000000"/>
          <w:sz w:val="24"/>
          <w:highlight w:val="none"/>
        </w:rPr>
        <w:t>价款的</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0%；</w:t>
      </w:r>
    </w:p>
    <w:p w14:paraId="62F2EBB7">
      <w:pPr>
        <w:widowControl/>
        <w:autoSpaceDE w:val="0"/>
        <w:spacing w:line="360" w:lineRule="auto"/>
        <w:ind w:firstLine="480" w:firstLineChars="200"/>
        <w:textAlignment w:val="center"/>
        <w:rPr>
          <w:rFonts w:hint="eastAsia" w:ascii="宋体" w:hAnsi="宋体" w:cs="宋体"/>
          <w:color w:val="000000"/>
          <w:sz w:val="24"/>
          <w:highlight w:val="none"/>
        </w:rPr>
      </w:pPr>
      <w:r>
        <w:rPr>
          <w:rFonts w:hint="eastAsia" w:ascii="宋体" w:hAnsi="宋体" w:cs="宋体"/>
          <w:color w:val="000000"/>
          <w:sz w:val="24"/>
          <w:highlight w:val="none"/>
        </w:rPr>
        <w:t>（3）安装调试完成，经</w:t>
      </w:r>
      <w:r>
        <w:rPr>
          <w:rFonts w:hint="eastAsia" w:ascii="宋体" w:hAnsi="宋体" w:cs="宋体"/>
          <w:color w:val="000000"/>
          <w:sz w:val="24"/>
          <w:highlight w:val="none"/>
          <w:lang w:eastAsia="zh-CN"/>
        </w:rPr>
        <w:t>采购人及</w:t>
      </w:r>
      <w:r>
        <w:rPr>
          <w:rFonts w:hint="eastAsia" w:ascii="宋体" w:hAnsi="宋体" w:cs="宋体"/>
          <w:color w:val="000000"/>
          <w:sz w:val="24"/>
          <w:highlight w:val="none"/>
        </w:rPr>
        <w:t>相关单位验收合格后，乙方按采购人要求提交竣工资料、结算资料并经采购人最终确认后，支付至结算价的97%。安全运行一个月后支付至结算价的100%。</w:t>
      </w:r>
    </w:p>
    <w:bookmarkEnd w:id="90"/>
    <w:p w14:paraId="079EC6C2">
      <w:pPr>
        <w:snapToGrid w:val="0"/>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九、其他</w:t>
      </w:r>
    </w:p>
    <w:p w14:paraId="45EF50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1.本项目所涉及的数量，招标时确认数量不一定准确时，按其中标单价和实际工程量结算。税收、人工费、安装费等一切与之相关的所有费用都需包含在报价中。</w:t>
      </w:r>
    </w:p>
    <w:p w14:paraId="17DE14CA">
      <w:pPr>
        <w:spacing w:line="360" w:lineRule="auto"/>
        <w:ind w:firstLine="480" w:firstLineChars="200"/>
        <w:rPr>
          <w:rFonts w:ascii="宋体" w:hAnsi="宋体" w:cs="宋体"/>
          <w:color w:val="0000FF"/>
          <w:sz w:val="24"/>
        </w:rPr>
      </w:pPr>
    </w:p>
    <w:p w14:paraId="393A6E10">
      <w:pPr>
        <w:rPr>
          <w:rStyle w:val="67"/>
          <w:rFonts w:ascii="宋体" w:hAnsi="宋体" w:cs="宋体"/>
          <w:color w:val="000000" w:themeColor="text1"/>
          <w:sz w:val="36"/>
          <w14:textFill>
            <w14:solidFill>
              <w14:schemeClr w14:val="tx1"/>
            </w14:solidFill>
          </w14:textFill>
        </w:rPr>
      </w:pPr>
      <w:r>
        <w:rPr>
          <w:rStyle w:val="67"/>
          <w:rFonts w:hint="eastAsia" w:ascii="宋体" w:hAnsi="宋体" w:cs="宋体"/>
          <w:color w:val="000000" w:themeColor="text1"/>
          <w:sz w:val="36"/>
          <w14:textFill>
            <w14:solidFill>
              <w14:schemeClr w14:val="tx1"/>
            </w14:solidFill>
          </w14:textFill>
        </w:rPr>
        <w:br w:type="page"/>
      </w:r>
    </w:p>
    <w:p w14:paraId="0C748191">
      <w:pPr>
        <w:jc w:val="center"/>
        <w:rPr>
          <w:rFonts w:ascii="宋体" w:hAnsi="宋体" w:cs="宋体"/>
          <w:color w:val="000000" w:themeColor="text1"/>
          <w:sz w:val="52"/>
          <w:szCs w:val="36"/>
          <w14:textFill>
            <w14:solidFill>
              <w14:schemeClr w14:val="tx1"/>
            </w14:solidFill>
          </w14:textFill>
        </w:rPr>
      </w:pPr>
      <w:r>
        <w:rPr>
          <w:rStyle w:val="67"/>
          <w:rFonts w:hint="eastAsia" w:ascii="宋体" w:hAnsi="宋体" w:cs="宋体"/>
          <w:color w:val="000000" w:themeColor="text1"/>
          <w:sz w:val="36"/>
          <w14:textFill>
            <w14:solidFill>
              <w14:schemeClr w14:val="tx1"/>
            </w14:solidFill>
          </w14:textFill>
        </w:rPr>
        <w:t xml:space="preserve">第四章  </w:t>
      </w:r>
      <w:bookmarkEnd w:id="86"/>
      <w:bookmarkEnd w:id="87"/>
      <w:r>
        <w:rPr>
          <w:rStyle w:val="67"/>
          <w:rFonts w:hint="eastAsia" w:ascii="宋体" w:hAnsi="宋体" w:cs="宋体"/>
          <w:color w:val="000000" w:themeColor="text1"/>
          <w:sz w:val="36"/>
          <w14:textFill>
            <w14:solidFill>
              <w14:schemeClr w14:val="tx1"/>
            </w14:solidFill>
          </w14:textFill>
        </w:rPr>
        <w:t>采购合同</w:t>
      </w:r>
    </w:p>
    <w:p w14:paraId="34F5C6AC">
      <w:pP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4549BCE9">
      <w:pPr>
        <w:tabs>
          <w:tab w:val="left" w:pos="2592"/>
          <w:tab w:val="center" w:pos="4465"/>
        </w:tabs>
        <w:spacing w:line="360" w:lineRule="auto"/>
        <w:jc w:val="righ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p>
    <w:p w14:paraId="58493428">
      <w:pPr>
        <w:rPr>
          <w:rFonts w:ascii="宋体" w:hAnsi="宋体" w:cs="宋体"/>
          <w:color w:val="000000" w:themeColor="text1"/>
          <w:sz w:val="28"/>
          <w:szCs w:val="28"/>
          <w14:textFill>
            <w14:solidFill>
              <w14:schemeClr w14:val="tx1"/>
            </w14:solidFill>
          </w14:textFill>
        </w:rPr>
      </w:pPr>
    </w:p>
    <w:p w14:paraId="4FD898EF">
      <w:pPr>
        <w:rPr>
          <w:rFonts w:ascii="宋体" w:hAnsi="宋体" w:cs="宋体"/>
          <w:b/>
          <w:color w:val="000000" w:themeColor="text1"/>
          <w:sz w:val="28"/>
          <w:szCs w:val="22"/>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r>
        <w:rPr>
          <w:rFonts w:hint="eastAsia" w:ascii="宋体" w:hAnsi="宋体" w:cs="宋体"/>
          <w:b/>
          <w:color w:val="000000" w:themeColor="text1"/>
          <w:sz w:val="28"/>
          <w:szCs w:val="22"/>
          <w14:textFill>
            <w14:solidFill>
              <w14:schemeClr w14:val="tx1"/>
            </w14:solidFill>
          </w14:textFill>
        </w:rPr>
        <w:t xml:space="preserve">                   </w:t>
      </w:r>
    </w:p>
    <w:p w14:paraId="4E7986BD">
      <w:pPr>
        <w:ind w:firstLine="840" w:firstLineChars="300"/>
        <w:rPr>
          <w:rFonts w:ascii="宋体" w:hAnsi="宋体" w:cs="宋体"/>
          <w:color w:val="000000" w:themeColor="text1"/>
          <w:sz w:val="28"/>
          <w:szCs w:val="22"/>
          <w:u w:val="single"/>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项目名称：</w:t>
      </w:r>
      <w:r>
        <w:rPr>
          <w:rFonts w:hint="eastAsia" w:ascii="宋体" w:hAnsi="宋体" w:cs="宋体"/>
          <w:color w:val="000000" w:themeColor="text1"/>
          <w:sz w:val="28"/>
          <w:szCs w:val="22"/>
          <w:u w:val="single"/>
          <w14:textFill>
            <w14:solidFill>
              <w14:schemeClr w14:val="tx1"/>
            </w14:solidFill>
          </w14:textFill>
        </w:rPr>
        <w:t xml:space="preserve">   </w:t>
      </w:r>
      <w:r>
        <w:fldChar w:fldCharType="begin"/>
      </w:r>
      <w:r>
        <w:instrText xml:space="preserve"> HYPERLINK "https://bidding.zcygov.cn/xmgl/projectQuery/queryDetail?projectUuid=5c859e260a927c18" \l "/purchaseFileMake/_blank" \t "https://www.zcygov.cn/bidding-entrust/" </w:instrText>
      </w:r>
      <w:r>
        <w:fldChar w:fldCharType="separate"/>
      </w:r>
      <w:r>
        <w:rPr>
          <w:rFonts w:hint="eastAsia" w:ascii="宋体" w:hAnsi="宋体" w:cs="宋体"/>
          <w:color w:val="000000" w:themeColor="text1"/>
          <w:sz w:val="28"/>
          <w:szCs w:val="22"/>
          <w:u w:val="single"/>
          <w14:textFill>
            <w14:solidFill>
              <w14:schemeClr w14:val="tx1"/>
            </w14:solidFill>
          </w14:textFill>
        </w:rPr>
        <w:t xml:space="preserve">                                                  </w:t>
      </w:r>
      <w:r>
        <w:rPr>
          <w:rFonts w:hint="eastAsia" w:ascii="宋体" w:hAnsi="宋体" w:cs="宋体"/>
          <w:color w:val="000000" w:themeColor="text1"/>
          <w:sz w:val="28"/>
          <w:szCs w:val="22"/>
          <w:u w:val="single"/>
          <w14:textFill>
            <w14:solidFill>
              <w14:schemeClr w14:val="tx1"/>
            </w14:solidFill>
          </w14:textFill>
        </w:rPr>
        <w:fldChar w:fldCharType="end"/>
      </w:r>
      <w:r>
        <w:rPr>
          <w:rFonts w:hint="eastAsia" w:ascii="宋体" w:hAnsi="宋体" w:cs="宋体"/>
          <w:color w:val="000000" w:themeColor="text1"/>
          <w:sz w:val="28"/>
          <w:szCs w:val="22"/>
          <w:u w:val="single"/>
          <w14:textFill>
            <w14:solidFill>
              <w14:schemeClr w14:val="tx1"/>
            </w14:solidFill>
          </w14:textFill>
        </w:rPr>
        <w:t xml:space="preserve"> </w:t>
      </w:r>
      <w:r>
        <w:rPr>
          <w:rFonts w:hint="eastAsia" w:ascii="宋体" w:hAnsi="宋体" w:cs="宋体"/>
          <w:color w:val="000000" w:themeColor="text1"/>
          <w:sz w:val="28"/>
          <w:szCs w:val="22"/>
          <w14:textFill>
            <w14:solidFill>
              <w14:schemeClr w14:val="tx1"/>
            </w14:solidFill>
          </w14:textFill>
        </w:rPr>
        <w:t xml:space="preserve">             </w:t>
      </w:r>
    </w:p>
    <w:p w14:paraId="4D8F3575">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 xml:space="preserve"> </w:t>
      </w:r>
    </w:p>
    <w:p w14:paraId="6B71D7A7">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甲　　方：</w:t>
      </w:r>
      <w:r>
        <w:rPr>
          <w:rFonts w:hint="eastAsia" w:ascii="宋体" w:hAnsi="宋体" w:cs="宋体"/>
          <w:color w:val="000000" w:themeColor="text1"/>
          <w:sz w:val="28"/>
          <w:szCs w:val="22"/>
          <w:u w:val="single"/>
          <w14:textFill>
            <w14:solidFill>
              <w14:schemeClr w14:val="tx1"/>
            </w14:solidFill>
          </w14:textFill>
        </w:rPr>
        <w:t xml:space="preserve">                                                      </w:t>
      </w:r>
    </w:p>
    <w:p w14:paraId="08421F38">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 xml:space="preserve">  </w:t>
      </w:r>
    </w:p>
    <w:p w14:paraId="3342CAAB">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乙　　方：</w:t>
      </w:r>
      <w:r>
        <w:rPr>
          <w:rFonts w:hint="eastAsia" w:ascii="宋体" w:hAnsi="宋体" w:cs="宋体"/>
          <w:color w:val="000000" w:themeColor="text1"/>
          <w:sz w:val="28"/>
          <w:szCs w:val="22"/>
          <w:u w:val="single"/>
          <w14:textFill>
            <w14:solidFill>
              <w14:schemeClr w14:val="tx1"/>
            </w14:solidFill>
          </w14:textFill>
        </w:rPr>
        <w:t xml:space="preserve">                                                      </w:t>
      </w:r>
    </w:p>
    <w:p w14:paraId="4BCB21A3">
      <w:pPr>
        <w:snapToGrid w:val="0"/>
        <w:spacing w:before="119" w:line="600" w:lineRule="exact"/>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 xml:space="preserve"> </w:t>
      </w:r>
    </w:p>
    <w:p w14:paraId="3913FB8B">
      <w:pPr>
        <w:snapToGrid w:val="0"/>
        <w:spacing w:before="119" w:line="600" w:lineRule="exact"/>
        <w:ind w:left="958"/>
        <w:jc w:val="center"/>
        <w:rPr>
          <w:rFonts w:ascii="宋体" w:hAnsi="宋体" w:cs="宋体"/>
          <w:color w:val="000000" w:themeColor="text1"/>
          <w:sz w:val="28"/>
          <w:szCs w:val="22"/>
          <w14:textFill>
            <w14:solidFill>
              <w14:schemeClr w14:val="tx1"/>
            </w14:solidFill>
          </w14:textFill>
        </w:rPr>
      </w:pPr>
    </w:p>
    <w:p w14:paraId="7B9D033C">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签署地点：</w:t>
      </w:r>
      <w:r>
        <w:rPr>
          <w:rFonts w:hint="eastAsia" w:ascii="宋体" w:hAnsi="宋体" w:cs="宋体"/>
          <w:color w:val="000000" w:themeColor="text1"/>
          <w:sz w:val="28"/>
          <w:szCs w:val="22"/>
          <w:u w:val="single"/>
          <w14:textFill>
            <w14:solidFill>
              <w14:schemeClr w14:val="tx1"/>
            </w14:solidFill>
          </w14:textFill>
        </w:rPr>
        <w:t xml:space="preserve">                                                       </w:t>
      </w:r>
    </w:p>
    <w:p w14:paraId="6C522770">
      <w:pPr>
        <w:snapToGrid w:val="0"/>
        <w:spacing w:before="119" w:line="600" w:lineRule="exact"/>
        <w:ind w:left="958"/>
        <w:rPr>
          <w:rFonts w:ascii="宋体" w:hAnsi="宋体" w:cs="宋体"/>
          <w:color w:val="000000" w:themeColor="text1"/>
          <w:sz w:val="28"/>
          <w:szCs w:val="22"/>
          <w14:textFill>
            <w14:solidFill>
              <w14:schemeClr w14:val="tx1"/>
            </w14:solidFill>
          </w14:textFill>
        </w:rPr>
      </w:pPr>
    </w:p>
    <w:p w14:paraId="3BD0C47D">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签署日期：</w:t>
      </w:r>
      <w:r>
        <w:rPr>
          <w:rFonts w:hint="eastAsia" w:ascii="宋体" w:hAnsi="宋体" w:cs="宋体"/>
          <w:color w:val="000000" w:themeColor="text1"/>
          <w:sz w:val="28"/>
          <w:szCs w:val="22"/>
          <w:u w:val="single"/>
          <w14:textFill>
            <w14:solidFill>
              <w14:schemeClr w14:val="tx1"/>
            </w14:solidFill>
          </w14:textFill>
        </w:rPr>
        <w:t xml:space="preserve">                                                        </w:t>
      </w:r>
    </w:p>
    <w:p w14:paraId="3FF035D0">
      <w:pPr>
        <w:snapToGrid w:val="0"/>
        <w:spacing w:before="119" w:line="600" w:lineRule="exact"/>
        <w:ind w:left="958"/>
        <w:rPr>
          <w:rFonts w:ascii="宋体" w:hAnsi="宋体" w:cs="宋体"/>
          <w:color w:val="000000" w:themeColor="text1"/>
          <w:sz w:val="28"/>
          <w:szCs w:val="22"/>
          <w14:textFill>
            <w14:solidFill>
              <w14:schemeClr w14:val="tx1"/>
            </w14:solidFill>
          </w14:textFill>
        </w:rPr>
      </w:pPr>
    </w:p>
    <w:p w14:paraId="6A6CCB1B">
      <w:pPr>
        <w:snapToGrid w:val="0"/>
        <w:spacing w:before="119" w:line="600" w:lineRule="exact"/>
        <w:ind w:left="958"/>
        <w:rPr>
          <w:rFonts w:ascii="宋体" w:hAnsi="宋体" w:cs="宋体"/>
          <w:color w:val="000000" w:themeColor="text1"/>
          <w:sz w:val="28"/>
          <w:szCs w:val="22"/>
          <w14:textFill>
            <w14:solidFill>
              <w14:schemeClr w14:val="tx1"/>
            </w14:solidFill>
          </w14:textFill>
        </w:rPr>
      </w:pPr>
      <w:r>
        <w:rPr>
          <w:rFonts w:hint="eastAsia" w:ascii="宋体" w:hAnsi="宋体" w:cs="宋体"/>
          <w:color w:val="000000" w:themeColor="text1"/>
          <w:sz w:val="28"/>
          <w:szCs w:val="22"/>
          <w14:textFill>
            <w14:solidFill>
              <w14:schemeClr w14:val="tx1"/>
            </w14:solidFill>
          </w14:textFill>
        </w:rPr>
        <w:t xml:space="preserve">                                     </w:t>
      </w:r>
    </w:p>
    <w:p w14:paraId="1E408D00">
      <w:pPr>
        <w:snapToGrid w:val="0"/>
        <w:spacing w:line="440" w:lineRule="exact"/>
        <w:ind w:right="42" w:rightChars="2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br w:type="page"/>
      </w:r>
      <w:bookmarkStart w:id="91" w:name="_Toc3798"/>
      <w:bookmarkStart w:id="92" w:name="_Toc28936"/>
      <w:bookmarkStart w:id="93" w:name="_Toc18872_WPSOffice_Level1"/>
    </w:p>
    <w:p w14:paraId="1EB97A13">
      <w:pPr>
        <w:snapToGrid w:val="0"/>
        <w:spacing w:line="480" w:lineRule="exact"/>
        <w:ind w:right="42" w:rightChars="2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项目名称：</w:t>
      </w:r>
    </w:p>
    <w:p w14:paraId="50B4C9D6">
      <w:pPr>
        <w:spacing w:line="480" w:lineRule="exact"/>
        <w:rPr>
          <w:rFonts w:ascii="宋体" w:hAnsi="宋体" w:cs="宋体"/>
          <w:color w:val="000000" w:themeColor="text1"/>
          <w:sz w:val="22"/>
          <w:szCs w:val="22"/>
          <w:lang w:val="zh-CN"/>
          <w14:textFill>
            <w14:solidFill>
              <w14:schemeClr w14:val="tx1"/>
            </w14:solidFill>
          </w14:textFill>
        </w:rPr>
      </w:pPr>
      <w:r>
        <w:rPr>
          <w:rFonts w:hint="eastAsia" w:ascii="宋体" w:hAnsi="宋体" w:cs="宋体"/>
          <w:color w:val="000000" w:themeColor="text1"/>
          <w:sz w:val="22"/>
          <w:szCs w:val="22"/>
          <w:lang w:val="zh-CN"/>
          <w14:textFill>
            <w14:solidFill>
              <w14:schemeClr w14:val="tx1"/>
            </w14:solidFill>
          </w14:textFill>
        </w:rPr>
        <w:t>项目</w:t>
      </w:r>
      <w:r>
        <w:rPr>
          <w:rFonts w:hint="eastAsia" w:ascii="宋体" w:hAnsi="宋体" w:cs="宋体"/>
          <w:color w:val="000000" w:themeColor="text1"/>
          <w:sz w:val="22"/>
          <w:szCs w:val="22"/>
          <w:cs/>
          <w:lang w:val="zh-CN"/>
          <w14:textFill>
            <w14:solidFill>
              <w14:schemeClr w14:val="tx1"/>
            </w14:solidFill>
          </w14:textFill>
        </w:rPr>
        <w:t>编号</w:t>
      </w:r>
      <w:r>
        <w:rPr>
          <w:rFonts w:hint="eastAsia" w:ascii="宋体" w:hAnsi="宋体" w:cs="宋体"/>
          <w:color w:val="000000" w:themeColor="text1"/>
          <w:sz w:val="22"/>
          <w:szCs w:val="22"/>
          <w:lang w:val="zh-CN"/>
          <w14:textFill>
            <w14:solidFill>
              <w14:schemeClr w14:val="tx1"/>
            </w14:solidFill>
          </w14:textFill>
        </w:rPr>
        <w:t>：</w:t>
      </w:r>
    </w:p>
    <w:p w14:paraId="4A1F7074">
      <w:pPr>
        <w:pStyle w:val="22"/>
        <w:spacing w:line="360" w:lineRule="auto"/>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采购人：（以下称甲方）</w:t>
      </w:r>
      <w:r>
        <w:rPr>
          <w:rFonts w:hint="eastAsia" w:cs="宋体"/>
          <w:color w:val="000000" w:themeColor="text1"/>
          <w:sz w:val="20"/>
          <w:szCs w:val="20"/>
          <w:u w:val="single"/>
          <w14:textFill>
            <w14:solidFill>
              <w14:schemeClr w14:val="tx1"/>
            </w14:solidFill>
          </w14:textFill>
        </w:rPr>
        <w:t xml:space="preserve">               </w:t>
      </w:r>
    </w:p>
    <w:p w14:paraId="47964276">
      <w:pPr>
        <w:pStyle w:val="22"/>
        <w:spacing w:line="360" w:lineRule="auto"/>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中标人：（以下称乙方）</w:t>
      </w:r>
      <w:r>
        <w:rPr>
          <w:rFonts w:hint="eastAsia" w:cs="宋体"/>
          <w:color w:val="000000" w:themeColor="text1"/>
          <w:sz w:val="20"/>
          <w:szCs w:val="20"/>
          <w:u w:val="single"/>
          <w14:textFill>
            <w14:solidFill>
              <w14:schemeClr w14:val="tx1"/>
            </w14:solidFill>
          </w14:textFill>
        </w:rPr>
        <w:t xml:space="preserve">               </w:t>
      </w:r>
    </w:p>
    <w:p w14:paraId="2EC935B7">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根据招标文件项目编号（</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）在</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年</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月</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日开标会上，经评审委员会评定</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 xml:space="preserve"> (乙方)为中标人。甲乙双方依据《中华人民共和国政府采购法》、《中华人民共和国民法典》等相关法律法规和招标文件的要求，在平等自愿的基础上，同意按照下面的条款和条件，签署本合同。</w:t>
      </w:r>
    </w:p>
    <w:p w14:paraId="155A8229">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第一条　合同标的</w:t>
      </w:r>
    </w:p>
    <w:p w14:paraId="04A4E44D">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乙方根据甲方需求提供下列货物：</w:t>
      </w:r>
      <w:r>
        <w:rPr>
          <w:rFonts w:hint="eastAsia" w:cs="宋体"/>
          <w:color w:val="000000" w:themeColor="text1"/>
          <w:sz w:val="20"/>
          <w:szCs w:val="20"/>
          <w:u w:val="single"/>
          <w14:textFill>
            <w14:solidFill>
              <w14:schemeClr w14:val="tx1"/>
            </w14:solidFill>
          </w14:textFill>
        </w:rPr>
        <w:t xml:space="preserve">           </w:t>
      </w:r>
    </w:p>
    <w:p w14:paraId="7AA888D1">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货物名称、规格及数量详见“产品清单”。</w:t>
      </w:r>
    </w:p>
    <w:p w14:paraId="03EF9BD4">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第二条　合同总价款</w:t>
      </w:r>
    </w:p>
    <w:p w14:paraId="17FA64A6">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本合同项下货物总价款为人民币</w:t>
      </w:r>
      <w:r>
        <w:rPr>
          <w:rFonts w:hint="eastAsia" w:cs="宋体"/>
          <w:color w:val="000000" w:themeColor="text1"/>
          <w:sz w:val="20"/>
          <w:szCs w:val="20"/>
          <w:u w:val="single"/>
          <w14:textFill>
            <w14:solidFill>
              <w14:schemeClr w14:val="tx1"/>
            </w14:solidFill>
          </w14:textFill>
        </w:rPr>
        <w:t xml:space="preserve">       （大写）（￥：）            </w:t>
      </w:r>
      <w:r>
        <w:rPr>
          <w:rFonts w:hint="eastAsia" w:cs="宋体"/>
          <w:color w:val="000000" w:themeColor="text1"/>
          <w:sz w:val="20"/>
          <w:szCs w:val="20"/>
          <w14:textFill>
            <w14:solidFill>
              <w14:schemeClr w14:val="tx1"/>
            </w14:solidFill>
          </w14:textFill>
        </w:rPr>
        <w:t>，分项价款详见“产品清单”。</w:t>
      </w:r>
    </w:p>
    <w:p w14:paraId="55A61DF0">
      <w:pPr>
        <w:pStyle w:val="22"/>
        <w:spacing w:line="360" w:lineRule="auto"/>
        <w:ind w:firstLine="400" w:firstLineChars="200"/>
        <w:jc w:val="both"/>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本项目包括但不仅限于：基础安装</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制造、运输、装卸、保险、保管、安装、调试、验收、设备及材料费、图纸二次优化、系统对接、第三方检测机构检测所产生的一切费用、成本、利润、税金、人员培训费、风险费、售后服务费、代理费等。</w:t>
      </w:r>
      <w:r>
        <w:rPr>
          <w:rFonts w:hint="eastAsia" w:cs="宋体"/>
          <w:color w:val="000000" w:themeColor="text1"/>
          <w:sz w:val="20"/>
          <w:szCs w:val="20"/>
          <w:highlight w:val="none"/>
          <w:lang w:eastAsia="zh-CN"/>
          <w14:textFill>
            <w14:solidFill>
              <w14:schemeClr w14:val="tx1"/>
            </w14:solidFill>
          </w14:textFill>
        </w:rPr>
        <w:t>乙方</w:t>
      </w:r>
      <w:r>
        <w:rPr>
          <w:rFonts w:hint="eastAsia" w:ascii="宋体" w:hAnsi="宋体" w:eastAsia="宋体" w:cs="宋体"/>
          <w:color w:val="000000" w:themeColor="text1"/>
          <w:sz w:val="20"/>
          <w:szCs w:val="20"/>
          <w:highlight w:val="none"/>
          <w14:textFill>
            <w14:solidFill>
              <w14:schemeClr w14:val="tx1"/>
            </w14:solidFill>
          </w14:textFill>
        </w:rPr>
        <w:t>应对本项目所有子目、内容进行投标报价，应报而未报价的、漏报的、规范内已含的而未报的等所有涉及一切内容及费用均视为已包含在各项单价报价中。</w:t>
      </w:r>
    </w:p>
    <w:p w14:paraId="602B5EA0">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本合同总价款还包含乙方应当提供的伴随服务/售后服务费用。</w:t>
      </w:r>
    </w:p>
    <w:p w14:paraId="7F07EC08">
      <w:pPr>
        <w:pStyle w:val="22"/>
        <w:spacing w:line="360" w:lineRule="auto"/>
        <w:ind w:firstLine="400" w:firstLineChars="200"/>
        <w:jc w:val="both"/>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本合同执行期间合同总价款不变。</w:t>
      </w:r>
    </w:p>
    <w:p w14:paraId="3B47CF1B">
      <w:pPr>
        <w:pStyle w:val="22"/>
        <w:spacing w:line="360" w:lineRule="auto"/>
        <w:ind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产品清单</w:t>
      </w:r>
    </w:p>
    <w:p w14:paraId="51317974">
      <w:pPr>
        <w:widowControl/>
        <w:kinsoku w:val="0"/>
        <w:autoSpaceDE w:val="0"/>
        <w:autoSpaceDN w:val="0"/>
        <w:adjustRightInd w:val="0"/>
        <w:snapToGrid w:val="0"/>
        <w:spacing w:before="31" w:line="227" w:lineRule="auto"/>
        <w:ind w:left="427"/>
        <w:jc w:val="left"/>
        <w:textAlignment w:val="baseline"/>
        <w:rPr>
          <w:rFonts w:ascii="宋体" w:hAnsi="宋体" w:cs="宋体"/>
          <w:snapToGrid w:val="0"/>
          <w:color w:val="000000" w:themeColor="text1"/>
          <w:spacing w:val="10"/>
          <w:kern w:val="0"/>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snapToGrid w:val="0"/>
          <w:color w:val="000000" w:themeColor="text1"/>
          <w:spacing w:val="10"/>
          <w:kern w:val="0"/>
          <w:sz w:val="20"/>
          <w:szCs w:val="20"/>
          <w14:textOutline w14:w="3797" w14:cap="sq" w14:cmpd="sng" w14:algn="ctr">
            <w14:solidFill>
              <w14:srgbClr w14:val="000000"/>
            </w14:solidFill>
            <w14:prstDash w14:val="solid"/>
            <w14:bevel/>
          </w14:textOutline>
          <w14:textFill>
            <w14:solidFill>
              <w14:schemeClr w14:val="tx1"/>
            </w14:solidFill>
          </w14:textFill>
        </w:rPr>
        <w:t>乙方应严格按照采购文件内容提供如下清单中的中标货物</w:t>
      </w:r>
    </w:p>
    <w:tbl>
      <w:tblPr>
        <w:tblStyle w:val="74"/>
        <w:tblW w:w="9043" w:type="dxa"/>
        <w:tblInd w:w="-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06"/>
        <w:gridCol w:w="1188"/>
        <w:gridCol w:w="966"/>
        <w:gridCol w:w="1037"/>
        <w:gridCol w:w="776"/>
        <w:gridCol w:w="920"/>
        <w:gridCol w:w="1270"/>
        <w:gridCol w:w="1080"/>
      </w:tblGrid>
      <w:tr w14:paraId="1A0C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14:paraId="687DD01A">
            <w:pPr>
              <w:pStyle w:val="73"/>
              <w:spacing w:before="80" w:line="230" w:lineRule="auto"/>
              <w:ind w:left="217"/>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设备名称</w:t>
            </w:r>
          </w:p>
        </w:tc>
        <w:tc>
          <w:tcPr>
            <w:tcW w:w="1188" w:type="dxa"/>
          </w:tcPr>
          <w:p w14:paraId="5047677E">
            <w:pPr>
              <w:pStyle w:val="73"/>
              <w:spacing w:before="80" w:line="228" w:lineRule="auto"/>
              <w:ind w:left="188"/>
              <w:rPr>
                <w:color w:val="000000" w:themeColor="text1"/>
                <w14:textFill>
                  <w14:solidFill>
                    <w14:schemeClr w14:val="tx1"/>
                  </w14:solidFill>
                </w14:textFill>
              </w:rPr>
            </w:pPr>
            <w:r>
              <w:rPr>
                <w:rFonts w:hint="eastAsia"/>
                <w:color w:val="000000" w:themeColor="text1"/>
                <w:spacing w:val="3"/>
                <w14:textFill>
                  <w14:solidFill>
                    <w14:schemeClr w14:val="tx1"/>
                  </w14:solidFill>
                </w14:textFill>
              </w:rPr>
              <w:t>品牌商标</w:t>
            </w:r>
          </w:p>
        </w:tc>
        <w:tc>
          <w:tcPr>
            <w:tcW w:w="966" w:type="dxa"/>
          </w:tcPr>
          <w:p w14:paraId="096F2D46">
            <w:pPr>
              <w:pStyle w:val="73"/>
              <w:spacing w:before="80" w:line="228" w:lineRule="auto"/>
              <w:ind w:left="61"/>
              <w:rPr>
                <w:color w:val="000000" w:themeColor="text1"/>
                <w14:textFill>
                  <w14:solidFill>
                    <w14:schemeClr w14:val="tx1"/>
                  </w14:solidFill>
                </w14:textFill>
              </w:rPr>
            </w:pPr>
            <w:r>
              <w:rPr>
                <w:rFonts w:hint="eastAsia"/>
                <w:color w:val="000000" w:themeColor="text1"/>
                <w:spacing w:val="7"/>
                <w14:textFill>
                  <w14:solidFill>
                    <w14:schemeClr w14:val="tx1"/>
                  </w14:solidFill>
                </w14:textFill>
              </w:rPr>
              <w:t>规格型号</w:t>
            </w:r>
          </w:p>
        </w:tc>
        <w:tc>
          <w:tcPr>
            <w:tcW w:w="1037" w:type="dxa"/>
          </w:tcPr>
          <w:p w14:paraId="2DFF36CD">
            <w:pPr>
              <w:pStyle w:val="73"/>
              <w:spacing w:before="80" w:line="228" w:lineRule="auto"/>
              <w:ind w:left="99"/>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生产厂家</w:t>
            </w:r>
          </w:p>
        </w:tc>
        <w:tc>
          <w:tcPr>
            <w:tcW w:w="776" w:type="dxa"/>
          </w:tcPr>
          <w:p w14:paraId="7F5A18C2">
            <w:pPr>
              <w:pStyle w:val="73"/>
              <w:spacing w:before="80" w:line="228" w:lineRule="auto"/>
              <w:ind w:left="181"/>
              <w:rPr>
                <w:color w:val="000000" w:themeColor="text1"/>
                <w14:textFill>
                  <w14:solidFill>
                    <w14:schemeClr w14:val="tx1"/>
                  </w14:solidFill>
                </w14:textFill>
              </w:rPr>
            </w:pPr>
            <w:r>
              <w:rPr>
                <w:rFonts w:hint="eastAsia"/>
                <w:color w:val="000000" w:themeColor="text1"/>
                <w:spacing w:val="3"/>
                <w14:textFill>
                  <w14:solidFill>
                    <w14:schemeClr w14:val="tx1"/>
                  </w14:solidFill>
                </w14:textFill>
              </w:rPr>
              <w:t>数量</w:t>
            </w:r>
          </w:p>
        </w:tc>
        <w:tc>
          <w:tcPr>
            <w:tcW w:w="920" w:type="dxa"/>
          </w:tcPr>
          <w:p w14:paraId="17864B98">
            <w:pPr>
              <w:pStyle w:val="73"/>
              <w:spacing w:before="80" w:line="227" w:lineRule="auto"/>
              <w:ind w:left="254"/>
              <w:rPr>
                <w:color w:val="000000" w:themeColor="text1"/>
                <w14:textFill>
                  <w14:solidFill>
                    <w14:schemeClr w14:val="tx1"/>
                  </w14:solidFill>
                </w14:textFill>
              </w:rPr>
            </w:pPr>
            <w:r>
              <w:rPr>
                <w:rFonts w:hint="eastAsia"/>
                <w:color w:val="000000" w:themeColor="text1"/>
                <w:spacing w:val="3"/>
                <w14:textFill>
                  <w14:solidFill>
                    <w14:schemeClr w14:val="tx1"/>
                  </w14:solidFill>
                </w14:textFill>
              </w:rPr>
              <w:t>单价</w:t>
            </w:r>
          </w:p>
        </w:tc>
        <w:tc>
          <w:tcPr>
            <w:tcW w:w="1270" w:type="dxa"/>
          </w:tcPr>
          <w:p w14:paraId="3784A450">
            <w:pPr>
              <w:pStyle w:val="73"/>
              <w:spacing w:before="80" w:line="228" w:lineRule="auto"/>
              <w:ind w:left="123"/>
              <w:rPr>
                <w:color w:val="000000" w:themeColor="text1"/>
                <w14:textFill>
                  <w14:solidFill>
                    <w14:schemeClr w14:val="tx1"/>
                  </w14:solidFill>
                </w14:textFill>
              </w:rPr>
            </w:pPr>
            <w:r>
              <w:rPr>
                <w:rFonts w:hint="eastAsia"/>
                <w:color w:val="000000" w:themeColor="text1"/>
                <w:spacing w:val="5"/>
                <w14:textFill>
                  <w14:solidFill>
                    <w14:schemeClr w14:val="tx1"/>
                  </w14:solidFill>
                </w14:textFill>
              </w:rPr>
              <w:t>小计金额</w:t>
            </w:r>
          </w:p>
        </w:tc>
        <w:tc>
          <w:tcPr>
            <w:tcW w:w="1080" w:type="dxa"/>
          </w:tcPr>
          <w:p w14:paraId="6E673CCC">
            <w:pPr>
              <w:pStyle w:val="73"/>
              <w:spacing w:before="80" w:line="228" w:lineRule="auto"/>
              <w:ind w:left="140"/>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随机配件</w:t>
            </w:r>
          </w:p>
        </w:tc>
      </w:tr>
      <w:tr w14:paraId="0815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14:paraId="38A18D78">
            <w:pPr>
              <w:rPr>
                <w:rFonts w:ascii="宋体" w:hAnsi="宋体" w:cs="宋体"/>
                <w:color w:val="000000" w:themeColor="text1"/>
                <w14:textFill>
                  <w14:solidFill>
                    <w14:schemeClr w14:val="tx1"/>
                  </w14:solidFill>
                </w14:textFill>
              </w:rPr>
            </w:pPr>
          </w:p>
        </w:tc>
        <w:tc>
          <w:tcPr>
            <w:tcW w:w="1188" w:type="dxa"/>
          </w:tcPr>
          <w:p w14:paraId="6C50189D">
            <w:pPr>
              <w:rPr>
                <w:rFonts w:ascii="宋体" w:hAnsi="宋体" w:cs="宋体"/>
                <w:color w:val="000000" w:themeColor="text1"/>
                <w14:textFill>
                  <w14:solidFill>
                    <w14:schemeClr w14:val="tx1"/>
                  </w14:solidFill>
                </w14:textFill>
              </w:rPr>
            </w:pPr>
          </w:p>
        </w:tc>
        <w:tc>
          <w:tcPr>
            <w:tcW w:w="966" w:type="dxa"/>
          </w:tcPr>
          <w:p w14:paraId="6DE7E654">
            <w:pPr>
              <w:rPr>
                <w:rFonts w:ascii="宋体" w:hAnsi="宋体" w:cs="宋体"/>
                <w:color w:val="000000" w:themeColor="text1"/>
                <w14:textFill>
                  <w14:solidFill>
                    <w14:schemeClr w14:val="tx1"/>
                  </w14:solidFill>
                </w14:textFill>
              </w:rPr>
            </w:pPr>
          </w:p>
        </w:tc>
        <w:tc>
          <w:tcPr>
            <w:tcW w:w="1037" w:type="dxa"/>
          </w:tcPr>
          <w:p w14:paraId="37E62C2C">
            <w:pPr>
              <w:rPr>
                <w:rFonts w:ascii="宋体" w:hAnsi="宋体" w:cs="宋体"/>
                <w:color w:val="000000" w:themeColor="text1"/>
                <w14:textFill>
                  <w14:solidFill>
                    <w14:schemeClr w14:val="tx1"/>
                  </w14:solidFill>
                </w14:textFill>
              </w:rPr>
            </w:pPr>
          </w:p>
        </w:tc>
        <w:tc>
          <w:tcPr>
            <w:tcW w:w="776" w:type="dxa"/>
          </w:tcPr>
          <w:p w14:paraId="19E2CF69">
            <w:pPr>
              <w:rPr>
                <w:rFonts w:ascii="宋体" w:hAnsi="宋体" w:cs="宋体"/>
                <w:color w:val="000000" w:themeColor="text1"/>
                <w14:textFill>
                  <w14:solidFill>
                    <w14:schemeClr w14:val="tx1"/>
                  </w14:solidFill>
                </w14:textFill>
              </w:rPr>
            </w:pPr>
          </w:p>
        </w:tc>
        <w:tc>
          <w:tcPr>
            <w:tcW w:w="920" w:type="dxa"/>
          </w:tcPr>
          <w:p w14:paraId="2D94092E">
            <w:pPr>
              <w:rPr>
                <w:rFonts w:ascii="宋体" w:hAnsi="宋体" w:cs="宋体"/>
                <w:color w:val="000000" w:themeColor="text1"/>
                <w14:textFill>
                  <w14:solidFill>
                    <w14:schemeClr w14:val="tx1"/>
                  </w14:solidFill>
                </w14:textFill>
              </w:rPr>
            </w:pPr>
          </w:p>
        </w:tc>
        <w:tc>
          <w:tcPr>
            <w:tcW w:w="1270" w:type="dxa"/>
          </w:tcPr>
          <w:p w14:paraId="2C3D5E82">
            <w:pPr>
              <w:rPr>
                <w:rFonts w:ascii="宋体" w:hAnsi="宋体" w:cs="宋体"/>
                <w:color w:val="000000" w:themeColor="text1"/>
                <w14:textFill>
                  <w14:solidFill>
                    <w14:schemeClr w14:val="tx1"/>
                  </w14:solidFill>
                </w14:textFill>
              </w:rPr>
            </w:pPr>
          </w:p>
        </w:tc>
        <w:tc>
          <w:tcPr>
            <w:tcW w:w="1080" w:type="dxa"/>
          </w:tcPr>
          <w:p w14:paraId="5A4E440F">
            <w:pPr>
              <w:rPr>
                <w:rFonts w:ascii="宋体" w:hAnsi="宋体" w:cs="宋体"/>
                <w:color w:val="000000" w:themeColor="text1"/>
                <w14:textFill>
                  <w14:solidFill>
                    <w14:schemeClr w14:val="tx1"/>
                  </w14:solidFill>
                </w14:textFill>
              </w:rPr>
            </w:pPr>
          </w:p>
        </w:tc>
      </w:tr>
      <w:tr w14:paraId="3649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806" w:type="dxa"/>
          </w:tcPr>
          <w:p w14:paraId="56F87DCD">
            <w:pPr>
              <w:rPr>
                <w:rFonts w:ascii="宋体" w:hAnsi="宋体" w:cs="宋体"/>
                <w:color w:val="000000" w:themeColor="text1"/>
                <w14:textFill>
                  <w14:solidFill>
                    <w14:schemeClr w14:val="tx1"/>
                  </w14:solidFill>
                </w14:textFill>
              </w:rPr>
            </w:pPr>
          </w:p>
        </w:tc>
        <w:tc>
          <w:tcPr>
            <w:tcW w:w="1188" w:type="dxa"/>
          </w:tcPr>
          <w:p w14:paraId="4EE082A8">
            <w:pPr>
              <w:rPr>
                <w:rFonts w:ascii="宋体" w:hAnsi="宋体" w:cs="宋体"/>
                <w:color w:val="000000" w:themeColor="text1"/>
                <w14:textFill>
                  <w14:solidFill>
                    <w14:schemeClr w14:val="tx1"/>
                  </w14:solidFill>
                </w14:textFill>
              </w:rPr>
            </w:pPr>
          </w:p>
        </w:tc>
        <w:tc>
          <w:tcPr>
            <w:tcW w:w="966" w:type="dxa"/>
          </w:tcPr>
          <w:p w14:paraId="70450DDE">
            <w:pPr>
              <w:rPr>
                <w:rFonts w:ascii="宋体" w:hAnsi="宋体" w:cs="宋体"/>
                <w:color w:val="000000" w:themeColor="text1"/>
                <w14:textFill>
                  <w14:solidFill>
                    <w14:schemeClr w14:val="tx1"/>
                  </w14:solidFill>
                </w14:textFill>
              </w:rPr>
            </w:pPr>
          </w:p>
        </w:tc>
        <w:tc>
          <w:tcPr>
            <w:tcW w:w="1037" w:type="dxa"/>
          </w:tcPr>
          <w:p w14:paraId="6DE4B3BF">
            <w:pPr>
              <w:rPr>
                <w:rFonts w:ascii="宋体" w:hAnsi="宋体" w:cs="宋体"/>
                <w:color w:val="000000" w:themeColor="text1"/>
                <w14:textFill>
                  <w14:solidFill>
                    <w14:schemeClr w14:val="tx1"/>
                  </w14:solidFill>
                </w14:textFill>
              </w:rPr>
            </w:pPr>
          </w:p>
        </w:tc>
        <w:tc>
          <w:tcPr>
            <w:tcW w:w="776" w:type="dxa"/>
          </w:tcPr>
          <w:p w14:paraId="41CF7F03">
            <w:pPr>
              <w:rPr>
                <w:rFonts w:ascii="宋体" w:hAnsi="宋体" w:cs="宋体"/>
                <w:color w:val="000000" w:themeColor="text1"/>
                <w14:textFill>
                  <w14:solidFill>
                    <w14:schemeClr w14:val="tx1"/>
                  </w14:solidFill>
                </w14:textFill>
              </w:rPr>
            </w:pPr>
          </w:p>
        </w:tc>
        <w:tc>
          <w:tcPr>
            <w:tcW w:w="920" w:type="dxa"/>
          </w:tcPr>
          <w:p w14:paraId="611684F1">
            <w:pPr>
              <w:rPr>
                <w:rFonts w:ascii="宋体" w:hAnsi="宋体" w:cs="宋体"/>
                <w:color w:val="000000" w:themeColor="text1"/>
                <w14:textFill>
                  <w14:solidFill>
                    <w14:schemeClr w14:val="tx1"/>
                  </w14:solidFill>
                </w14:textFill>
              </w:rPr>
            </w:pPr>
          </w:p>
        </w:tc>
        <w:tc>
          <w:tcPr>
            <w:tcW w:w="1270" w:type="dxa"/>
          </w:tcPr>
          <w:p w14:paraId="3A2142D2">
            <w:pPr>
              <w:rPr>
                <w:rFonts w:ascii="宋体" w:hAnsi="宋体" w:cs="宋体"/>
                <w:color w:val="000000" w:themeColor="text1"/>
                <w14:textFill>
                  <w14:solidFill>
                    <w14:schemeClr w14:val="tx1"/>
                  </w14:solidFill>
                </w14:textFill>
              </w:rPr>
            </w:pPr>
          </w:p>
        </w:tc>
        <w:tc>
          <w:tcPr>
            <w:tcW w:w="1080" w:type="dxa"/>
          </w:tcPr>
          <w:p w14:paraId="779265EA">
            <w:pPr>
              <w:rPr>
                <w:rFonts w:ascii="宋体" w:hAnsi="宋体" w:cs="宋体"/>
                <w:color w:val="000000" w:themeColor="text1"/>
                <w14:textFill>
                  <w14:solidFill>
                    <w14:schemeClr w14:val="tx1"/>
                  </w14:solidFill>
                </w14:textFill>
              </w:rPr>
            </w:pPr>
          </w:p>
        </w:tc>
      </w:tr>
      <w:tr w14:paraId="3136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9043" w:type="dxa"/>
            <w:gridSpan w:val="8"/>
          </w:tcPr>
          <w:p w14:paraId="6E8FEBC0">
            <w:pPr>
              <w:pStyle w:val="73"/>
              <w:spacing w:before="81" w:line="228" w:lineRule="auto"/>
              <w:ind w:left="13"/>
              <w:rPr>
                <w:color w:val="000000" w:themeColor="text1"/>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合计人民币金额(大写)：</w:t>
            </w:r>
          </w:p>
        </w:tc>
      </w:tr>
    </w:tbl>
    <w:p w14:paraId="117E1FB8">
      <w:pPr>
        <w:pStyle w:val="22"/>
        <w:spacing w:line="360" w:lineRule="auto"/>
        <w:jc w:val="both"/>
        <w:rPr>
          <w:rFonts w:cs="宋体"/>
          <w:b/>
          <w:bCs/>
          <w:color w:val="000000" w:themeColor="text1"/>
          <w14:textFill>
            <w14:solidFill>
              <w14:schemeClr w14:val="tx1"/>
            </w14:solidFill>
          </w14:textFill>
        </w:rPr>
      </w:pPr>
    </w:p>
    <w:p w14:paraId="25C3DBAC">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第三条 工作范围</w:t>
      </w:r>
    </w:p>
    <w:p w14:paraId="32FC8248">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（1）甲方的工作范围：提供医用</w:t>
      </w:r>
      <w:r>
        <w:rPr>
          <w:rFonts w:hint="eastAsia" w:ascii="宋体" w:hAnsi="宋体" w:cs="宋体"/>
          <w:color w:val="000000" w:themeColor="text1"/>
          <w:sz w:val="20"/>
          <w:lang w:val="en-US" w:eastAsia="zh-CN"/>
          <w14:textFill>
            <w14:solidFill>
              <w14:schemeClr w14:val="tx1"/>
            </w14:solidFill>
          </w14:textFill>
        </w:rPr>
        <w:t>污水</w:t>
      </w:r>
      <w:r>
        <w:rPr>
          <w:rFonts w:hint="eastAsia" w:ascii="宋体" w:hAnsi="宋体" w:cs="宋体"/>
          <w:color w:val="000000" w:themeColor="text1"/>
          <w:sz w:val="20"/>
          <w14:textFill>
            <w14:solidFill>
              <w14:schemeClr w14:val="tx1"/>
            </w14:solidFill>
          </w14:textFill>
        </w:rPr>
        <w:t>安装所需要的辅助条件。</w:t>
      </w:r>
    </w:p>
    <w:p w14:paraId="7DFFCD16">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（2）乙方的工作范围：乙方需按采购文件中的要求的项目内容完成设备材料的采购、制造、运输、装卸、保险、就位、成品保管、安装、调试、培训、检验、验收、质保期内的维修保养等。并按工作顺序 提交所需所有资料（无论其是否被明细列在合同文件中），资料的提供必须符合本章的有关要求并按时递交。一些虽由乙方完成的项目但与第三方完成的项目密切相关，由乙方提出要求，提供相关专业协商解决方案。</w:t>
      </w:r>
    </w:p>
    <w:p w14:paraId="2A06066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（3）乙方须提供以下工作服务但不仅限于以下：</w:t>
      </w:r>
    </w:p>
    <w:p w14:paraId="5639EF13">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按甲方认可的设计方案和材料进行加工、制造、供货；</w:t>
      </w:r>
    </w:p>
    <w:p w14:paraId="62C11A8E">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运输及卸货：负责设备运输至建设工地并负责卸货现场存放场地；</w:t>
      </w:r>
    </w:p>
    <w:p w14:paraId="5550A971">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到货验收：货到现场，甲方和乙方共同清点箱件验收。如不具备开箱验收的条件，乙方应妥善保管（需防潮、防盗）。未经甲方同意，乙方不得擅自拆箱。甲方在接到供方开箱安装通知后，派员7天内会同供方进行货物清点验收，若发现货物与装箱单数目不符，乙方须在甲方规定时间内将货物补齐，工期计入供货周期。如在保管期间箱件已损坏，缺件由乙方负责，如对产品的外表质量有异议，</w:t>
      </w:r>
      <w:r>
        <w:rPr>
          <w:rFonts w:hint="eastAsia" w:ascii="宋体" w:hAnsi="宋体" w:cs="宋体"/>
          <w:color w:val="000000" w:themeColor="text1"/>
          <w:sz w:val="20"/>
          <w:lang w:eastAsia="zh-CN"/>
          <w14:textFill>
            <w14:solidFill>
              <w14:schemeClr w14:val="tx1"/>
            </w14:solidFill>
          </w14:textFill>
        </w:rPr>
        <w:t>甲方</w:t>
      </w:r>
      <w:r>
        <w:rPr>
          <w:rFonts w:hint="eastAsia" w:ascii="宋体" w:hAnsi="宋体" w:cs="宋体"/>
          <w:color w:val="000000" w:themeColor="text1"/>
          <w:sz w:val="20"/>
          <w14:textFill>
            <w14:solidFill>
              <w14:schemeClr w14:val="tx1"/>
            </w14:solidFill>
          </w14:textFill>
        </w:rPr>
        <w:t>应在验收时提出。在供货期以后发现货物与装箱清单数目、规格不一致的，也不能排除乙方对此的保证责任。到场验收合格后，并不排除乙方对相应设备的责任。</w:t>
      </w:r>
    </w:p>
    <w:p w14:paraId="4120B5D3">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现场保管：甲方提供现场的设备存放场地，乙方负责派专人对设备进行保管。</w:t>
      </w:r>
    </w:p>
    <w:p w14:paraId="3DF8FEBD">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乙方负责产品就位、产品安装和调试。</w:t>
      </w:r>
    </w:p>
    <w:p w14:paraId="5A07360B">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产品保护：产品安装过程中、安装完毕、调试试运行合格至相关部门检验合格前，以及检验合格至交付甲方这个阶段中，乙方采取相应措施对现场设备进行保护，以免设备受到损伤。如出现设备损伤，则乙方需对损伤部位进行修复；不能修复的，需对损伤部位部件进行调换。</w:t>
      </w:r>
    </w:p>
    <w:p w14:paraId="08B79FEA">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检验：乙方须做好并通过相关部门对产品的检验，并取得合格证。</w:t>
      </w:r>
    </w:p>
    <w:p w14:paraId="04C01E4F">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按承诺完成质保期内的售后服务工作。</w:t>
      </w:r>
    </w:p>
    <w:p w14:paraId="30973D8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（4）其他说明</w:t>
      </w:r>
    </w:p>
    <w:p w14:paraId="128F5DF2">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乙方在取得中标资格后，须负责设备的安装、调试、测试、技术交底、技术培训、售后服务等一切与中标设备有关的附随服务工作，本项目投标报价不需要考虑总承包管理服务费。</w:t>
      </w:r>
    </w:p>
    <w:p w14:paraId="3D6AFDAF">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总承包服务费：本项目总包不收总承包管理服务费。</w:t>
      </w:r>
    </w:p>
    <w:p w14:paraId="5BC26030">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第四条  工期、质量及人员要求</w:t>
      </w:r>
    </w:p>
    <w:p w14:paraId="08AB584E">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4.1.【*】质保期：质保期为</w:t>
      </w:r>
      <w:r>
        <w:rPr>
          <w:rFonts w:hint="eastAsia" w:ascii="宋体" w:hAnsi="宋体" w:cs="宋体"/>
          <w:color w:val="000000" w:themeColor="text1"/>
          <w:sz w:val="20"/>
          <w:lang w:val="en-US" w:eastAsia="zh-CN"/>
          <w14:textFill>
            <w14:solidFill>
              <w14:schemeClr w14:val="tx1"/>
            </w14:solidFill>
          </w14:textFill>
        </w:rPr>
        <w:t>5</w:t>
      </w:r>
      <w:r>
        <w:rPr>
          <w:rFonts w:hint="eastAsia" w:ascii="宋体" w:hAnsi="宋体" w:cs="宋体"/>
          <w:color w:val="000000" w:themeColor="text1"/>
          <w:sz w:val="20"/>
          <w:highlight w:val="none"/>
          <w14:textFill>
            <w14:solidFill>
              <w14:schemeClr w14:val="tx1"/>
            </w14:solidFill>
          </w14:textFill>
        </w:rPr>
        <w:t>年</w:t>
      </w:r>
      <w:r>
        <w:rPr>
          <w:rFonts w:hint="eastAsia" w:ascii="宋体" w:hAnsi="宋体" w:cs="宋体"/>
          <w:color w:val="000000" w:themeColor="text1"/>
          <w:sz w:val="20"/>
          <w14:textFill>
            <w14:solidFill>
              <w14:schemeClr w14:val="tx1"/>
            </w14:solidFill>
          </w14:textFill>
        </w:rPr>
        <w:t>，时间从设备全部安装调试验收合格后算起。质保期内应保证所有产品、系统正常运行。</w:t>
      </w:r>
    </w:p>
    <w:p w14:paraId="0437CB1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4.2.工期：合同签订后120天内交货并安装调试完毕。</w:t>
      </w:r>
    </w:p>
    <w:p w14:paraId="4DFCF152">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乙方在投标时应充分考虑设备生产及供货时间提前或延后的影响，并在投标报价中给予体现，不得因甲方提前或延后要求供货而增加任何费用。</w:t>
      </w:r>
    </w:p>
    <w:p w14:paraId="0AE4D6E1">
      <w:pPr>
        <w:spacing w:line="229" w:lineRule="auto"/>
        <w:ind w:left="9" w:firstLine="428" w:firstLineChars="200"/>
        <w:rPr>
          <w:rFonts w:hint="eastAsia"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t>注：1.需满足项目总承包进度要求，积极配合各项工艺进度要求等。2.因乙方原因造成工期延误的每日向甲方支付合同款项的千分之六作为违约金。造成甲方损失超过违约金的，乙方继续承担赔偿责任。</w:t>
      </w:r>
    </w:p>
    <w:p w14:paraId="53289F7B">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4.3.质量要求：乙方应根据自身的技术力量和管理水平，明确保证项目质量目标的措施，并对项目施工质量负责。乙方必须严格按合同的条款、施工图以及设计说明文件、审定的施工组织设计及有关施工验收规范、规程等精心组织施工，严格把好各道工序的质量关，杜绝项目质量事故，并确保本项目采用优质材料、设备。且符合国家技术规范和质量标准、通过国家有关部门检测的环保合格产品，满足采购单位的使用需求，具有先进性、科学性、可靠性、安全性，设备安装调试完毕后，在功能范围内安全、稳定的运行。</w:t>
      </w:r>
    </w:p>
    <w:p w14:paraId="3C69C709">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乙方须配合总承包单位做好工作，并服从总承包单位的管理。</w:t>
      </w:r>
    </w:p>
    <w:p w14:paraId="29AAD035">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4.4 人员要求：</w:t>
      </w:r>
    </w:p>
    <w:p w14:paraId="123F5A9B">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①.未经甲方同意更换项目负责人的违约责任：支付违约金1万元。乙方报经甲方同意更 换项目负责人的仍需支付违约金0.5万元（不可抗力或因发包人原因工期延误等非乙方原因的人员变更除外）。</w:t>
      </w:r>
    </w:p>
    <w:p w14:paraId="28D524E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②.乙方无正当理由拒绝更换项目负责人的违约责任：发包人提出因原项目负责人不称职，要求更换项目负责人，乙方不予履行，则乙方向发包人支付违约金为1万元。</w:t>
      </w:r>
    </w:p>
    <w:p w14:paraId="13D2AB93">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③.乙方未经甲方同意不得更换拟派项目成员，擅自更换项目成员的支付0.5万元每人。</w:t>
      </w:r>
    </w:p>
    <w:p w14:paraId="424E1597">
      <w:pPr>
        <w:spacing w:before="157" w:line="408" w:lineRule="exact"/>
        <w:ind w:firstLine="424" w:firstLineChars="2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pacing w:val="6"/>
          <w:position w:val="15"/>
          <w:sz w:val="20"/>
          <w:szCs w:val="20"/>
          <w14:textFill>
            <w14:solidFill>
              <w14:schemeClr w14:val="tx1"/>
            </w14:solidFill>
          </w14:textFill>
        </w:rPr>
        <w:t>④.项目实施过程（指连续工作期间）中，项目负责人及相关拟派人员每月到位率须不少于</w:t>
      </w:r>
      <w:r>
        <w:rPr>
          <w:rFonts w:hint="eastAsia" w:ascii="宋体" w:hAnsi="宋体" w:cs="宋体"/>
          <w:color w:val="000000" w:themeColor="text1"/>
          <w:spacing w:val="-21"/>
          <w:position w:val="15"/>
          <w:sz w:val="20"/>
          <w:szCs w:val="20"/>
          <w14:textFill>
            <w14:solidFill>
              <w14:schemeClr w14:val="tx1"/>
            </w14:solidFill>
          </w14:textFill>
        </w:rPr>
        <w:t xml:space="preserve"> </w:t>
      </w:r>
      <w:r>
        <w:rPr>
          <w:rFonts w:hint="eastAsia" w:ascii="宋体" w:hAnsi="宋体" w:cs="宋体"/>
          <w:color w:val="000000" w:themeColor="text1"/>
          <w:spacing w:val="6"/>
          <w:position w:val="15"/>
          <w:sz w:val="20"/>
          <w:szCs w:val="20"/>
          <w14:textFill>
            <w14:solidFill>
              <w14:schemeClr w14:val="tx1"/>
            </w14:solidFill>
          </w14:textFill>
        </w:rPr>
        <w:t>22</w:t>
      </w:r>
      <w:r>
        <w:rPr>
          <w:rFonts w:hint="eastAsia" w:ascii="宋体" w:hAnsi="宋体" w:cs="宋体"/>
          <w:color w:val="000000" w:themeColor="text1"/>
          <w:spacing w:val="-34"/>
          <w:position w:val="15"/>
          <w:sz w:val="20"/>
          <w:szCs w:val="20"/>
          <w14:textFill>
            <w14:solidFill>
              <w14:schemeClr w14:val="tx1"/>
            </w14:solidFill>
          </w14:textFill>
        </w:rPr>
        <w:t xml:space="preserve"> </w:t>
      </w:r>
      <w:r>
        <w:rPr>
          <w:rFonts w:hint="eastAsia" w:ascii="宋体" w:hAnsi="宋体" w:cs="宋体"/>
          <w:color w:val="000000" w:themeColor="text1"/>
          <w:spacing w:val="6"/>
          <w:position w:val="15"/>
          <w:sz w:val="20"/>
          <w:szCs w:val="20"/>
          <w14:textFill>
            <w14:solidFill>
              <w14:schemeClr w14:val="tx1"/>
            </w14:solidFill>
          </w14:textFill>
        </w:rPr>
        <w:t>天。</w:t>
      </w:r>
    </w:p>
    <w:p w14:paraId="7BFCF858">
      <w:pPr>
        <w:spacing w:before="1" w:line="226" w:lineRule="auto"/>
        <w:ind w:firstLine="442" w:firstLineChars="200"/>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pacing w:val="10"/>
          <w:sz w:val="20"/>
          <w:szCs w:val="20"/>
          <w14:textFill>
            <w14:solidFill>
              <w14:schemeClr w14:val="tx1"/>
            </w14:solidFill>
          </w14:textFill>
        </w:rPr>
        <w:t>注：乙方多次（三次以上）发生擅自更换项目负责人或拟派项目成员经甲方警告</w:t>
      </w:r>
      <w:r>
        <w:rPr>
          <w:rFonts w:hint="eastAsia" w:ascii="宋体" w:hAnsi="宋体" w:cs="宋体"/>
          <w:b/>
          <w:bCs/>
          <w:color w:val="000000" w:themeColor="text1"/>
          <w:spacing w:val="9"/>
          <w:sz w:val="20"/>
          <w:szCs w:val="20"/>
          <w14:textFill>
            <w14:solidFill>
              <w14:schemeClr w14:val="tx1"/>
            </w14:solidFill>
          </w14:textFill>
        </w:rPr>
        <w:t>未改正的，甲方有权单方解除合同，乙方除退回甲方全部已收款项外，还应赔偿甲方支付合同价款20%的违约金，造成甲方损失超过违约金的，乙方继续承担赔偿责任。</w:t>
      </w:r>
    </w:p>
    <w:p w14:paraId="7ECEFBBC">
      <w:pPr>
        <w:pStyle w:val="22"/>
        <w:spacing w:line="360" w:lineRule="auto"/>
        <w:jc w:val="both"/>
        <w:rPr>
          <w:rFonts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cs="宋体"/>
          <w:b/>
          <w:bCs/>
          <w:color w:val="000000" w:themeColor="text1"/>
          <w14:textFill>
            <w14:solidFill>
              <w14:schemeClr w14:val="tx1"/>
            </w14:solidFill>
          </w14:textFill>
        </w:rPr>
        <w:t>第五条   质量服务要求</w:t>
      </w:r>
    </w:p>
    <w:p w14:paraId="1F232B7D">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（1）设备、材料的生产制造企业提供产品的材质必须达到国家标准，产品材质必须符合国家标准，有关电器设备必须具备国家强制性认证标志。</w:t>
      </w:r>
    </w:p>
    <w:p w14:paraId="7319CFF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（2）所有设备的材质及辅助材料要求以招标文件中要求为标准，交货时须提供设备合格的检测报告及材料的检验报告，否则甲方有权拒收相应材料货物。</w:t>
      </w:r>
    </w:p>
    <w:p w14:paraId="0F451917">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（3）所有设备要求无瑕疵和缺陷，质量为合格产品，同时有明确的生产厂商或制造厂商。</w:t>
      </w:r>
    </w:p>
    <w:p w14:paraId="06543339">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（4）缺陷保修：设备交付使用后，在质保期如有关部件缺陷多次反复出现，供方必须提供解决方案，直到最后调换，供方提供的质保从纠正之日起重新计算质保期。</w:t>
      </w:r>
    </w:p>
    <w:p w14:paraId="5087B991">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（5）所有供货设备不能涉及任何知识产权方面的法律纠纷。</w:t>
      </w:r>
    </w:p>
    <w:p w14:paraId="473CB67C">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（6）售后服务：提供 24 小时热线电话服务，若设备发生故障，应在 1 小时内响应，24 小时内到场解决问题,以保证医院日常运行需求。</w:t>
      </w:r>
    </w:p>
    <w:p w14:paraId="2687D9D5">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第六条   技术服务</w:t>
      </w:r>
    </w:p>
    <w:p w14:paraId="547C50E4">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（1）乙方至少应派一名现场技术人员指导设备、系统的现场安装及调试。</w:t>
      </w:r>
    </w:p>
    <w:p w14:paraId="4D0F877E">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（2）乙方应对采购方的技术人员、操作人员和维护人员做系统全面的操作培训，并提供详细的培训资料。</w:t>
      </w:r>
    </w:p>
    <w:p w14:paraId="62C16DCD">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（3）设备到货后应及时派员安装、调试（费用包含在各单项报价内）。</w:t>
      </w:r>
    </w:p>
    <w:p w14:paraId="2836670F">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（4）</w:t>
      </w:r>
      <w:r>
        <w:rPr>
          <w:rFonts w:hint="eastAsia" w:cs="宋体"/>
          <w:color w:val="000000" w:themeColor="text1"/>
          <w:sz w:val="20"/>
          <w:szCs w:val="20"/>
          <w:highlight w:val="none"/>
          <w:lang w:eastAsia="zh-CN"/>
          <w14:textFill>
            <w14:solidFill>
              <w14:schemeClr w14:val="tx1"/>
            </w14:solidFill>
          </w14:textFill>
        </w:rPr>
        <w:t>乙方</w:t>
      </w:r>
      <w:r>
        <w:rPr>
          <w:rFonts w:hint="eastAsia" w:ascii="宋体" w:hAnsi="宋体" w:cs="宋体"/>
          <w:color w:val="000000" w:themeColor="text1"/>
          <w:sz w:val="20"/>
          <w14:textFill>
            <w14:solidFill>
              <w14:schemeClr w14:val="tx1"/>
            </w14:solidFill>
          </w14:textFill>
        </w:rPr>
        <w:t>交付时应提供必备的技术资料</w:t>
      </w:r>
    </w:p>
    <w:p w14:paraId="5F7F1ABF">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kern w:val="0"/>
          <w:sz w:val="24"/>
          <w14:textFill>
            <w14:solidFill>
              <w14:schemeClr w14:val="tx1"/>
            </w14:solidFill>
          </w14:textFill>
        </w:rPr>
        <w:t>七条   安装和辅材</w:t>
      </w:r>
    </w:p>
    <w:p w14:paraId="649B8B4E">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（1）乙方承担所有中标设备的安装、设备的辅助材料，安装施工必须服从甲方的工作安排和项目协调，乙方负责所供设备的全部安装工作。</w:t>
      </w:r>
    </w:p>
    <w:p w14:paraId="3EDD894C">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（2）若在安装过程中，由于乙方的原因造成建筑结构或其它设备的损坏，须负责修理及赔偿损失。</w:t>
      </w:r>
    </w:p>
    <w:p w14:paraId="3EF533CD">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w:t>
      </w:r>
      <w:r>
        <w:rPr>
          <w:rFonts w:hint="eastAsia" w:ascii="宋体" w:hAnsi="宋体" w:cs="宋体"/>
          <w:b/>
          <w:bCs/>
          <w:color w:val="000000" w:themeColor="text1"/>
          <w:kern w:val="0"/>
          <w:sz w:val="24"/>
          <w14:textFill>
            <w14:solidFill>
              <w14:schemeClr w14:val="tx1"/>
            </w14:solidFill>
          </w14:textFill>
        </w:rPr>
        <w:t>条   验收和调试</w:t>
      </w:r>
    </w:p>
    <w:p w14:paraId="1A064E13">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验收由甲方和乙方联合参加，按规范进行验收，验收以招标文件和投标文件、合同及国家相关的现行标准为依据，验收的基本要求如下：</w:t>
      </w:r>
    </w:p>
    <w:p w14:paraId="30DBBFDD">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（1）试运行时，各项性能满足招标文件、投标文件的要求；</w:t>
      </w:r>
    </w:p>
    <w:p w14:paraId="38F8AEAB">
      <w:pPr>
        <w:widowControl/>
        <w:autoSpaceDE w:val="0"/>
        <w:spacing w:line="360" w:lineRule="exact"/>
        <w:ind w:firstLine="400" w:firstLineChars="200"/>
        <w:textAlignment w:val="center"/>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（2）调试和试运行时出现的问题已被解决至甲方认可；</w:t>
      </w:r>
    </w:p>
    <w:p w14:paraId="6E887197">
      <w:pPr>
        <w:widowControl/>
        <w:autoSpaceDE w:val="0"/>
        <w:spacing w:line="360" w:lineRule="exact"/>
        <w:ind w:firstLine="400" w:firstLineChars="200"/>
        <w:textAlignment w:val="center"/>
        <w:rPr>
          <w:rFonts w:hint="eastAsia"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0"/>
          <w:highlight w:val="none"/>
          <w14:textFill>
            <w14:solidFill>
              <w14:schemeClr w14:val="tx1"/>
            </w14:solidFill>
          </w14:textFill>
        </w:rPr>
        <w:t>（3）已提供了合同范围内的全部货物和资料；</w:t>
      </w:r>
    </w:p>
    <w:p w14:paraId="676D4734">
      <w:pPr>
        <w:widowControl/>
        <w:autoSpaceDE w:val="0"/>
        <w:spacing w:line="360" w:lineRule="exact"/>
        <w:ind w:firstLine="400" w:firstLineChars="200"/>
        <w:textAlignment w:val="center"/>
        <w:rPr>
          <w:rFonts w:hint="eastAsia" w:ascii="宋体" w:hAnsi="宋体" w:cs="宋体"/>
          <w:color w:val="000000" w:themeColor="text1"/>
          <w:sz w:val="20"/>
          <w:highlight w:val="red"/>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（4）验收过程中所发生的费用由乙方负责。</w:t>
      </w:r>
    </w:p>
    <w:p w14:paraId="1EB045A2">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第九条   </w:t>
      </w:r>
      <w:r>
        <w:rPr>
          <w:rFonts w:hint="eastAsia" w:ascii="宋体" w:hAnsi="宋体" w:cs="宋体"/>
          <w:b/>
          <w:bCs/>
          <w:color w:val="000000" w:themeColor="text1"/>
          <w:kern w:val="0"/>
          <w:sz w:val="24"/>
          <w14:textFill>
            <w14:solidFill>
              <w14:schemeClr w14:val="tx1"/>
            </w14:solidFill>
          </w14:textFill>
        </w:rPr>
        <w:t>培训</w:t>
      </w:r>
    </w:p>
    <w:p w14:paraId="3E23714D">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（1）基础理论培训内容：系统原理及功能特点等。</w:t>
      </w:r>
    </w:p>
    <w:p w14:paraId="244876D6">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（2）操作维护培训内容：运行管理基本知识；设备常见故障的修复方法。</w:t>
      </w:r>
    </w:p>
    <w:p w14:paraId="538EE30A">
      <w:pPr>
        <w:widowControl/>
        <w:autoSpaceDE w:val="0"/>
        <w:spacing w:line="360" w:lineRule="exact"/>
        <w:textAlignment w:val="center"/>
        <w:rPr>
          <w:rFonts w:ascii="宋体" w:hAnsi="宋体" w:cs="宋体"/>
          <w:color w:val="000000" w:themeColor="text1"/>
          <w:sz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第十条履约保证金</w:t>
      </w:r>
      <w:r>
        <w:rPr>
          <w:rFonts w:hint="eastAsia" w:ascii="宋体" w:hAnsi="宋体" w:cs="宋体"/>
          <w:color w:val="000000" w:themeColor="text1"/>
          <w:sz w:val="20"/>
          <w14:textFill>
            <w14:solidFill>
              <w14:schemeClr w14:val="tx1"/>
            </w14:solidFill>
          </w14:textFill>
        </w:rPr>
        <w:t>：本项目不收取履约保证金。</w:t>
      </w:r>
    </w:p>
    <w:p w14:paraId="38E79491">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w:t>
      </w:r>
      <w:r>
        <w:rPr>
          <w:rFonts w:hint="eastAsia" w:ascii="宋体" w:hAnsi="宋体" w:cs="宋体"/>
          <w:b/>
          <w:bCs/>
          <w:color w:val="000000" w:themeColor="text1"/>
          <w:kern w:val="0"/>
          <w:sz w:val="24"/>
          <w14:textFill>
            <w14:solidFill>
              <w14:schemeClr w14:val="tx1"/>
            </w14:solidFill>
          </w14:textFill>
        </w:rPr>
        <w:t>条  付款方式</w:t>
      </w:r>
    </w:p>
    <w:p w14:paraId="7471C654">
      <w:pPr>
        <w:widowControl/>
        <w:autoSpaceDE w:val="0"/>
        <w:spacing w:line="360" w:lineRule="exact"/>
        <w:ind w:firstLine="400" w:firstLineChars="200"/>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（1）合同签订后7个工作日内支付</w:t>
      </w:r>
      <w:r>
        <w:rPr>
          <w:rFonts w:hint="eastAsia" w:ascii="宋体" w:hAnsi="宋体" w:cs="宋体"/>
          <w:color w:val="000000" w:themeColor="text1"/>
          <w:sz w:val="20"/>
          <w:lang w:val="en-US" w:eastAsia="zh-CN"/>
          <w14:textFill>
            <w14:solidFill>
              <w14:schemeClr w14:val="tx1"/>
            </w14:solidFill>
          </w14:textFill>
        </w:rPr>
        <w:t>合同</w:t>
      </w:r>
      <w:r>
        <w:rPr>
          <w:rFonts w:hint="eastAsia" w:ascii="宋体" w:hAnsi="宋体" w:cs="宋体"/>
          <w:color w:val="000000" w:themeColor="text1"/>
          <w:sz w:val="20"/>
          <w14:textFill>
            <w14:solidFill>
              <w14:schemeClr w14:val="tx1"/>
            </w14:solidFill>
          </w14:textFill>
        </w:rPr>
        <w:t>价款的40%作为预付款；</w:t>
      </w:r>
      <w:r>
        <w:rPr>
          <w:rFonts w:hint="eastAsia" w:ascii="宋体" w:hAnsi="宋体" w:cs="宋体"/>
          <w:color w:val="000000" w:themeColor="text1"/>
          <w:sz w:val="20"/>
          <w:lang w:val="zh-CN"/>
          <w14:textFill>
            <w14:solidFill>
              <w14:schemeClr w14:val="tx1"/>
            </w14:solidFill>
          </w14:textFill>
        </w:rPr>
        <w:t xml:space="preserve"> </w:t>
      </w:r>
    </w:p>
    <w:p w14:paraId="533EAA43">
      <w:pPr>
        <w:widowControl/>
        <w:autoSpaceDE w:val="0"/>
        <w:spacing w:line="360" w:lineRule="exact"/>
        <w:ind w:firstLine="400" w:firstLineChars="200"/>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（2）主体设备运到项目现场经采购人确认后支付</w:t>
      </w:r>
      <w:r>
        <w:rPr>
          <w:rFonts w:hint="eastAsia" w:ascii="宋体" w:hAnsi="宋体" w:cs="宋体"/>
          <w:color w:val="000000" w:themeColor="text1"/>
          <w:sz w:val="20"/>
          <w:lang w:val="en-US" w:eastAsia="zh-CN"/>
          <w14:textFill>
            <w14:solidFill>
              <w14:schemeClr w14:val="tx1"/>
            </w14:solidFill>
          </w14:textFill>
        </w:rPr>
        <w:t>合同</w:t>
      </w:r>
      <w:r>
        <w:rPr>
          <w:rFonts w:hint="eastAsia" w:ascii="宋体" w:hAnsi="宋体" w:cs="宋体"/>
          <w:color w:val="000000" w:themeColor="text1"/>
          <w:sz w:val="20"/>
          <w14:textFill>
            <w14:solidFill>
              <w14:schemeClr w14:val="tx1"/>
            </w14:solidFill>
          </w14:textFill>
        </w:rPr>
        <w:t>价款的</w:t>
      </w:r>
      <w:r>
        <w:rPr>
          <w:rFonts w:hint="eastAsia" w:ascii="宋体" w:hAnsi="宋体" w:cs="宋体"/>
          <w:color w:val="000000" w:themeColor="text1"/>
          <w:sz w:val="20"/>
          <w:lang w:val="en-US" w:eastAsia="zh-CN"/>
          <w14:textFill>
            <w14:solidFill>
              <w14:schemeClr w14:val="tx1"/>
            </w14:solidFill>
          </w14:textFill>
        </w:rPr>
        <w:t>3</w:t>
      </w:r>
      <w:r>
        <w:rPr>
          <w:rFonts w:hint="eastAsia" w:ascii="宋体" w:hAnsi="宋体" w:cs="宋体"/>
          <w:color w:val="000000" w:themeColor="text1"/>
          <w:sz w:val="20"/>
          <w14:textFill>
            <w14:solidFill>
              <w14:schemeClr w14:val="tx1"/>
            </w14:solidFill>
          </w14:textFill>
        </w:rPr>
        <w:t>0%；</w:t>
      </w:r>
    </w:p>
    <w:p w14:paraId="4289A932">
      <w:pPr>
        <w:widowControl/>
        <w:autoSpaceDE w:val="0"/>
        <w:spacing w:line="360" w:lineRule="exact"/>
        <w:ind w:firstLine="400" w:firstLineChars="200"/>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（3）安装调试完成，经</w:t>
      </w:r>
      <w:r>
        <w:rPr>
          <w:rFonts w:hint="eastAsia" w:ascii="宋体" w:hAnsi="宋体" w:cs="宋体"/>
          <w:color w:val="000000" w:themeColor="text1"/>
          <w:sz w:val="20"/>
          <w:lang w:eastAsia="zh-CN"/>
          <w14:textFill>
            <w14:solidFill>
              <w14:schemeClr w14:val="tx1"/>
            </w14:solidFill>
          </w14:textFill>
        </w:rPr>
        <w:t>甲方及</w:t>
      </w:r>
      <w:r>
        <w:rPr>
          <w:rFonts w:hint="eastAsia" w:ascii="宋体" w:hAnsi="宋体" w:cs="宋体"/>
          <w:color w:val="000000" w:themeColor="text1"/>
          <w:sz w:val="20"/>
          <w14:textFill>
            <w14:solidFill>
              <w14:schemeClr w14:val="tx1"/>
            </w14:solidFill>
          </w14:textFill>
        </w:rPr>
        <w:t>相关单位验收合格后，乙方按采购人要求提交竣工资料、结算资料并经采购人最终确认后，支付至结算价的97%。安全运行一个月后支付至结算价的100%。</w:t>
      </w:r>
    </w:p>
    <w:p w14:paraId="2471E851">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第十二条  违约责任</w:t>
      </w:r>
    </w:p>
    <w:p w14:paraId="209E65A5">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1、甲方无故逾期办理款项支付手续的，甲方应按逾期付款总额每日万分之五向乙方支付违约金。</w:t>
      </w:r>
    </w:p>
    <w:p w14:paraId="5B5653A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2、甲方单方无故解除合同的，甲方应向乙方支付合同总值20%的违约金，如造成乙方损失超过违约金的，由甲方继续承担赔偿责任。</w:t>
      </w:r>
    </w:p>
    <w:p w14:paraId="486891B1">
      <w:pPr>
        <w:widowControl/>
        <w:autoSpaceDE w:val="0"/>
        <w:spacing w:line="360" w:lineRule="exact"/>
        <w:ind w:firstLine="400" w:firstLineChars="200"/>
        <w:textAlignment w:val="center"/>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color w:val="000000" w:themeColor="text1"/>
          <w:sz w:val="20"/>
          <w14:textFill>
            <w14:solidFill>
              <w14:schemeClr w14:val="tx1"/>
            </w14:solidFill>
          </w14:textFill>
        </w:rPr>
        <w:t>3、乙方未能如期提供货物的，每日向甲方支付合同款项的万分之五作为违约金。乙方超过约定日期10个工作日仍不能提供货物的，甲方可单方解除本合同。乙方因未能如期提供货物或因其他违约行为导致甲方解除合同的，乙方除退还全部已收款项外，还应向甲方支付合同总值20%的违约金。造成甲方损失超过违约金的，乙方继续承担赔偿责任。</w:t>
      </w:r>
    </w:p>
    <w:p w14:paraId="72DC115D">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w:t>
      </w:r>
      <w:r>
        <w:rPr>
          <w:rFonts w:hint="eastAsia" w:ascii="宋体" w:hAnsi="宋体" w:cs="宋体"/>
          <w:b/>
          <w:bCs/>
          <w:color w:val="000000" w:themeColor="text1"/>
          <w:kern w:val="0"/>
          <w:sz w:val="24"/>
          <w14:textFill>
            <w14:solidFill>
              <w14:schemeClr w14:val="tx1"/>
            </w14:solidFill>
          </w14:textFill>
        </w:rPr>
        <w:t>条  合同的转让和分包</w:t>
      </w:r>
    </w:p>
    <w:p w14:paraId="79EBBE46">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乙方不得擅自分包其应履行的合同义务。须将项目的非主体、非关键性工作分包的，应当在投标文件中载明分包承担主体，分包承担主体应当具备相应资质条件且不得再次分包。</w:t>
      </w:r>
    </w:p>
    <w:p w14:paraId="17F8C4AC">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w:t>
      </w:r>
      <w:r>
        <w:rPr>
          <w:rFonts w:hint="eastAsia" w:ascii="宋体" w:hAnsi="宋体" w:cs="宋体"/>
          <w:b/>
          <w:bCs/>
          <w:color w:val="000000" w:themeColor="text1"/>
          <w:kern w:val="0"/>
          <w:sz w:val="24"/>
          <w14:textFill>
            <w14:solidFill>
              <w14:schemeClr w14:val="tx1"/>
            </w14:solidFill>
          </w14:textFill>
        </w:rPr>
        <w:t>条  合同的变更和终止</w:t>
      </w:r>
    </w:p>
    <w:p w14:paraId="3CE1EBA7">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除《政府采购法》第50条第二款规定的情形外，本合同一经签订，双方不得擅自变更、中止或终止合同。</w:t>
      </w:r>
    </w:p>
    <w:p w14:paraId="13C88AD3">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第十五条  </w:t>
      </w:r>
      <w:r>
        <w:rPr>
          <w:rFonts w:hint="eastAsia" w:ascii="宋体" w:hAnsi="宋体" w:cs="宋体"/>
          <w:b/>
          <w:bCs/>
          <w:color w:val="000000" w:themeColor="text1"/>
          <w:kern w:val="0"/>
          <w:sz w:val="24"/>
          <w14:textFill>
            <w14:solidFill>
              <w14:schemeClr w14:val="tx1"/>
            </w14:solidFill>
          </w14:textFill>
        </w:rPr>
        <w:t>不可抗力</w:t>
      </w:r>
    </w:p>
    <w:p w14:paraId="5911FDD4">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13.1 如果双方中任何一方遭遇法律规定的不可抗力，致使合同履行受阻时，履行合同的期限应予延长，延长的期限应相当于不可抗力所影响的时间。</w:t>
      </w:r>
    </w:p>
    <w:p w14:paraId="4ABDA97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13.2 受事故影响的一方应在不可抗力的事故发生后尽快书面形式通知另一方，并尽快将有关部门出具的证明文件送达另一方。</w:t>
      </w:r>
    </w:p>
    <w:p w14:paraId="6BFD8E86">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13.3 不可抗力使合同的某些内容有变更必要的， 双方应通过协商达成进一步履行合同的协议，因不可抗力致使合同不能履行的，合同终止。</w:t>
      </w:r>
    </w:p>
    <w:p w14:paraId="47EAE257">
      <w:pPr>
        <w:pStyle w:val="22"/>
        <w:spacing w:line="360" w:lineRule="auto"/>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第十六条  争议的解决</w:t>
      </w:r>
    </w:p>
    <w:p w14:paraId="19620392">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14.1 因货物的质量问题发生争议的，应当邀请国家认可的质量检测机构对货物质量进行鉴定。货物符合标准的，鉴定费由甲方承担；货物不符合质量标准的，鉴定费由乙方承担。</w:t>
      </w:r>
    </w:p>
    <w:p w14:paraId="70967DA4">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14.2 因履行本合同引起的或与本合同有关的争议，甲、乙双方应首先通过友好协商解决，如果协商不能解决争议，则采取以下</w:t>
      </w:r>
      <w:r>
        <w:rPr>
          <w:rFonts w:hint="eastAsia" w:ascii="宋体" w:hAnsi="宋体" w:cs="宋体"/>
          <w:color w:val="000000" w:themeColor="text1"/>
          <w:sz w:val="20"/>
          <w:u w:val="single"/>
          <w14:textFill>
            <w14:solidFill>
              <w14:schemeClr w14:val="tx1"/>
            </w14:solidFill>
          </w14:textFill>
        </w:rPr>
        <w:t xml:space="preserve">   14.2.2   </w:t>
      </w:r>
      <w:r>
        <w:rPr>
          <w:rFonts w:hint="eastAsia" w:ascii="宋体" w:hAnsi="宋体" w:cs="宋体"/>
          <w:color w:val="000000" w:themeColor="text1"/>
          <w:sz w:val="20"/>
          <w14:textFill>
            <w14:solidFill>
              <w14:schemeClr w14:val="tx1"/>
            </w14:solidFill>
          </w14:textFill>
        </w:rPr>
        <w:t>种方式解决争议：</w:t>
      </w:r>
    </w:p>
    <w:p w14:paraId="29E41D54">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14.2.1 向甲方所在地有管辖权的人民法院提起诉讼；</w:t>
      </w:r>
    </w:p>
    <w:p w14:paraId="55656D6D">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14.2.2 向 </w:t>
      </w:r>
      <w:r>
        <w:rPr>
          <w:rFonts w:hint="eastAsia" w:ascii="宋体" w:hAnsi="宋体" w:cs="宋体"/>
          <w:color w:val="000000" w:themeColor="text1"/>
          <w:sz w:val="20"/>
          <w:u w:val="single"/>
          <w14:textFill>
            <w14:solidFill>
              <w14:schemeClr w14:val="tx1"/>
            </w14:solidFill>
          </w14:textFill>
        </w:rPr>
        <w:t>丽水</w:t>
      </w:r>
      <w:r>
        <w:rPr>
          <w:rFonts w:hint="eastAsia" w:ascii="宋体" w:hAnsi="宋体" w:cs="宋体"/>
          <w:color w:val="000000" w:themeColor="text1"/>
          <w:sz w:val="20"/>
          <w14:textFill>
            <w14:solidFill>
              <w14:schemeClr w14:val="tx1"/>
            </w14:solidFill>
          </w14:textFill>
        </w:rPr>
        <w:t xml:space="preserve"> 仲裁委员会按其仲裁规则申请仲裁。</w:t>
      </w:r>
    </w:p>
    <w:p w14:paraId="3EBB2EB0">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14.3 在仲裁期间，本合同应继续履行。</w:t>
      </w:r>
    </w:p>
    <w:p w14:paraId="14690295">
      <w:pPr>
        <w:spacing w:line="229" w:lineRule="auto"/>
        <w:ind w:left="9"/>
        <w:rPr>
          <w:rFonts w:ascii="宋体" w:hAnsi="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w:t>
      </w:r>
      <w:r>
        <w:rPr>
          <w:rFonts w:hint="eastAsia" w:ascii="宋体" w:hAnsi="宋体" w:cs="宋体"/>
          <w:b/>
          <w:bCs/>
          <w:color w:val="000000" w:themeColor="text1"/>
          <w:kern w:val="0"/>
          <w:sz w:val="24"/>
          <w14:textFill>
            <w14:solidFill>
              <w14:schemeClr w14:val="tx1"/>
            </w14:solidFill>
          </w14:textFill>
        </w:rPr>
        <w:t>合同生效及其他</w:t>
      </w:r>
    </w:p>
    <w:p w14:paraId="5B522ED9">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14.1 合同经双方法定代表人或被委托人签字并加盖单位公章。</w:t>
      </w:r>
    </w:p>
    <w:p w14:paraId="12A677C8">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14.2  合同执行中涉及采购资金和采购内容修改或补充的，须经县财政局政府采购业务管理部门批准，并签书面补充协议报县财政局备案，方可作为合同不可分割的一部分。</w:t>
      </w:r>
    </w:p>
    <w:p w14:paraId="73ED7B6C">
      <w:pPr>
        <w:widowControl/>
        <w:autoSpaceDE w:val="0"/>
        <w:spacing w:line="360" w:lineRule="exact"/>
        <w:ind w:firstLine="400" w:firstLineChars="200"/>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14.3   本合同经甲、乙双方法定代表人或其委托人签字并加盖双方公章后生效。本合同一式</w:t>
      </w:r>
      <w:r>
        <w:rPr>
          <w:rFonts w:hint="eastAsia" w:ascii="宋体" w:hAnsi="宋体" w:cs="宋体"/>
          <w:color w:val="000000" w:themeColor="text1"/>
          <w:sz w:val="20"/>
          <w:u w:val="single"/>
          <w14:textFill>
            <w14:solidFill>
              <w14:schemeClr w14:val="tx1"/>
            </w14:solidFill>
          </w14:textFill>
        </w:rPr>
        <w:t xml:space="preserve"> 肆 </w:t>
      </w:r>
      <w:r>
        <w:rPr>
          <w:rFonts w:hint="eastAsia" w:ascii="宋体" w:hAnsi="宋体" w:cs="宋体"/>
          <w:color w:val="000000" w:themeColor="text1"/>
          <w:sz w:val="20"/>
          <w14:textFill>
            <w14:solidFill>
              <w14:schemeClr w14:val="tx1"/>
            </w14:solidFill>
          </w14:textFill>
        </w:rPr>
        <w:t>份，甲、乙双方各执</w:t>
      </w:r>
      <w:r>
        <w:rPr>
          <w:rFonts w:hint="eastAsia" w:ascii="宋体" w:hAnsi="宋体" w:cs="宋体"/>
          <w:color w:val="000000" w:themeColor="text1"/>
          <w:sz w:val="20"/>
          <w:u w:val="single"/>
          <w14:textFill>
            <w14:solidFill>
              <w14:schemeClr w14:val="tx1"/>
            </w14:solidFill>
          </w14:textFill>
        </w:rPr>
        <w:t xml:space="preserve"> 贰 </w:t>
      </w:r>
      <w:r>
        <w:rPr>
          <w:rFonts w:hint="eastAsia" w:ascii="宋体" w:hAnsi="宋体" w:cs="宋体"/>
          <w:color w:val="000000" w:themeColor="text1"/>
          <w:sz w:val="20"/>
          <w14:textFill>
            <w14:solidFill>
              <w14:schemeClr w14:val="tx1"/>
            </w14:solidFill>
          </w14:textFill>
        </w:rPr>
        <w:t>份。</w:t>
      </w:r>
    </w:p>
    <w:tbl>
      <w:tblPr>
        <w:tblStyle w:val="27"/>
        <w:tblW w:w="9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34"/>
        <w:gridCol w:w="1960"/>
        <w:gridCol w:w="1442"/>
        <w:gridCol w:w="1134"/>
        <w:gridCol w:w="1982"/>
      </w:tblGrid>
      <w:tr w14:paraId="7D04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4512" w:type="dxa"/>
            <w:gridSpan w:val="3"/>
            <w:vAlign w:val="center"/>
          </w:tcPr>
          <w:p w14:paraId="6E7F66AB">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甲方（公章）</w:t>
            </w:r>
          </w:p>
        </w:tc>
        <w:tc>
          <w:tcPr>
            <w:tcW w:w="4558" w:type="dxa"/>
            <w:gridSpan w:val="3"/>
            <w:vAlign w:val="center"/>
          </w:tcPr>
          <w:p w14:paraId="36661FE6">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乙方（公章）</w:t>
            </w:r>
          </w:p>
        </w:tc>
      </w:tr>
      <w:tr w14:paraId="0347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58D0CC9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1134" w:type="dxa"/>
            <w:vMerge w:val="restart"/>
            <w:vAlign w:val="center"/>
          </w:tcPr>
          <w:p w14:paraId="023722AF">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w:t>
            </w:r>
          </w:p>
        </w:tc>
        <w:tc>
          <w:tcPr>
            <w:tcW w:w="1960" w:type="dxa"/>
            <w:vMerge w:val="restart"/>
            <w:vAlign w:val="center"/>
          </w:tcPr>
          <w:p w14:paraId="214B2C15">
            <w:pPr>
              <w:snapToGrid w:val="0"/>
              <w:jc w:val="center"/>
              <w:rPr>
                <w:rFonts w:ascii="宋体" w:hAnsi="宋体" w:cs="宋体"/>
                <w:color w:val="000000" w:themeColor="text1"/>
                <w:sz w:val="24"/>
                <w14:textFill>
                  <w14:solidFill>
                    <w14:schemeClr w14:val="tx1"/>
                  </w14:solidFill>
                </w14:textFill>
              </w:rPr>
            </w:pPr>
          </w:p>
        </w:tc>
        <w:tc>
          <w:tcPr>
            <w:tcW w:w="1442" w:type="dxa"/>
            <w:vAlign w:val="center"/>
          </w:tcPr>
          <w:p w14:paraId="163CB49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1134" w:type="dxa"/>
            <w:vMerge w:val="restart"/>
            <w:vAlign w:val="center"/>
          </w:tcPr>
          <w:p w14:paraId="1CB9E978">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w:t>
            </w:r>
          </w:p>
        </w:tc>
        <w:tc>
          <w:tcPr>
            <w:tcW w:w="1982" w:type="dxa"/>
            <w:vMerge w:val="restart"/>
            <w:vAlign w:val="center"/>
          </w:tcPr>
          <w:p w14:paraId="1EE8112E">
            <w:pPr>
              <w:snapToGrid w:val="0"/>
              <w:jc w:val="center"/>
              <w:rPr>
                <w:rFonts w:ascii="宋体" w:hAnsi="宋体" w:cs="宋体"/>
                <w:color w:val="000000" w:themeColor="text1"/>
                <w:sz w:val="24"/>
                <w14:textFill>
                  <w14:solidFill>
                    <w14:schemeClr w14:val="tx1"/>
                  </w14:solidFill>
                </w14:textFill>
              </w:rPr>
            </w:pPr>
          </w:p>
        </w:tc>
      </w:tr>
      <w:tr w14:paraId="3302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8" w:type="dxa"/>
            <w:vAlign w:val="center"/>
          </w:tcPr>
          <w:p w14:paraId="3F269D0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或被委托入</w:t>
            </w:r>
          </w:p>
        </w:tc>
        <w:tc>
          <w:tcPr>
            <w:tcW w:w="1134" w:type="dxa"/>
            <w:vMerge w:val="continue"/>
            <w:vAlign w:val="center"/>
          </w:tcPr>
          <w:p w14:paraId="0DBF079C">
            <w:pPr>
              <w:snapToGrid w:val="0"/>
              <w:jc w:val="center"/>
              <w:rPr>
                <w:rFonts w:ascii="宋体" w:hAnsi="宋体" w:cs="宋体"/>
                <w:color w:val="000000" w:themeColor="text1"/>
                <w:sz w:val="24"/>
                <w14:textFill>
                  <w14:solidFill>
                    <w14:schemeClr w14:val="tx1"/>
                  </w14:solidFill>
                </w14:textFill>
              </w:rPr>
            </w:pPr>
          </w:p>
        </w:tc>
        <w:tc>
          <w:tcPr>
            <w:tcW w:w="1960" w:type="dxa"/>
            <w:vMerge w:val="continue"/>
            <w:vAlign w:val="center"/>
          </w:tcPr>
          <w:p w14:paraId="3CA4F775">
            <w:pPr>
              <w:snapToGrid w:val="0"/>
              <w:jc w:val="center"/>
              <w:rPr>
                <w:rFonts w:ascii="宋体" w:hAnsi="宋体" w:cs="宋体"/>
                <w:color w:val="000000" w:themeColor="text1"/>
                <w:sz w:val="24"/>
                <w14:textFill>
                  <w14:solidFill>
                    <w14:schemeClr w14:val="tx1"/>
                  </w14:solidFill>
                </w14:textFill>
              </w:rPr>
            </w:pPr>
          </w:p>
        </w:tc>
        <w:tc>
          <w:tcPr>
            <w:tcW w:w="1442" w:type="dxa"/>
            <w:vAlign w:val="center"/>
          </w:tcPr>
          <w:p w14:paraId="4D8B155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或被委托入</w:t>
            </w:r>
          </w:p>
        </w:tc>
        <w:tc>
          <w:tcPr>
            <w:tcW w:w="1134" w:type="dxa"/>
            <w:vMerge w:val="continue"/>
            <w:vAlign w:val="center"/>
          </w:tcPr>
          <w:p w14:paraId="4D0B3695">
            <w:pPr>
              <w:snapToGrid w:val="0"/>
              <w:jc w:val="center"/>
              <w:rPr>
                <w:rFonts w:ascii="宋体" w:hAnsi="宋体" w:cs="宋体"/>
                <w:color w:val="000000" w:themeColor="text1"/>
                <w:sz w:val="24"/>
                <w14:textFill>
                  <w14:solidFill>
                    <w14:schemeClr w14:val="tx1"/>
                  </w14:solidFill>
                </w14:textFill>
              </w:rPr>
            </w:pPr>
          </w:p>
        </w:tc>
        <w:tc>
          <w:tcPr>
            <w:tcW w:w="1982" w:type="dxa"/>
            <w:vMerge w:val="continue"/>
            <w:vAlign w:val="center"/>
          </w:tcPr>
          <w:p w14:paraId="54669912">
            <w:pPr>
              <w:snapToGrid w:val="0"/>
              <w:jc w:val="center"/>
              <w:rPr>
                <w:rFonts w:ascii="宋体" w:hAnsi="宋体" w:cs="宋体"/>
                <w:color w:val="000000" w:themeColor="text1"/>
                <w:sz w:val="24"/>
                <w14:textFill>
                  <w14:solidFill>
                    <w14:schemeClr w14:val="tx1"/>
                  </w14:solidFill>
                </w14:textFill>
              </w:rPr>
            </w:pPr>
          </w:p>
        </w:tc>
      </w:tr>
      <w:tr w14:paraId="291B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41D77EC3">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tc>
        <w:tc>
          <w:tcPr>
            <w:tcW w:w="3094" w:type="dxa"/>
            <w:gridSpan w:val="2"/>
            <w:vAlign w:val="center"/>
          </w:tcPr>
          <w:p w14:paraId="57108A82">
            <w:pPr>
              <w:snapToGrid w:val="0"/>
              <w:rPr>
                <w:rFonts w:ascii="宋体" w:hAnsi="宋体" w:cs="宋体"/>
                <w:color w:val="000000" w:themeColor="text1"/>
                <w:sz w:val="24"/>
                <w14:textFill>
                  <w14:solidFill>
                    <w14:schemeClr w14:val="tx1"/>
                  </w14:solidFill>
                </w14:textFill>
              </w:rPr>
            </w:pPr>
          </w:p>
        </w:tc>
        <w:tc>
          <w:tcPr>
            <w:tcW w:w="1442" w:type="dxa"/>
            <w:vAlign w:val="center"/>
          </w:tcPr>
          <w:p w14:paraId="37A83EF6">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tc>
        <w:tc>
          <w:tcPr>
            <w:tcW w:w="3116" w:type="dxa"/>
            <w:gridSpan w:val="2"/>
            <w:vAlign w:val="center"/>
          </w:tcPr>
          <w:p w14:paraId="5C4F4157">
            <w:pPr>
              <w:snapToGrid w:val="0"/>
              <w:rPr>
                <w:rFonts w:ascii="宋体" w:hAnsi="宋体" w:cs="宋体"/>
                <w:color w:val="000000" w:themeColor="text1"/>
                <w:sz w:val="24"/>
                <w14:textFill>
                  <w14:solidFill>
                    <w14:schemeClr w14:val="tx1"/>
                  </w14:solidFill>
                </w14:textFill>
              </w:rPr>
            </w:pPr>
          </w:p>
        </w:tc>
      </w:tr>
      <w:tr w14:paraId="2292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5124028E">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p>
        </w:tc>
        <w:tc>
          <w:tcPr>
            <w:tcW w:w="3094" w:type="dxa"/>
            <w:gridSpan w:val="2"/>
            <w:vAlign w:val="center"/>
          </w:tcPr>
          <w:p w14:paraId="2F788A01">
            <w:pPr>
              <w:snapToGrid w:val="0"/>
              <w:rPr>
                <w:rFonts w:ascii="宋体" w:hAnsi="宋体" w:cs="宋体"/>
                <w:color w:val="000000" w:themeColor="text1"/>
                <w:sz w:val="24"/>
                <w14:textFill>
                  <w14:solidFill>
                    <w14:schemeClr w14:val="tx1"/>
                  </w14:solidFill>
                </w14:textFill>
              </w:rPr>
            </w:pPr>
          </w:p>
        </w:tc>
        <w:tc>
          <w:tcPr>
            <w:tcW w:w="1442" w:type="dxa"/>
            <w:vAlign w:val="center"/>
          </w:tcPr>
          <w:p w14:paraId="161D0897">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p>
        </w:tc>
        <w:tc>
          <w:tcPr>
            <w:tcW w:w="3116" w:type="dxa"/>
            <w:gridSpan w:val="2"/>
            <w:vAlign w:val="center"/>
          </w:tcPr>
          <w:p w14:paraId="69986AF0">
            <w:pPr>
              <w:snapToGrid w:val="0"/>
              <w:rPr>
                <w:rFonts w:ascii="宋体" w:hAnsi="宋体" w:cs="宋体"/>
                <w:color w:val="000000" w:themeColor="text1"/>
                <w:sz w:val="24"/>
                <w14:textFill>
                  <w14:solidFill>
                    <w14:schemeClr w14:val="tx1"/>
                  </w14:solidFill>
                </w14:textFill>
              </w:rPr>
            </w:pPr>
          </w:p>
        </w:tc>
      </w:tr>
      <w:tr w14:paraId="6C3C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04596EA4">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p>
        </w:tc>
        <w:tc>
          <w:tcPr>
            <w:tcW w:w="3094" w:type="dxa"/>
            <w:gridSpan w:val="2"/>
            <w:vAlign w:val="center"/>
          </w:tcPr>
          <w:p w14:paraId="62D48DE6">
            <w:pPr>
              <w:snapToGrid w:val="0"/>
              <w:rPr>
                <w:rFonts w:ascii="宋体" w:hAnsi="宋体" w:cs="宋体"/>
                <w:color w:val="000000" w:themeColor="text1"/>
                <w:sz w:val="24"/>
                <w14:textFill>
                  <w14:solidFill>
                    <w14:schemeClr w14:val="tx1"/>
                  </w14:solidFill>
                </w14:textFill>
              </w:rPr>
            </w:pPr>
          </w:p>
        </w:tc>
        <w:tc>
          <w:tcPr>
            <w:tcW w:w="1442" w:type="dxa"/>
            <w:vAlign w:val="center"/>
          </w:tcPr>
          <w:p w14:paraId="0A7D2900">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p>
        </w:tc>
        <w:tc>
          <w:tcPr>
            <w:tcW w:w="3116" w:type="dxa"/>
            <w:gridSpan w:val="2"/>
            <w:vAlign w:val="center"/>
          </w:tcPr>
          <w:p w14:paraId="667DA82A">
            <w:pPr>
              <w:snapToGrid w:val="0"/>
              <w:rPr>
                <w:rFonts w:ascii="宋体" w:hAnsi="宋体" w:cs="宋体"/>
                <w:color w:val="000000" w:themeColor="text1"/>
                <w:sz w:val="24"/>
                <w14:textFill>
                  <w14:solidFill>
                    <w14:schemeClr w14:val="tx1"/>
                  </w14:solidFill>
                </w14:textFill>
              </w:rPr>
            </w:pPr>
          </w:p>
        </w:tc>
      </w:tr>
      <w:tr w14:paraId="0269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5437CE7D">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tc>
        <w:tc>
          <w:tcPr>
            <w:tcW w:w="3094" w:type="dxa"/>
            <w:gridSpan w:val="2"/>
            <w:vAlign w:val="center"/>
          </w:tcPr>
          <w:p w14:paraId="1B2A4F78">
            <w:pPr>
              <w:snapToGrid w:val="0"/>
              <w:rPr>
                <w:rFonts w:ascii="宋体" w:hAnsi="宋体" w:cs="宋体"/>
                <w:color w:val="000000" w:themeColor="text1"/>
                <w:sz w:val="24"/>
                <w14:textFill>
                  <w14:solidFill>
                    <w14:schemeClr w14:val="tx1"/>
                  </w14:solidFill>
                </w14:textFill>
              </w:rPr>
            </w:pPr>
          </w:p>
        </w:tc>
        <w:tc>
          <w:tcPr>
            <w:tcW w:w="1442" w:type="dxa"/>
            <w:vAlign w:val="center"/>
          </w:tcPr>
          <w:p w14:paraId="6BE5FEC0">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tc>
        <w:tc>
          <w:tcPr>
            <w:tcW w:w="3116" w:type="dxa"/>
            <w:gridSpan w:val="2"/>
            <w:vAlign w:val="center"/>
          </w:tcPr>
          <w:p w14:paraId="70F8667A">
            <w:pPr>
              <w:snapToGrid w:val="0"/>
              <w:rPr>
                <w:rFonts w:ascii="宋体" w:hAnsi="宋体" w:cs="宋体"/>
                <w:color w:val="000000" w:themeColor="text1"/>
                <w:sz w:val="24"/>
                <w14:textFill>
                  <w14:solidFill>
                    <w14:schemeClr w14:val="tx1"/>
                  </w14:solidFill>
                </w14:textFill>
              </w:rPr>
            </w:pPr>
          </w:p>
        </w:tc>
      </w:tr>
      <w:tr w14:paraId="57F4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110078C2">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3094" w:type="dxa"/>
            <w:gridSpan w:val="2"/>
            <w:vAlign w:val="center"/>
          </w:tcPr>
          <w:p w14:paraId="554AEFAD">
            <w:pPr>
              <w:snapToGrid w:val="0"/>
              <w:rPr>
                <w:rFonts w:ascii="宋体" w:hAnsi="宋体" w:cs="宋体"/>
                <w:color w:val="000000" w:themeColor="text1"/>
                <w:sz w:val="24"/>
                <w14:textFill>
                  <w14:solidFill>
                    <w14:schemeClr w14:val="tx1"/>
                  </w14:solidFill>
                </w14:textFill>
              </w:rPr>
            </w:pPr>
          </w:p>
        </w:tc>
        <w:tc>
          <w:tcPr>
            <w:tcW w:w="1442" w:type="dxa"/>
            <w:vAlign w:val="center"/>
          </w:tcPr>
          <w:p w14:paraId="04AD6D27">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3116" w:type="dxa"/>
            <w:gridSpan w:val="2"/>
            <w:vAlign w:val="center"/>
          </w:tcPr>
          <w:p w14:paraId="54172F03">
            <w:pPr>
              <w:snapToGrid w:val="0"/>
              <w:rPr>
                <w:rFonts w:ascii="宋体" w:hAnsi="宋体" w:cs="宋体"/>
                <w:color w:val="000000" w:themeColor="text1"/>
                <w:sz w:val="24"/>
                <w14:textFill>
                  <w14:solidFill>
                    <w14:schemeClr w14:val="tx1"/>
                  </w14:solidFill>
                </w14:textFill>
              </w:rPr>
            </w:pPr>
          </w:p>
        </w:tc>
      </w:tr>
      <w:tr w14:paraId="0C4E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53B52382">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3094" w:type="dxa"/>
            <w:gridSpan w:val="2"/>
            <w:vAlign w:val="center"/>
          </w:tcPr>
          <w:p w14:paraId="0B0D9119">
            <w:pPr>
              <w:snapToGrid w:val="0"/>
              <w:rPr>
                <w:rFonts w:ascii="宋体" w:hAnsi="宋体" w:cs="宋体"/>
                <w:color w:val="000000" w:themeColor="text1"/>
                <w:sz w:val="24"/>
                <w14:textFill>
                  <w14:solidFill>
                    <w14:schemeClr w14:val="tx1"/>
                  </w14:solidFill>
                </w14:textFill>
              </w:rPr>
            </w:pPr>
          </w:p>
        </w:tc>
        <w:tc>
          <w:tcPr>
            <w:tcW w:w="1442" w:type="dxa"/>
            <w:vAlign w:val="center"/>
          </w:tcPr>
          <w:p w14:paraId="5857812B">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3116" w:type="dxa"/>
            <w:gridSpan w:val="2"/>
            <w:vAlign w:val="center"/>
          </w:tcPr>
          <w:p w14:paraId="4957C00B">
            <w:pPr>
              <w:snapToGrid w:val="0"/>
              <w:rPr>
                <w:rFonts w:ascii="宋体" w:hAnsi="宋体" w:cs="宋体"/>
                <w:color w:val="000000" w:themeColor="text1"/>
                <w:sz w:val="24"/>
                <w14:textFill>
                  <w14:solidFill>
                    <w14:schemeClr w14:val="tx1"/>
                  </w14:solidFill>
                </w14:textFill>
              </w:rPr>
            </w:pPr>
          </w:p>
        </w:tc>
      </w:tr>
      <w:tr w14:paraId="2984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vAlign w:val="center"/>
          </w:tcPr>
          <w:p w14:paraId="7253179D">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p>
        </w:tc>
        <w:tc>
          <w:tcPr>
            <w:tcW w:w="3094" w:type="dxa"/>
            <w:gridSpan w:val="2"/>
            <w:vAlign w:val="center"/>
          </w:tcPr>
          <w:p w14:paraId="1E409607">
            <w:pPr>
              <w:snapToGrid w:val="0"/>
              <w:rPr>
                <w:rFonts w:ascii="宋体" w:hAnsi="宋体" w:cs="宋体"/>
                <w:color w:val="000000" w:themeColor="text1"/>
                <w:sz w:val="24"/>
                <w14:textFill>
                  <w14:solidFill>
                    <w14:schemeClr w14:val="tx1"/>
                  </w14:solidFill>
                </w14:textFill>
              </w:rPr>
            </w:pPr>
          </w:p>
        </w:tc>
        <w:tc>
          <w:tcPr>
            <w:tcW w:w="1442" w:type="dxa"/>
            <w:vAlign w:val="center"/>
          </w:tcPr>
          <w:p w14:paraId="76801A31">
            <w:pPr>
              <w:snapToGrid w:val="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p>
        </w:tc>
        <w:tc>
          <w:tcPr>
            <w:tcW w:w="3116" w:type="dxa"/>
            <w:gridSpan w:val="2"/>
            <w:vAlign w:val="center"/>
          </w:tcPr>
          <w:p w14:paraId="4D802802">
            <w:pPr>
              <w:snapToGrid w:val="0"/>
              <w:rPr>
                <w:rFonts w:ascii="宋体" w:hAnsi="宋体" w:cs="宋体"/>
                <w:color w:val="000000" w:themeColor="text1"/>
                <w:sz w:val="24"/>
                <w14:textFill>
                  <w14:solidFill>
                    <w14:schemeClr w14:val="tx1"/>
                  </w14:solidFill>
                </w14:textFill>
              </w:rPr>
            </w:pPr>
          </w:p>
        </w:tc>
      </w:tr>
      <w:tr w14:paraId="192F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2" w:type="dxa"/>
            <w:gridSpan w:val="3"/>
            <w:vAlign w:val="center"/>
          </w:tcPr>
          <w:p w14:paraId="4321BACE">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签约日期：       年    月   日</w:t>
            </w:r>
          </w:p>
        </w:tc>
        <w:tc>
          <w:tcPr>
            <w:tcW w:w="4558" w:type="dxa"/>
            <w:gridSpan w:val="3"/>
            <w:vAlign w:val="center"/>
          </w:tcPr>
          <w:p w14:paraId="3B207CED">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签约日期：       年   月   日</w:t>
            </w:r>
          </w:p>
        </w:tc>
      </w:tr>
    </w:tbl>
    <w:p w14:paraId="415EAC91">
      <w:pPr>
        <w:rPr>
          <w:rFonts w:ascii="宋体" w:hAnsi="宋体" w:cs="宋体"/>
          <w:b/>
          <w:color w:val="000000" w:themeColor="text1"/>
          <w:sz w:val="36"/>
          <w:szCs w:val="36"/>
          <w14:textFill>
            <w14:solidFill>
              <w14:schemeClr w14:val="tx1"/>
            </w14:solidFill>
          </w14:textFill>
        </w:rPr>
      </w:pPr>
    </w:p>
    <w:p w14:paraId="02BE80A6">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1687759D">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第五章　投标相关文件格式</w:t>
      </w:r>
      <w:bookmarkEnd w:id="91"/>
      <w:bookmarkEnd w:id="92"/>
      <w:bookmarkEnd w:id="93"/>
      <w:bookmarkStart w:id="94" w:name="_Toc47756041"/>
      <w:bookmarkStart w:id="95" w:name="_Toc45506740"/>
      <w:bookmarkStart w:id="96" w:name="_Toc15805942"/>
      <w:bookmarkStart w:id="97" w:name="_Toc15813259"/>
    </w:p>
    <w:p w14:paraId="69B575FB">
      <w:pPr>
        <w:spacing w:line="360" w:lineRule="auto"/>
        <w:rPr>
          <w:rFonts w:ascii="宋体" w:hAnsi="宋体" w:cs="宋体"/>
          <w:b/>
          <w:color w:val="000000" w:themeColor="text1"/>
          <w:sz w:val="32"/>
          <w:szCs w:val="28"/>
          <w14:textFill>
            <w14:solidFill>
              <w14:schemeClr w14:val="tx1"/>
            </w14:solidFill>
          </w14:textFill>
        </w:rPr>
      </w:pPr>
    </w:p>
    <w:p w14:paraId="5EDD81C9">
      <w:pPr>
        <w:spacing w:line="360" w:lineRule="auto"/>
        <w:jc w:val="center"/>
        <w:rPr>
          <w:rFonts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资格审查文件封面</w:t>
      </w:r>
    </w:p>
    <w:p w14:paraId="4B857E60">
      <w:pPr>
        <w:pStyle w:val="5"/>
        <w:ind w:firstLine="1664" w:firstLineChars="416"/>
        <w:rPr>
          <w:rFonts w:ascii="宋体" w:hAnsi="宋体" w:cs="宋体"/>
          <w:color w:val="000000" w:themeColor="text1"/>
          <w:sz w:val="40"/>
          <w:szCs w:val="21"/>
          <w14:textFill>
            <w14:solidFill>
              <w14:schemeClr w14:val="tx1"/>
            </w14:solidFill>
          </w14:textFill>
        </w:rPr>
      </w:pPr>
    </w:p>
    <w:p w14:paraId="6A32C975">
      <w:pPr>
        <w:pStyle w:val="5"/>
        <w:ind w:firstLine="1497" w:firstLineChars="416"/>
        <w:rPr>
          <w:rFonts w:ascii="宋体" w:hAnsi="宋体" w:cs="宋体"/>
          <w:color w:val="000000" w:themeColor="text1"/>
          <w:sz w:val="36"/>
          <w:szCs w:val="36"/>
          <w14:textFill>
            <w14:solidFill>
              <w14:schemeClr w14:val="tx1"/>
            </w14:solidFill>
          </w14:textFill>
        </w:rPr>
      </w:pPr>
    </w:p>
    <w:p w14:paraId="2804369F">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采购编号：</w:t>
      </w:r>
    </w:p>
    <w:p w14:paraId="6CF26C97">
      <w:pPr>
        <w:pStyle w:val="5"/>
        <w:ind w:firstLine="1497" w:firstLineChars="416"/>
        <w:rPr>
          <w:rFonts w:ascii="宋体" w:hAnsi="宋体" w:cs="宋体"/>
          <w:color w:val="000000" w:themeColor="text1"/>
          <w:sz w:val="36"/>
          <w:szCs w:val="36"/>
          <w14:textFill>
            <w14:solidFill>
              <w14:schemeClr w14:val="tx1"/>
            </w14:solidFill>
          </w14:textFill>
        </w:rPr>
      </w:pPr>
    </w:p>
    <w:p w14:paraId="44FF37A1">
      <w:pPr>
        <w:pStyle w:val="5"/>
        <w:ind w:firstLine="1497" w:firstLineChars="416"/>
        <w:rPr>
          <w:rFonts w:ascii="宋体" w:hAnsi="宋体" w:cs="宋体"/>
          <w:color w:val="000000" w:themeColor="text1"/>
          <w:sz w:val="36"/>
          <w:szCs w:val="36"/>
          <w14:textFill>
            <w14:solidFill>
              <w14:schemeClr w14:val="tx1"/>
            </w14:solidFill>
          </w14:textFill>
        </w:rPr>
      </w:pPr>
    </w:p>
    <w:p w14:paraId="55029058">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项目名称：               </w:t>
      </w:r>
    </w:p>
    <w:p w14:paraId="1406B618">
      <w:pPr>
        <w:pStyle w:val="5"/>
        <w:ind w:firstLine="1497" w:firstLineChars="416"/>
        <w:rPr>
          <w:rFonts w:ascii="宋体" w:hAnsi="宋体" w:cs="宋体"/>
          <w:color w:val="000000" w:themeColor="text1"/>
          <w:sz w:val="36"/>
          <w:szCs w:val="36"/>
          <w14:textFill>
            <w14:solidFill>
              <w14:schemeClr w14:val="tx1"/>
            </w14:solidFill>
          </w14:textFill>
        </w:rPr>
      </w:pPr>
    </w:p>
    <w:p w14:paraId="10A7795D">
      <w:pPr>
        <w:pStyle w:val="5"/>
        <w:ind w:firstLine="1497" w:firstLineChars="416"/>
        <w:rPr>
          <w:rFonts w:ascii="宋体" w:hAnsi="宋体" w:cs="宋体"/>
          <w:color w:val="000000" w:themeColor="text1"/>
          <w:sz w:val="36"/>
          <w:szCs w:val="36"/>
          <w14:textFill>
            <w14:solidFill>
              <w14:schemeClr w14:val="tx1"/>
            </w14:solidFill>
          </w14:textFill>
        </w:rPr>
      </w:pPr>
    </w:p>
    <w:p w14:paraId="7D2E4755">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投标文件名称：资格审查文件</w:t>
      </w:r>
    </w:p>
    <w:p w14:paraId="4D48CEFB">
      <w:pPr>
        <w:pStyle w:val="5"/>
        <w:ind w:firstLine="1497" w:firstLineChars="416"/>
        <w:rPr>
          <w:rFonts w:ascii="宋体" w:hAnsi="宋体" w:cs="宋体"/>
          <w:color w:val="000000" w:themeColor="text1"/>
          <w:sz w:val="36"/>
          <w:szCs w:val="36"/>
          <w14:textFill>
            <w14:solidFill>
              <w14:schemeClr w14:val="tx1"/>
            </w14:solidFill>
          </w14:textFill>
        </w:rPr>
      </w:pPr>
    </w:p>
    <w:p w14:paraId="4DB130F7">
      <w:pPr>
        <w:pStyle w:val="5"/>
        <w:ind w:firstLine="1497" w:firstLineChars="416"/>
        <w:rPr>
          <w:rFonts w:ascii="宋体" w:hAnsi="宋体" w:cs="宋体"/>
          <w:color w:val="000000" w:themeColor="text1"/>
          <w:sz w:val="36"/>
          <w:szCs w:val="36"/>
          <w14:textFill>
            <w14:solidFill>
              <w14:schemeClr w14:val="tx1"/>
            </w14:solidFill>
          </w14:textFill>
        </w:rPr>
      </w:pPr>
    </w:p>
    <w:p w14:paraId="343DCEE6">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投标人名称（CA签章）：</w:t>
      </w:r>
    </w:p>
    <w:p w14:paraId="55D8B7CB">
      <w:pPr>
        <w:pStyle w:val="5"/>
        <w:ind w:firstLine="1497" w:firstLineChars="416"/>
        <w:rPr>
          <w:rFonts w:ascii="宋体" w:hAnsi="宋体" w:cs="宋体"/>
          <w:color w:val="000000" w:themeColor="text1"/>
          <w:sz w:val="36"/>
          <w:szCs w:val="36"/>
          <w14:textFill>
            <w14:solidFill>
              <w14:schemeClr w14:val="tx1"/>
            </w14:solidFill>
          </w14:textFill>
        </w:rPr>
      </w:pPr>
    </w:p>
    <w:p w14:paraId="5E700080">
      <w:pPr>
        <w:pStyle w:val="5"/>
        <w:ind w:firstLine="0"/>
        <w:rPr>
          <w:rFonts w:ascii="宋体" w:hAnsi="宋体" w:cs="宋体"/>
          <w:color w:val="000000" w:themeColor="text1"/>
          <w:sz w:val="36"/>
          <w:szCs w:val="36"/>
          <w14:textFill>
            <w14:solidFill>
              <w14:schemeClr w14:val="tx1"/>
            </w14:solidFill>
          </w14:textFill>
        </w:rPr>
      </w:pPr>
    </w:p>
    <w:p w14:paraId="4AC4F23B">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投标人地址：</w:t>
      </w:r>
    </w:p>
    <w:p w14:paraId="0044CB9C">
      <w:pPr>
        <w:pStyle w:val="5"/>
        <w:ind w:firstLine="0"/>
        <w:rPr>
          <w:rFonts w:ascii="宋体" w:hAnsi="宋体" w:cs="宋体"/>
          <w:color w:val="000000" w:themeColor="text1"/>
          <w:sz w:val="40"/>
          <w:szCs w:val="21"/>
          <w14:textFill>
            <w14:solidFill>
              <w14:schemeClr w14:val="tx1"/>
            </w14:solidFill>
          </w14:textFill>
        </w:rPr>
      </w:pPr>
    </w:p>
    <w:p w14:paraId="49D27A75">
      <w:pPr>
        <w:pStyle w:val="5"/>
        <w:ind w:firstLine="0"/>
        <w:rPr>
          <w:rFonts w:ascii="宋体" w:hAnsi="宋体" w:cs="宋体"/>
          <w:color w:val="000000" w:themeColor="text1"/>
          <w:sz w:val="40"/>
          <w:szCs w:val="21"/>
          <w14:textFill>
            <w14:solidFill>
              <w14:schemeClr w14:val="tx1"/>
            </w14:solidFill>
          </w14:textFill>
        </w:rPr>
      </w:pPr>
    </w:p>
    <w:p w14:paraId="181978C1">
      <w:pPr>
        <w:pStyle w:val="5"/>
        <w:ind w:firstLine="1600" w:firstLineChars="400"/>
        <w:rPr>
          <w:rFonts w:ascii="宋体" w:hAnsi="宋体" w:cs="宋体"/>
          <w:color w:val="000000" w:themeColor="text1"/>
          <w:sz w:val="40"/>
          <w:szCs w:val="21"/>
          <w14:textFill>
            <w14:solidFill>
              <w14:schemeClr w14:val="tx1"/>
            </w14:solidFill>
          </w14:textFill>
        </w:rPr>
      </w:pPr>
    </w:p>
    <w:p w14:paraId="199E4C86">
      <w:pPr>
        <w:pStyle w:val="5"/>
        <w:ind w:firstLine="1497" w:firstLineChars="416"/>
        <w:jc w:val="center"/>
        <w:rPr>
          <w:rFonts w:ascii="宋体" w:hAnsi="宋体" w:cs="宋体"/>
          <w:color w:val="000000" w:themeColor="text1"/>
          <w:sz w:val="36"/>
          <w:szCs w:val="36"/>
          <w14:textFill>
            <w14:solidFill>
              <w14:schemeClr w14:val="tx1"/>
            </w14:solidFill>
          </w14:textFill>
        </w:rPr>
      </w:pPr>
    </w:p>
    <w:p w14:paraId="4E13C5FF">
      <w:pPr>
        <w:rPr>
          <w:rFonts w:ascii="宋体" w:hAnsi="宋体" w:cs="宋体"/>
          <w:b/>
          <w:bCs/>
          <w:color w:val="000000" w:themeColor="text1"/>
          <w:sz w:val="24"/>
          <w14:textFill>
            <w14:solidFill>
              <w14:schemeClr w14:val="tx1"/>
            </w14:solidFill>
          </w14:textFill>
        </w:rPr>
      </w:pPr>
      <w:bookmarkStart w:id="98" w:name="_Toc8668"/>
    </w:p>
    <w:p w14:paraId="39EBD850">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13D2D24F">
      <w:pPr>
        <w:jc w:val="center"/>
        <w:outlineLvl w:val="2"/>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一、资格审查文件格式</w:t>
      </w:r>
      <w:bookmarkEnd w:id="98"/>
    </w:p>
    <w:p w14:paraId="19F7151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1.1、公司有效营业执照</w:t>
      </w:r>
    </w:p>
    <w:p w14:paraId="67ED469D">
      <w:pPr>
        <w:pStyle w:val="5"/>
        <w:spacing w:line="360" w:lineRule="auto"/>
        <w:ind w:firstLine="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1.提供有效的营业执照复印件并加盖公章</w:t>
      </w:r>
      <w:r>
        <w:rPr>
          <w:rFonts w:hint="eastAsia" w:ascii="宋体" w:hAnsi="宋体" w:cs="宋体"/>
          <w:color w:val="000000" w:themeColor="text1"/>
          <w:sz w:val="24"/>
          <w:szCs w:val="24"/>
          <w:lang w:eastAsia="zh-CN"/>
          <w14:textFill>
            <w14:solidFill>
              <w14:schemeClr w14:val="tx1"/>
            </w14:solidFill>
          </w14:textFill>
        </w:rPr>
        <w:t>。</w:t>
      </w:r>
    </w:p>
    <w:p w14:paraId="2CCAE391">
      <w:pPr>
        <w:keepNext/>
        <w:keepLines/>
        <w:snapToGrid w:val="0"/>
        <w:jc w:val="left"/>
        <w:rPr>
          <w:rFonts w:ascii="宋体" w:hAnsi="宋体" w:cs="宋体"/>
          <w:b/>
          <w:bCs/>
          <w:color w:val="000000" w:themeColor="text1"/>
          <w:sz w:val="28"/>
          <w:szCs w:val="28"/>
          <w14:textFill>
            <w14:solidFill>
              <w14:schemeClr w14:val="tx1"/>
            </w14:solidFill>
          </w14:textFill>
        </w:rPr>
      </w:pPr>
    </w:p>
    <w:p w14:paraId="629F2B55">
      <w:pPr>
        <w:keepNext/>
        <w:keepLines/>
        <w:snapToGrid w:val="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1.2、授权委托书</w:t>
      </w:r>
    </w:p>
    <w:p w14:paraId="67EC8DEF">
      <w:pPr>
        <w:pStyle w:val="50"/>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（代理机构名称）</w:t>
      </w:r>
      <w:r>
        <w:rPr>
          <w:rFonts w:hint="eastAsia" w:ascii="宋体" w:hAnsi="宋体" w:cs="宋体"/>
          <w:color w:val="000000" w:themeColor="text1"/>
          <w:sz w:val="24"/>
          <w14:textFill>
            <w14:solidFill>
              <w14:schemeClr w14:val="tx1"/>
            </w14:solidFill>
          </w14:textFill>
        </w:rPr>
        <w:t>：</w:t>
      </w:r>
    </w:p>
    <w:p w14:paraId="75BB384D">
      <w:pPr>
        <w:pStyle w:val="50"/>
        <w:autoSpaceDE w:val="0"/>
        <w:autoSpaceDN w:val="0"/>
        <w:spacing w:line="44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负责人姓名）系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（投标人全称）的负责人，现授权委托本单位</w:t>
      </w:r>
      <w:r>
        <w:rPr>
          <w:rFonts w:hint="eastAsia" w:ascii="宋体" w:hAnsi="宋体" w:cs="宋体"/>
          <w:bCs/>
          <w:color w:val="000000" w:themeColor="text1"/>
          <w:sz w:val="24"/>
          <w14:textFill>
            <w14:solidFill>
              <w14:schemeClr w14:val="tx1"/>
            </w14:solidFill>
          </w14:textFill>
        </w:rPr>
        <w:t>在职职工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（姓名）以我方的名义参加就贵方组织的</w:t>
      </w:r>
      <w:r>
        <w:rPr>
          <w:rFonts w:hint="eastAsia" w:ascii="宋体" w:hAnsi="宋体" w:cs="宋体"/>
          <w:color w:val="000000" w:themeColor="text1"/>
          <w:sz w:val="24"/>
          <w:u w:val="single"/>
          <w14:textFill>
            <w14:solidFill>
              <w14:schemeClr w14:val="tx1"/>
            </w14:solidFill>
          </w14:textFill>
        </w:rPr>
        <w:t>（采购项目名称及标项）</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）项目的投标活动，并代表我方全权办理针对上述项目的投标、开标、评审、签约等具体事务和签署相关文件。</w:t>
      </w:r>
    </w:p>
    <w:p w14:paraId="07C81119">
      <w:pPr>
        <w:pStyle w:val="50"/>
        <w:autoSpaceDE w:val="0"/>
        <w:autoSpaceDN w:val="0"/>
        <w:spacing w:line="44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我方对委托代理人的签字或盖章事项负全部责任。</w:t>
      </w:r>
    </w:p>
    <w:p w14:paraId="40258B47">
      <w:pPr>
        <w:pStyle w:val="5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75EC3D21">
      <w:pPr>
        <w:pStyle w:val="5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委托代理人无转委托权，特此声明。</w:t>
      </w:r>
    </w:p>
    <w:p w14:paraId="19E54DF2">
      <w:pPr>
        <w:pStyle w:val="50"/>
        <w:spacing w:line="440" w:lineRule="exact"/>
        <w:ind w:firstLine="480"/>
        <w:rPr>
          <w:rFonts w:ascii="宋体" w:hAnsi="宋体" w:cs="宋体"/>
          <w:color w:val="000000" w:themeColor="text1"/>
          <w:sz w:val="24"/>
          <w14:textFill>
            <w14:solidFill>
              <w14:schemeClr w14:val="tx1"/>
            </w14:solidFill>
          </w14:textFill>
        </w:rPr>
      </w:pPr>
    </w:p>
    <w:p w14:paraId="3D249CF8">
      <w:pPr>
        <w:pStyle w:val="50"/>
        <w:spacing w:line="440" w:lineRule="exact"/>
        <w:ind w:firstLine="480"/>
        <w:rPr>
          <w:rFonts w:ascii="宋体" w:hAnsi="宋体" w:cs="宋体"/>
          <w:color w:val="000000" w:themeColor="text1"/>
          <w:sz w:val="24"/>
          <w14:textFill>
            <w14:solidFill>
              <w14:schemeClr w14:val="tx1"/>
            </w14:solidFill>
          </w14:textFill>
        </w:rPr>
      </w:pPr>
    </w:p>
    <w:p w14:paraId="6FBF00EF">
      <w:pPr>
        <w:pStyle w:val="50"/>
        <w:spacing w:line="440" w:lineRule="exact"/>
        <w:ind w:firstLine="3640" w:firstLineChars="1300"/>
        <w:rPr>
          <w:rFonts w:ascii="宋体" w:hAnsi="宋体" w:cs="宋体"/>
          <w:color w:val="000000" w:themeColor="text1"/>
          <w:spacing w:val="20"/>
          <w:sz w:val="24"/>
          <w14:textFill>
            <w14:solidFill>
              <w14:schemeClr w14:val="tx1"/>
            </w14:solidFill>
          </w14:textFill>
        </w:rPr>
      </w:pPr>
      <w:r>
        <w:rPr>
          <w:rFonts w:hint="eastAsia" w:ascii="宋体" w:hAnsi="宋体" w:cs="宋体"/>
          <w:bCs/>
          <w:color w:val="000000" w:themeColor="text1"/>
          <w:spacing w:val="20"/>
          <w:sz w:val="24"/>
          <w14:textFill>
            <w14:solidFill>
              <w14:schemeClr w14:val="tx1"/>
            </w14:solidFill>
          </w14:textFill>
        </w:rPr>
        <w:t>负责人</w:t>
      </w:r>
      <w:r>
        <w:rPr>
          <w:rFonts w:hint="eastAsia" w:ascii="宋体" w:hAnsi="宋体" w:cs="宋体"/>
          <w:color w:val="000000" w:themeColor="text1"/>
          <w:spacing w:val="20"/>
          <w:sz w:val="24"/>
          <w14:textFill>
            <w14:solidFill>
              <w14:schemeClr w14:val="tx1"/>
            </w14:solidFill>
          </w14:textFill>
        </w:rPr>
        <w:t>签字或盖章：</w:t>
      </w:r>
      <w:r>
        <w:rPr>
          <w:rFonts w:hint="eastAsia" w:ascii="宋体" w:hAnsi="宋体" w:cs="宋体"/>
          <w:color w:val="000000" w:themeColor="text1"/>
          <w:spacing w:val="20"/>
          <w:sz w:val="24"/>
          <w:u w:val="single"/>
          <w14:textFill>
            <w14:solidFill>
              <w14:schemeClr w14:val="tx1"/>
            </w14:solidFill>
          </w14:textFill>
        </w:rPr>
        <w:t xml:space="preserve">            </w:t>
      </w:r>
    </w:p>
    <w:p w14:paraId="59554E63">
      <w:pPr>
        <w:pStyle w:val="50"/>
        <w:spacing w:line="440" w:lineRule="exact"/>
        <w:ind w:firstLine="4480" w:firstLineChars="1600"/>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投标人盖章：</w:t>
      </w:r>
      <w:r>
        <w:rPr>
          <w:rFonts w:hint="eastAsia" w:ascii="宋体" w:hAnsi="宋体" w:cs="宋体"/>
          <w:color w:val="000000" w:themeColor="text1"/>
          <w:spacing w:val="20"/>
          <w:sz w:val="24"/>
          <w:u w:val="single"/>
          <w14:textFill>
            <w14:solidFill>
              <w14:schemeClr w14:val="tx1"/>
            </w14:solidFill>
          </w14:textFill>
        </w:rPr>
        <w:t xml:space="preserve">            </w:t>
      </w:r>
    </w:p>
    <w:p w14:paraId="17388B8F">
      <w:pPr>
        <w:pStyle w:val="50"/>
        <w:spacing w:line="440" w:lineRule="exact"/>
        <w:ind w:firstLine="4480" w:firstLineChars="1600"/>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日     期：</w:t>
      </w:r>
      <w:r>
        <w:rPr>
          <w:rFonts w:hint="eastAsia" w:ascii="宋体" w:hAnsi="宋体" w:cs="宋体"/>
          <w:color w:val="000000" w:themeColor="text1"/>
          <w:spacing w:val="20"/>
          <w:sz w:val="24"/>
          <w:u w:val="single"/>
          <w14:textFill>
            <w14:solidFill>
              <w14:schemeClr w14:val="tx1"/>
            </w14:solidFill>
          </w14:textFill>
        </w:rPr>
        <w:t xml:space="preserve">            </w:t>
      </w:r>
    </w:p>
    <w:p w14:paraId="62F3DF56">
      <w:pPr>
        <w:pStyle w:val="5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_____________________________________________________________________</w:t>
      </w:r>
    </w:p>
    <w:p w14:paraId="131D81EB">
      <w:pPr>
        <w:pStyle w:val="5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附：1、委托代理人工作单位：</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职务： </w:t>
      </w:r>
    </w:p>
    <w:p w14:paraId="3FB37D3F">
      <w:pPr>
        <w:pStyle w:val="5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身份证号码：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性别：　    </w:t>
      </w:r>
    </w:p>
    <w:p w14:paraId="07892F0A">
      <w:pPr>
        <w:pStyle w:val="50"/>
        <w:spacing w:line="360" w:lineRule="auto"/>
        <w:ind w:firstLine="420"/>
        <w:rPr>
          <w:rFonts w:ascii="宋体" w:hAnsi="宋体" w:cs="宋体"/>
          <w:b/>
          <w:color w:val="000000" w:themeColor="text1"/>
          <w:sz w:val="24"/>
          <w14:textFill>
            <w14:solidFill>
              <w14:schemeClr w14:val="tx1"/>
            </w14:solidFill>
          </w14:textFill>
        </w:rPr>
      </w:pPr>
    </w:p>
    <w:p w14:paraId="724ADC3B">
      <w:pPr>
        <w:pStyle w:val="5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1、投标人为法人企业的，其负责人为其法定代表人；投标人为其他组织的，其负责人为法律、行政法规规定代表单位行使职权的主要负责人；。</w:t>
      </w:r>
    </w:p>
    <w:p w14:paraId="0D2E0C4F">
      <w:pPr>
        <w:pStyle w:val="50"/>
        <w:spacing w:line="360" w:lineRule="auto"/>
        <w:ind w:firstLine="900" w:firstLineChars="3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2、委托人为上述条款中的负责人。</w:t>
      </w:r>
    </w:p>
    <w:p w14:paraId="34981E4B">
      <w:pPr>
        <w:pStyle w:val="50"/>
        <w:spacing w:line="360" w:lineRule="auto"/>
        <w:ind w:firstLine="900" w:firstLineChars="375"/>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3、本“授权委托书”需附负责人</w:t>
      </w:r>
      <w:r>
        <w:rPr>
          <w:rFonts w:hint="eastAsia" w:ascii="宋体" w:hAnsi="宋体" w:cs="宋体"/>
          <w:b/>
          <w:color w:val="000000" w:themeColor="text1"/>
          <w:sz w:val="24"/>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委托代理人身份证扫描件，如扫描件不清晰或错误的，后果由投标人自行承担。</w:t>
      </w:r>
    </w:p>
    <w:p w14:paraId="358CD827">
      <w:pPr>
        <w:pStyle w:val="50"/>
        <w:spacing w:line="360" w:lineRule="auto"/>
        <w:ind w:firstLine="904" w:firstLineChars="375"/>
        <w:rPr>
          <w:rFonts w:ascii="宋体" w:hAnsi="宋体" w:cs="宋体"/>
          <w:color w:val="000000" w:themeColor="text1"/>
          <w:sz w:val="3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14:paraId="263061C9">
      <w:pPr>
        <w:pStyle w:val="51"/>
        <w:spacing w:line="440" w:lineRule="exact"/>
        <w:ind w:firstLine="560" w:firstLineChars="200"/>
        <w:rPr>
          <w:rFonts w:hAnsi="宋体" w:cs="宋体"/>
          <w:bCs/>
          <w:color w:val="000000" w:themeColor="text1"/>
          <w:sz w:val="28"/>
          <w:szCs w:val="22"/>
          <w14:textFill>
            <w14:solidFill>
              <w14:schemeClr w14:val="tx1"/>
            </w14:solidFill>
          </w14:textFill>
        </w:rPr>
      </w:pPr>
    </w:p>
    <w:p w14:paraId="7ABF944A">
      <w:pPr>
        <w:pStyle w:val="51"/>
        <w:spacing w:line="44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负责人身份证件扫描件：</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E2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3C40B476">
            <w:pPr>
              <w:pStyle w:val="51"/>
              <w:spacing w:line="440" w:lineRule="exact"/>
              <w:rPr>
                <w:rFonts w:hAnsi="宋体" w:cs="宋体"/>
                <w:bCs/>
                <w:color w:val="000000" w:themeColor="text1"/>
                <w:sz w:val="22"/>
                <w:szCs w:val="22"/>
                <w14:textFill>
                  <w14:solidFill>
                    <w14:schemeClr w14:val="tx1"/>
                  </w14:solidFill>
                </w14:textFill>
              </w:rPr>
            </w:pPr>
            <w:r>
              <w:rPr>
                <w:rFonts w:hint="eastAsia" w:hAnsi="宋体" w:cs="宋体"/>
                <w:bCs/>
                <w:color w:val="000000" w:themeColor="text1"/>
                <w:sz w:val="22"/>
                <w:szCs w:val="22"/>
                <w14:textFill>
                  <w14:solidFill>
                    <w14:schemeClr w14:val="tx1"/>
                  </w14:solidFill>
                </w14:textFill>
              </w:rPr>
              <w:t>正面：                                 反面：</w:t>
            </w:r>
          </w:p>
          <w:p w14:paraId="752A4AE0">
            <w:pPr>
              <w:pStyle w:val="51"/>
              <w:spacing w:line="440" w:lineRule="exact"/>
              <w:rPr>
                <w:rFonts w:hAnsi="宋体" w:cs="宋体"/>
                <w:bCs/>
                <w:color w:val="000000" w:themeColor="text1"/>
                <w:sz w:val="22"/>
                <w:szCs w:val="22"/>
                <w14:textFill>
                  <w14:solidFill>
                    <w14:schemeClr w14:val="tx1"/>
                  </w14:solidFill>
                </w14:textFill>
              </w:rPr>
            </w:pPr>
          </w:p>
        </w:tc>
      </w:tr>
    </w:tbl>
    <w:p w14:paraId="0676A760">
      <w:pPr>
        <w:pStyle w:val="51"/>
        <w:spacing w:line="440" w:lineRule="exact"/>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委托代理人身份证件扫描件：</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2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18190A16">
            <w:pPr>
              <w:pStyle w:val="51"/>
              <w:spacing w:line="440" w:lineRule="exact"/>
              <w:rPr>
                <w:rFonts w:hAnsi="宋体" w:cs="宋体"/>
                <w:bCs/>
                <w:color w:val="000000" w:themeColor="text1"/>
                <w:sz w:val="22"/>
                <w:szCs w:val="22"/>
                <w14:textFill>
                  <w14:solidFill>
                    <w14:schemeClr w14:val="tx1"/>
                  </w14:solidFill>
                </w14:textFill>
              </w:rPr>
            </w:pPr>
            <w:r>
              <w:rPr>
                <w:rFonts w:hint="eastAsia" w:hAnsi="宋体" w:cs="宋体"/>
                <w:bCs/>
                <w:color w:val="000000" w:themeColor="text1"/>
                <w:sz w:val="22"/>
                <w:szCs w:val="22"/>
                <w14:textFill>
                  <w14:solidFill>
                    <w14:schemeClr w14:val="tx1"/>
                  </w14:solidFill>
                </w14:textFill>
              </w:rPr>
              <w:t>正面：                                 反面：</w:t>
            </w:r>
          </w:p>
          <w:p w14:paraId="0CB32B26">
            <w:pPr>
              <w:pStyle w:val="51"/>
              <w:spacing w:line="440" w:lineRule="exact"/>
              <w:rPr>
                <w:rFonts w:hAnsi="宋体" w:cs="宋体"/>
                <w:bCs/>
                <w:color w:val="000000" w:themeColor="text1"/>
                <w:sz w:val="22"/>
                <w:szCs w:val="22"/>
                <w14:textFill>
                  <w14:solidFill>
                    <w14:schemeClr w14:val="tx1"/>
                  </w14:solidFill>
                </w14:textFill>
              </w:rPr>
            </w:pPr>
          </w:p>
        </w:tc>
      </w:tr>
    </w:tbl>
    <w:p w14:paraId="77F47ABC">
      <w:pPr>
        <w:pStyle w:val="51"/>
        <w:spacing w:line="360" w:lineRule="auto"/>
        <w:ind w:firstLine="5120" w:firstLineChars="1600"/>
        <w:rPr>
          <w:rFonts w:hAnsi="宋体" w:cs="宋体"/>
          <w:color w:val="000000" w:themeColor="text1"/>
          <w:spacing w:val="20"/>
          <w:sz w:val="28"/>
          <w:szCs w:val="22"/>
          <w14:textFill>
            <w14:solidFill>
              <w14:schemeClr w14:val="tx1"/>
            </w14:solidFill>
          </w14:textFill>
        </w:rPr>
      </w:pPr>
    </w:p>
    <w:p w14:paraId="00502EAE">
      <w:pPr>
        <w:keepNext/>
        <w:keepLines/>
        <w:snapToGrid w:val="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br w:type="page"/>
      </w:r>
      <w:bookmarkStart w:id="99" w:name="_Toc530551879"/>
      <w:bookmarkStart w:id="100" w:name="_Toc493956054"/>
      <w:bookmarkStart w:id="101" w:name="_Toc29626"/>
      <w:bookmarkStart w:id="102" w:name="_Toc531359045"/>
      <w:r>
        <w:rPr>
          <w:rFonts w:hint="eastAsia" w:ascii="宋体" w:hAnsi="宋体" w:cs="宋体"/>
          <w:b/>
          <w:bCs/>
          <w:color w:val="000000" w:themeColor="text1"/>
          <w:sz w:val="24"/>
          <w14:textFill>
            <w14:solidFill>
              <w14:schemeClr w14:val="tx1"/>
            </w14:solidFill>
          </w14:textFill>
        </w:rPr>
        <w:t xml:space="preserve">1.3 </w:t>
      </w:r>
      <w:bookmarkEnd w:id="99"/>
      <w:bookmarkEnd w:id="100"/>
      <w:bookmarkEnd w:id="101"/>
      <w:bookmarkEnd w:id="102"/>
      <w:bookmarkStart w:id="103" w:name="_Toc530551880"/>
      <w:bookmarkStart w:id="104" w:name="_Toc493956055"/>
      <w:r>
        <w:rPr>
          <w:rFonts w:hint="eastAsia" w:ascii="宋体" w:hAnsi="宋体" w:cs="宋体"/>
          <w:b/>
          <w:bCs/>
          <w:color w:val="000000" w:themeColor="text1"/>
          <w:sz w:val="24"/>
          <w14:textFill>
            <w14:solidFill>
              <w14:schemeClr w14:val="tx1"/>
            </w14:solidFill>
          </w14:textFill>
        </w:rPr>
        <w:t>具有良好的财务会计制度、依法缴纳税收和社会保障资金的承诺函格式</w:t>
      </w:r>
    </w:p>
    <w:p w14:paraId="75914449">
      <w:pPr>
        <w:pStyle w:val="5"/>
        <w:spacing w:line="360" w:lineRule="auto"/>
        <w:ind w:firstLine="0"/>
        <w:rPr>
          <w:rFonts w:ascii="宋体" w:hAnsi="宋体" w:cs="宋体"/>
          <w:color w:val="000000" w:themeColor="text1"/>
          <w:sz w:val="22"/>
          <w:szCs w:val="21"/>
          <w14:textFill>
            <w14:solidFill>
              <w14:schemeClr w14:val="tx1"/>
            </w14:solidFill>
          </w14:textFill>
        </w:rPr>
      </w:pPr>
    </w:p>
    <w:p w14:paraId="5177E20E">
      <w:pPr>
        <w:pStyle w:val="5"/>
        <w:ind w:left="630" w:leftChars="300" w:right="630" w:rightChars="300" w:firstLine="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具有良好的财务会计制度、依法缴纳税收和社会保障资金的承诺函</w:t>
      </w:r>
    </w:p>
    <w:p w14:paraId="5A61FBEA">
      <w:pPr>
        <w:pStyle w:val="40"/>
        <w:spacing w:line="360" w:lineRule="auto"/>
        <w:rPr>
          <w:rFonts w:ascii="宋体" w:hAnsi="宋体" w:cs="宋体"/>
          <w:color w:val="000000" w:themeColor="text1"/>
          <w:sz w:val="24"/>
          <w:u w:val="single"/>
          <w14:textFill>
            <w14:solidFill>
              <w14:schemeClr w14:val="tx1"/>
            </w14:solidFill>
          </w14:textFill>
        </w:rPr>
      </w:pPr>
    </w:p>
    <w:p w14:paraId="263E6D08">
      <w:pPr>
        <w:pStyle w:val="40"/>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（采购人名称）   </w:t>
      </w:r>
      <w:r>
        <w:rPr>
          <w:rFonts w:hint="eastAsia" w:ascii="宋体" w:hAnsi="宋体" w:cs="宋体"/>
          <w:color w:val="000000" w:themeColor="text1"/>
          <w:spacing w:val="6"/>
          <w:sz w:val="24"/>
          <w14:textFill>
            <w14:solidFill>
              <w14:schemeClr w14:val="tx1"/>
            </w14:solidFill>
          </w14:textFill>
        </w:rPr>
        <w:t>：</w:t>
      </w:r>
    </w:p>
    <w:p w14:paraId="43AB1E6C">
      <w:pPr>
        <w:pStyle w:val="5"/>
        <w:spacing w:line="360" w:lineRule="auto"/>
        <w:ind w:firstLine="504"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我方参与的</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iCs/>
          <w:color w:val="000000" w:themeColor="text1"/>
          <w:spacing w:val="6"/>
          <w:sz w:val="24"/>
          <w:u w:val="single"/>
          <w14:textFill>
            <w14:solidFill>
              <w14:schemeClr w14:val="tx1"/>
            </w14:solidFill>
          </w14:textFill>
        </w:rPr>
        <w:t>（项目名称）（项目编号）</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14:paraId="05E8F2B3">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p>
    <w:p w14:paraId="46961F1C">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特此承诺！</w:t>
      </w:r>
    </w:p>
    <w:p w14:paraId="0FF4ADE5">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p>
    <w:p w14:paraId="36325D85">
      <w:pPr>
        <w:pStyle w:val="50"/>
        <w:wordWrap w:val="0"/>
        <w:spacing w:line="360" w:lineRule="auto"/>
        <w:ind w:firstLine="480"/>
        <w:jc w:val="right"/>
        <w:rPr>
          <w:rFonts w:ascii="宋体" w:hAns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供应商盖章：</w:t>
      </w:r>
      <w:r>
        <w:rPr>
          <w:rFonts w:hint="eastAsia" w:ascii="宋体" w:hAnsi="宋体" w:cs="宋体"/>
          <w:color w:val="000000" w:themeColor="text1"/>
          <w:sz w:val="24"/>
          <w:szCs w:val="21"/>
          <w:u w:val="single"/>
          <w14:textFill>
            <w14:solidFill>
              <w14:schemeClr w14:val="tx1"/>
            </w14:solidFill>
          </w14:textFill>
        </w:rPr>
        <w:t xml:space="preserve">                </w:t>
      </w:r>
    </w:p>
    <w:p w14:paraId="578BAEA4">
      <w:pPr>
        <w:pStyle w:val="50"/>
        <w:wordWrap w:val="0"/>
        <w:spacing w:line="360" w:lineRule="auto"/>
        <w:ind w:firstLine="480"/>
        <w:jc w:val="right"/>
        <w:rPr>
          <w:rFonts w:ascii="宋体" w:hAns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日      期：</w:t>
      </w:r>
      <w:r>
        <w:rPr>
          <w:rFonts w:hint="eastAsia" w:ascii="宋体" w:hAnsi="宋体" w:cs="宋体"/>
          <w:color w:val="000000" w:themeColor="text1"/>
          <w:sz w:val="24"/>
          <w:szCs w:val="21"/>
          <w:u w:val="single"/>
          <w14:textFill>
            <w14:solidFill>
              <w14:schemeClr w14:val="tx1"/>
            </w14:solidFill>
          </w14:textFill>
        </w:rPr>
        <w:t xml:space="preserve">                </w:t>
      </w:r>
    </w:p>
    <w:p w14:paraId="1D0C8872">
      <w:pPr>
        <w:pStyle w:val="63"/>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4D63B97C">
      <w:pPr>
        <w:pStyle w:val="63"/>
        <w:spacing w:line="360" w:lineRule="auto"/>
        <w:ind w:firstLine="480" w:firstLineChars="200"/>
        <w:rPr>
          <w:rFonts w:ascii="宋体" w:hAnsi="宋体" w:cs="宋体"/>
          <w:color w:val="000000" w:themeColor="text1"/>
          <w:sz w:val="24"/>
          <w:szCs w:val="24"/>
          <w14:textFill>
            <w14:solidFill>
              <w14:schemeClr w14:val="tx1"/>
            </w14:solidFill>
          </w14:textFill>
        </w:rPr>
      </w:pPr>
    </w:p>
    <w:p w14:paraId="3754EC30">
      <w:pPr>
        <w:keepNext/>
        <w:keepLines/>
        <w:snapToGrid w:val="0"/>
        <w:jc w:val="left"/>
        <w:rPr>
          <w:rFonts w:ascii="宋体" w:hAnsi="宋体" w:cs="宋体"/>
          <w:b/>
          <w:bCs/>
          <w:color w:val="000000" w:themeColor="text1"/>
          <w:sz w:val="24"/>
          <w14:textFill>
            <w14:solidFill>
              <w14:schemeClr w14:val="tx1"/>
            </w14:solidFill>
          </w14:textFill>
        </w:rPr>
      </w:pPr>
      <w:bookmarkStart w:id="105" w:name="_Toc531359046"/>
      <w:bookmarkStart w:id="106" w:name="_Toc31473"/>
      <w:r>
        <w:rPr>
          <w:rFonts w:hint="eastAsia" w:ascii="宋体" w:hAnsi="宋体" w:cs="宋体"/>
          <w:b/>
          <w:bCs/>
          <w:color w:val="000000" w:themeColor="text1"/>
          <w:sz w:val="24"/>
          <w14:textFill>
            <w14:solidFill>
              <w14:schemeClr w14:val="tx1"/>
            </w14:solidFill>
          </w14:textFill>
        </w:rPr>
        <w:t xml:space="preserve">1.4 </w:t>
      </w:r>
      <w:bookmarkEnd w:id="103"/>
      <w:bookmarkEnd w:id="104"/>
      <w:bookmarkEnd w:id="105"/>
      <w:bookmarkEnd w:id="106"/>
      <w:r>
        <w:rPr>
          <w:rFonts w:hint="eastAsia" w:ascii="宋体" w:hAnsi="宋体" w:cs="宋体"/>
          <w:b/>
          <w:bCs/>
          <w:color w:val="000000" w:themeColor="text1"/>
          <w:sz w:val="24"/>
          <w14:textFill>
            <w14:solidFill>
              <w14:schemeClr w14:val="tx1"/>
            </w14:solidFill>
          </w14:textFill>
        </w:rPr>
        <w:t>具有履行合同所必需的设备和专业技术能力承诺函格式</w:t>
      </w:r>
    </w:p>
    <w:p w14:paraId="2928DEBD">
      <w:pPr>
        <w:pStyle w:val="5"/>
        <w:ind w:firstLine="0"/>
        <w:rPr>
          <w:rFonts w:ascii="宋体" w:hAnsi="宋体" w:cs="宋体"/>
          <w:color w:val="000000" w:themeColor="text1"/>
          <w:sz w:val="24"/>
          <w:szCs w:val="24"/>
          <w14:textFill>
            <w14:solidFill>
              <w14:schemeClr w14:val="tx1"/>
            </w14:solidFill>
          </w14:textFill>
        </w:rPr>
      </w:pPr>
    </w:p>
    <w:p w14:paraId="0D290122">
      <w:pPr>
        <w:pStyle w:val="5"/>
        <w:spacing w:line="360" w:lineRule="auto"/>
        <w:ind w:firstLine="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具有履行合同所必需设备和专业技术能力的承诺函</w:t>
      </w:r>
    </w:p>
    <w:p w14:paraId="66A70473">
      <w:pPr>
        <w:snapToGrid w:val="0"/>
        <w:spacing w:line="360" w:lineRule="auto"/>
        <w:rPr>
          <w:rFonts w:ascii="宋体" w:hAnsi="宋体" w:cs="宋体"/>
          <w:color w:val="000000" w:themeColor="text1"/>
          <w14:textFill>
            <w14:solidFill>
              <w14:schemeClr w14:val="tx1"/>
            </w14:solidFill>
          </w14:textFill>
        </w:rPr>
      </w:pPr>
    </w:p>
    <w:p w14:paraId="7E6A4A86">
      <w:pPr>
        <w:pStyle w:val="40"/>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（采购人名称）    </w:t>
      </w:r>
      <w:r>
        <w:rPr>
          <w:rFonts w:hint="eastAsia" w:ascii="宋体" w:hAnsi="宋体" w:cs="宋体"/>
          <w:color w:val="000000" w:themeColor="text1"/>
          <w:spacing w:val="6"/>
          <w:sz w:val="24"/>
          <w14:textFill>
            <w14:solidFill>
              <w14:schemeClr w14:val="tx1"/>
            </w14:solidFill>
          </w14:textFill>
        </w:rPr>
        <w:t>：</w:t>
      </w:r>
    </w:p>
    <w:p w14:paraId="52DD16AC">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我方参与的</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i/>
          <w:color w:val="000000" w:themeColor="text1"/>
          <w:spacing w:val="6"/>
          <w:sz w:val="24"/>
          <w:u w:val="single"/>
          <w14:textFill>
            <w14:solidFill>
              <w14:schemeClr w14:val="tx1"/>
            </w14:solidFill>
          </w14:textFill>
        </w:rPr>
        <w:t xml:space="preserve"> </w:t>
      </w:r>
      <w:r>
        <w:rPr>
          <w:rFonts w:hint="eastAsia" w:ascii="宋体" w:hAnsi="宋体" w:cs="宋体"/>
          <w:iCs/>
          <w:color w:val="000000" w:themeColor="text1"/>
          <w:spacing w:val="6"/>
          <w:sz w:val="24"/>
          <w:u w:val="single"/>
          <w14:textFill>
            <w14:solidFill>
              <w14:schemeClr w14:val="tx1"/>
            </w14:solidFill>
          </w14:textFill>
        </w:rPr>
        <w:t>（项目名称）（项目编号）</w:t>
      </w:r>
      <w:r>
        <w:rPr>
          <w:rFonts w:hint="eastAsia" w:ascii="宋体" w:hAnsi="宋体" w:cs="宋体"/>
          <w:i/>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14:paraId="2F99CCDD">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p>
    <w:p w14:paraId="07CC24C4">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特此承诺！</w:t>
      </w:r>
    </w:p>
    <w:p w14:paraId="086A45EF">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p>
    <w:p w14:paraId="54050E98">
      <w:pPr>
        <w:pStyle w:val="50"/>
        <w:wordWrap w:val="0"/>
        <w:spacing w:line="360" w:lineRule="auto"/>
        <w:ind w:firstLine="480"/>
        <w:jc w:val="right"/>
        <w:rPr>
          <w:rFonts w:ascii="宋体" w:hAns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供应商盖章：</w:t>
      </w:r>
      <w:r>
        <w:rPr>
          <w:rFonts w:hint="eastAsia" w:ascii="宋体" w:hAnsi="宋体" w:cs="宋体"/>
          <w:color w:val="000000" w:themeColor="text1"/>
          <w:sz w:val="24"/>
          <w:szCs w:val="21"/>
          <w:u w:val="single"/>
          <w14:textFill>
            <w14:solidFill>
              <w14:schemeClr w14:val="tx1"/>
            </w14:solidFill>
          </w14:textFill>
        </w:rPr>
        <w:t xml:space="preserve">                </w:t>
      </w:r>
    </w:p>
    <w:p w14:paraId="79889B93">
      <w:pPr>
        <w:pStyle w:val="63"/>
        <w:spacing w:line="360" w:lineRule="auto"/>
        <w:ind w:firstLine="7440" w:firstLineChars="3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日      期：</w:t>
      </w:r>
      <w:r>
        <w:rPr>
          <w:rFonts w:hint="eastAsia" w:ascii="宋体" w:hAnsi="宋体" w:cs="宋体"/>
          <w:color w:val="000000" w:themeColor="text1"/>
          <w:sz w:val="24"/>
          <w:szCs w:val="21"/>
          <w:u w:val="single"/>
          <w14:textFill>
            <w14:solidFill>
              <w14:schemeClr w14:val="tx1"/>
            </w14:solidFill>
          </w14:textFill>
        </w:rPr>
        <w:t xml:space="preserve">                </w:t>
      </w:r>
    </w:p>
    <w:p w14:paraId="21AF11C5">
      <w:pPr>
        <w:rPr>
          <w:rFonts w:ascii="宋体" w:hAnsi="宋体" w:cs="宋体"/>
          <w:b/>
          <w:bCs/>
          <w:color w:val="000000" w:themeColor="text1"/>
          <w:sz w:val="24"/>
          <w:szCs w:val="28"/>
          <w14:textFill>
            <w14:solidFill>
              <w14:schemeClr w14:val="tx1"/>
            </w14:solidFill>
          </w14:textFill>
        </w:rPr>
      </w:pPr>
      <w:r>
        <w:rPr>
          <w:rFonts w:hint="eastAsia" w:ascii="宋体" w:hAnsi="宋体" w:cs="宋体"/>
          <w:color w:val="000000" w:themeColor="text1"/>
          <w:spacing w:val="11"/>
          <w:sz w:val="24"/>
          <w:szCs w:val="28"/>
          <w14:textFill>
            <w14:solidFill>
              <w14:schemeClr w14:val="tx1"/>
            </w14:solidFill>
          </w14:textFill>
        </w:rPr>
        <w:br w:type="page"/>
      </w:r>
    </w:p>
    <w:p w14:paraId="7663A7FB">
      <w:pPr>
        <w:pStyle w:val="64"/>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1.5供应商资格声明</w:t>
      </w:r>
    </w:p>
    <w:p w14:paraId="3A325F28">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（一）名称及概况：</w:t>
      </w:r>
    </w:p>
    <w:p w14:paraId="24B74B66">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1．企业名称：__________________________________________</w:t>
      </w:r>
    </w:p>
    <w:p w14:paraId="2EEB6018">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银行开户名称：__________________________________________</w:t>
      </w:r>
    </w:p>
    <w:p w14:paraId="34E6E985">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开户银行：__________________________________________</w:t>
      </w:r>
    </w:p>
    <w:p w14:paraId="41E2A5AA">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帐    号：__________________________________________</w:t>
      </w:r>
    </w:p>
    <w:p w14:paraId="77BFD362">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企业详细地址：__________________________________________</w:t>
      </w:r>
    </w:p>
    <w:p w14:paraId="1858008F">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    真：__________________________________________</w:t>
      </w:r>
    </w:p>
    <w:p w14:paraId="68734711">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    话：__________________________________________</w:t>
      </w:r>
    </w:p>
    <w:p w14:paraId="38DC3152">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2．法定代表人姓名：__________________________________________</w:t>
      </w:r>
    </w:p>
    <w:p w14:paraId="7B9D8220">
      <w:pPr>
        <w:pStyle w:val="65"/>
        <w:spacing w:line="360" w:lineRule="auto"/>
        <w:ind w:left="420" w:left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3．项目联系人：姓名___________职务___________电话_______________</w:t>
      </w:r>
    </w:p>
    <w:p w14:paraId="08A8821C">
      <w:pPr>
        <w:pStyle w:val="65"/>
        <w:spacing w:line="360" w:lineRule="auto"/>
        <w:ind w:left="420" w:left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手机_______________________电子信箱_____________________________</w:t>
      </w:r>
    </w:p>
    <w:p w14:paraId="004D754A">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4．注册地址：__________________________________________</w:t>
      </w:r>
    </w:p>
    <w:p w14:paraId="037A008A">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5．注册资金：_____________________________万元</w:t>
      </w:r>
    </w:p>
    <w:p w14:paraId="2E57B83D">
      <w:pPr>
        <w:pStyle w:val="65"/>
        <w:spacing w:line="360" w:lineRule="auto"/>
        <w:ind w:firstLine="73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自有资金：_____________________________万元</w:t>
      </w:r>
    </w:p>
    <w:p w14:paraId="07817B08">
      <w:pPr>
        <w:pStyle w:val="65"/>
        <w:spacing w:line="360" w:lineRule="auto"/>
        <w:ind w:firstLine="73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企业人数:_____________人</w:t>
      </w:r>
    </w:p>
    <w:p w14:paraId="71EE195F">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6．企业性质：__________________________________________</w:t>
      </w:r>
    </w:p>
    <w:p w14:paraId="345185E5">
      <w:pPr>
        <w:pStyle w:val="65"/>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7．主要经营地点__________________________________________</w:t>
      </w:r>
    </w:p>
    <w:p w14:paraId="3C71A6C1">
      <w:pPr>
        <w:pStyle w:val="65"/>
        <w:pBdr>
          <w:bottom w:val="single" w:color="auto" w:sz="12" w:space="1"/>
        </w:pBdr>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如有派出机构，请列出名称及详细通讯地址如下：</w:t>
      </w:r>
    </w:p>
    <w:p w14:paraId="1BBB0B50">
      <w:pPr>
        <w:pStyle w:val="6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兹证明上述声明是真实、正确的，并提供了全部能提供的资料和数据，我们同意遵照贵方要求出示有关证明文件。</w:t>
      </w:r>
    </w:p>
    <w:p w14:paraId="2D3D9718">
      <w:pPr>
        <w:pStyle w:val="6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供应商名称________________________________</w:t>
      </w:r>
    </w:p>
    <w:p w14:paraId="21B6FC04">
      <w:pPr>
        <w:pStyle w:val="6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签字人职务和部门__________________________</w:t>
      </w:r>
    </w:p>
    <w:p w14:paraId="68F58DD2">
      <w:pPr>
        <w:pStyle w:val="6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签字人姓名（签字或盖章）________________________</w:t>
      </w:r>
    </w:p>
    <w:p w14:paraId="495284A7">
      <w:pPr>
        <w:pStyle w:val="65"/>
        <w:spacing w:line="360"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签字日期__________________________________</w:t>
      </w:r>
    </w:p>
    <w:p w14:paraId="1216E773">
      <w:pPr>
        <w:keepNext/>
        <w:keepLines/>
        <w:snapToGrid w:val="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07" w:name="_Toc531359049"/>
      <w:bookmarkStart w:id="108" w:name="_Toc530551882"/>
      <w:bookmarkStart w:id="109" w:name="_Toc10413"/>
      <w:r>
        <w:rPr>
          <w:rFonts w:hint="eastAsia" w:ascii="宋体" w:hAnsi="宋体" w:cs="宋体"/>
          <w:b/>
          <w:bCs/>
          <w:color w:val="000000" w:themeColor="text1"/>
          <w:sz w:val="24"/>
          <w14:textFill>
            <w14:solidFill>
              <w14:schemeClr w14:val="tx1"/>
            </w14:solidFill>
          </w14:textFill>
        </w:rPr>
        <w:t>1.6 无重大违法记录声明书</w:t>
      </w:r>
      <w:bookmarkEnd w:id="107"/>
      <w:bookmarkEnd w:id="108"/>
      <w:r>
        <w:rPr>
          <w:rFonts w:hint="eastAsia" w:ascii="宋体" w:hAnsi="宋体" w:cs="宋体"/>
          <w:b/>
          <w:bCs/>
          <w:color w:val="000000" w:themeColor="text1"/>
          <w:sz w:val="24"/>
          <w14:textFill>
            <w14:solidFill>
              <w14:schemeClr w14:val="tx1"/>
            </w14:solidFill>
          </w14:textFill>
        </w:rPr>
        <w:t>格式</w:t>
      </w:r>
      <w:bookmarkEnd w:id="109"/>
    </w:p>
    <w:p w14:paraId="61AB05FB">
      <w:pPr>
        <w:pStyle w:val="5"/>
        <w:ind w:firstLine="0"/>
        <w:rPr>
          <w:rFonts w:ascii="宋体" w:hAnsi="宋体" w:cs="宋体"/>
          <w:color w:val="000000" w:themeColor="text1"/>
          <w:sz w:val="24"/>
          <w:szCs w:val="24"/>
          <w14:textFill>
            <w14:solidFill>
              <w14:schemeClr w14:val="tx1"/>
            </w14:solidFill>
          </w14:textFill>
        </w:rPr>
      </w:pPr>
    </w:p>
    <w:p w14:paraId="58E420C8">
      <w:pPr>
        <w:pStyle w:val="5"/>
        <w:spacing w:line="360" w:lineRule="auto"/>
        <w:ind w:firstLine="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无重大违法记录声明书</w:t>
      </w:r>
    </w:p>
    <w:p w14:paraId="3B773F77">
      <w:pPr>
        <w:pStyle w:val="40"/>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pacing w:val="6"/>
          <w:sz w:val="24"/>
          <w14:textFill>
            <w14:solidFill>
              <w14:schemeClr w14:val="tx1"/>
            </w14:solidFill>
          </w14:textFill>
        </w:rPr>
        <w:t>：</w:t>
      </w:r>
    </w:p>
    <w:p w14:paraId="4AC84608">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我方参与的</w:t>
      </w:r>
      <w:r>
        <w:rPr>
          <w:rFonts w:hint="eastAsia" w:ascii="宋体" w:hAnsi="宋体" w:cs="宋体"/>
          <w:color w:val="000000" w:themeColor="text1"/>
          <w:spacing w:val="6"/>
          <w:sz w:val="24"/>
          <w:u w:val="single"/>
          <w14:textFill>
            <w14:solidFill>
              <w14:schemeClr w14:val="tx1"/>
            </w14:solidFill>
          </w14:textFill>
        </w:rPr>
        <w:t xml:space="preserve">     （项目名称）（项目编号）（标项）    </w:t>
      </w:r>
      <w:r>
        <w:rPr>
          <w:rFonts w:hint="eastAsia" w:ascii="宋体" w:hAnsi="宋体" w:cs="宋体"/>
          <w:color w:val="000000" w:themeColor="text1"/>
          <w:spacing w:val="6"/>
          <w:sz w:val="24"/>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138728">
      <w:pPr>
        <w:pStyle w:val="40"/>
        <w:spacing w:line="360" w:lineRule="auto"/>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ab/>
      </w:r>
      <w:r>
        <w:rPr>
          <w:rFonts w:hint="eastAsia" w:ascii="宋体" w:hAnsi="宋体" w:cs="宋体"/>
          <w:color w:val="000000" w:themeColor="text1"/>
          <w:spacing w:val="6"/>
          <w:sz w:val="24"/>
          <w14:textFill>
            <w14:solidFill>
              <w14:schemeClr w14:val="tx1"/>
            </w14:solidFill>
          </w14:textFill>
        </w:rPr>
        <w:t>特此声明。</w:t>
      </w:r>
      <w:bookmarkStart w:id="110" w:name="_Toc523398458"/>
      <w:bookmarkStart w:id="111" w:name="_Toc531359051"/>
      <w:bookmarkStart w:id="112" w:name="_Toc500333505"/>
    </w:p>
    <w:p w14:paraId="2A8AEFB2">
      <w:pPr>
        <w:pStyle w:val="40"/>
        <w:spacing w:line="360" w:lineRule="auto"/>
        <w:rPr>
          <w:rFonts w:ascii="宋体" w:hAnsi="宋体" w:cs="宋体"/>
          <w:color w:val="000000" w:themeColor="text1"/>
          <w:spacing w:val="6"/>
          <w:sz w:val="24"/>
          <w14:textFill>
            <w14:solidFill>
              <w14:schemeClr w14:val="tx1"/>
            </w14:solidFill>
          </w14:textFill>
        </w:rPr>
      </w:pPr>
    </w:p>
    <w:p w14:paraId="0684E3FD">
      <w:pPr>
        <w:pStyle w:val="40"/>
        <w:spacing w:line="360" w:lineRule="auto"/>
        <w:ind w:right="140"/>
        <w:jc w:val="left"/>
        <w:rPr>
          <w:rFonts w:ascii="宋体" w:hAnsi="宋体" w:cs="宋体"/>
          <w:color w:val="000000" w:themeColor="text1"/>
          <w:spacing w:val="20"/>
          <w:sz w:val="24"/>
          <w14:textFill>
            <w14:solidFill>
              <w14:schemeClr w14:val="tx1"/>
            </w14:solidFill>
          </w14:textFill>
        </w:rPr>
      </w:pPr>
    </w:p>
    <w:bookmarkEnd w:id="110"/>
    <w:bookmarkEnd w:id="111"/>
    <w:bookmarkEnd w:id="112"/>
    <w:p w14:paraId="2CC4041C">
      <w:pPr>
        <w:spacing w:line="360" w:lineRule="auto"/>
        <w:ind w:firstLine="1800" w:firstLineChars="750"/>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pacing w:val="20"/>
          <w:sz w:val="24"/>
          <w14:textFill>
            <w14:solidFill>
              <w14:schemeClr w14:val="tx1"/>
            </w14:solidFill>
          </w14:textFill>
        </w:rPr>
        <w:t>（或授权委托人）签字或盖章:</w:t>
      </w:r>
      <w:r>
        <w:rPr>
          <w:rFonts w:hint="eastAsia" w:ascii="宋体" w:hAnsi="宋体" w:cs="宋体"/>
          <w:color w:val="000000" w:themeColor="text1"/>
          <w:spacing w:val="20"/>
          <w:sz w:val="24"/>
          <w:u w:val="single"/>
          <w14:textFill>
            <w14:solidFill>
              <w14:schemeClr w14:val="tx1"/>
            </w14:solidFill>
          </w14:textFill>
        </w:rPr>
        <w:t xml:space="preserve">            </w:t>
      </w:r>
    </w:p>
    <w:p w14:paraId="493AEC1D">
      <w:pPr>
        <w:spacing w:line="360" w:lineRule="auto"/>
        <w:ind w:firstLine="560" w:firstLineChars="200"/>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供应商盖章:</w:t>
      </w:r>
      <w:r>
        <w:rPr>
          <w:rFonts w:hint="eastAsia" w:ascii="宋体" w:hAnsi="宋体" w:cs="宋体"/>
          <w:color w:val="000000" w:themeColor="text1"/>
          <w:spacing w:val="20"/>
          <w:sz w:val="24"/>
          <w:u w:val="single"/>
          <w14:textFill>
            <w14:solidFill>
              <w14:schemeClr w14:val="tx1"/>
            </w14:solidFill>
          </w14:textFill>
        </w:rPr>
        <w:t xml:space="preserve">            </w:t>
      </w:r>
    </w:p>
    <w:p w14:paraId="6D89E5EA">
      <w:pPr>
        <w:pStyle w:val="50"/>
        <w:wordWrap w:val="0"/>
        <w:spacing w:line="360" w:lineRule="auto"/>
        <w:ind w:firstLine="480"/>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14:textFill>
            <w14:solidFill>
              <w14:schemeClr w14:val="tx1"/>
            </w14:solidFill>
          </w14:textFill>
        </w:rPr>
        <w:t xml:space="preserve">            </w:t>
      </w:r>
    </w:p>
    <w:p w14:paraId="45CE4C00">
      <w:pPr>
        <w:spacing w:line="360" w:lineRule="auto"/>
        <w:ind w:firstLine="4578" w:firstLineChars="1900"/>
        <w:rPr>
          <w:rFonts w:ascii="宋体" w:hAnsi="宋体" w:cs="宋体"/>
          <w:b/>
          <w:bCs/>
          <w:color w:val="000000" w:themeColor="text1"/>
          <w:sz w:val="24"/>
          <w14:textFill>
            <w14:solidFill>
              <w14:schemeClr w14:val="tx1"/>
            </w14:solidFill>
          </w14:textFill>
        </w:rPr>
      </w:pPr>
    </w:p>
    <w:p w14:paraId="347B742E">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14:paraId="6CF37288">
      <w:pPr>
        <w:pStyle w:val="3"/>
        <w:spacing w:line="449" w:lineRule="exact"/>
        <w:ind w:right="138"/>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1.7.1 </w:t>
      </w:r>
      <w:bookmarkStart w:id="113" w:name="_bookmark1"/>
      <w:bookmarkEnd w:id="113"/>
      <w:r>
        <w:rPr>
          <w:rFonts w:hint="eastAsia" w:ascii="宋体" w:hAnsi="宋体" w:eastAsia="宋体" w:cs="宋体"/>
          <w:color w:val="000000" w:themeColor="text1"/>
          <w:sz w:val="24"/>
          <w14:textFill>
            <w14:solidFill>
              <w14:schemeClr w14:val="tx1"/>
            </w14:solidFill>
          </w14:textFill>
        </w:rPr>
        <w:t>中小企业声明函（工程、服务）</w:t>
      </w:r>
    </w:p>
    <w:p w14:paraId="7AE008EE">
      <w:pPr>
        <w:spacing w:before="2"/>
        <w:rPr>
          <w:rFonts w:ascii="宋体" w:hAnsi="宋体" w:cs="宋体"/>
          <w:b/>
          <w:bCs/>
          <w:color w:val="000000" w:themeColor="text1"/>
          <w:sz w:val="44"/>
          <w:szCs w:val="44"/>
          <w14:textFill>
            <w14:solidFill>
              <w14:schemeClr w14:val="tx1"/>
            </w14:solidFill>
          </w14:textFill>
        </w:rPr>
      </w:pPr>
    </w:p>
    <w:p w14:paraId="5AB7AEB2">
      <w:pPr>
        <w:spacing w:line="360" w:lineRule="auto"/>
        <w:ind w:firstLine="720" w:firstLineChars="3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本公司（联合体）郑重声明，根据《政府采购促进中小企业发展管理办法》（财库﹝2020﹞46 号）的规定，本公司（联合体）参加</w:t>
      </w:r>
      <w:r>
        <w:rPr>
          <w:rFonts w:hint="eastAsia" w:cs="宋体"/>
          <w:color w:val="000000" w:themeColor="text1"/>
          <w:sz w:val="24"/>
          <w:u w:val="single"/>
          <w14:textFill>
            <w14:solidFill>
              <w14:schemeClr w14:val="tx1"/>
            </w14:solidFill>
          </w14:textFill>
        </w:rPr>
        <w:t>（组织实施机构）</w:t>
      </w:r>
      <w:r>
        <w:rPr>
          <w:rFonts w:hint="eastAsia" w:cs="宋体"/>
          <w:color w:val="000000" w:themeColor="text1"/>
          <w:sz w:val="24"/>
          <w14:textFill>
            <w14:solidFill>
              <w14:schemeClr w14:val="tx1"/>
            </w14:solidFill>
          </w14:textFill>
        </w:rPr>
        <w:t>的</w:t>
      </w:r>
      <w:r>
        <w:rPr>
          <w:rFonts w:hint="eastAsia" w:cs="宋体"/>
          <w:color w:val="000000" w:themeColor="text1"/>
          <w:sz w:val="24"/>
          <w:u w:val="single"/>
          <w14:textFill>
            <w14:solidFill>
              <w14:schemeClr w14:val="tx1"/>
            </w14:solidFill>
          </w14:textFill>
        </w:rPr>
        <w:t>（电子卖场征集项目名称）</w:t>
      </w:r>
      <w:r>
        <w:rPr>
          <w:rFonts w:hint="eastAsia"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263E8CD">
      <w:pPr>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1. </w:t>
      </w:r>
      <w:r>
        <w:rPr>
          <w:rFonts w:hint="eastAsia" w:cs="宋体"/>
          <w:color w:val="000000" w:themeColor="text1"/>
          <w:sz w:val="24"/>
          <w:u w:val="single"/>
          <w14:textFill>
            <w14:solidFill>
              <w14:schemeClr w14:val="tx1"/>
            </w14:solidFill>
          </w14:textFill>
        </w:rPr>
        <w:t>（标的名称）</w:t>
      </w:r>
      <w:r>
        <w:rPr>
          <w:rFonts w:hint="eastAsia" w:cs="宋体"/>
          <w:color w:val="000000" w:themeColor="text1"/>
          <w:sz w:val="24"/>
          <w14:textFill>
            <w14:solidFill>
              <w14:schemeClr w14:val="tx1"/>
            </w14:solidFill>
          </w14:textFill>
        </w:rPr>
        <w:t>，属于</w:t>
      </w:r>
      <w:r>
        <w:rPr>
          <w:rFonts w:hint="eastAsia" w:cs="宋体"/>
          <w:color w:val="000000" w:themeColor="text1"/>
          <w:sz w:val="24"/>
          <w:u w:val="single"/>
          <w14:textFill>
            <w14:solidFill>
              <w14:schemeClr w14:val="tx1"/>
            </w14:solidFill>
          </w14:textFill>
        </w:rPr>
        <w:t>（采购文件中明确的所属行业）</w:t>
      </w:r>
      <w:r>
        <w:rPr>
          <w:rFonts w:hint="eastAsia" w:cs="宋体"/>
          <w:color w:val="000000" w:themeColor="text1"/>
          <w:sz w:val="24"/>
          <w14:textFill>
            <w14:solidFill>
              <w14:schemeClr w14:val="tx1"/>
            </w14:solidFill>
          </w14:textFill>
        </w:rPr>
        <w:t>； 承建（承接）企业为</w:t>
      </w:r>
      <w:r>
        <w:rPr>
          <w:rFonts w:hint="eastAsia" w:cs="宋体"/>
          <w:color w:val="000000" w:themeColor="text1"/>
          <w:sz w:val="24"/>
          <w:u w:val="single"/>
          <w14:textFill>
            <w14:solidFill>
              <w14:schemeClr w14:val="tx1"/>
            </w14:solidFill>
          </w14:textFill>
        </w:rPr>
        <w:t>（企业名称）</w:t>
      </w:r>
      <w:r>
        <w:rPr>
          <w:rFonts w:hint="eastAsia" w:cs="宋体"/>
          <w:color w:val="000000" w:themeColor="text1"/>
          <w:sz w:val="24"/>
          <w14:textFill>
            <w14:solidFill>
              <w14:schemeClr w14:val="tx1"/>
            </w14:solidFill>
          </w14:textFill>
        </w:rPr>
        <w:t>，从业人员</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人，营业收入为</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ab/>
      </w:r>
      <w:r>
        <w:rPr>
          <w:rFonts w:hint="eastAsia" w:cs="宋体"/>
          <w:color w:val="000000" w:themeColor="text1"/>
          <w:sz w:val="24"/>
          <w14:textFill>
            <w14:solidFill>
              <w14:schemeClr w14:val="tx1"/>
            </w14:solidFill>
          </w14:textFill>
        </w:rPr>
        <w:t>万元，资产总额为</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万元，属于</w:t>
      </w:r>
      <w:r>
        <w:rPr>
          <w:rFonts w:hint="eastAsia" w:cs="宋体"/>
          <w:color w:val="000000" w:themeColor="text1"/>
          <w:sz w:val="24"/>
          <w:u w:val="single"/>
          <w14:textFill>
            <w14:solidFill>
              <w14:schemeClr w14:val="tx1"/>
            </w14:solidFill>
          </w14:textFill>
        </w:rPr>
        <w:t>（中型企业、小型企业、微型企业）</w:t>
      </w:r>
      <w:r>
        <w:rPr>
          <w:rFonts w:hint="eastAsia" w:cs="宋体"/>
          <w:color w:val="000000" w:themeColor="text1"/>
          <w:sz w:val="24"/>
          <w14:textFill>
            <w14:solidFill>
              <w14:schemeClr w14:val="tx1"/>
            </w14:solidFill>
          </w14:textFill>
        </w:rPr>
        <w:t>；</w:t>
      </w:r>
    </w:p>
    <w:p w14:paraId="5956D7A1">
      <w:pPr>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2. </w:t>
      </w:r>
      <w:r>
        <w:rPr>
          <w:rFonts w:hint="eastAsia" w:cs="宋体"/>
          <w:color w:val="000000" w:themeColor="text1"/>
          <w:sz w:val="24"/>
          <w:u w:val="single"/>
          <w14:textFill>
            <w14:solidFill>
              <w14:schemeClr w14:val="tx1"/>
            </w14:solidFill>
          </w14:textFill>
        </w:rPr>
        <w:t>（标的名称）</w:t>
      </w:r>
      <w:r>
        <w:rPr>
          <w:rFonts w:hint="eastAsia" w:cs="宋体"/>
          <w:color w:val="000000" w:themeColor="text1"/>
          <w:sz w:val="24"/>
          <w14:textFill>
            <w14:solidFill>
              <w14:schemeClr w14:val="tx1"/>
            </w14:solidFill>
          </w14:textFill>
        </w:rPr>
        <w:t>，属于</w:t>
      </w:r>
      <w:r>
        <w:rPr>
          <w:rFonts w:hint="eastAsia" w:cs="宋体"/>
          <w:color w:val="000000" w:themeColor="text1"/>
          <w:sz w:val="24"/>
          <w:u w:val="single"/>
          <w14:textFill>
            <w14:solidFill>
              <w14:schemeClr w14:val="tx1"/>
            </w14:solidFill>
          </w14:textFill>
        </w:rPr>
        <w:t>（采购文件中明确的所属行业）</w:t>
      </w:r>
      <w:r>
        <w:rPr>
          <w:rFonts w:hint="eastAsia" w:cs="宋体"/>
          <w:color w:val="000000" w:themeColor="text1"/>
          <w:sz w:val="24"/>
          <w14:textFill>
            <w14:solidFill>
              <w14:schemeClr w14:val="tx1"/>
            </w14:solidFill>
          </w14:textFill>
        </w:rPr>
        <w:t>； 承建（承接）企业为</w:t>
      </w:r>
      <w:r>
        <w:rPr>
          <w:rFonts w:hint="eastAsia" w:cs="宋体"/>
          <w:color w:val="000000" w:themeColor="text1"/>
          <w:sz w:val="24"/>
          <w:u w:val="single"/>
          <w14:textFill>
            <w14:solidFill>
              <w14:schemeClr w14:val="tx1"/>
            </w14:solidFill>
          </w14:textFill>
        </w:rPr>
        <w:t>（企业名称）</w:t>
      </w:r>
      <w:r>
        <w:rPr>
          <w:rFonts w:hint="eastAsia" w:cs="宋体"/>
          <w:color w:val="000000" w:themeColor="text1"/>
          <w:sz w:val="24"/>
          <w14:textFill>
            <w14:solidFill>
              <w14:schemeClr w14:val="tx1"/>
            </w14:solidFill>
          </w14:textFill>
        </w:rPr>
        <w:t>，从业人员</w:t>
      </w:r>
      <w:r>
        <w:rPr>
          <w:rFonts w:hint="eastAsia" w:cs="宋体"/>
          <w:color w:val="000000" w:themeColor="text1"/>
          <w:sz w:val="24"/>
          <w:u w:val="single"/>
          <w14:textFill>
            <w14:solidFill>
              <w14:schemeClr w14:val="tx1"/>
            </w14:solidFill>
          </w14:textFill>
        </w:rPr>
        <w:tab/>
      </w:r>
      <w:r>
        <w:rPr>
          <w:rFonts w:hint="eastAsia" w:cs="宋体"/>
          <w:color w:val="000000" w:themeColor="text1"/>
          <w:sz w:val="24"/>
          <w14:textFill>
            <w14:solidFill>
              <w14:schemeClr w14:val="tx1"/>
            </w14:solidFill>
          </w14:textFill>
        </w:rPr>
        <w:t>人，营业收入为</w:t>
      </w:r>
      <w:r>
        <w:rPr>
          <w:rFonts w:hint="eastAsia" w:cs="宋体"/>
          <w:color w:val="000000" w:themeColor="text1"/>
          <w:sz w:val="24"/>
          <w:u w:val="single"/>
          <w14:textFill>
            <w14:solidFill>
              <w14:schemeClr w14:val="tx1"/>
            </w14:solidFill>
          </w14:textFill>
        </w:rPr>
        <w:tab/>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万元，资产总额为</w:t>
      </w:r>
      <w:r>
        <w:rPr>
          <w:rFonts w:hint="eastAsia" w:cs="宋体"/>
          <w:color w:val="000000" w:themeColor="text1"/>
          <w:sz w:val="24"/>
          <w:u w:val="single"/>
          <w14:textFill>
            <w14:solidFill>
              <w14:schemeClr w14:val="tx1"/>
            </w14:solidFill>
          </w14:textFill>
        </w:rPr>
        <w:tab/>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万元，属于</w:t>
      </w:r>
      <w:r>
        <w:rPr>
          <w:rFonts w:hint="eastAsia" w:cs="宋体"/>
          <w:color w:val="000000" w:themeColor="text1"/>
          <w:sz w:val="24"/>
          <w:u w:val="single"/>
          <w14:textFill>
            <w14:solidFill>
              <w14:schemeClr w14:val="tx1"/>
            </w14:solidFill>
          </w14:textFill>
        </w:rPr>
        <w:t>（中型企业、 小型企业、微型企业）</w:t>
      </w:r>
      <w:r>
        <w:rPr>
          <w:rFonts w:hint="eastAsia" w:cs="宋体"/>
          <w:color w:val="000000" w:themeColor="text1"/>
          <w:sz w:val="24"/>
          <w14:textFill>
            <w14:solidFill>
              <w14:schemeClr w14:val="tx1"/>
            </w14:solidFill>
          </w14:textFill>
        </w:rPr>
        <w:t>；</w:t>
      </w:r>
    </w:p>
    <w:p w14:paraId="645BC516">
      <w:pPr>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p>
    <w:p w14:paraId="674B630C">
      <w:pPr>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B25F254">
      <w:pPr>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本企业对上述声明内容的真实性负责。如有虚假，将依法承担相应责任。</w:t>
      </w:r>
    </w:p>
    <w:p w14:paraId="59EF5362">
      <w:pPr>
        <w:spacing w:line="360" w:lineRule="auto"/>
        <w:ind w:firstLine="480" w:firstLineChars="200"/>
        <w:jc w:val="left"/>
        <w:rPr>
          <w:rFonts w:cs="宋体"/>
          <w:color w:val="000000" w:themeColor="text1"/>
          <w:sz w:val="24"/>
          <w14:textFill>
            <w14:solidFill>
              <w14:schemeClr w14:val="tx1"/>
            </w14:solidFill>
          </w14:textFill>
        </w:rPr>
      </w:pPr>
    </w:p>
    <w:p w14:paraId="587D19F7">
      <w:pPr>
        <w:spacing w:line="360" w:lineRule="auto"/>
        <w:ind w:firstLine="4080" w:firstLineChars="17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企业名称（盖章）： </w:t>
      </w:r>
    </w:p>
    <w:p w14:paraId="09D3F2FC">
      <w:pPr>
        <w:spacing w:line="360" w:lineRule="auto"/>
        <w:ind w:firstLine="4560" w:firstLineChars="19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日       期：</w:t>
      </w:r>
      <w:bookmarkStart w:id="114" w:name="_bookmark0"/>
      <w:bookmarkEnd w:id="114"/>
      <w:r>
        <w:rPr>
          <w:rFonts w:hint="eastAsia" w:cs="宋体"/>
          <w:color w:val="000000" w:themeColor="text1"/>
          <w:sz w:val="24"/>
          <w14:textFill>
            <w14:solidFill>
              <w14:schemeClr w14:val="tx1"/>
            </w14:solidFill>
          </w14:textFill>
        </w:rPr>
        <w:t xml:space="preserve"> </w:t>
      </w:r>
    </w:p>
    <w:p w14:paraId="4A824F36">
      <w:pPr>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p>
    <w:p w14:paraId="6C28849A">
      <w:pPr>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p>
    <w:p w14:paraId="4CC0AC18">
      <w:pPr>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p>
    <w:p w14:paraId="45A323B7">
      <w:pPr>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注：</w:t>
      </w:r>
    </w:p>
    <w:p w14:paraId="2DD3B72B">
      <w:pPr>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1.从业人员、营业收入、资产总额填报上一年度数据，无上一年度数据的新成立企业可不填报。</w:t>
      </w:r>
    </w:p>
    <w:p w14:paraId="010F050E">
      <w:pPr>
        <w:spacing w:line="360" w:lineRule="auto"/>
        <w:ind w:firstLine="422" w:firstLineChars="200"/>
        <w:jc w:val="left"/>
        <w:outlineLvl w:val="2"/>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2.上表信息填写不全的，不得享受小微企业价格扣除政策。</w:t>
      </w:r>
    </w:p>
    <w:p w14:paraId="56AAE6A7">
      <w:pPr>
        <w:rPr>
          <w:rFonts w:ascii="宋体" w:hAnsi="宋体" w:cs="宋体"/>
          <w:b/>
          <w:bCs/>
          <w:color w:val="000000" w:themeColor="text1"/>
          <w:sz w:val="22"/>
          <w:szCs w:val="22"/>
          <w14:textFill>
            <w14:solidFill>
              <w14:schemeClr w14:val="tx1"/>
            </w14:solidFill>
          </w14:textFill>
        </w:rPr>
      </w:pPr>
    </w:p>
    <w:p w14:paraId="55DF3014">
      <w:pPr>
        <w:rPr>
          <w:rFonts w:ascii="宋体" w:hAnsi="宋体" w:cs="宋体"/>
          <w:b/>
          <w:bCs/>
          <w:color w:val="000000" w:themeColor="text1"/>
          <w:sz w:val="22"/>
          <w:szCs w:val="22"/>
          <w14:textFill>
            <w14:solidFill>
              <w14:schemeClr w14:val="tx1"/>
            </w14:solidFill>
          </w14:textFill>
        </w:rPr>
      </w:pPr>
    </w:p>
    <w:p w14:paraId="4B32FD07">
      <w:pPr>
        <w:rPr>
          <w:rFonts w:ascii="宋体" w:hAnsi="宋体" w:cs="宋体"/>
          <w:b/>
          <w:bCs/>
          <w:color w:val="000000" w:themeColor="text1"/>
          <w:sz w:val="22"/>
          <w:szCs w:val="22"/>
          <w14:textFill>
            <w14:solidFill>
              <w14:schemeClr w14:val="tx1"/>
            </w14:solidFill>
          </w14:textFill>
        </w:rPr>
      </w:pPr>
    </w:p>
    <w:p w14:paraId="7783F471">
      <w:pPr>
        <w:rPr>
          <w:rFonts w:ascii="宋体" w:hAnsi="宋体" w:cs="宋体"/>
          <w:b/>
          <w:bCs/>
          <w:color w:val="000000" w:themeColor="text1"/>
          <w:sz w:val="22"/>
          <w:szCs w:val="22"/>
          <w14:textFill>
            <w14:solidFill>
              <w14:schemeClr w14:val="tx1"/>
            </w14:solidFill>
          </w14:textFill>
        </w:rPr>
      </w:pPr>
    </w:p>
    <w:p w14:paraId="6D3B41EC">
      <w:pPr>
        <w:rPr>
          <w:rFonts w:ascii="宋体" w:hAnsi="宋体" w:cs="宋体"/>
          <w:b/>
          <w:bCs/>
          <w:color w:val="000000" w:themeColor="text1"/>
          <w:sz w:val="22"/>
          <w:szCs w:val="22"/>
          <w14:textFill>
            <w14:solidFill>
              <w14:schemeClr w14:val="tx1"/>
            </w14:solidFill>
          </w14:textFill>
        </w:rPr>
      </w:pPr>
    </w:p>
    <w:p w14:paraId="0CC2E4D1">
      <w:pPr>
        <w:rPr>
          <w:rFonts w:ascii="宋体" w:hAnsi="宋体" w:cs="宋体"/>
          <w:b/>
          <w:bCs/>
          <w:color w:val="000000" w:themeColor="text1"/>
          <w:sz w:val="22"/>
          <w:szCs w:val="22"/>
          <w14:textFill>
            <w14:solidFill>
              <w14:schemeClr w14:val="tx1"/>
            </w14:solidFill>
          </w14:textFill>
        </w:rPr>
      </w:pPr>
    </w:p>
    <w:p w14:paraId="7D898BD7">
      <w:pPr>
        <w:rPr>
          <w:rFonts w:ascii="宋体" w:hAnsi="宋体" w:cs="宋体"/>
          <w:b/>
          <w:bCs/>
          <w:color w:val="000000" w:themeColor="text1"/>
          <w:sz w:val="22"/>
          <w:szCs w:val="22"/>
          <w14:textFill>
            <w14:solidFill>
              <w14:schemeClr w14:val="tx1"/>
            </w14:solidFill>
          </w14:textFill>
        </w:rPr>
      </w:pPr>
    </w:p>
    <w:p w14:paraId="6F6B6CC0">
      <w:pPr>
        <w:jc w:val="center"/>
        <w:outlineLvl w:val="3"/>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1.7.2残疾人福利性单位声明函格式</w:t>
      </w:r>
    </w:p>
    <w:p w14:paraId="28B27512">
      <w:pPr>
        <w:pStyle w:val="93"/>
        <w:spacing w:line="360" w:lineRule="auto"/>
        <w:jc w:val="center"/>
        <w:outlineLvl w:val="4"/>
        <w:rPr>
          <w:b/>
          <w:color w:val="000000" w:themeColor="text1"/>
          <w:spacing w:val="6"/>
          <w:sz w:val="22"/>
          <w:szCs w:val="22"/>
          <w14:textFill>
            <w14:solidFill>
              <w14:schemeClr w14:val="tx1"/>
            </w14:solidFill>
          </w14:textFill>
        </w:rPr>
      </w:pPr>
      <w:r>
        <w:rPr>
          <w:rFonts w:hint="eastAsia"/>
          <w:b/>
          <w:color w:val="000000" w:themeColor="text1"/>
          <w:spacing w:val="6"/>
          <w:sz w:val="22"/>
          <w:szCs w:val="22"/>
          <w14:textFill>
            <w14:solidFill>
              <w14:schemeClr w14:val="tx1"/>
            </w14:solidFill>
          </w14:textFill>
        </w:rPr>
        <w:t>残疾人福利性单位声明函</w:t>
      </w:r>
    </w:p>
    <w:p w14:paraId="77E840DE">
      <w:pPr>
        <w:pStyle w:val="93"/>
        <w:spacing w:line="360" w:lineRule="auto"/>
        <w:jc w:val="center"/>
        <w:rPr>
          <w:bCs/>
          <w:color w:val="000000" w:themeColor="text1"/>
          <w:spacing w:val="6"/>
          <w:sz w:val="36"/>
          <w:szCs w:val="36"/>
          <w14:textFill>
            <w14:solidFill>
              <w14:schemeClr w14:val="tx1"/>
            </w14:solidFill>
          </w14:textFill>
        </w:rPr>
      </w:pPr>
    </w:p>
    <w:p w14:paraId="4B49C8A1">
      <w:pPr>
        <w:pStyle w:val="93"/>
        <w:spacing w:line="360" w:lineRule="auto"/>
        <w:ind w:firstLine="601"/>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kern w:val="2"/>
          <w:u w:val="single"/>
          <w14:textFill>
            <w14:solidFill>
              <w14:schemeClr w14:val="tx1"/>
            </w14:solidFill>
          </w14:textFill>
        </w:rPr>
        <w:t xml:space="preserve">   单位的    </w:t>
      </w:r>
      <w:r>
        <w:rPr>
          <w:rFonts w:hint="eastAsia"/>
          <w:color w:val="000000" w:themeColor="text1"/>
          <w:kern w:val="2"/>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3720820">
      <w:pPr>
        <w:pStyle w:val="93"/>
        <w:spacing w:line="360" w:lineRule="auto"/>
        <w:ind w:firstLine="6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本单位对上述声明的真实性负责。如有虚假，将依法承担相应责任。</w:t>
      </w:r>
    </w:p>
    <w:p w14:paraId="59F6CB36">
      <w:pPr>
        <w:pStyle w:val="93"/>
        <w:spacing w:line="360" w:lineRule="auto"/>
        <w:rPr>
          <w:color w:val="000000" w:themeColor="text1"/>
          <w:spacing w:val="6"/>
          <w14:textFill>
            <w14:solidFill>
              <w14:schemeClr w14:val="tx1"/>
            </w14:solidFill>
          </w14:textFill>
        </w:rPr>
      </w:pPr>
    </w:p>
    <w:p w14:paraId="4976783E">
      <w:pPr>
        <w:pStyle w:val="93"/>
        <w:spacing w:line="360" w:lineRule="auto"/>
        <w:rPr>
          <w:color w:val="000000" w:themeColor="text1"/>
          <w:spacing w:val="6"/>
          <w14:textFill>
            <w14:solidFill>
              <w14:schemeClr w14:val="tx1"/>
            </w14:solidFill>
          </w14:textFill>
        </w:rPr>
      </w:pPr>
    </w:p>
    <w:p w14:paraId="2D0C175A">
      <w:pPr>
        <w:pStyle w:val="93"/>
        <w:spacing w:line="360" w:lineRule="auto"/>
        <w:ind w:right="1560" w:firstLine="600"/>
        <w:jc w:val="righ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单位名称（盖章）：</w:t>
      </w:r>
    </w:p>
    <w:p w14:paraId="607BCF3A">
      <w:pPr>
        <w:pStyle w:val="93"/>
        <w:spacing w:line="360" w:lineRule="auto"/>
        <w:ind w:right="1560" w:firstLine="600"/>
        <w:jc w:val="right"/>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日  期：</w:t>
      </w:r>
    </w:p>
    <w:p w14:paraId="20E73DDF">
      <w:pPr>
        <w:spacing w:line="312" w:lineRule="auto"/>
        <w:ind w:firstLine="5040" w:firstLineChars="2100"/>
        <w:rPr>
          <w:rFonts w:ascii="宋体" w:hAnsi="宋体" w:cs="宋体"/>
          <w:color w:val="000000" w:themeColor="text1"/>
          <w:sz w:val="24"/>
          <w14:textFill>
            <w14:solidFill>
              <w14:schemeClr w14:val="tx1"/>
            </w14:solidFill>
          </w14:textFill>
        </w:rPr>
      </w:pPr>
    </w:p>
    <w:p w14:paraId="5E7F83AD">
      <w:pPr>
        <w:pStyle w:val="50"/>
        <w:spacing w:line="360" w:lineRule="auto"/>
        <w:jc w:val="left"/>
        <w:rPr>
          <w:rFonts w:ascii="宋体" w:hAnsi="宋体" w:cs="宋体"/>
          <w:color w:val="000000" w:themeColor="text1"/>
          <w:spacing w:val="6"/>
          <w:sz w:val="22"/>
          <w:szCs w:val="22"/>
          <w14:textFill>
            <w14:solidFill>
              <w14:schemeClr w14:val="tx1"/>
            </w14:solidFill>
          </w14:textFill>
        </w:rPr>
      </w:pPr>
    </w:p>
    <w:p w14:paraId="1E0CE1C3">
      <w:pPr>
        <w:spacing w:line="312" w:lineRule="auto"/>
        <w:ind w:firstLine="482"/>
        <w:jc w:val="left"/>
        <w:rPr>
          <w:rFonts w:ascii="宋体" w:hAnsi="宋体" w:cs="宋体"/>
          <w:color w:val="000000" w:themeColor="text1"/>
          <w:kern w:val="0"/>
          <w:sz w:val="22"/>
          <w:szCs w:val="22"/>
          <w14:textFill>
            <w14:solidFill>
              <w14:schemeClr w14:val="tx1"/>
            </w14:solidFill>
          </w14:textFill>
        </w:rPr>
      </w:pPr>
    </w:p>
    <w:p w14:paraId="70AA21A9">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1F0D5378">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1EA4082B">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313F1A4B">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2A97937F">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3C062707">
      <w:pPr>
        <w:pStyle w:val="5"/>
        <w:spacing w:line="360" w:lineRule="auto"/>
        <w:ind w:firstLine="0"/>
        <w:jc w:val="center"/>
        <w:rPr>
          <w:rFonts w:ascii="宋体" w:hAnsi="宋体" w:cs="宋体"/>
          <w:b/>
          <w:color w:val="000000" w:themeColor="text1"/>
          <w:sz w:val="28"/>
          <w:szCs w:val="28"/>
          <w14:textFill>
            <w14:solidFill>
              <w14:schemeClr w14:val="tx1"/>
            </w14:solidFill>
          </w14:textFill>
        </w:rPr>
      </w:pPr>
    </w:p>
    <w:p w14:paraId="67042F72">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435D6873">
      <w:pPr>
        <w:keepNext/>
        <w:keepLines/>
        <w:snapToGrid w:val="0"/>
        <w:jc w:val="center"/>
        <w:rPr>
          <w:rFonts w:ascii="宋体" w:hAnsi="宋体" w:cs="宋体"/>
          <w:b/>
          <w:bCs/>
          <w:color w:val="000000" w:themeColor="text1"/>
          <w:sz w:val="22"/>
          <w:szCs w:val="22"/>
          <w14:textFill>
            <w14:solidFill>
              <w14:schemeClr w14:val="tx1"/>
            </w14:solidFill>
          </w14:textFill>
        </w:rPr>
      </w:pPr>
    </w:p>
    <w:p w14:paraId="239C5706">
      <w:pPr>
        <w:keepNext/>
        <w:keepLines/>
        <w:snapToGrid w:val="0"/>
        <w:jc w:val="center"/>
        <w:rPr>
          <w:rFonts w:ascii="宋体" w:hAnsi="宋体" w:cs="宋体"/>
          <w:b/>
          <w:bCs/>
          <w:color w:val="000000" w:themeColor="text1"/>
          <w:sz w:val="22"/>
          <w:szCs w:val="22"/>
          <w14:textFill>
            <w14:solidFill>
              <w14:schemeClr w14:val="tx1"/>
            </w14:solidFill>
          </w14:textFill>
        </w:rPr>
      </w:pPr>
    </w:p>
    <w:p w14:paraId="3D99DC6B">
      <w:pPr>
        <w:keepNext/>
        <w:keepLines/>
        <w:snapToGrid w:val="0"/>
        <w:jc w:val="center"/>
        <w:outlineLvl w:val="3"/>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1.7.3监狱企业证明文件格式</w:t>
      </w:r>
    </w:p>
    <w:p w14:paraId="42CE8569">
      <w:pPr>
        <w:pStyle w:val="5"/>
        <w:ind w:firstLine="0"/>
        <w:jc w:val="center"/>
        <w:rPr>
          <w:rFonts w:ascii="宋体" w:hAnsi="宋体" w:cs="宋体"/>
          <w:color w:val="000000" w:themeColor="text1"/>
          <w:sz w:val="22"/>
          <w:szCs w:val="22"/>
          <w14:textFill>
            <w14:solidFill>
              <w14:schemeClr w14:val="tx1"/>
            </w14:solidFill>
          </w14:textFill>
        </w:rPr>
      </w:pPr>
    </w:p>
    <w:p w14:paraId="7662C58C">
      <w:pPr>
        <w:pStyle w:val="5"/>
        <w:spacing w:line="360" w:lineRule="auto"/>
        <w:ind w:firstLine="0"/>
        <w:jc w:val="center"/>
        <w:rPr>
          <w:rFonts w:ascii="宋体" w:hAnsi="宋体" w:cs="宋体"/>
          <w:color w:val="000000" w:themeColor="text1"/>
          <w:sz w:val="32"/>
          <w:szCs w:val="32"/>
          <w14:textFill>
            <w14:solidFill>
              <w14:schemeClr w14:val="tx1"/>
            </w14:solidFill>
          </w14:textFill>
        </w:rPr>
      </w:pPr>
    </w:p>
    <w:p w14:paraId="72C21D59">
      <w:pPr>
        <w:pStyle w:val="5"/>
        <w:spacing w:line="360" w:lineRule="auto"/>
        <w:ind w:firstLine="0"/>
        <w:jc w:val="center"/>
        <w:rPr>
          <w:rFonts w:ascii="宋体" w:hAnsi="宋体" w:cs="宋体"/>
          <w:color w:val="000000" w:themeColor="text1"/>
          <w:sz w:val="32"/>
          <w:szCs w:val="32"/>
          <w14:textFill>
            <w14:solidFill>
              <w14:schemeClr w14:val="tx1"/>
            </w14:solidFill>
          </w14:textFill>
        </w:rPr>
      </w:pPr>
    </w:p>
    <w:p w14:paraId="4E049A0B">
      <w:pPr>
        <w:pStyle w:val="5"/>
        <w:spacing w:line="360" w:lineRule="auto"/>
        <w:ind w:firstLine="0"/>
        <w:jc w:val="center"/>
        <w:outlineLvl w:val="4"/>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监狱企业证明</w:t>
      </w:r>
    </w:p>
    <w:p w14:paraId="66791318">
      <w:pPr>
        <w:pStyle w:val="5"/>
        <w:spacing w:line="360" w:lineRule="auto"/>
        <w:ind w:firstLine="0"/>
        <w:jc w:val="center"/>
        <w:rPr>
          <w:rFonts w:ascii="宋体" w:hAnsi="宋体" w:cs="宋体"/>
          <w:color w:val="000000" w:themeColor="text1"/>
          <w:sz w:val="24"/>
          <w:szCs w:val="24"/>
          <w14:textFill>
            <w14:solidFill>
              <w14:schemeClr w14:val="tx1"/>
            </w14:solidFill>
          </w14:textFill>
        </w:rPr>
      </w:pPr>
    </w:p>
    <w:p w14:paraId="526FE744">
      <w:pPr>
        <w:pStyle w:val="5"/>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注：须提供省级以上监狱管理局、戒毒管理局（含新疆生产建设兵团）出具的属于监狱企业的证明文件</w:t>
      </w:r>
    </w:p>
    <w:p w14:paraId="65A3DB42">
      <w:pPr>
        <w:pStyle w:val="50"/>
        <w:ind w:left="626" w:leftChars="199" w:hanging="208" w:hangingChars="87"/>
        <w:jc w:val="left"/>
        <w:rPr>
          <w:rFonts w:ascii="宋体" w:hAnsi="宋体" w:cs="宋体"/>
          <w:color w:val="000000" w:themeColor="text1"/>
          <w:sz w:val="24"/>
          <w:szCs w:val="21"/>
          <w14:textFill>
            <w14:solidFill>
              <w14:schemeClr w14:val="tx1"/>
            </w14:solidFill>
          </w14:textFill>
        </w:rPr>
        <w:sectPr>
          <w:headerReference r:id="rId6" w:type="default"/>
          <w:footerReference r:id="rId7" w:type="default"/>
          <w:pgSz w:w="11906" w:h="16838"/>
          <w:pgMar w:top="1440" w:right="1080" w:bottom="1440" w:left="1080" w:header="851" w:footer="851" w:gutter="0"/>
          <w:cols w:space="720" w:num="1"/>
          <w:docGrid w:linePitch="312" w:charSpace="0"/>
        </w:sectPr>
      </w:pPr>
    </w:p>
    <w:p w14:paraId="7597888F">
      <w:pPr>
        <w:pStyle w:val="39"/>
        <w:spacing w:line="360" w:lineRule="auto"/>
        <w:jc w:val="left"/>
        <w:rPr>
          <w:rFonts w:hAnsi="宋体" w:cs="宋体"/>
          <w:b/>
          <w:color w:val="000000" w:themeColor="text1"/>
          <w:sz w:val="24"/>
          <w:szCs w:val="21"/>
          <w14:textFill>
            <w14:solidFill>
              <w14:schemeClr w14:val="tx1"/>
            </w14:solidFill>
          </w14:textFill>
        </w:rPr>
      </w:pPr>
    </w:p>
    <w:p w14:paraId="03813C48">
      <w:pPr>
        <w:pStyle w:val="6"/>
        <w:spacing w:before="0" w:after="0"/>
        <w:ind w:firstLine="0" w:firstLineChars="0"/>
        <w:jc w:val="left"/>
        <w:rPr>
          <w:rFonts w:ascii="宋体" w:hAnsi="宋体" w:eastAsia="宋体" w:cs="宋体"/>
          <w:color w:val="000000" w:themeColor="text1"/>
          <w:sz w:val="24"/>
          <w:szCs w:val="24"/>
          <w14:textFill>
            <w14:solidFill>
              <w14:schemeClr w14:val="tx1"/>
            </w14:solidFill>
          </w14:textFill>
        </w:rPr>
      </w:pPr>
      <w:bookmarkStart w:id="115" w:name="_Toc531359053"/>
      <w:bookmarkStart w:id="116" w:name="_Toc14167"/>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其他</w:t>
      </w:r>
      <w:bookmarkEnd w:id="115"/>
      <w:bookmarkEnd w:id="116"/>
    </w:p>
    <w:p w14:paraId="0807259A">
      <w:pPr>
        <w:pStyle w:val="5"/>
        <w:spacing w:line="360" w:lineRule="auto"/>
        <w:ind w:firstLine="0"/>
        <w:rPr>
          <w:rFonts w:ascii="宋体" w:hAnsi="宋体" w:cs="宋体"/>
          <w:color w:val="000000" w:themeColor="text1"/>
          <w14:textFill>
            <w14:solidFill>
              <w14:schemeClr w14:val="tx1"/>
            </w14:solidFill>
          </w14:textFill>
        </w:rPr>
      </w:pPr>
    </w:p>
    <w:p w14:paraId="4AAB2917">
      <w:pPr>
        <w:pStyle w:val="39"/>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14:textFill>
            <w14:solidFill>
              <w14:schemeClr w14:val="tx1"/>
            </w14:solidFill>
          </w14:textFill>
        </w:rPr>
        <w:t>格式自行设计</w:t>
      </w:r>
      <w:r>
        <w:rPr>
          <w:rFonts w:hint="eastAsia" w:hAnsi="宋体" w:cs="宋体"/>
          <w:color w:val="000000" w:themeColor="text1"/>
          <w:sz w:val="24"/>
          <w:szCs w:val="24"/>
          <w14:textFill>
            <w14:solidFill>
              <w14:schemeClr w14:val="tx1"/>
            </w14:solidFill>
          </w14:textFill>
        </w:rPr>
        <w:t>）</w:t>
      </w:r>
    </w:p>
    <w:p w14:paraId="27873194">
      <w:pPr>
        <w:pStyle w:val="40"/>
        <w:spacing w:line="360" w:lineRule="auto"/>
        <w:rPr>
          <w:rFonts w:ascii="宋体" w:hAnsi="宋体" w:cs="宋体"/>
          <w:color w:val="000000" w:themeColor="text1"/>
          <w:spacing w:val="6"/>
          <w:sz w:val="24"/>
          <w14:textFill>
            <w14:solidFill>
              <w14:schemeClr w14:val="tx1"/>
            </w14:solidFill>
          </w14:textFill>
        </w:rPr>
      </w:pPr>
    </w:p>
    <w:p w14:paraId="5F7C11D3">
      <w:pPr>
        <w:pStyle w:val="40"/>
        <w:spacing w:line="360" w:lineRule="auto"/>
        <w:jc w:val="center"/>
        <w:rPr>
          <w:rFonts w:ascii="宋体" w:hAnsi="宋体" w:cs="宋体"/>
          <w:color w:val="000000" w:themeColor="text1"/>
          <w14:textFill>
            <w14:solidFill>
              <w14:schemeClr w14:val="tx1"/>
            </w14:solidFill>
          </w14:textFill>
        </w:rPr>
        <w:sectPr>
          <w:pgSz w:w="11906" w:h="16838"/>
          <w:pgMar w:top="1440" w:right="1440" w:bottom="1440" w:left="1440" w:header="851" w:footer="851" w:gutter="0"/>
          <w:cols w:space="720" w:num="1"/>
          <w:docGrid w:linePitch="312" w:charSpace="0"/>
        </w:sectPr>
      </w:pPr>
      <w:r>
        <w:rPr>
          <w:rFonts w:hint="eastAsia" w:ascii="宋体" w:hAnsi="宋体" w:cs="宋体"/>
          <w:color w:val="000000" w:themeColor="text1"/>
          <w:spacing w:val="6"/>
          <w:sz w:val="24"/>
          <w14:textFill>
            <w14:solidFill>
              <w14:schemeClr w14:val="tx1"/>
            </w14:solidFill>
          </w14:textFill>
        </w:rPr>
        <w:t>（投标人认为有利于其本次投标的其它资格证明材料等</w:t>
      </w:r>
      <w:r>
        <w:rPr>
          <w:rFonts w:hint="eastAsia" w:ascii="宋体" w:hAnsi="宋体" w:cs="宋体"/>
          <w:color w:val="000000" w:themeColor="text1"/>
          <w:spacing w:val="6"/>
          <w:sz w:val="24"/>
          <w:lang w:eastAsia="zh-CN"/>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14:paraId="30CDCCBD">
      <w:pPr>
        <w:rPr>
          <w:rFonts w:ascii="宋体" w:hAnsi="宋体" w:cs="宋体"/>
          <w:color w:val="000000" w:themeColor="text1"/>
          <w:sz w:val="32"/>
          <w:szCs w:val="21"/>
          <w14:textFill>
            <w14:solidFill>
              <w14:schemeClr w14:val="tx1"/>
            </w14:solidFill>
          </w14:textFill>
        </w:rPr>
      </w:pPr>
      <w:bookmarkStart w:id="117" w:name="_Toc10781"/>
    </w:p>
    <w:p w14:paraId="22D700CE">
      <w:pPr>
        <w:pStyle w:val="6"/>
        <w:ind w:firstLine="0" w:firstLineChars="0"/>
        <w:rPr>
          <w:rFonts w:ascii="宋体" w:hAnsi="宋体" w:eastAsia="宋体" w:cs="宋体"/>
          <w:b w:val="0"/>
          <w:bCs w:val="0"/>
          <w:color w:val="000000" w:themeColor="text1"/>
          <w:sz w:val="32"/>
          <w:szCs w:val="21"/>
          <w14:textFill>
            <w14:solidFill>
              <w14:schemeClr w14:val="tx1"/>
            </w14:solidFill>
          </w14:textFill>
        </w:rPr>
      </w:pPr>
      <w:r>
        <w:rPr>
          <w:rFonts w:hint="eastAsia" w:ascii="宋体" w:hAnsi="宋体" w:eastAsia="宋体" w:cs="宋体"/>
          <w:b w:val="0"/>
          <w:bCs w:val="0"/>
          <w:color w:val="000000" w:themeColor="text1"/>
          <w:sz w:val="32"/>
          <w:szCs w:val="21"/>
          <w14:textFill>
            <w14:solidFill>
              <w14:schemeClr w14:val="tx1"/>
            </w14:solidFill>
          </w14:textFill>
        </w:rPr>
        <w:t>二   资信商务及技术文件格式</w:t>
      </w:r>
      <w:bookmarkEnd w:id="117"/>
    </w:p>
    <w:p w14:paraId="2AB5BF6F">
      <w:pPr>
        <w:spacing w:line="360" w:lineRule="auto"/>
        <w:jc w:val="center"/>
        <w:rPr>
          <w:rFonts w:ascii="宋体" w:hAnsi="宋体" w:cs="宋体"/>
          <w:color w:val="000000" w:themeColor="text1"/>
          <w:sz w:val="32"/>
          <w:szCs w:val="28"/>
          <w14:textFill>
            <w14:solidFill>
              <w14:schemeClr w14:val="tx1"/>
            </w14:solidFill>
          </w14:textFill>
        </w:rPr>
      </w:pPr>
    </w:p>
    <w:p w14:paraId="476AA6EA">
      <w:pPr>
        <w:spacing w:line="360" w:lineRule="auto"/>
        <w:jc w:val="center"/>
        <w:rPr>
          <w:rFonts w:ascii="宋体" w:hAnsi="宋体" w:cs="宋体"/>
          <w:color w:val="000000" w:themeColor="text1"/>
          <w:sz w:val="32"/>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t>资信商务及技术文件封面</w:t>
      </w:r>
    </w:p>
    <w:p w14:paraId="3BD75DF8">
      <w:pPr>
        <w:pStyle w:val="5"/>
        <w:ind w:firstLine="1497" w:firstLineChars="416"/>
        <w:rPr>
          <w:rFonts w:ascii="宋体" w:hAnsi="宋体" w:cs="宋体"/>
          <w:color w:val="000000" w:themeColor="text1"/>
          <w:sz w:val="36"/>
          <w:szCs w:val="36"/>
          <w14:textFill>
            <w14:solidFill>
              <w14:schemeClr w14:val="tx1"/>
            </w14:solidFill>
          </w14:textFill>
        </w:rPr>
      </w:pPr>
    </w:p>
    <w:p w14:paraId="014F7770">
      <w:pPr>
        <w:pStyle w:val="5"/>
        <w:ind w:firstLine="1497" w:firstLineChars="416"/>
        <w:rPr>
          <w:rFonts w:ascii="宋体" w:hAnsi="宋体" w:cs="宋体"/>
          <w:color w:val="000000" w:themeColor="text1"/>
          <w:sz w:val="36"/>
          <w:szCs w:val="36"/>
          <w14:textFill>
            <w14:solidFill>
              <w14:schemeClr w14:val="tx1"/>
            </w14:solidFill>
          </w14:textFill>
        </w:rPr>
      </w:pPr>
    </w:p>
    <w:p w14:paraId="2EAA0CFF">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采购编号：</w:t>
      </w:r>
    </w:p>
    <w:p w14:paraId="4EFD452D">
      <w:pPr>
        <w:pStyle w:val="5"/>
        <w:ind w:firstLine="1497" w:firstLineChars="416"/>
        <w:rPr>
          <w:rFonts w:ascii="宋体" w:hAnsi="宋体" w:cs="宋体"/>
          <w:color w:val="000000" w:themeColor="text1"/>
          <w:sz w:val="36"/>
          <w:szCs w:val="36"/>
          <w14:textFill>
            <w14:solidFill>
              <w14:schemeClr w14:val="tx1"/>
            </w14:solidFill>
          </w14:textFill>
        </w:rPr>
      </w:pPr>
    </w:p>
    <w:p w14:paraId="163B80AD">
      <w:pPr>
        <w:pStyle w:val="5"/>
        <w:ind w:firstLine="1497" w:firstLineChars="416"/>
        <w:rPr>
          <w:rFonts w:ascii="宋体" w:hAnsi="宋体" w:cs="宋体"/>
          <w:color w:val="000000" w:themeColor="text1"/>
          <w:sz w:val="36"/>
          <w:szCs w:val="36"/>
          <w14:textFill>
            <w14:solidFill>
              <w14:schemeClr w14:val="tx1"/>
            </w14:solidFill>
          </w14:textFill>
        </w:rPr>
      </w:pPr>
    </w:p>
    <w:p w14:paraId="3A0FE231">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项目名称：                  </w:t>
      </w:r>
    </w:p>
    <w:p w14:paraId="390EB5EC">
      <w:pPr>
        <w:pStyle w:val="5"/>
        <w:ind w:firstLine="1497" w:firstLineChars="416"/>
        <w:rPr>
          <w:rFonts w:ascii="宋体" w:hAnsi="宋体" w:cs="宋体"/>
          <w:color w:val="000000" w:themeColor="text1"/>
          <w:sz w:val="36"/>
          <w:szCs w:val="36"/>
          <w14:textFill>
            <w14:solidFill>
              <w14:schemeClr w14:val="tx1"/>
            </w14:solidFill>
          </w14:textFill>
        </w:rPr>
      </w:pPr>
    </w:p>
    <w:p w14:paraId="59FDB0C6">
      <w:pPr>
        <w:pStyle w:val="5"/>
        <w:ind w:firstLine="1497" w:firstLineChars="416"/>
        <w:rPr>
          <w:rFonts w:ascii="宋体" w:hAnsi="宋体" w:cs="宋体"/>
          <w:color w:val="000000" w:themeColor="text1"/>
          <w:sz w:val="36"/>
          <w:szCs w:val="36"/>
          <w14:textFill>
            <w14:solidFill>
              <w14:schemeClr w14:val="tx1"/>
            </w14:solidFill>
          </w14:textFill>
        </w:rPr>
      </w:pPr>
    </w:p>
    <w:p w14:paraId="7ADDD535">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投标文件名称：</w:t>
      </w:r>
      <w:r>
        <w:rPr>
          <w:rFonts w:hint="eastAsia" w:ascii="宋体" w:hAnsi="宋体" w:cs="宋体"/>
          <w:color w:val="000000" w:themeColor="text1"/>
          <w:sz w:val="32"/>
          <w:szCs w:val="21"/>
          <w14:textFill>
            <w14:solidFill>
              <w14:schemeClr w14:val="tx1"/>
            </w14:solidFill>
          </w14:textFill>
        </w:rPr>
        <w:t>资信商务及技术文件</w:t>
      </w:r>
    </w:p>
    <w:p w14:paraId="5753BAEA">
      <w:pPr>
        <w:pStyle w:val="5"/>
        <w:ind w:firstLine="1497" w:firstLineChars="416"/>
        <w:rPr>
          <w:rFonts w:ascii="宋体" w:hAnsi="宋体" w:cs="宋体"/>
          <w:color w:val="000000" w:themeColor="text1"/>
          <w:sz w:val="36"/>
          <w:szCs w:val="36"/>
          <w14:textFill>
            <w14:solidFill>
              <w14:schemeClr w14:val="tx1"/>
            </w14:solidFill>
          </w14:textFill>
        </w:rPr>
      </w:pPr>
    </w:p>
    <w:p w14:paraId="1BAFBEAF">
      <w:pPr>
        <w:pStyle w:val="5"/>
        <w:ind w:firstLine="1497" w:firstLineChars="416"/>
        <w:rPr>
          <w:rFonts w:ascii="宋体" w:hAnsi="宋体" w:cs="宋体"/>
          <w:color w:val="000000" w:themeColor="text1"/>
          <w:sz w:val="36"/>
          <w:szCs w:val="36"/>
          <w14:textFill>
            <w14:solidFill>
              <w14:schemeClr w14:val="tx1"/>
            </w14:solidFill>
          </w14:textFill>
        </w:rPr>
      </w:pPr>
    </w:p>
    <w:p w14:paraId="179DB14D">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投标人名称（CA签章）：</w:t>
      </w:r>
    </w:p>
    <w:p w14:paraId="48EE1047">
      <w:pPr>
        <w:pStyle w:val="5"/>
        <w:ind w:firstLine="1497" w:firstLineChars="416"/>
        <w:rPr>
          <w:rFonts w:ascii="宋体" w:hAnsi="宋体" w:cs="宋体"/>
          <w:color w:val="000000" w:themeColor="text1"/>
          <w:sz w:val="36"/>
          <w:szCs w:val="36"/>
          <w14:textFill>
            <w14:solidFill>
              <w14:schemeClr w14:val="tx1"/>
            </w14:solidFill>
          </w14:textFill>
        </w:rPr>
      </w:pPr>
    </w:p>
    <w:p w14:paraId="5C6830B6">
      <w:pPr>
        <w:pStyle w:val="5"/>
        <w:ind w:firstLine="0"/>
        <w:rPr>
          <w:rFonts w:ascii="宋体" w:hAnsi="宋体" w:cs="宋体"/>
          <w:color w:val="000000" w:themeColor="text1"/>
          <w:sz w:val="36"/>
          <w:szCs w:val="36"/>
          <w14:textFill>
            <w14:solidFill>
              <w14:schemeClr w14:val="tx1"/>
            </w14:solidFill>
          </w14:textFill>
        </w:rPr>
      </w:pPr>
    </w:p>
    <w:p w14:paraId="796DEBD4">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投标人地址：</w:t>
      </w:r>
    </w:p>
    <w:p w14:paraId="095D1382">
      <w:pPr>
        <w:pStyle w:val="5"/>
        <w:rPr>
          <w:rFonts w:ascii="宋体" w:hAnsi="宋体" w:cs="宋体"/>
          <w:color w:val="000000" w:themeColor="text1"/>
          <w:sz w:val="22"/>
          <w:szCs w:val="21"/>
          <w14:textFill>
            <w14:solidFill>
              <w14:schemeClr w14:val="tx1"/>
            </w14:solidFill>
          </w14:textFill>
        </w:rPr>
      </w:pPr>
    </w:p>
    <w:p w14:paraId="7B0CC308">
      <w:pPr>
        <w:spacing w:line="360" w:lineRule="auto"/>
        <w:jc w:val="center"/>
        <w:rPr>
          <w:rFonts w:ascii="宋体" w:hAnsi="宋体" w:cs="宋体"/>
          <w:color w:val="000000" w:themeColor="text1"/>
          <w:sz w:val="32"/>
          <w:szCs w:val="28"/>
          <w14:textFill>
            <w14:solidFill>
              <w14:schemeClr w14:val="tx1"/>
            </w14:solidFill>
          </w14:textFill>
        </w:rPr>
      </w:pPr>
    </w:p>
    <w:p w14:paraId="0D5DF686">
      <w:pPr>
        <w:rPr>
          <w:rFonts w:ascii="宋体" w:hAnsi="宋体" w:cs="宋体"/>
          <w:color w:val="000000" w:themeColor="text1"/>
          <w:sz w:val="32"/>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br w:type="page"/>
      </w:r>
    </w:p>
    <w:p w14:paraId="1C66D6D5">
      <w:pPr>
        <w:jc w:val="center"/>
        <w:rPr>
          <w:rFonts w:ascii="宋体" w:hAnsi="宋体" w:cs="宋体"/>
          <w:color w:val="000000" w:themeColor="text1"/>
          <w:sz w:val="32"/>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t>（一）资信商务部分</w:t>
      </w:r>
    </w:p>
    <w:bookmarkEnd w:id="94"/>
    <w:bookmarkEnd w:id="95"/>
    <w:bookmarkEnd w:id="96"/>
    <w:bookmarkEnd w:id="97"/>
    <w:p w14:paraId="2CFB3AED">
      <w:pPr>
        <w:spacing w:line="360" w:lineRule="auto"/>
        <w:jc w:val="center"/>
        <w:rPr>
          <w:rFonts w:ascii="宋体" w:hAnsi="宋体" w:cs="宋体"/>
          <w:b/>
          <w:color w:val="000000" w:themeColor="text1"/>
          <w:sz w:val="32"/>
          <w14:textFill>
            <w14:solidFill>
              <w14:schemeClr w14:val="tx1"/>
            </w14:solidFill>
          </w14:textFill>
        </w:rPr>
      </w:pPr>
      <w:bookmarkStart w:id="118" w:name="_Toc105230662"/>
      <w:bookmarkStart w:id="119" w:name="_Toc173728539"/>
      <w:r>
        <w:rPr>
          <w:rFonts w:hint="eastAsia" w:ascii="宋体" w:hAnsi="宋体" w:cs="宋体"/>
          <w:b/>
          <w:color w:val="000000" w:themeColor="text1"/>
          <w:sz w:val="32"/>
          <w14:textFill>
            <w14:solidFill>
              <w14:schemeClr w14:val="tx1"/>
            </w14:solidFill>
          </w14:textFill>
        </w:rPr>
        <w:t>1、投标声明书</w:t>
      </w:r>
    </w:p>
    <w:p w14:paraId="66090DAD">
      <w:pPr>
        <w:pStyle w:val="5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（采购人名称）</w:t>
      </w:r>
      <w:r>
        <w:rPr>
          <w:rFonts w:hint="eastAsia" w:ascii="宋体" w:hAnsi="宋体" w:cs="宋体"/>
          <w:color w:val="000000" w:themeColor="text1"/>
          <w:kern w:val="0"/>
          <w:sz w:val="24"/>
          <w:u w:val="single"/>
          <w14:textFill>
            <w14:solidFill>
              <w14:schemeClr w14:val="tx1"/>
            </w14:solidFill>
          </w14:textFill>
        </w:rPr>
        <w:t>：</w:t>
      </w:r>
    </w:p>
    <w:p w14:paraId="1D855E99">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u w:val="single"/>
          <w14:textFill>
            <w14:solidFill>
              <w14:schemeClr w14:val="tx1"/>
            </w14:solidFill>
          </w14:textFill>
        </w:rPr>
        <w:t xml:space="preserve">        (投标人全称</w:t>
      </w:r>
      <w:r>
        <w:rPr>
          <w:rFonts w:hint="eastAsia" w:hAnsi="宋体" w:cs="宋体"/>
          <w:color w:val="000000" w:themeColor="text1"/>
          <w:sz w:val="24"/>
          <w:szCs w:val="24"/>
          <w14:textFill>
            <w14:solidFill>
              <w14:schemeClr w14:val="tx1"/>
            </w14:solidFill>
          </w14:textFill>
        </w:rPr>
        <w:t>)系中华人民共和国合法企业，经营地址</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w:t>
      </w:r>
    </w:p>
    <w:p w14:paraId="2F95D62D">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w:t>
      </w:r>
      <w:r>
        <w:rPr>
          <w:rFonts w:hint="eastAsia" w:hAnsi="宋体" w:cs="宋体"/>
          <w:color w:val="000000" w:themeColor="text1"/>
          <w:sz w:val="24"/>
          <w:szCs w:val="24"/>
          <w:u w:val="single"/>
          <w14:textFill>
            <w14:solidFill>
              <w14:schemeClr w14:val="tx1"/>
            </w14:solidFill>
          </w14:textFill>
        </w:rPr>
        <w:t xml:space="preserve">   (法定代表人或负责人名字)  </w:t>
      </w:r>
      <w:r>
        <w:rPr>
          <w:rFonts w:hint="eastAsia" w:hAnsi="宋体" w:cs="宋体"/>
          <w:color w:val="000000" w:themeColor="text1"/>
          <w:sz w:val="24"/>
          <w:szCs w:val="24"/>
          <w14:textFill>
            <w14:solidFill>
              <w14:schemeClr w14:val="tx1"/>
            </w14:solidFill>
          </w14:textFill>
        </w:rPr>
        <w:t>系</w:t>
      </w:r>
      <w:r>
        <w:rPr>
          <w:rFonts w:hint="eastAsia" w:hAnsi="宋体" w:cs="宋体"/>
          <w:color w:val="000000" w:themeColor="text1"/>
          <w:sz w:val="24"/>
          <w:szCs w:val="24"/>
          <w:u w:val="single"/>
          <w14:textFill>
            <w14:solidFill>
              <w14:schemeClr w14:val="tx1"/>
            </w14:solidFill>
          </w14:textFill>
        </w:rPr>
        <w:t xml:space="preserve">    (投标人名称)       </w:t>
      </w:r>
      <w:r>
        <w:rPr>
          <w:rFonts w:hint="eastAsia" w:hAnsi="宋体" w:cs="宋体"/>
          <w:color w:val="000000" w:themeColor="text1"/>
          <w:sz w:val="24"/>
          <w:szCs w:val="24"/>
          <w14:textFill>
            <w14:solidFill>
              <w14:schemeClr w14:val="tx1"/>
            </w14:solidFill>
          </w14:textFill>
        </w:rPr>
        <w:t>的负责人，我方愿意参加贵方组织的</w:t>
      </w:r>
      <w:r>
        <w:rPr>
          <w:rFonts w:hint="eastAsia" w:hAnsi="宋体" w:cs="宋体"/>
          <w:color w:val="000000" w:themeColor="text1"/>
          <w:sz w:val="24"/>
          <w:szCs w:val="24"/>
          <w:u w:val="single"/>
          <w14:textFill>
            <w14:solidFill>
              <w14:schemeClr w14:val="tx1"/>
            </w14:solidFill>
          </w14:textFill>
        </w:rPr>
        <w:t xml:space="preserve">    （项目名称及标项）（采购编号：   ）</w:t>
      </w:r>
      <w:r>
        <w:rPr>
          <w:rFonts w:hint="eastAsia" w:hAnsi="宋体" w:cs="宋体"/>
          <w:color w:val="000000" w:themeColor="text1"/>
          <w:sz w:val="24"/>
          <w:szCs w:val="24"/>
          <w14:textFill>
            <w14:solidFill>
              <w14:schemeClr w14:val="tx1"/>
            </w14:solidFill>
          </w14:textFill>
        </w:rPr>
        <w:t>的投标。为便于贵方公正、择优地确定中标人以及投标产品和服务，我方就本次投标有关事项郑重承诺如下：</w:t>
      </w:r>
    </w:p>
    <w:p w14:paraId="36A8D02F">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1、我方向贵方提交的所有投标文件、资料都是准确的和真实的。</w:t>
      </w:r>
    </w:p>
    <w:p w14:paraId="03DCB225">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14:paraId="0711E7DE">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3、提供投标人须知规定的全部投标文件，包括：</w:t>
      </w:r>
    </w:p>
    <w:p w14:paraId="1AE84097">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①电子投标文件；</w:t>
      </w:r>
    </w:p>
    <w:p w14:paraId="3B36A930">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②备份投标文件（注：是否提交由投标人自行决定，如不提交，本条可删除）。</w:t>
      </w:r>
    </w:p>
    <w:p w14:paraId="18A7ADBF">
      <w:pPr>
        <w:pStyle w:val="5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4、如果我方中标，将派出</w:t>
      </w:r>
      <w:r>
        <w:rPr>
          <w:rFonts w:hint="eastAsia" w:hAnsi="宋体" w:cs="宋体"/>
          <w:color w:val="000000" w:themeColor="text1"/>
          <w:sz w:val="24"/>
          <w:szCs w:val="24"/>
          <w:u w:val="single"/>
          <w14:textFill>
            <w14:solidFill>
              <w14:schemeClr w14:val="tx1"/>
            </w14:solidFill>
          </w14:textFill>
        </w:rPr>
        <w:t xml:space="preserve">  （姓名及身份证号码）</w:t>
      </w:r>
      <w:r>
        <w:rPr>
          <w:rFonts w:hint="eastAsia" w:hAnsi="宋体" w:cs="宋体"/>
          <w:color w:val="000000" w:themeColor="text1"/>
          <w:sz w:val="24"/>
          <w:szCs w:val="24"/>
          <w14:textFill>
            <w14:solidFill>
              <w14:schemeClr w14:val="tx1"/>
            </w14:solidFill>
          </w14:textFill>
        </w:rPr>
        <w:t>，作为本项目与采购人联系的项目实施负责人，联系手机号码：</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。在项目实施过程中，并承诺项目实施负责人不更换，若确需要更换的，书面征得采购人同意后才准予更换。</w:t>
      </w:r>
    </w:p>
    <w:p w14:paraId="1B6E667C">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5、我方的投标有效期自</w:t>
      </w:r>
      <w:r>
        <w:rPr>
          <w:rFonts w:hint="eastAsia" w:hAnsi="宋体" w:cs="宋体"/>
          <w:bCs/>
          <w:snapToGrid w:val="0"/>
          <w:color w:val="000000" w:themeColor="text1"/>
          <w:kern w:val="2"/>
          <w:sz w:val="24"/>
          <w:szCs w:val="24"/>
          <w14:textFill>
            <w14:solidFill>
              <w14:schemeClr w14:val="tx1"/>
            </w14:solidFill>
          </w14:textFill>
        </w:rPr>
        <w:t>提交投标文件的截止之日起</w:t>
      </w:r>
      <w:r>
        <w:rPr>
          <w:rFonts w:hint="eastAsia" w:hAnsi="宋体" w:cs="宋体"/>
          <w:color w:val="000000" w:themeColor="text1"/>
          <w:sz w:val="24"/>
          <w:szCs w:val="24"/>
          <w:u w:val="single"/>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天内有效。</w:t>
      </w:r>
    </w:p>
    <w:p w14:paraId="25CA0122">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6、我方在投标之前已经与贵方进行了充分的沟通，完全理解并接受招标文件的各项规定和要求，对招标文件的合理性、合法性不再有异议。</w:t>
      </w:r>
    </w:p>
    <w:p w14:paraId="2F796AA1">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我方愿意向贵方提供真实完整的任何与该项投标有关的数据、情况和技术资料。若贵方需要，我方愿意提供我方作出的一切承诺的证明材料。</w:t>
      </w:r>
    </w:p>
    <w:p w14:paraId="3AA555FC">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14:paraId="1EB9C74D">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8、我方不是采购人的附属机构，并未为本项目提供整体设计、规范编制或者项目管理、监理、监测等服务。</w:t>
      </w:r>
    </w:p>
    <w:p w14:paraId="2E8E9A2B">
      <w:pPr>
        <w:pStyle w:val="52"/>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16AEA65">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（一）提供虚假材料谋取中标、中标的；</w:t>
      </w:r>
    </w:p>
    <w:p w14:paraId="49CA1115">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（二）采取不正当手段诋毁、排挤其他投标人的；</w:t>
      </w:r>
    </w:p>
    <w:p w14:paraId="3DEFFE7F">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（三）与采购人、其它投标人或者采购代理机构恶意串通的；</w:t>
      </w:r>
    </w:p>
    <w:p w14:paraId="006DAD77">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（四）向采购人、采购代理机构行贿或者提供其他不正当利益的；</w:t>
      </w:r>
    </w:p>
    <w:p w14:paraId="0D5F757C">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（五）在招标采购过程中与采购人进行协商谈判的；</w:t>
      </w:r>
    </w:p>
    <w:p w14:paraId="3AE0898D">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（六）拒绝有关部门监督检查或提供虚假情况的。</w:t>
      </w:r>
    </w:p>
    <w:p w14:paraId="58300112">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10、如中标，本投标文件至本项目合同履行完毕止均保持有效，我方将按招标文件及政府采购法律、法规的规定履行合同责任和义务。</w:t>
      </w:r>
    </w:p>
    <w:p w14:paraId="4B841A2D">
      <w:pPr>
        <w:pStyle w:val="52"/>
        <w:spacing w:line="44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11、以上事项如有虚假或隐瞒，我方愿意承担一切不利后果，并不再寻求任何旨在减轻或免除法律责任。</w:t>
      </w:r>
    </w:p>
    <w:p w14:paraId="73ADDB3E">
      <w:pPr>
        <w:pStyle w:val="52"/>
        <w:spacing w:line="440" w:lineRule="exact"/>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与本次投标有关的一切正式往来信函请寄：</w:t>
      </w:r>
    </w:p>
    <w:p w14:paraId="31A566A7">
      <w:pPr>
        <w:pStyle w:val="52"/>
        <w:spacing w:line="440" w:lineRule="exact"/>
        <w:ind w:firstLine="480"/>
        <w:rPr>
          <w:rFonts w:hAnsi="宋体" w:cs="宋体"/>
          <w:color w:val="000000" w:themeColor="text1"/>
          <w:sz w:val="24"/>
          <w:szCs w:val="24"/>
          <w14:textFill>
            <w14:solidFill>
              <w14:schemeClr w14:val="tx1"/>
            </w14:solidFill>
          </w14:textFill>
        </w:rPr>
      </w:pPr>
    </w:p>
    <w:p w14:paraId="3CB29562">
      <w:pPr>
        <w:pStyle w:val="52"/>
        <w:spacing w:line="440" w:lineRule="exact"/>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w:t>
      </w:r>
      <w:r>
        <w:rPr>
          <w:rFonts w:hint="eastAsia" w:hAnsi="宋体" w:cs="宋体"/>
          <w:color w:val="000000" w:themeColor="text1"/>
          <w:spacing w:val="20"/>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邮编：</w:t>
      </w:r>
      <w:r>
        <w:rPr>
          <w:rFonts w:hint="eastAsia" w:hAnsi="宋体" w:cs="宋体"/>
          <w:color w:val="000000" w:themeColor="text1"/>
          <w:spacing w:val="20"/>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w:t>
      </w:r>
    </w:p>
    <w:p w14:paraId="40730FEB">
      <w:pPr>
        <w:pStyle w:val="8"/>
        <w:spacing w:line="440" w:lineRule="exact"/>
        <w:ind w:firstLine="480" w:firstLineChars="2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电话：</w:t>
      </w:r>
      <w:r>
        <w:rPr>
          <w:rFonts w:hint="eastAsia" w:hAnsi="宋体" w:eastAsia="宋体" w:cs="宋体"/>
          <w:color w:val="000000" w:themeColor="text1"/>
          <w:spacing w:val="20"/>
          <w:sz w:val="24"/>
          <w:u w:val="single"/>
          <w14:textFill>
            <w14:solidFill>
              <w14:schemeClr w14:val="tx1"/>
            </w14:solidFill>
          </w14:textFill>
        </w:rPr>
        <w:t xml:space="preserve">             </w:t>
      </w:r>
      <w:r>
        <w:rPr>
          <w:rFonts w:hint="eastAsia" w:hAnsi="宋体" w:eastAsia="宋体" w:cs="宋体"/>
          <w:color w:val="000000" w:themeColor="text1"/>
          <w:sz w:val="24"/>
          <w14:textFill>
            <w14:solidFill>
              <w14:schemeClr w14:val="tx1"/>
            </w14:solidFill>
          </w14:textFill>
        </w:rPr>
        <w:t xml:space="preserve">     传真：</w:t>
      </w:r>
      <w:r>
        <w:rPr>
          <w:rFonts w:hint="eastAsia" w:hAnsi="宋体" w:eastAsia="宋体" w:cs="宋体"/>
          <w:color w:val="000000" w:themeColor="text1"/>
          <w:spacing w:val="20"/>
          <w:sz w:val="24"/>
          <w:u w:val="single"/>
          <w14:textFill>
            <w14:solidFill>
              <w14:schemeClr w14:val="tx1"/>
            </w14:solidFill>
          </w14:textFill>
        </w:rPr>
        <w:t xml:space="preserve">           </w:t>
      </w:r>
    </w:p>
    <w:p w14:paraId="4E7E0B50">
      <w:pPr>
        <w:pStyle w:val="52"/>
        <w:spacing w:line="440" w:lineRule="exact"/>
        <w:rPr>
          <w:rFonts w:hAnsi="宋体" w:cs="宋体"/>
          <w:color w:val="000000" w:themeColor="text1"/>
          <w:sz w:val="28"/>
          <w:szCs w:val="22"/>
          <w14:textFill>
            <w14:solidFill>
              <w14:schemeClr w14:val="tx1"/>
            </w14:solidFill>
          </w14:textFill>
        </w:rPr>
      </w:pPr>
    </w:p>
    <w:p w14:paraId="19EB6F62">
      <w:pPr>
        <w:pStyle w:val="53"/>
        <w:spacing w:line="520" w:lineRule="exact"/>
        <w:rPr>
          <w:rFonts w:hAnsi="宋体" w:cs="宋体"/>
          <w:color w:val="000000" w:themeColor="text1"/>
          <w:spacing w:val="20"/>
          <w:sz w:val="28"/>
          <w:szCs w:val="21"/>
          <w14:textFill>
            <w14:solidFill>
              <w14:schemeClr w14:val="tx1"/>
            </w14:solidFill>
          </w14:textFill>
        </w:rPr>
      </w:pPr>
    </w:p>
    <w:p w14:paraId="415888B5">
      <w:pPr>
        <w:pStyle w:val="53"/>
        <w:spacing w:line="520" w:lineRule="exact"/>
        <w:ind w:firstLine="6080" w:firstLineChars="1900"/>
        <w:rPr>
          <w:rFonts w:hAnsi="宋体" w:cs="宋体"/>
          <w:color w:val="000000" w:themeColor="text1"/>
          <w:spacing w:val="20"/>
          <w:sz w:val="28"/>
          <w:szCs w:val="21"/>
          <w:u w:val="single"/>
          <w14:textFill>
            <w14:solidFill>
              <w14:schemeClr w14:val="tx1"/>
            </w14:solidFill>
          </w14:textFill>
        </w:rPr>
      </w:pPr>
    </w:p>
    <w:p w14:paraId="4F4FAEC9">
      <w:pPr>
        <w:pStyle w:val="53"/>
        <w:spacing w:line="520" w:lineRule="exact"/>
        <w:ind w:firstLine="6080" w:firstLineChars="1900"/>
        <w:rPr>
          <w:rFonts w:hAnsi="宋体" w:cs="宋体"/>
          <w:color w:val="000000" w:themeColor="text1"/>
          <w:spacing w:val="20"/>
          <w:sz w:val="28"/>
          <w:szCs w:val="21"/>
          <w:u w:val="single"/>
          <w14:textFill>
            <w14:solidFill>
              <w14:schemeClr w14:val="tx1"/>
            </w14:solidFill>
          </w14:textFill>
        </w:rPr>
      </w:pPr>
    </w:p>
    <w:p w14:paraId="16F55785">
      <w:pPr>
        <w:pStyle w:val="53"/>
        <w:spacing w:line="520" w:lineRule="exact"/>
        <w:ind w:firstLine="6080" w:firstLineChars="1900"/>
        <w:rPr>
          <w:rFonts w:hAnsi="宋体" w:cs="宋体"/>
          <w:color w:val="000000" w:themeColor="text1"/>
          <w:spacing w:val="20"/>
          <w:sz w:val="28"/>
          <w:szCs w:val="21"/>
          <w:u w:val="single"/>
          <w14:textFill>
            <w14:solidFill>
              <w14:schemeClr w14:val="tx1"/>
            </w14:solidFill>
          </w14:textFill>
        </w:rPr>
      </w:pPr>
    </w:p>
    <w:p w14:paraId="53B14924">
      <w:pPr>
        <w:pStyle w:val="53"/>
        <w:spacing w:line="520" w:lineRule="exact"/>
        <w:ind w:firstLine="6080" w:firstLineChars="1900"/>
        <w:rPr>
          <w:rFonts w:hAnsi="宋体" w:cs="宋体"/>
          <w:color w:val="000000" w:themeColor="text1"/>
          <w:spacing w:val="20"/>
          <w:sz w:val="28"/>
          <w:szCs w:val="21"/>
          <w:u w:val="single"/>
          <w14:textFill>
            <w14:solidFill>
              <w14:schemeClr w14:val="tx1"/>
            </w14:solidFill>
          </w14:textFill>
        </w:rPr>
      </w:pPr>
    </w:p>
    <w:p w14:paraId="150478A6">
      <w:pPr>
        <w:pStyle w:val="53"/>
        <w:spacing w:line="520" w:lineRule="exact"/>
        <w:ind w:firstLine="6080" w:firstLineChars="1900"/>
        <w:rPr>
          <w:rFonts w:hAnsi="宋体" w:cs="宋体"/>
          <w:color w:val="000000" w:themeColor="text1"/>
          <w:spacing w:val="20"/>
          <w:sz w:val="28"/>
          <w:szCs w:val="21"/>
          <w:u w:val="single"/>
          <w14:textFill>
            <w14:solidFill>
              <w14:schemeClr w14:val="tx1"/>
            </w14:solidFill>
          </w14:textFill>
        </w:rPr>
      </w:pPr>
    </w:p>
    <w:p w14:paraId="36E8E591">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br w:type="page"/>
      </w:r>
      <w:r>
        <w:rPr>
          <w:rFonts w:hint="eastAsia" w:ascii="宋体" w:hAnsi="宋体" w:cs="宋体"/>
          <w:b/>
          <w:color w:val="000000" w:themeColor="text1"/>
          <w:sz w:val="32"/>
          <w14:textFill>
            <w14:solidFill>
              <w14:schemeClr w14:val="tx1"/>
            </w14:solidFill>
          </w14:textFill>
        </w:rPr>
        <w:t>2、投标人参标申请表</w:t>
      </w:r>
    </w:p>
    <w:tbl>
      <w:tblPr>
        <w:tblStyle w:val="26"/>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338E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3C6673E">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FCB7150">
            <w:pPr>
              <w:pStyle w:val="54"/>
              <w:ind w:firstLine="480"/>
              <w:jc w:val="center"/>
              <w:rPr>
                <w:rFonts w:ascii="宋体" w:hAnsi="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69853506">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14:paraId="01EABCA1">
            <w:pPr>
              <w:pStyle w:val="54"/>
              <w:ind w:firstLine="360"/>
              <w:jc w:val="center"/>
              <w:rPr>
                <w:rFonts w:ascii="宋体" w:hAnsi="宋体" w:cs="宋体"/>
                <w:color w:val="000000" w:themeColor="text1"/>
                <w:sz w:val="24"/>
                <w14:textFill>
                  <w14:solidFill>
                    <w14:schemeClr w14:val="tx1"/>
                  </w14:solidFill>
                </w14:textFill>
              </w:rPr>
            </w:pPr>
          </w:p>
        </w:tc>
      </w:tr>
      <w:tr w14:paraId="7944C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6FBFDBA3">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14:paraId="3FDDEA5A">
            <w:pPr>
              <w:pStyle w:val="54"/>
              <w:ind w:firstLine="480"/>
              <w:jc w:val="center"/>
              <w:rPr>
                <w:rFonts w:ascii="宋体" w:hAnsi="宋体" w:cs="宋体"/>
                <w:color w:val="000000" w:themeColor="text1"/>
                <w:sz w:val="24"/>
                <w14:textFill>
                  <w14:solidFill>
                    <w14:schemeClr w14:val="tx1"/>
                  </w14:solidFill>
                </w14:textFill>
              </w:rPr>
            </w:pPr>
          </w:p>
        </w:tc>
      </w:tr>
      <w:tr w14:paraId="233D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4BAE445">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B706531">
            <w:pPr>
              <w:pStyle w:val="54"/>
              <w:ind w:firstLine="480"/>
              <w:jc w:val="center"/>
              <w:rPr>
                <w:rFonts w:ascii="宋体" w:hAnsi="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7DC3AC03">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F4FD650">
            <w:pPr>
              <w:pStyle w:val="54"/>
              <w:ind w:firstLine="480"/>
              <w:jc w:val="center"/>
              <w:rPr>
                <w:rFonts w:ascii="宋体" w:hAnsi="宋体" w:cs="宋体"/>
                <w:color w:val="000000" w:themeColor="text1"/>
                <w:sz w:val="24"/>
                <w14:textFill>
                  <w14:solidFill>
                    <w14:schemeClr w14:val="tx1"/>
                  </w14:solidFill>
                </w14:textFill>
              </w:rPr>
            </w:pPr>
          </w:p>
        </w:tc>
      </w:tr>
      <w:tr w14:paraId="0CC9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C927CD9">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417018E">
            <w:pPr>
              <w:pStyle w:val="54"/>
              <w:ind w:firstLine="480"/>
              <w:jc w:val="center"/>
              <w:rPr>
                <w:rFonts w:ascii="宋体" w:hAnsi="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4C8BCFEC">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0D7C431D">
            <w:pPr>
              <w:pStyle w:val="54"/>
              <w:ind w:firstLine="480"/>
              <w:jc w:val="center"/>
              <w:rPr>
                <w:rFonts w:ascii="宋体" w:hAnsi="宋体" w:cs="宋体"/>
                <w:color w:val="000000" w:themeColor="text1"/>
                <w:sz w:val="24"/>
                <w14:textFill>
                  <w14:solidFill>
                    <w14:schemeClr w14:val="tx1"/>
                  </w14:solidFill>
                </w14:textFill>
              </w:rPr>
            </w:pPr>
          </w:p>
        </w:tc>
      </w:tr>
      <w:tr w14:paraId="4406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A4A82D3">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2E9A513A">
            <w:pPr>
              <w:pStyle w:val="54"/>
              <w:ind w:firstLine="480"/>
              <w:jc w:val="center"/>
              <w:rPr>
                <w:rFonts w:ascii="宋体" w:hAnsi="宋体" w:cs="宋体"/>
                <w:color w:val="000000" w:themeColor="text1"/>
                <w:sz w:val="24"/>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CF0F03B">
            <w:pPr>
              <w:pStyle w:val="54"/>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CEEEA3A">
            <w:pPr>
              <w:pStyle w:val="54"/>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手机：</w:t>
            </w:r>
          </w:p>
        </w:tc>
      </w:tr>
      <w:tr w14:paraId="2A412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1B71580">
            <w:pPr>
              <w:pStyle w:val="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AF10D3F">
            <w:pPr>
              <w:pStyle w:val="54"/>
              <w:ind w:firstLine="480"/>
              <w:jc w:val="center"/>
              <w:rPr>
                <w:rFonts w:ascii="宋体" w:hAnsi="宋体" w:cs="宋体"/>
                <w:color w:val="000000" w:themeColor="text1"/>
                <w:sz w:val="24"/>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09DDBAB">
            <w:pPr>
              <w:pStyle w:val="54"/>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192C0A24">
            <w:pPr>
              <w:pStyle w:val="54"/>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手机：</w:t>
            </w:r>
          </w:p>
        </w:tc>
      </w:tr>
      <w:tr w14:paraId="76C47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AECE214">
            <w:pPr>
              <w:pStyle w:val="54"/>
              <w:ind w:left="-109" w:leftChars="-52" w:right="-113" w:rightChars="-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267B7720">
            <w:pPr>
              <w:pStyle w:val="54"/>
              <w:ind w:firstLine="480"/>
              <w:jc w:val="center"/>
              <w:rPr>
                <w:rFonts w:ascii="宋体" w:hAnsi="宋体" w:cs="宋体"/>
                <w:color w:val="000000" w:themeColor="text1"/>
                <w:sz w:val="24"/>
                <w14:textFill>
                  <w14:solidFill>
                    <w14:schemeClr w14:val="tx1"/>
                  </w14:solidFill>
                </w14:textFill>
              </w:rPr>
            </w:pPr>
          </w:p>
        </w:tc>
      </w:tr>
      <w:tr w14:paraId="1735C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323EADC">
            <w:pPr>
              <w:pStyle w:val="54"/>
              <w:ind w:left="-109" w:leftChars="-52" w:right="-113" w:rightChars="-5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71C22756">
            <w:pPr>
              <w:pStyle w:val="54"/>
              <w:ind w:firstLine="480"/>
              <w:jc w:val="center"/>
              <w:rPr>
                <w:rFonts w:ascii="宋体" w:hAnsi="宋体" w:cs="宋体"/>
                <w:color w:val="000000" w:themeColor="text1"/>
                <w:sz w:val="24"/>
                <w14:textFill>
                  <w14:solidFill>
                    <w14:schemeClr w14:val="tx1"/>
                  </w14:solidFill>
                </w14:textFill>
              </w:rPr>
            </w:pPr>
          </w:p>
        </w:tc>
      </w:tr>
      <w:tr w14:paraId="1A4A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6183D121">
            <w:pPr>
              <w:pStyle w:val="54"/>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本单位申请参加下列采购项目的投标：</w:t>
            </w:r>
          </w:p>
        </w:tc>
      </w:tr>
      <w:tr w14:paraId="24BE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0B725CA">
            <w:pPr>
              <w:pStyle w:val="54"/>
              <w:ind w:firstLine="480"/>
              <w:jc w:val="center"/>
              <w:rPr>
                <w:rFonts w:ascii="宋体" w:hAnsi="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B71E66C">
            <w:pPr>
              <w:pStyle w:val="54"/>
              <w:ind w:firstLine="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516A09E">
            <w:pPr>
              <w:pStyle w:val="54"/>
              <w:ind w:firstLine="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3BFBB603">
            <w:pPr>
              <w:pStyle w:val="54"/>
              <w:ind w:firstLine="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p>
        </w:tc>
      </w:tr>
      <w:tr w14:paraId="2403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5C92C7A">
            <w:pPr>
              <w:pStyle w:val="5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43C6EF">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996AB97">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35039A6B">
            <w:pPr>
              <w:pStyle w:val="54"/>
              <w:ind w:firstLine="480"/>
              <w:jc w:val="center"/>
              <w:rPr>
                <w:rFonts w:ascii="宋体" w:hAnsi="宋体" w:cs="宋体"/>
                <w:color w:val="000000" w:themeColor="text1"/>
                <w:sz w:val="24"/>
                <w14:textFill>
                  <w14:solidFill>
                    <w14:schemeClr w14:val="tx1"/>
                  </w14:solidFill>
                </w14:textFill>
              </w:rPr>
            </w:pPr>
          </w:p>
        </w:tc>
      </w:tr>
      <w:tr w14:paraId="39C24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019A2B">
            <w:pPr>
              <w:pStyle w:val="5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A796415">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D94D765">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23D88C4A">
            <w:pPr>
              <w:pStyle w:val="54"/>
              <w:ind w:firstLine="480"/>
              <w:jc w:val="center"/>
              <w:rPr>
                <w:rFonts w:ascii="宋体" w:hAnsi="宋体" w:cs="宋体"/>
                <w:color w:val="000000" w:themeColor="text1"/>
                <w:sz w:val="24"/>
                <w14:textFill>
                  <w14:solidFill>
                    <w14:schemeClr w14:val="tx1"/>
                  </w14:solidFill>
                </w14:textFill>
              </w:rPr>
            </w:pPr>
          </w:p>
        </w:tc>
      </w:tr>
      <w:tr w14:paraId="296DA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8CA61EF">
            <w:pPr>
              <w:pStyle w:val="5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04343AF">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A4639F7">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C7B939B">
            <w:pPr>
              <w:pStyle w:val="54"/>
              <w:ind w:firstLine="480"/>
              <w:jc w:val="center"/>
              <w:rPr>
                <w:rFonts w:ascii="宋体" w:hAnsi="宋体" w:cs="宋体"/>
                <w:color w:val="000000" w:themeColor="text1"/>
                <w:sz w:val="24"/>
                <w14:textFill>
                  <w14:solidFill>
                    <w14:schemeClr w14:val="tx1"/>
                  </w14:solidFill>
                </w14:textFill>
              </w:rPr>
            </w:pPr>
          </w:p>
        </w:tc>
      </w:tr>
      <w:tr w14:paraId="79B78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7766609">
            <w:pPr>
              <w:pStyle w:val="5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1BFE7A7">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97B2546">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AABCDF8">
            <w:pPr>
              <w:pStyle w:val="54"/>
              <w:ind w:firstLine="480"/>
              <w:jc w:val="center"/>
              <w:rPr>
                <w:rFonts w:ascii="宋体" w:hAnsi="宋体" w:cs="宋体"/>
                <w:color w:val="000000" w:themeColor="text1"/>
                <w:sz w:val="24"/>
                <w14:textFill>
                  <w14:solidFill>
                    <w14:schemeClr w14:val="tx1"/>
                  </w14:solidFill>
                </w14:textFill>
              </w:rPr>
            </w:pPr>
          </w:p>
        </w:tc>
      </w:tr>
      <w:tr w14:paraId="71752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F5C936E">
            <w:pPr>
              <w:pStyle w:val="54"/>
              <w:ind w:firstLine="480"/>
              <w:jc w:val="center"/>
              <w:rPr>
                <w:rFonts w:ascii="宋体" w:hAnsi="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4DE9ADF">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E463B99">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099985EE">
            <w:pPr>
              <w:pStyle w:val="54"/>
              <w:ind w:firstLine="480"/>
              <w:jc w:val="center"/>
              <w:rPr>
                <w:rFonts w:ascii="宋体" w:hAnsi="宋体" w:cs="宋体"/>
                <w:color w:val="000000" w:themeColor="text1"/>
                <w:sz w:val="24"/>
                <w14:textFill>
                  <w14:solidFill>
                    <w14:schemeClr w14:val="tx1"/>
                  </w14:solidFill>
                </w14:textFill>
              </w:rPr>
            </w:pPr>
          </w:p>
        </w:tc>
      </w:tr>
      <w:tr w14:paraId="66170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601F969">
            <w:pPr>
              <w:pStyle w:val="54"/>
              <w:ind w:firstLine="480"/>
              <w:jc w:val="center"/>
              <w:rPr>
                <w:rFonts w:ascii="宋体" w:hAnsi="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4259086">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3CC5D85">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CE4DE54">
            <w:pPr>
              <w:pStyle w:val="54"/>
              <w:ind w:firstLine="480"/>
              <w:jc w:val="center"/>
              <w:rPr>
                <w:rFonts w:ascii="宋体" w:hAnsi="宋体" w:cs="宋体"/>
                <w:color w:val="000000" w:themeColor="text1"/>
                <w:sz w:val="24"/>
                <w14:textFill>
                  <w14:solidFill>
                    <w14:schemeClr w14:val="tx1"/>
                  </w14:solidFill>
                </w14:textFill>
              </w:rPr>
            </w:pPr>
          </w:p>
        </w:tc>
      </w:tr>
      <w:tr w14:paraId="467DC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E25FF5F">
            <w:pPr>
              <w:pStyle w:val="54"/>
              <w:ind w:firstLine="480"/>
              <w:jc w:val="center"/>
              <w:rPr>
                <w:rFonts w:ascii="宋体" w:hAnsi="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08AC671">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0771AA4">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53AE5256">
            <w:pPr>
              <w:pStyle w:val="54"/>
              <w:ind w:firstLine="480"/>
              <w:jc w:val="center"/>
              <w:rPr>
                <w:rFonts w:ascii="宋体" w:hAnsi="宋体" w:cs="宋体"/>
                <w:color w:val="000000" w:themeColor="text1"/>
                <w:sz w:val="24"/>
                <w14:textFill>
                  <w14:solidFill>
                    <w14:schemeClr w14:val="tx1"/>
                  </w14:solidFill>
                </w14:textFill>
              </w:rPr>
            </w:pPr>
          </w:p>
        </w:tc>
      </w:tr>
      <w:tr w14:paraId="0E8B6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21E863C">
            <w:pPr>
              <w:pStyle w:val="54"/>
              <w:ind w:firstLine="480"/>
              <w:jc w:val="center"/>
              <w:rPr>
                <w:rFonts w:ascii="宋体" w:hAnsi="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0B15815">
            <w:pPr>
              <w:pStyle w:val="54"/>
              <w:ind w:firstLine="480"/>
              <w:jc w:val="center"/>
              <w:rPr>
                <w:rFonts w:ascii="宋体" w:hAnsi="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646E4EA">
            <w:pPr>
              <w:pStyle w:val="54"/>
              <w:ind w:firstLine="480"/>
              <w:jc w:val="center"/>
              <w:rPr>
                <w:rFonts w:ascii="宋体" w:hAnsi="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2D6E49D">
            <w:pPr>
              <w:pStyle w:val="54"/>
              <w:ind w:firstLine="480"/>
              <w:jc w:val="center"/>
              <w:rPr>
                <w:rFonts w:ascii="宋体" w:hAnsi="宋体" w:cs="宋体"/>
                <w:color w:val="000000" w:themeColor="text1"/>
                <w:sz w:val="24"/>
                <w14:textFill>
                  <w14:solidFill>
                    <w14:schemeClr w14:val="tx1"/>
                  </w14:solidFill>
                </w14:textFill>
              </w:rPr>
            </w:pPr>
          </w:p>
        </w:tc>
      </w:tr>
    </w:tbl>
    <w:p w14:paraId="69577DE0">
      <w:pPr>
        <w:pStyle w:val="53"/>
        <w:spacing w:line="520" w:lineRule="exact"/>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6"/>
          <w:szCs w:val="36"/>
          <w14:textFill>
            <w14:solidFill>
              <w14:schemeClr w14:val="tx1"/>
            </w14:solidFill>
          </w14:textFill>
        </w:rPr>
        <w:br w:type="page"/>
      </w:r>
      <w:r>
        <w:rPr>
          <w:rFonts w:hint="eastAsia" w:hAnsi="宋体" w:cs="宋体"/>
          <w:b/>
          <w:color w:val="000000" w:themeColor="text1"/>
          <w:sz w:val="32"/>
          <w:szCs w:val="32"/>
          <w14:textFill>
            <w14:solidFill>
              <w14:schemeClr w14:val="tx1"/>
            </w14:solidFill>
          </w14:textFill>
        </w:rPr>
        <w:t>3、</w:t>
      </w:r>
      <w:r>
        <w:rPr>
          <w:rFonts w:hint="eastAsia" w:hAnsi="宋体" w:cs="宋体"/>
          <w:b/>
          <w:color w:val="000000" w:themeColor="text1"/>
          <w:sz w:val="32"/>
          <w14:textFill>
            <w14:solidFill>
              <w14:schemeClr w14:val="tx1"/>
            </w14:solidFill>
          </w14:textFill>
        </w:rPr>
        <w:t>代理服务费支付承诺书</w:t>
      </w:r>
    </w:p>
    <w:p w14:paraId="2A2DD1EC">
      <w:pPr>
        <w:spacing w:line="360" w:lineRule="auto"/>
        <w:jc w:val="left"/>
        <w:rPr>
          <w:rFonts w:ascii="宋体" w:hAnsi="宋体" w:cs="宋体"/>
          <w:color w:val="000000" w:themeColor="text1"/>
          <w:sz w:val="32"/>
          <w:szCs w:val="32"/>
          <w14:textFill>
            <w14:solidFill>
              <w14:schemeClr w14:val="tx1"/>
            </w14:solidFill>
          </w14:textFill>
        </w:rPr>
      </w:pPr>
    </w:p>
    <w:p w14:paraId="17B31A8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浙江大兴建设项目管理咨询有限公司：</w:t>
      </w:r>
    </w:p>
    <w:p w14:paraId="267F2CDC">
      <w:pPr>
        <w:spacing w:line="360" w:lineRule="auto"/>
        <w:ind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6C1260B1">
      <w:pPr>
        <w:spacing w:line="360" w:lineRule="auto"/>
        <w:jc w:val="left"/>
        <w:rPr>
          <w:rFonts w:ascii="宋体" w:hAnsi="宋体" w:cs="宋体"/>
          <w:b/>
          <w:color w:val="000000" w:themeColor="text1"/>
          <w:sz w:val="24"/>
          <w14:textFill>
            <w14:solidFill>
              <w14:schemeClr w14:val="tx1"/>
            </w14:solidFill>
          </w14:textFill>
        </w:rPr>
      </w:pPr>
    </w:p>
    <w:p w14:paraId="3A940EE2">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p>
    <w:p w14:paraId="72AA77DF">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代理服务费收取账户信息：</w:t>
      </w:r>
    </w:p>
    <w:p w14:paraId="6DF56DD2">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户名：浙江大兴建设项目管理咨询有限公司缙云分公司</w:t>
      </w:r>
    </w:p>
    <w:p w14:paraId="4F80C2E1">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 396158683598</w:t>
      </w:r>
    </w:p>
    <w:p w14:paraId="06B8E6AC">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开户行：中国银行股份有限公司缙云县支行</w:t>
      </w:r>
    </w:p>
    <w:p w14:paraId="7E307050">
      <w:pPr>
        <w:spacing w:line="360" w:lineRule="auto"/>
        <w:jc w:val="center"/>
        <w:rPr>
          <w:rFonts w:ascii="宋体" w:hAnsi="宋体" w:cs="宋体"/>
          <w:b/>
          <w:color w:val="000000" w:themeColor="text1"/>
          <w:sz w:val="36"/>
          <w:szCs w:val="32"/>
          <w14:textFill>
            <w14:solidFill>
              <w14:schemeClr w14:val="tx1"/>
            </w14:solidFill>
          </w14:textFill>
        </w:rPr>
      </w:pPr>
    </w:p>
    <w:p w14:paraId="204389E7">
      <w:pPr>
        <w:spacing w:line="360" w:lineRule="auto"/>
        <w:jc w:val="center"/>
        <w:rPr>
          <w:rFonts w:ascii="宋体" w:hAnsi="宋体" w:cs="宋体"/>
          <w:b/>
          <w:color w:val="000000" w:themeColor="text1"/>
          <w:sz w:val="32"/>
          <w:szCs w:val="28"/>
          <w14:textFill>
            <w14:solidFill>
              <w14:schemeClr w14:val="tx1"/>
            </w14:solidFill>
          </w14:textFill>
        </w:rPr>
      </w:pPr>
    </w:p>
    <w:p w14:paraId="0611DEEC">
      <w:pPr>
        <w:spacing w:line="360" w:lineRule="auto"/>
        <w:jc w:val="center"/>
        <w:rPr>
          <w:rFonts w:ascii="宋体" w:hAnsi="宋体" w:cs="宋体"/>
          <w:b/>
          <w:color w:val="000000" w:themeColor="text1"/>
          <w:sz w:val="32"/>
          <w:szCs w:val="28"/>
          <w14:textFill>
            <w14:solidFill>
              <w14:schemeClr w14:val="tx1"/>
            </w14:solidFill>
          </w14:textFill>
        </w:rPr>
      </w:pPr>
    </w:p>
    <w:p w14:paraId="1A773562">
      <w:pPr>
        <w:spacing w:line="360" w:lineRule="auto"/>
        <w:jc w:val="center"/>
        <w:rPr>
          <w:rFonts w:ascii="宋体" w:hAnsi="宋体" w:cs="宋体"/>
          <w:b/>
          <w:color w:val="000000" w:themeColor="text1"/>
          <w:sz w:val="32"/>
          <w:szCs w:val="28"/>
          <w14:textFill>
            <w14:solidFill>
              <w14:schemeClr w14:val="tx1"/>
            </w14:solidFill>
          </w14:textFill>
        </w:rPr>
      </w:pPr>
    </w:p>
    <w:p w14:paraId="72A8E243">
      <w:pPr>
        <w:spacing w:line="360" w:lineRule="auto"/>
        <w:jc w:val="center"/>
        <w:rPr>
          <w:rFonts w:ascii="宋体" w:hAnsi="宋体" w:cs="宋体"/>
          <w:b/>
          <w:color w:val="000000" w:themeColor="text1"/>
          <w:sz w:val="32"/>
          <w:szCs w:val="28"/>
          <w14:textFill>
            <w14:solidFill>
              <w14:schemeClr w14:val="tx1"/>
            </w14:solidFill>
          </w14:textFill>
        </w:rPr>
      </w:pPr>
    </w:p>
    <w:p w14:paraId="0B74AA84">
      <w:pPr>
        <w:spacing w:line="360" w:lineRule="auto"/>
        <w:jc w:val="center"/>
        <w:rPr>
          <w:rFonts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5、其  他</w:t>
      </w:r>
    </w:p>
    <w:p w14:paraId="1A015EE1">
      <w:pPr>
        <w:pStyle w:val="56"/>
        <w:spacing w:before="156" w:after="156"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除招标文件规定的要求外，投标人还可以提供如下证明材料：</w:t>
      </w:r>
    </w:p>
    <w:p w14:paraId="21979CB3">
      <w:pPr>
        <w:pStyle w:val="56"/>
        <w:spacing w:before="156" w:after="156"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fldChar w:fldCharType="begin"/>
      </w:r>
      <w:r>
        <w:rPr>
          <w:rFonts w:hint="eastAsia" w:hAnsi="宋体" w:cs="宋体"/>
          <w:color w:val="000000" w:themeColor="text1"/>
          <w:sz w:val="24"/>
          <w:szCs w:val="24"/>
          <w14:textFill>
            <w14:solidFill>
              <w14:schemeClr w14:val="tx1"/>
            </w14:solidFill>
          </w14:textFill>
        </w:rPr>
        <w:instrText xml:space="preserve"> = 1 \* GB2 </w:instrText>
      </w:r>
      <w:r>
        <w:rPr>
          <w:rFonts w:hint="eastAsia" w:hAnsi="宋体" w:cs="宋体"/>
          <w:color w:val="000000" w:themeColor="text1"/>
          <w:sz w:val="24"/>
          <w:szCs w:val="24"/>
          <w14:textFill>
            <w14:solidFill>
              <w14:schemeClr w14:val="tx1"/>
            </w14:solidFill>
          </w14:textFill>
        </w:rPr>
        <w:fldChar w:fldCharType="separate"/>
      </w:r>
      <w:r>
        <w:rPr>
          <w:rFonts w:hint="eastAsia" w:hAnsi="宋体" w:cs="宋体"/>
          <w:color w:val="000000" w:themeColor="text1"/>
          <w:sz w:val="24"/>
          <w:szCs w:val="24"/>
          <w14:textFill>
            <w14:solidFill>
              <w14:schemeClr w14:val="tx1"/>
            </w14:solidFill>
          </w14:textFill>
        </w:rPr>
        <w:t>⑴</w:t>
      </w:r>
      <w:r>
        <w:rPr>
          <w:rFonts w:hint="eastAsia" w:hAnsi="宋体" w:cs="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评标办法要求的其他资料；</w:t>
      </w:r>
    </w:p>
    <w:p w14:paraId="52BE8FB2">
      <w:pPr>
        <w:pStyle w:val="56"/>
        <w:spacing w:before="156" w:after="156"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fldChar w:fldCharType="begin"/>
      </w:r>
      <w:r>
        <w:rPr>
          <w:rFonts w:hint="eastAsia" w:hAnsi="宋体" w:cs="宋体"/>
          <w:color w:val="000000" w:themeColor="text1"/>
          <w:sz w:val="24"/>
          <w:szCs w:val="24"/>
          <w14:textFill>
            <w14:solidFill>
              <w14:schemeClr w14:val="tx1"/>
            </w14:solidFill>
          </w14:textFill>
        </w:rPr>
        <w:instrText xml:space="preserve"> = 2 \* GB2 </w:instrText>
      </w:r>
      <w:r>
        <w:rPr>
          <w:rFonts w:hint="eastAsia" w:hAnsi="宋体" w:cs="宋体"/>
          <w:color w:val="000000" w:themeColor="text1"/>
          <w:sz w:val="24"/>
          <w:szCs w:val="24"/>
          <w14:textFill>
            <w14:solidFill>
              <w14:schemeClr w14:val="tx1"/>
            </w14:solidFill>
          </w14:textFill>
        </w:rPr>
        <w:fldChar w:fldCharType="separate"/>
      </w:r>
      <w:r>
        <w:rPr>
          <w:rFonts w:hint="eastAsia" w:hAnsi="宋体" w:cs="宋体"/>
          <w:color w:val="000000" w:themeColor="text1"/>
          <w:sz w:val="24"/>
          <w:szCs w:val="24"/>
          <w14:textFill>
            <w14:solidFill>
              <w14:schemeClr w14:val="tx1"/>
            </w14:solidFill>
          </w14:textFill>
        </w:rPr>
        <w:t>⑵</w:t>
      </w:r>
      <w:r>
        <w:rPr>
          <w:rFonts w:hint="eastAsia" w:hAnsi="宋体" w:cs="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投标人认为需要提供的其他材料，但不得出现报价。</w:t>
      </w:r>
    </w:p>
    <w:p w14:paraId="752335A1">
      <w:pPr>
        <w:spacing w:line="360" w:lineRule="auto"/>
        <w:jc w:val="center"/>
        <w:rPr>
          <w:rFonts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br w:type="page"/>
      </w:r>
      <w:bookmarkEnd w:id="118"/>
      <w:bookmarkEnd w:id="119"/>
      <w:bookmarkStart w:id="120" w:name="_Toc58318190"/>
      <w:bookmarkStart w:id="121" w:name="_Toc65051207"/>
    </w:p>
    <w:p w14:paraId="6DA7C97F">
      <w:pPr>
        <w:spacing w:line="360" w:lineRule="auto"/>
        <w:rPr>
          <w:rFonts w:ascii="宋体" w:hAnsi="宋体" w:cs="宋体"/>
          <w:color w:val="000000" w:themeColor="text1"/>
          <w:sz w:val="32"/>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t>（二）技术</w:t>
      </w:r>
      <w:bookmarkEnd w:id="120"/>
      <w:bookmarkEnd w:id="121"/>
      <w:bookmarkStart w:id="122" w:name="_Toc208049590"/>
      <w:r>
        <w:rPr>
          <w:rFonts w:hint="eastAsia" w:ascii="宋体" w:hAnsi="宋体" w:cs="宋体"/>
          <w:color w:val="000000" w:themeColor="text1"/>
          <w:sz w:val="32"/>
          <w:szCs w:val="28"/>
          <w14:textFill>
            <w14:solidFill>
              <w14:schemeClr w14:val="tx1"/>
            </w14:solidFill>
          </w14:textFill>
        </w:rPr>
        <w:t>部分</w:t>
      </w:r>
    </w:p>
    <w:p w14:paraId="0A050327">
      <w:pPr>
        <w:spacing w:line="360" w:lineRule="auto"/>
        <w:jc w:val="center"/>
        <w:outlineLvl w:val="3"/>
        <w:rPr>
          <w:rFonts w:ascii="宋体" w:hAnsi="宋体" w:cs="宋体"/>
          <w:b/>
          <w:bCs/>
          <w:color w:val="000000" w:themeColor="text1"/>
          <w:sz w:val="28"/>
          <w:szCs w:val="28"/>
          <w14:textFill>
            <w14:solidFill>
              <w14:schemeClr w14:val="tx1"/>
            </w14:solidFill>
          </w14:textFill>
        </w:rPr>
      </w:pPr>
      <w:bookmarkStart w:id="123" w:name="_Toc493956063"/>
      <w:bookmarkStart w:id="124" w:name="_Toc530551887"/>
      <w:r>
        <w:rPr>
          <w:rFonts w:hint="eastAsia" w:ascii="宋体" w:hAnsi="宋体" w:cs="宋体"/>
          <w:b/>
          <w:bCs/>
          <w:color w:val="000000" w:themeColor="text1"/>
          <w:sz w:val="28"/>
          <w:szCs w:val="28"/>
          <w14:textFill>
            <w14:solidFill>
              <w14:schemeClr w14:val="tx1"/>
            </w14:solidFill>
          </w14:textFill>
        </w:rPr>
        <w:t>1、商务响应表</w:t>
      </w:r>
    </w:p>
    <w:p w14:paraId="53CAD4B6">
      <w:pPr>
        <w:pStyle w:val="58"/>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p w14:paraId="190BAA00">
      <w:pPr>
        <w:pStyle w:val="58"/>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                               标项（若有）：</w:t>
      </w:r>
    </w:p>
    <w:tbl>
      <w:tblPr>
        <w:tblStyle w:val="26"/>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14:paraId="5BF6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0AE93EF1">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446" w:type="dxa"/>
            <w:vAlign w:val="center"/>
          </w:tcPr>
          <w:p w14:paraId="1476E89D">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采购文件要求</w:t>
            </w:r>
          </w:p>
        </w:tc>
        <w:tc>
          <w:tcPr>
            <w:tcW w:w="2969" w:type="dxa"/>
            <w:vAlign w:val="center"/>
          </w:tcPr>
          <w:p w14:paraId="496C2868">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供应商是否响应</w:t>
            </w:r>
          </w:p>
        </w:tc>
        <w:tc>
          <w:tcPr>
            <w:tcW w:w="2347" w:type="dxa"/>
            <w:vAlign w:val="center"/>
          </w:tcPr>
          <w:p w14:paraId="5B5F6B87">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368E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1E697C12">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46" w:type="dxa"/>
            <w:vAlign w:val="center"/>
          </w:tcPr>
          <w:p w14:paraId="2117C216">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42B2270B">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1C463EA1">
            <w:pPr>
              <w:pStyle w:val="58"/>
              <w:jc w:val="center"/>
              <w:rPr>
                <w:rFonts w:ascii="宋体" w:hAnsi="宋体" w:cs="宋体"/>
                <w:color w:val="000000" w:themeColor="text1"/>
                <w:sz w:val="24"/>
                <w14:textFill>
                  <w14:solidFill>
                    <w14:schemeClr w14:val="tx1"/>
                  </w14:solidFill>
                </w14:textFill>
              </w:rPr>
            </w:pPr>
          </w:p>
        </w:tc>
      </w:tr>
      <w:tr w14:paraId="0E07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5A6F4D8B">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46" w:type="dxa"/>
            <w:vAlign w:val="center"/>
          </w:tcPr>
          <w:p w14:paraId="39C4B6D1">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3BF0CC5A">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22E0C70B">
            <w:pPr>
              <w:pStyle w:val="58"/>
              <w:jc w:val="center"/>
              <w:rPr>
                <w:rFonts w:ascii="宋体" w:hAnsi="宋体" w:cs="宋体"/>
                <w:color w:val="000000" w:themeColor="text1"/>
                <w:sz w:val="24"/>
                <w14:textFill>
                  <w14:solidFill>
                    <w14:schemeClr w14:val="tx1"/>
                  </w14:solidFill>
                </w14:textFill>
              </w:rPr>
            </w:pPr>
          </w:p>
        </w:tc>
      </w:tr>
      <w:tr w14:paraId="1AD7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21BB0DCB">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46" w:type="dxa"/>
            <w:vAlign w:val="center"/>
          </w:tcPr>
          <w:p w14:paraId="4A4CA34F">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5E9119B7">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73FD1681">
            <w:pPr>
              <w:pStyle w:val="58"/>
              <w:jc w:val="center"/>
              <w:rPr>
                <w:rFonts w:ascii="宋体" w:hAnsi="宋体" w:cs="宋体"/>
                <w:color w:val="000000" w:themeColor="text1"/>
                <w:sz w:val="24"/>
                <w14:textFill>
                  <w14:solidFill>
                    <w14:schemeClr w14:val="tx1"/>
                  </w14:solidFill>
                </w14:textFill>
              </w:rPr>
            </w:pPr>
          </w:p>
        </w:tc>
      </w:tr>
      <w:tr w14:paraId="5FA4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A92F9B9">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446" w:type="dxa"/>
            <w:vAlign w:val="center"/>
          </w:tcPr>
          <w:p w14:paraId="57BCCD19">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7F6F46CD">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4EC87444">
            <w:pPr>
              <w:pStyle w:val="58"/>
              <w:jc w:val="center"/>
              <w:rPr>
                <w:rFonts w:ascii="宋体" w:hAnsi="宋体" w:cs="宋体"/>
                <w:color w:val="000000" w:themeColor="text1"/>
                <w:sz w:val="24"/>
                <w14:textFill>
                  <w14:solidFill>
                    <w14:schemeClr w14:val="tx1"/>
                  </w14:solidFill>
                </w14:textFill>
              </w:rPr>
            </w:pPr>
          </w:p>
        </w:tc>
      </w:tr>
      <w:tr w14:paraId="4CB0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3A849BD9">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3446" w:type="dxa"/>
            <w:vAlign w:val="center"/>
          </w:tcPr>
          <w:p w14:paraId="48ADA068">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27ABA4B2">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23DCB91F">
            <w:pPr>
              <w:pStyle w:val="58"/>
              <w:jc w:val="center"/>
              <w:rPr>
                <w:rFonts w:ascii="宋体" w:hAnsi="宋体" w:cs="宋体"/>
                <w:color w:val="000000" w:themeColor="text1"/>
                <w:sz w:val="24"/>
                <w14:textFill>
                  <w14:solidFill>
                    <w14:schemeClr w14:val="tx1"/>
                  </w14:solidFill>
                </w14:textFill>
              </w:rPr>
            </w:pPr>
          </w:p>
        </w:tc>
      </w:tr>
      <w:tr w14:paraId="385E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2E686426">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446" w:type="dxa"/>
            <w:vAlign w:val="center"/>
          </w:tcPr>
          <w:p w14:paraId="75773DC7">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5A5E5C0C">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23481D6D">
            <w:pPr>
              <w:pStyle w:val="58"/>
              <w:jc w:val="center"/>
              <w:rPr>
                <w:rFonts w:ascii="宋体" w:hAnsi="宋体" w:cs="宋体"/>
                <w:color w:val="000000" w:themeColor="text1"/>
                <w:sz w:val="24"/>
                <w14:textFill>
                  <w14:solidFill>
                    <w14:schemeClr w14:val="tx1"/>
                  </w14:solidFill>
                </w14:textFill>
              </w:rPr>
            </w:pPr>
          </w:p>
        </w:tc>
      </w:tr>
      <w:tr w14:paraId="7677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14:paraId="678E8273">
            <w:pPr>
              <w:pStyle w:val="5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3446" w:type="dxa"/>
            <w:vAlign w:val="center"/>
          </w:tcPr>
          <w:p w14:paraId="0B60E0B0">
            <w:pPr>
              <w:pStyle w:val="58"/>
              <w:jc w:val="center"/>
              <w:rPr>
                <w:rFonts w:ascii="宋体" w:hAnsi="宋体" w:cs="宋体"/>
                <w:color w:val="000000" w:themeColor="text1"/>
                <w:sz w:val="24"/>
                <w14:textFill>
                  <w14:solidFill>
                    <w14:schemeClr w14:val="tx1"/>
                  </w14:solidFill>
                </w14:textFill>
              </w:rPr>
            </w:pPr>
          </w:p>
        </w:tc>
        <w:tc>
          <w:tcPr>
            <w:tcW w:w="2969" w:type="dxa"/>
            <w:vAlign w:val="center"/>
          </w:tcPr>
          <w:p w14:paraId="79E18D8E">
            <w:pPr>
              <w:pStyle w:val="58"/>
              <w:jc w:val="center"/>
              <w:rPr>
                <w:rFonts w:ascii="宋体" w:hAnsi="宋体" w:cs="宋体"/>
                <w:color w:val="000000" w:themeColor="text1"/>
                <w:sz w:val="24"/>
                <w14:textFill>
                  <w14:solidFill>
                    <w14:schemeClr w14:val="tx1"/>
                  </w14:solidFill>
                </w14:textFill>
              </w:rPr>
            </w:pPr>
          </w:p>
        </w:tc>
        <w:tc>
          <w:tcPr>
            <w:tcW w:w="2347" w:type="dxa"/>
            <w:vAlign w:val="center"/>
          </w:tcPr>
          <w:p w14:paraId="29D6D906">
            <w:pPr>
              <w:pStyle w:val="58"/>
              <w:jc w:val="center"/>
              <w:rPr>
                <w:rFonts w:ascii="宋体" w:hAnsi="宋体" w:cs="宋体"/>
                <w:color w:val="000000" w:themeColor="text1"/>
                <w:sz w:val="24"/>
                <w14:textFill>
                  <w14:solidFill>
                    <w14:schemeClr w14:val="tx1"/>
                  </w14:solidFill>
                </w14:textFill>
              </w:rPr>
            </w:pPr>
          </w:p>
        </w:tc>
      </w:tr>
    </w:tbl>
    <w:p w14:paraId="57E3A07A">
      <w:pPr>
        <w:pStyle w:val="17"/>
        <w:snapToGrid w:val="0"/>
        <w:ind w:left="480" w:hanging="480"/>
        <w:jc w:val="left"/>
        <w:rPr>
          <w:rFonts w:ascii="宋体" w:hAnsi="宋体" w:cs="宋体"/>
          <w:color w:val="000000" w:themeColor="text1"/>
          <w:sz w:val="24"/>
          <w14:textFill>
            <w14:solidFill>
              <w14:schemeClr w14:val="tx1"/>
            </w14:solidFill>
          </w14:textFill>
        </w:rPr>
      </w:pPr>
    </w:p>
    <w:p w14:paraId="7E313BF0">
      <w:pPr>
        <w:pStyle w:val="50"/>
        <w:wordWrap w:val="0"/>
        <w:spacing w:line="360" w:lineRule="auto"/>
        <w:ind w:firstLine="480"/>
        <w:jc w:val="righ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供应商盖章：</w:t>
      </w:r>
      <w:r>
        <w:rPr>
          <w:rFonts w:hint="eastAsia" w:ascii="宋体" w:hAnsi="宋体" w:cs="宋体"/>
          <w:color w:val="000000" w:themeColor="text1"/>
          <w:sz w:val="24"/>
          <w:u w:val="single"/>
          <w14:textFill>
            <w14:solidFill>
              <w14:schemeClr w14:val="tx1"/>
            </w14:solidFill>
          </w14:textFill>
        </w:rPr>
        <w:t xml:space="preserve">                </w:t>
      </w:r>
    </w:p>
    <w:p w14:paraId="4CCBBED6">
      <w:pPr>
        <w:pStyle w:val="52"/>
        <w:spacing w:line="360" w:lineRule="auto"/>
        <w:ind w:firstLine="6480" w:firstLineChars="2700"/>
        <w:rPr>
          <w:rFonts w:hAnsi="宋体" w:cs="宋体"/>
          <w:color w:val="000000" w:themeColor="text1"/>
          <w:sz w:val="22"/>
          <w:szCs w:val="22"/>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日      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2"/>
          <w:szCs w:val="22"/>
          <w:u w:val="single"/>
          <w14:textFill>
            <w14:solidFill>
              <w14:schemeClr w14:val="tx1"/>
            </w14:solidFill>
          </w14:textFill>
        </w:rPr>
        <w:t xml:space="preserve">  </w:t>
      </w:r>
    </w:p>
    <w:p w14:paraId="7B59CE3C">
      <w:pPr>
        <w:rPr>
          <w:rFonts w:ascii="宋体" w:hAnsi="宋体" w:cs="宋体"/>
          <w:b/>
          <w:bCs/>
          <w:color w:val="000000" w:themeColor="text1"/>
          <w:sz w:val="28"/>
          <w:szCs w:val="28"/>
          <w14:textFill>
            <w14:solidFill>
              <w14:schemeClr w14:val="tx1"/>
            </w14:solidFill>
          </w14:textFill>
        </w:rPr>
      </w:pPr>
    </w:p>
    <w:p w14:paraId="6FA88A3D">
      <w:pP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14:paraId="73962A07">
      <w:pPr>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2、技术规格偏离表</w:t>
      </w:r>
    </w:p>
    <w:p w14:paraId="04A957D6">
      <w:pPr>
        <w:pStyle w:val="6"/>
        <w:spacing w:before="0" w:after="0"/>
        <w:ind w:firstLine="0" w:firstLineChars="0"/>
        <w:jc w:val="center"/>
        <w:rPr>
          <w:rFonts w:ascii="宋体" w:hAnsi="宋体" w:eastAsia="宋体" w:cs="宋体"/>
          <w:color w:val="000000" w:themeColor="text1"/>
          <w:sz w:val="28"/>
          <w:szCs w:val="28"/>
          <w14:textFill>
            <w14:solidFill>
              <w14:schemeClr w14:val="tx1"/>
            </w14:solidFill>
          </w14:textFill>
        </w:rPr>
      </w:pPr>
      <w:bookmarkStart w:id="125" w:name="_Toc2978"/>
      <w:bookmarkStart w:id="126" w:name="_Toc22428"/>
      <w:bookmarkStart w:id="127" w:name="_Toc8209"/>
      <w:bookmarkStart w:id="128" w:name="_Toc1752"/>
      <w:r>
        <w:rPr>
          <w:rFonts w:hint="eastAsia" w:ascii="宋体" w:hAnsi="宋体" w:eastAsia="宋体" w:cs="宋体"/>
          <w:color w:val="000000" w:themeColor="text1"/>
          <w:sz w:val="28"/>
          <w:szCs w:val="28"/>
          <w14:textFill>
            <w14:solidFill>
              <w14:schemeClr w14:val="tx1"/>
            </w14:solidFill>
          </w14:textFill>
        </w:rPr>
        <w:t>技术规格偏离表</w:t>
      </w:r>
      <w:bookmarkEnd w:id="125"/>
      <w:bookmarkEnd w:id="126"/>
      <w:bookmarkEnd w:id="127"/>
      <w:bookmarkEnd w:id="128"/>
    </w:p>
    <w:tbl>
      <w:tblPr>
        <w:tblStyle w:val="26"/>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14:paraId="50EF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5" w:type="dxa"/>
            <w:tcBorders>
              <w:top w:val="single" w:color="auto" w:sz="4" w:space="0"/>
              <w:left w:val="single" w:color="auto" w:sz="4" w:space="0"/>
              <w:right w:val="single" w:color="auto" w:sz="4" w:space="0"/>
            </w:tcBorders>
            <w:vAlign w:val="center"/>
          </w:tcPr>
          <w:p w14:paraId="6C972EF4">
            <w:pPr>
              <w:pStyle w:val="68"/>
              <w:tabs>
                <w:tab w:val="left" w:pos="3200"/>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14:paraId="6A07698C">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招标文件要求的规格参数</w:t>
            </w:r>
          </w:p>
        </w:tc>
        <w:tc>
          <w:tcPr>
            <w:tcW w:w="1831" w:type="dxa"/>
            <w:tcBorders>
              <w:top w:val="single" w:color="auto" w:sz="4" w:space="0"/>
              <w:left w:val="single" w:color="auto" w:sz="4" w:space="0"/>
              <w:right w:val="single" w:color="auto" w:sz="4" w:space="0"/>
            </w:tcBorders>
            <w:vAlign w:val="center"/>
          </w:tcPr>
          <w:p w14:paraId="3925163F">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投标产品详细规格参数</w:t>
            </w:r>
          </w:p>
        </w:tc>
        <w:tc>
          <w:tcPr>
            <w:tcW w:w="1350" w:type="dxa"/>
            <w:tcBorders>
              <w:top w:val="single" w:color="auto" w:sz="4" w:space="0"/>
              <w:left w:val="single" w:color="auto" w:sz="4" w:space="0"/>
              <w:right w:val="single" w:color="auto" w:sz="4" w:space="0"/>
            </w:tcBorders>
            <w:vAlign w:val="center"/>
          </w:tcPr>
          <w:p w14:paraId="2BF9413B">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14:paraId="61194881">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提供的相应佐证材料对应的页码（如有）</w:t>
            </w:r>
          </w:p>
        </w:tc>
        <w:tc>
          <w:tcPr>
            <w:tcW w:w="1290" w:type="dxa"/>
            <w:tcBorders>
              <w:top w:val="single" w:color="auto" w:sz="4" w:space="0"/>
              <w:left w:val="single" w:color="auto" w:sz="4" w:space="0"/>
              <w:right w:val="single" w:color="auto" w:sz="4" w:space="0"/>
            </w:tcBorders>
            <w:vAlign w:val="center"/>
          </w:tcPr>
          <w:p w14:paraId="766094ED">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687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02B524E4">
            <w:pPr>
              <w:pStyle w:val="68"/>
              <w:tabs>
                <w:tab w:val="left" w:pos="320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14:paraId="5FB1DCD2">
            <w:pPr>
              <w:pStyle w:val="68"/>
              <w:jc w:val="center"/>
              <w:rPr>
                <w:rFonts w:ascii="宋体" w:hAnsi="宋体" w:cs="宋体"/>
                <w:color w:val="000000" w:themeColor="text1"/>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4FE34CC">
            <w:pPr>
              <w:pStyle w:val="68"/>
              <w:jc w:val="center"/>
              <w:rPr>
                <w:rFonts w:ascii="宋体" w:hAnsi="宋体" w:cs="宋体"/>
                <w:color w:val="000000" w:themeColor="text1"/>
                <w:sz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1AE8A19E">
            <w:pPr>
              <w:pStyle w:val="68"/>
              <w:jc w:val="center"/>
              <w:rPr>
                <w:rFonts w:ascii="宋体" w:hAnsi="宋体" w:cs="宋体"/>
                <w:color w:val="000000" w:themeColor="text1"/>
                <w:sz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03315BA6">
            <w:pPr>
              <w:pStyle w:val="68"/>
              <w:jc w:val="center"/>
              <w:rPr>
                <w:rFonts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0934F7F0">
            <w:pPr>
              <w:pStyle w:val="68"/>
              <w:jc w:val="center"/>
              <w:rPr>
                <w:rFonts w:ascii="宋体" w:hAnsi="宋体" w:cs="宋体"/>
                <w:color w:val="000000" w:themeColor="text1"/>
                <w:sz w:val="24"/>
                <w14:textFill>
                  <w14:solidFill>
                    <w14:schemeClr w14:val="tx1"/>
                  </w14:solidFill>
                </w14:textFill>
              </w:rPr>
            </w:pPr>
          </w:p>
        </w:tc>
      </w:tr>
      <w:tr w14:paraId="7B31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6E22EEE9">
            <w:pPr>
              <w:pStyle w:val="68"/>
              <w:tabs>
                <w:tab w:val="left" w:pos="320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14:paraId="2FFBFB81">
            <w:pPr>
              <w:pStyle w:val="68"/>
              <w:jc w:val="center"/>
              <w:rPr>
                <w:rFonts w:ascii="宋体" w:hAnsi="宋体" w:cs="宋体"/>
                <w:color w:val="000000" w:themeColor="text1"/>
                <w:sz w:val="24"/>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116420A">
            <w:pPr>
              <w:pStyle w:val="68"/>
              <w:jc w:val="center"/>
              <w:rPr>
                <w:rFonts w:ascii="宋体" w:hAnsi="宋体" w:cs="宋体"/>
                <w:color w:val="000000" w:themeColor="text1"/>
                <w:sz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2B8D24E0">
            <w:pPr>
              <w:pStyle w:val="68"/>
              <w:jc w:val="center"/>
              <w:rPr>
                <w:rFonts w:ascii="宋体" w:hAnsi="宋体" w:cs="宋体"/>
                <w:color w:val="000000" w:themeColor="text1"/>
                <w:sz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07340A68">
            <w:pPr>
              <w:pStyle w:val="68"/>
              <w:jc w:val="center"/>
              <w:rPr>
                <w:rFonts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05CC7DD0">
            <w:pPr>
              <w:pStyle w:val="68"/>
              <w:jc w:val="center"/>
              <w:rPr>
                <w:rFonts w:ascii="宋体" w:hAnsi="宋体" w:cs="宋体"/>
                <w:color w:val="000000" w:themeColor="text1"/>
                <w:sz w:val="24"/>
                <w14:textFill>
                  <w14:solidFill>
                    <w14:schemeClr w14:val="tx1"/>
                  </w14:solidFill>
                </w14:textFill>
              </w:rPr>
            </w:pPr>
          </w:p>
        </w:tc>
      </w:tr>
      <w:tr w14:paraId="1238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14:paraId="3AB7A154">
            <w:pPr>
              <w:pStyle w:val="68"/>
              <w:tabs>
                <w:tab w:val="left" w:pos="320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14:paraId="612ABB31">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14:paraId="7CBB758B">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14:paraId="44210574">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14:paraId="3E9158D9">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14:paraId="2E93F163">
            <w:pPr>
              <w:pStyle w:val="6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bl>
    <w:p w14:paraId="77EF6B71">
      <w:pPr>
        <w:pStyle w:val="6"/>
        <w:spacing w:before="0" w:after="0"/>
        <w:ind w:firstLine="0" w:firstLineChars="0"/>
        <w:rPr>
          <w:rFonts w:ascii="宋体" w:hAnsi="宋体" w:eastAsia="宋体" w:cs="宋体"/>
          <w:color w:val="000000" w:themeColor="text1"/>
          <w:sz w:val="28"/>
          <w:szCs w:val="28"/>
          <w14:textFill>
            <w14:solidFill>
              <w14:schemeClr w14:val="tx1"/>
            </w14:solidFill>
          </w14:textFill>
        </w:rPr>
      </w:pPr>
    </w:p>
    <w:p w14:paraId="39CD34CE">
      <w:pPr>
        <w:pStyle w:val="68"/>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注：请各投标人参照招标文件严格按以下要求认真填写偏离表：</w:t>
      </w:r>
    </w:p>
    <w:p w14:paraId="03AEA5F8">
      <w:pPr>
        <w:pStyle w:val="6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应根据投标货物的实际规格，并对照招标文件中采购需求内容要求，对确实存在投标规格要求与招标文件要求有偏离的情况，应真实、认真的填写本表。“招标文件要求的规格参数”“投标产品详细规格”“偏离情况”“提供的相应证明材料的页码”。“偏离情况”栏注明此项偏离为“正偏离”或“负偏离”或“无偏离”。偏离说明是指对招标文件要求存在不同之处的解释说明。偏离系指：正偏离（高于采购需求）、负偏离（低于采购需求）、无偏离（满足采购需求）。投标人应任何原因漏写或缺项或填写不正确的，后果由投标人自行承担。</w:t>
      </w:r>
    </w:p>
    <w:p w14:paraId="2C38FFE4">
      <w:pPr>
        <w:pStyle w:val="6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技术指标若有要求供应商提供相应佐证材料的，供应商未提供相应佐证材料或者供应商的响应承诺与其佐证材料不一致且于招标文件要求不符的，评审小组会将以不利于供应商的内容为准进行评审。投标人应真实填写本表，并对其真实性负责。</w:t>
      </w:r>
    </w:p>
    <w:p w14:paraId="1C02A03C">
      <w:pPr>
        <w:pStyle w:val="6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投标人注明的偏离情况只作为评审专家评定的参考，最终是否构成偏离或实质性偏离情况应由评标委员会决定。</w:t>
      </w:r>
    </w:p>
    <w:p w14:paraId="7FD4B898">
      <w:pPr>
        <w:pStyle w:val="68"/>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4.不允许存在实质性负偏离（招标文件中</w:t>
      </w:r>
      <w:r>
        <w:rPr>
          <w:rFonts w:hint="eastAsia" w:ascii="宋体" w:hAnsi="宋体" w:cs="宋体"/>
          <w:color w:val="000000" w:themeColor="text1"/>
          <w:sz w:val="24"/>
          <w:szCs w:val="20"/>
          <w14:textFill>
            <w14:solidFill>
              <w14:schemeClr w14:val="tx1"/>
            </w14:solidFill>
          </w14:textFill>
        </w:rPr>
        <w:t>“▲”条款为实质性条款）。</w:t>
      </w:r>
    </w:p>
    <w:p w14:paraId="13F02640">
      <w:pPr>
        <w:pStyle w:val="69"/>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5.投标规格的实际偏离情况以评标委员会综合评价为准，</w:t>
      </w:r>
      <w:r>
        <w:rPr>
          <w:rFonts w:hint="eastAsia" w:ascii="宋体" w:hAnsi="宋体" w:cs="宋体"/>
          <w:bCs/>
          <w:color w:val="000000" w:themeColor="text1"/>
          <w:sz w:val="24"/>
          <w14:textFill>
            <w14:solidFill>
              <w14:schemeClr w14:val="tx1"/>
            </w14:solidFill>
          </w14:textFill>
        </w:rPr>
        <w:t>解释权属</w:t>
      </w:r>
      <w:r>
        <w:rPr>
          <w:rFonts w:hint="eastAsia" w:ascii="宋体" w:hAnsi="宋体" w:cs="宋体"/>
          <w:color w:val="000000" w:themeColor="text1"/>
          <w:sz w:val="24"/>
          <w14:textFill>
            <w14:solidFill>
              <w14:schemeClr w14:val="tx1"/>
            </w14:solidFill>
          </w14:textFill>
        </w:rPr>
        <w:t>评标委员会。</w:t>
      </w:r>
    </w:p>
    <w:p w14:paraId="7B1E0622">
      <w:pPr>
        <w:pStyle w:val="17"/>
        <w:snapToGrid w:val="0"/>
        <w:ind w:left="480" w:hanging="480"/>
        <w:jc w:val="left"/>
        <w:rPr>
          <w:rFonts w:ascii="宋体" w:hAnsi="宋体" w:cs="宋体"/>
          <w:color w:val="000000" w:themeColor="text1"/>
          <w:sz w:val="24"/>
          <w14:textFill>
            <w14:solidFill>
              <w14:schemeClr w14:val="tx1"/>
            </w14:solidFill>
          </w14:textFill>
        </w:rPr>
      </w:pPr>
    </w:p>
    <w:p w14:paraId="086F19B8">
      <w:pPr>
        <w:pStyle w:val="50"/>
        <w:spacing w:line="360" w:lineRule="auto"/>
        <w:ind w:firstLine="480"/>
        <w:jc w:val="righ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r>
        <w:rPr>
          <w:rFonts w:hint="eastAsia" w:ascii="宋体" w:hAnsi="宋体" w:cs="宋体"/>
          <w:color w:val="000000" w:themeColor="text1"/>
          <w:sz w:val="24"/>
          <w:u w:val="single"/>
          <w14:textFill>
            <w14:solidFill>
              <w14:schemeClr w14:val="tx1"/>
            </w14:solidFill>
          </w14:textFill>
        </w:rPr>
        <w:t xml:space="preserve">               。</w:t>
      </w:r>
    </w:p>
    <w:p w14:paraId="075D6729">
      <w:pPr>
        <w:pStyle w:val="50"/>
        <w:spacing w:line="360" w:lineRule="auto"/>
        <w:ind w:firstLine="480"/>
        <w:jc w:val="righ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14:paraId="0FC4C4E5">
      <w:pP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14:paraId="46297876">
      <w:pPr>
        <w:pStyle w:val="50"/>
        <w:wordWrap w:val="0"/>
        <w:spacing w:line="360" w:lineRule="auto"/>
        <w:ind w:firstLine="480"/>
        <w:jc w:val="center"/>
        <w:rPr>
          <w:rFonts w:ascii="宋体" w:hAnsi="宋体" w:cs="宋体"/>
          <w:b/>
          <w:color w:val="000000" w:themeColor="text1"/>
          <w:sz w:val="32"/>
          <w:szCs w:val="32"/>
          <w14:textFill>
            <w14:solidFill>
              <w14:schemeClr w14:val="tx1"/>
            </w14:solidFill>
          </w14:textFill>
        </w:rPr>
      </w:pPr>
    </w:p>
    <w:p w14:paraId="0748EA12">
      <w:pPr>
        <w:pStyle w:val="50"/>
        <w:wordWrap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3.按照评分办法跟采购需求内容进行编制综合阐述。</w:t>
      </w:r>
    </w:p>
    <w:bookmarkEnd w:id="123"/>
    <w:bookmarkEnd w:id="124"/>
    <w:p w14:paraId="13CF53C9">
      <w:pPr>
        <w:spacing w:line="360" w:lineRule="auto"/>
        <w:rPr>
          <w:rFonts w:ascii="宋体" w:hAnsi="宋体" w:cs="宋体"/>
          <w:b/>
          <w:color w:val="000000" w:themeColor="text1"/>
          <w:kern w:val="0"/>
          <w:sz w:val="32"/>
          <w:szCs w:val="32"/>
          <w14:textFill>
            <w14:solidFill>
              <w14:schemeClr w14:val="tx1"/>
            </w14:solidFill>
          </w14:textFill>
        </w:rPr>
      </w:pPr>
      <w:bookmarkStart w:id="129" w:name="_Toc530551891"/>
      <w:bookmarkStart w:id="130" w:name="_Toc34985817"/>
      <w:bookmarkStart w:id="131" w:name="_Toc531359062"/>
      <w:bookmarkStart w:id="132" w:name="_Toc493956067"/>
    </w:p>
    <w:bookmarkEnd w:id="129"/>
    <w:bookmarkEnd w:id="130"/>
    <w:bookmarkEnd w:id="131"/>
    <w:bookmarkEnd w:id="132"/>
    <w:p w14:paraId="10672900">
      <w:pPr>
        <w:pStyle w:val="50"/>
        <w:wordWrap w:val="0"/>
        <w:spacing w:line="360" w:lineRule="auto"/>
        <w:ind w:firstLine="480"/>
        <w:jc w:val="center"/>
        <w:rPr>
          <w:rFonts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供应商盖章：</w:t>
      </w:r>
      <w:r>
        <w:rPr>
          <w:rFonts w:hint="eastAsia" w:ascii="宋体" w:hAnsi="宋体" w:cs="宋体"/>
          <w:color w:val="000000" w:themeColor="text1"/>
          <w:sz w:val="22"/>
          <w:szCs w:val="22"/>
          <w:u w:val="single"/>
          <w14:textFill>
            <w14:solidFill>
              <w14:schemeClr w14:val="tx1"/>
            </w14:solidFill>
          </w14:textFill>
        </w:rPr>
        <w:t xml:space="preserve">                </w:t>
      </w:r>
    </w:p>
    <w:p w14:paraId="09D48E0C">
      <w:pPr>
        <w:pStyle w:val="52"/>
        <w:spacing w:line="360" w:lineRule="auto"/>
        <w:ind w:firstLine="6380" w:firstLineChars="2900"/>
        <w:rPr>
          <w:rFonts w:hAnsi="宋体" w:cs="宋体"/>
          <w:color w:val="000000" w:themeColor="text1"/>
          <w:sz w:val="22"/>
          <w:szCs w:val="22"/>
          <w:u w:val="single"/>
          <w14:textFill>
            <w14:solidFill>
              <w14:schemeClr w14:val="tx1"/>
            </w14:solidFill>
          </w14:textFill>
        </w:rPr>
      </w:pPr>
      <w:r>
        <w:rPr>
          <w:rFonts w:hint="eastAsia" w:hAnsi="宋体" w:cs="宋体"/>
          <w:color w:val="000000" w:themeColor="text1"/>
          <w:sz w:val="22"/>
          <w:szCs w:val="22"/>
          <w14:textFill>
            <w14:solidFill>
              <w14:schemeClr w14:val="tx1"/>
            </w14:solidFill>
          </w14:textFill>
        </w:rPr>
        <w:t>日      期：</w:t>
      </w:r>
      <w:r>
        <w:rPr>
          <w:rFonts w:hint="eastAsia" w:hAnsi="宋体" w:cs="宋体"/>
          <w:color w:val="000000" w:themeColor="text1"/>
          <w:sz w:val="22"/>
          <w:szCs w:val="22"/>
          <w:u w:val="single"/>
          <w14:textFill>
            <w14:solidFill>
              <w14:schemeClr w14:val="tx1"/>
            </w14:solidFill>
          </w14:textFill>
        </w:rPr>
        <w:t xml:space="preserve">              </w:t>
      </w:r>
    </w:p>
    <w:p w14:paraId="48F54331">
      <w:pPr>
        <w:pStyle w:val="50"/>
        <w:wordWrap w:val="0"/>
        <w:spacing w:line="360" w:lineRule="auto"/>
        <w:ind w:firstLine="480"/>
        <w:jc w:val="right"/>
        <w:rPr>
          <w:rFonts w:ascii="宋体" w:hAnsi="宋体" w:cs="宋体"/>
          <w:color w:val="000000" w:themeColor="text1"/>
          <w:sz w:val="32"/>
          <w:szCs w:val="32"/>
          <w:u w:val="single"/>
          <w14:textFill>
            <w14:solidFill>
              <w14:schemeClr w14:val="tx1"/>
            </w14:solidFill>
          </w14:textFill>
        </w:rPr>
      </w:pPr>
    </w:p>
    <w:p w14:paraId="3002188A">
      <w:pPr>
        <w:pStyle w:val="50"/>
        <w:spacing w:line="360" w:lineRule="auto"/>
        <w:ind w:firstLine="480"/>
        <w:jc w:val="right"/>
        <w:rPr>
          <w:rFonts w:ascii="宋体" w:hAnsi="宋体" w:cs="宋体"/>
          <w:color w:val="000000" w:themeColor="text1"/>
          <w:sz w:val="32"/>
          <w:szCs w:val="32"/>
          <w:u w:val="single"/>
          <w14:textFill>
            <w14:solidFill>
              <w14:schemeClr w14:val="tx1"/>
            </w14:solidFill>
          </w14:textFill>
        </w:rPr>
      </w:pPr>
    </w:p>
    <w:p w14:paraId="05706786">
      <w:pPr>
        <w:pStyle w:val="50"/>
        <w:spacing w:line="360" w:lineRule="auto"/>
        <w:ind w:firstLine="480"/>
        <w:jc w:val="right"/>
        <w:rPr>
          <w:rFonts w:ascii="宋体" w:hAnsi="宋体" w:cs="宋体"/>
          <w:color w:val="000000" w:themeColor="text1"/>
          <w:sz w:val="32"/>
          <w:szCs w:val="32"/>
          <w:u w:val="single"/>
          <w14:textFill>
            <w14:solidFill>
              <w14:schemeClr w14:val="tx1"/>
            </w14:solidFill>
          </w14:textFill>
        </w:rPr>
      </w:pPr>
    </w:p>
    <w:p w14:paraId="6B548C27">
      <w:pPr>
        <w:pStyle w:val="50"/>
        <w:wordWrap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4.投标人认为有必要提供</w:t>
      </w:r>
      <w:r>
        <w:rPr>
          <w:rFonts w:hint="eastAsia" w:ascii="宋体" w:hAnsi="宋体" w:cs="宋体"/>
          <w:b/>
          <w:bCs/>
          <w:color w:val="000000" w:themeColor="text1"/>
          <w:sz w:val="28"/>
          <w:szCs w:val="28"/>
          <w14:textFill>
            <w14:solidFill>
              <w14:schemeClr w14:val="tx1"/>
            </w14:solidFill>
          </w14:textFill>
        </w:rPr>
        <w:t>和</w:t>
      </w:r>
      <w:r>
        <w:rPr>
          <w:rFonts w:hint="eastAsia" w:ascii="宋体" w:hAnsi="宋体" w:cs="宋体"/>
          <w:b/>
          <w:color w:val="000000" w:themeColor="text1"/>
          <w:sz w:val="28"/>
          <w:szCs w:val="28"/>
          <w14:textFill>
            <w14:solidFill>
              <w14:schemeClr w14:val="tx1"/>
            </w14:solidFill>
          </w14:textFill>
        </w:rPr>
        <w:t>评分办法中要求提供的其他资料。</w:t>
      </w:r>
    </w:p>
    <w:p w14:paraId="5A1BE74C">
      <w:pPr>
        <w:pStyle w:val="50"/>
        <w:wordWrap w:val="0"/>
        <w:spacing w:line="360" w:lineRule="auto"/>
        <w:ind w:firstLine="3654" w:firstLineChars="13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（不得出现报价）</w:t>
      </w:r>
    </w:p>
    <w:p w14:paraId="4BE0B934">
      <w:pPr>
        <w:pStyle w:val="50"/>
        <w:wordWrap w:val="0"/>
        <w:spacing w:line="360" w:lineRule="auto"/>
        <w:ind w:firstLine="4698" w:firstLineChars="1300"/>
        <w:rPr>
          <w:rFonts w:ascii="宋体" w:hAnsi="宋体" w:cs="宋体"/>
          <w:b/>
          <w:color w:val="000000" w:themeColor="text1"/>
          <w:sz w:val="36"/>
          <w:szCs w:val="36"/>
          <w14:textFill>
            <w14:solidFill>
              <w14:schemeClr w14:val="tx1"/>
            </w14:solidFill>
          </w14:textFill>
        </w:rPr>
      </w:pPr>
    </w:p>
    <w:p w14:paraId="227D6E7D">
      <w:pPr>
        <w:pStyle w:val="50"/>
        <w:wordWrap w:val="0"/>
        <w:spacing w:line="360" w:lineRule="auto"/>
        <w:ind w:firstLine="6380" w:firstLineChars="2900"/>
        <w:rPr>
          <w:rFonts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供应商盖章：</w:t>
      </w:r>
      <w:r>
        <w:rPr>
          <w:rFonts w:hint="eastAsia" w:ascii="宋体" w:hAnsi="宋体" w:cs="宋体"/>
          <w:color w:val="000000" w:themeColor="text1"/>
          <w:sz w:val="22"/>
          <w:szCs w:val="22"/>
          <w:u w:val="single"/>
          <w14:textFill>
            <w14:solidFill>
              <w14:schemeClr w14:val="tx1"/>
            </w14:solidFill>
          </w14:textFill>
        </w:rPr>
        <w:t xml:space="preserve">                </w:t>
      </w:r>
    </w:p>
    <w:p w14:paraId="2AA8326C">
      <w:pPr>
        <w:pStyle w:val="52"/>
        <w:spacing w:line="360" w:lineRule="auto"/>
        <w:ind w:firstLine="6380" w:firstLineChars="2900"/>
        <w:rPr>
          <w:rFonts w:hAnsi="宋体" w:cs="宋体"/>
          <w:color w:val="000000" w:themeColor="text1"/>
          <w:sz w:val="22"/>
          <w:szCs w:val="22"/>
          <w:u w:val="single"/>
          <w14:textFill>
            <w14:solidFill>
              <w14:schemeClr w14:val="tx1"/>
            </w14:solidFill>
          </w14:textFill>
        </w:rPr>
      </w:pPr>
      <w:r>
        <w:rPr>
          <w:rFonts w:hint="eastAsia" w:hAnsi="宋体" w:cs="宋体"/>
          <w:color w:val="000000" w:themeColor="text1"/>
          <w:sz w:val="22"/>
          <w:szCs w:val="22"/>
          <w14:textFill>
            <w14:solidFill>
              <w14:schemeClr w14:val="tx1"/>
            </w14:solidFill>
          </w14:textFill>
        </w:rPr>
        <w:t>日      期：</w:t>
      </w:r>
      <w:r>
        <w:rPr>
          <w:rFonts w:hint="eastAsia" w:hAnsi="宋体" w:cs="宋体"/>
          <w:color w:val="000000" w:themeColor="text1"/>
          <w:sz w:val="22"/>
          <w:szCs w:val="22"/>
          <w:u w:val="single"/>
          <w14:textFill>
            <w14:solidFill>
              <w14:schemeClr w14:val="tx1"/>
            </w14:solidFill>
          </w14:textFill>
        </w:rPr>
        <w:t xml:space="preserve">              </w:t>
      </w:r>
    </w:p>
    <w:p w14:paraId="24651C06">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30944FF3">
      <w:pPr>
        <w:spacing w:line="360" w:lineRule="auto"/>
        <w:ind w:left="1134" w:leftChars="540" w:firstLine="2400" w:firstLineChars="750"/>
        <w:rPr>
          <w:rFonts w:ascii="宋体" w:hAnsi="宋体" w:cs="宋体"/>
          <w:color w:val="000000" w:themeColor="text1"/>
          <w:sz w:val="32"/>
          <w:szCs w:val="28"/>
          <w14:textFill>
            <w14:solidFill>
              <w14:schemeClr w14:val="tx1"/>
            </w14:solidFill>
          </w14:textFill>
        </w:rPr>
      </w:pPr>
    </w:p>
    <w:bookmarkEnd w:id="122"/>
    <w:p w14:paraId="08AA6CD4">
      <w:pPr>
        <w:pStyle w:val="6"/>
        <w:ind w:firstLine="0" w:firstLineChars="0"/>
        <w:jc w:val="center"/>
        <w:rPr>
          <w:rFonts w:ascii="宋体" w:hAnsi="宋体" w:eastAsia="宋体" w:cs="宋体"/>
          <w:color w:val="000000" w:themeColor="text1"/>
          <w:sz w:val="32"/>
          <w:szCs w:val="21"/>
          <w14:textFill>
            <w14:solidFill>
              <w14:schemeClr w14:val="tx1"/>
            </w14:solidFill>
          </w14:textFill>
        </w:rPr>
      </w:pPr>
      <w:bookmarkStart w:id="133" w:name="_Toc27986"/>
      <w:bookmarkStart w:id="134" w:name="_Toc69635465"/>
      <w:r>
        <w:rPr>
          <w:rFonts w:hint="eastAsia" w:ascii="宋体" w:hAnsi="宋体" w:eastAsia="宋体" w:cs="宋体"/>
          <w:color w:val="000000" w:themeColor="text1"/>
          <w:sz w:val="32"/>
          <w:szCs w:val="21"/>
          <w14:textFill>
            <w14:solidFill>
              <w14:schemeClr w14:val="tx1"/>
            </w14:solidFill>
          </w14:textFill>
        </w:rPr>
        <w:t>三   报价文件格式</w:t>
      </w:r>
      <w:bookmarkEnd w:id="133"/>
      <w:bookmarkEnd w:id="134"/>
    </w:p>
    <w:p w14:paraId="2381C3DD">
      <w:pPr>
        <w:pStyle w:val="5"/>
        <w:rPr>
          <w:rFonts w:ascii="宋体" w:hAnsi="宋体" w:cs="宋体"/>
          <w:color w:val="000000" w:themeColor="text1"/>
          <w:sz w:val="22"/>
          <w:szCs w:val="21"/>
          <w14:textFill>
            <w14:solidFill>
              <w14:schemeClr w14:val="tx1"/>
            </w14:solidFill>
          </w14:textFill>
        </w:rPr>
      </w:pPr>
    </w:p>
    <w:p w14:paraId="0B5551EF">
      <w:pPr>
        <w:pStyle w:val="5"/>
        <w:rPr>
          <w:rFonts w:ascii="宋体" w:hAnsi="宋体" w:cs="宋体"/>
          <w:color w:val="000000" w:themeColor="text1"/>
          <w:sz w:val="22"/>
          <w:szCs w:val="21"/>
          <w14:textFill>
            <w14:solidFill>
              <w14:schemeClr w14:val="tx1"/>
            </w14:solidFill>
          </w14:textFill>
        </w:rPr>
      </w:pPr>
    </w:p>
    <w:p w14:paraId="10A75BF9">
      <w:pPr>
        <w:spacing w:line="360" w:lineRule="auto"/>
        <w:jc w:val="center"/>
        <w:rPr>
          <w:rFonts w:ascii="宋体" w:hAnsi="宋体" w:cs="宋体"/>
          <w:color w:val="000000" w:themeColor="text1"/>
          <w:sz w:val="32"/>
          <w:szCs w:val="28"/>
          <w14:textFill>
            <w14:solidFill>
              <w14:schemeClr w14:val="tx1"/>
            </w14:solidFill>
          </w14:textFill>
        </w:rPr>
      </w:pPr>
      <w:r>
        <w:rPr>
          <w:rFonts w:hint="eastAsia" w:ascii="宋体" w:hAnsi="宋体" w:cs="宋体"/>
          <w:color w:val="000000" w:themeColor="text1"/>
          <w:sz w:val="32"/>
          <w:szCs w:val="28"/>
          <w14:textFill>
            <w14:solidFill>
              <w14:schemeClr w14:val="tx1"/>
            </w14:solidFill>
          </w14:textFill>
        </w:rPr>
        <w:t>报价文件封面</w:t>
      </w:r>
    </w:p>
    <w:p w14:paraId="7B805386">
      <w:pPr>
        <w:pStyle w:val="5"/>
        <w:ind w:firstLine="1497" w:firstLineChars="416"/>
        <w:rPr>
          <w:rFonts w:ascii="宋体" w:hAnsi="宋体" w:cs="宋体"/>
          <w:color w:val="000000" w:themeColor="text1"/>
          <w:sz w:val="36"/>
          <w:szCs w:val="36"/>
          <w14:textFill>
            <w14:solidFill>
              <w14:schemeClr w14:val="tx1"/>
            </w14:solidFill>
          </w14:textFill>
        </w:rPr>
      </w:pPr>
    </w:p>
    <w:p w14:paraId="6B48AFC5">
      <w:pPr>
        <w:pStyle w:val="5"/>
        <w:ind w:firstLine="1497" w:firstLineChars="416"/>
        <w:rPr>
          <w:rFonts w:ascii="宋体" w:hAnsi="宋体" w:cs="宋体"/>
          <w:color w:val="000000" w:themeColor="text1"/>
          <w:sz w:val="36"/>
          <w:szCs w:val="36"/>
          <w14:textFill>
            <w14:solidFill>
              <w14:schemeClr w14:val="tx1"/>
            </w14:solidFill>
          </w14:textFill>
        </w:rPr>
      </w:pPr>
    </w:p>
    <w:p w14:paraId="34BD0047">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采购编号：</w:t>
      </w:r>
    </w:p>
    <w:p w14:paraId="6159C0CC">
      <w:pPr>
        <w:pStyle w:val="5"/>
        <w:ind w:firstLine="1497" w:firstLineChars="416"/>
        <w:rPr>
          <w:rFonts w:ascii="宋体" w:hAnsi="宋体" w:cs="宋体"/>
          <w:color w:val="000000" w:themeColor="text1"/>
          <w:sz w:val="36"/>
          <w:szCs w:val="36"/>
          <w14:textFill>
            <w14:solidFill>
              <w14:schemeClr w14:val="tx1"/>
            </w14:solidFill>
          </w14:textFill>
        </w:rPr>
      </w:pPr>
    </w:p>
    <w:p w14:paraId="7E100AFE">
      <w:pPr>
        <w:pStyle w:val="5"/>
        <w:ind w:firstLine="1497" w:firstLineChars="416"/>
        <w:rPr>
          <w:rFonts w:ascii="宋体" w:hAnsi="宋体" w:cs="宋体"/>
          <w:color w:val="000000" w:themeColor="text1"/>
          <w:sz w:val="36"/>
          <w:szCs w:val="36"/>
          <w14:textFill>
            <w14:solidFill>
              <w14:schemeClr w14:val="tx1"/>
            </w14:solidFill>
          </w14:textFill>
        </w:rPr>
      </w:pPr>
    </w:p>
    <w:p w14:paraId="5D8CB737">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项目名称：                 </w:t>
      </w:r>
    </w:p>
    <w:p w14:paraId="64E1B1A9">
      <w:pPr>
        <w:pStyle w:val="7"/>
        <w:rPr>
          <w:rFonts w:ascii="宋体" w:hAnsi="宋体" w:cs="宋体"/>
          <w:color w:val="000000" w:themeColor="text1"/>
          <w:sz w:val="32"/>
          <w:szCs w:val="21"/>
          <w14:textFill>
            <w14:solidFill>
              <w14:schemeClr w14:val="tx1"/>
            </w14:solidFill>
          </w14:textFill>
        </w:rPr>
      </w:pPr>
    </w:p>
    <w:p w14:paraId="238E2362">
      <w:pPr>
        <w:pStyle w:val="5"/>
        <w:ind w:firstLine="1497" w:firstLineChars="416"/>
        <w:rPr>
          <w:rFonts w:ascii="宋体" w:hAnsi="宋体" w:cs="宋体"/>
          <w:color w:val="000000" w:themeColor="text1"/>
          <w:sz w:val="36"/>
          <w:szCs w:val="36"/>
          <w14:textFill>
            <w14:solidFill>
              <w14:schemeClr w14:val="tx1"/>
            </w14:solidFill>
          </w14:textFill>
        </w:rPr>
      </w:pPr>
    </w:p>
    <w:p w14:paraId="0A2AB6B4">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投标文件名称：</w:t>
      </w:r>
      <w:r>
        <w:rPr>
          <w:rFonts w:hint="eastAsia" w:ascii="宋体" w:hAnsi="宋体" w:cs="宋体"/>
          <w:color w:val="000000" w:themeColor="text1"/>
          <w:sz w:val="32"/>
          <w:szCs w:val="21"/>
          <w14:textFill>
            <w14:solidFill>
              <w14:schemeClr w14:val="tx1"/>
            </w14:solidFill>
          </w14:textFill>
        </w:rPr>
        <w:t>报价文件</w:t>
      </w:r>
    </w:p>
    <w:p w14:paraId="256E63E7">
      <w:pPr>
        <w:pStyle w:val="5"/>
        <w:ind w:firstLine="1497" w:firstLineChars="416"/>
        <w:rPr>
          <w:rFonts w:ascii="宋体" w:hAnsi="宋体" w:cs="宋体"/>
          <w:color w:val="000000" w:themeColor="text1"/>
          <w:sz w:val="36"/>
          <w:szCs w:val="36"/>
          <w14:textFill>
            <w14:solidFill>
              <w14:schemeClr w14:val="tx1"/>
            </w14:solidFill>
          </w14:textFill>
        </w:rPr>
      </w:pPr>
    </w:p>
    <w:p w14:paraId="70AC2FD1">
      <w:pPr>
        <w:pStyle w:val="5"/>
        <w:ind w:firstLine="1497" w:firstLineChars="416"/>
        <w:rPr>
          <w:rFonts w:ascii="宋体" w:hAnsi="宋体" w:cs="宋体"/>
          <w:color w:val="000000" w:themeColor="text1"/>
          <w:sz w:val="36"/>
          <w:szCs w:val="36"/>
          <w14:textFill>
            <w14:solidFill>
              <w14:schemeClr w14:val="tx1"/>
            </w14:solidFill>
          </w14:textFill>
        </w:rPr>
      </w:pPr>
    </w:p>
    <w:p w14:paraId="44976B79">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投标人名称（CA签章）：</w:t>
      </w:r>
    </w:p>
    <w:p w14:paraId="2E14CDFB">
      <w:pPr>
        <w:pStyle w:val="5"/>
        <w:ind w:firstLine="1497" w:firstLineChars="416"/>
        <w:rPr>
          <w:rFonts w:ascii="宋体" w:hAnsi="宋体" w:cs="宋体"/>
          <w:color w:val="000000" w:themeColor="text1"/>
          <w:sz w:val="36"/>
          <w:szCs w:val="36"/>
          <w14:textFill>
            <w14:solidFill>
              <w14:schemeClr w14:val="tx1"/>
            </w14:solidFill>
          </w14:textFill>
        </w:rPr>
      </w:pPr>
    </w:p>
    <w:p w14:paraId="6D7D2002">
      <w:pPr>
        <w:pStyle w:val="5"/>
        <w:ind w:firstLine="0"/>
        <w:rPr>
          <w:rFonts w:ascii="宋体" w:hAnsi="宋体" w:cs="宋体"/>
          <w:color w:val="000000" w:themeColor="text1"/>
          <w:sz w:val="36"/>
          <w:szCs w:val="36"/>
          <w14:textFill>
            <w14:solidFill>
              <w14:schemeClr w14:val="tx1"/>
            </w14:solidFill>
          </w14:textFill>
        </w:rPr>
      </w:pPr>
    </w:p>
    <w:p w14:paraId="767EDC34">
      <w:pPr>
        <w:pStyle w:val="5"/>
        <w:ind w:firstLine="1497" w:firstLineChars="41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投标人地址：</w:t>
      </w:r>
    </w:p>
    <w:p w14:paraId="2C94666D">
      <w:pPr>
        <w:spacing w:line="360" w:lineRule="auto"/>
        <w:jc w:val="center"/>
        <w:rPr>
          <w:rFonts w:ascii="宋体" w:hAnsi="宋体" w:cs="宋体"/>
          <w:color w:val="000000" w:themeColor="text1"/>
          <w:sz w:val="32"/>
          <w:szCs w:val="28"/>
          <w14:textFill>
            <w14:solidFill>
              <w14:schemeClr w14:val="tx1"/>
            </w14:solidFill>
          </w14:textFill>
        </w:rPr>
      </w:pPr>
    </w:p>
    <w:p w14:paraId="6454BE61">
      <w:pPr>
        <w:spacing w:line="360" w:lineRule="auto"/>
        <w:jc w:val="center"/>
        <w:rPr>
          <w:rFonts w:ascii="宋体" w:hAnsi="宋体" w:cs="宋体"/>
          <w:color w:val="000000" w:themeColor="text1"/>
          <w:sz w:val="32"/>
          <w:szCs w:val="28"/>
          <w14:textFill>
            <w14:solidFill>
              <w14:schemeClr w14:val="tx1"/>
            </w14:solidFill>
          </w14:textFill>
        </w:rPr>
      </w:pPr>
    </w:p>
    <w:p w14:paraId="6EA0A8A5">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1.报价书（开标一览表）</w:t>
      </w:r>
    </w:p>
    <w:p w14:paraId="49EB9643">
      <w:pPr>
        <w:spacing w:line="440" w:lineRule="exact"/>
        <w:ind w:firstLine="420" w:firstLineChars="150"/>
        <w:rPr>
          <w:rFonts w:ascii="宋体" w:hAnsi="宋体" w:cs="宋体"/>
          <w:caps/>
          <w:color w:val="000000" w:themeColor="text1"/>
          <w:spacing w:val="20"/>
          <w:kern w:val="0"/>
          <w:sz w:val="24"/>
          <w14:textFill>
            <w14:solidFill>
              <w14:schemeClr w14:val="tx1"/>
            </w14:solidFill>
          </w14:textFill>
        </w:rPr>
      </w:pPr>
      <w:r>
        <w:rPr>
          <w:rFonts w:hint="eastAsia" w:ascii="宋体" w:hAnsi="宋体" w:cs="宋体"/>
          <w:caps/>
          <w:color w:val="000000" w:themeColor="text1"/>
          <w:spacing w:val="20"/>
          <w:kern w:val="0"/>
          <w:sz w:val="24"/>
          <w14:textFill>
            <w14:solidFill>
              <w14:schemeClr w14:val="tx1"/>
            </w14:solidFill>
          </w14:textFill>
        </w:rPr>
        <w:t xml:space="preserve">采购编号： </w:t>
      </w:r>
    </w:p>
    <w:p w14:paraId="57AB9343">
      <w:pPr>
        <w:spacing w:line="440" w:lineRule="exact"/>
        <w:ind w:firstLine="420" w:firstLineChars="150"/>
        <w:rPr>
          <w:rFonts w:ascii="宋体" w:hAnsi="宋体" w:cs="宋体"/>
          <w:caps/>
          <w:color w:val="000000" w:themeColor="text1"/>
          <w:spacing w:val="20"/>
          <w:kern w:val="0"/>
          <w:sz w:val="24"/>
          <w14:textFill>
            <w14:solidFill>
              <w14:schemeClr w14:val="tx1"/>
            </w14:solidFill>
          </w14:textFill>
        </w:rPr>
      </w:pPr>
      <w:r>
        <w:rPr>
          <w:rFonts w:hint="eastAsia" w:ascii="宋体" w:hAnsi="宋体" w:cs="宋体"/>
          <w:caps/>
          <w:color w:val="000000" w:themeColor="text1"/>
          <w:spacing w:val="20"/>
          <w:kern w:val="0"/>
          <w:sz w:val="24"/>
          <w14:textFill>
            <w14:solidFill>
              <w14:schemeClr w14:val="tx1"/>
            </w14:solidFill>
          </w14:textFill>
        </w:rPr>
        <w:t xml:space="preserve">项目名称：                             </w:t>
      </w:r>
    </w:p>
    <w:p w14:paraId="7A8D15A9">
      <w:pPr>
        <w:spacing w:line="440" w:lineRule="exact"/>
        <w:ind w:firstLine="5180" w:firstLineChars="1850"/>
        <w:rPr>
          <w:rFonts w:ascii="宋体" w:hAnsi="宋体" w:cs="宋体"/>
          <w:caps/>
          <w:color w:val="000000" w:themeColor="text1"/>
          <w:spacing w:val="20"/>
          <w:kern w:val="0"/>
          <w:sz w:val="24"/>
          <w14:textFill>
            <w14:solidFill>
              <w14:schemeClr w14:val="tx1"/>
            </w14:solidFill>
          </w14:textFill>
        </w:rPr>
      </w:pPr>
      <w:r>
        <w:rPr>
          <w:rFonts w:hint="eastAsia" w:ascii="宋体" w:hAnsi="宋体" w:cs="宋体"/>
          <w:caps/>
          <w:color w:val="000000" w:themeColor="text1"/>
          <w:spacing w:val="20"/>
          <w:kern w:val="0"/>
          <w:sz w:val="24"/>
          <w14:textFill>
            <w14:solidFill>
              <w14:schemeClr w14:val="tx1"/>
            </w14:solidFill>
          </w14:textFill>
        </w:rPr>
        <w:t xml:space="preserve"> 报价金额单位：人民币元</w:t>
      </w:r>
    </w:p>
    <w:tbl>
      <w:tblPr>
        <w:tblStyle w:val="26"/>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14:paraId="2A3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14:paraId="5A16EE4D">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77" w:type="dxa"/>
            <w:vAlign w:val="center"/>
          </w:tcPr>
          <w:p w14:paraId="0992D73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3210" w:type="dxa"/>
            <w:vAlign w:val="center"/>
          </w:tcPr>
          <w:p w14:paraId="1FA3D2DE">
            <w:pPr>
              <w:ind w:firstLine="964" w:firstLineChars="4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1305" w:type="dxa"/>
            <w:vAlign w:val="center"/>
          </w:tcPr>
          <w:p w14:paraId="77423AD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25BB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14:paraId="72F08BE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77" w:type="dxa"/>
            <w:vAlign w:val="center"/>
          </w:tcPr>
          <w:p w14:paraId="60CCC0C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缙云县第二人民医院迁建项目污水设备及基础设施采购项目</w:t>
            </w:r>
          </w:p>
        </w:tc>
        <w:tc>
          <w:tcPr>
            <w:tcW w:w="3210" w:type="dxa"/>
            <w:vAlign w:val="center"/>
          </w:tcPr>
          <w:p w14:paraId="2CE385F6">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14:paraId="42072B9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tc>
        <w:tc>
          <w:tcPr>
            <w:tcW w:w="1305" w:type="dxa"/>
            <w:vAlign w:val="center"/>
          </w:tcPr>
          <w:p w14:paraId="075B0399">
            <w:pPr>
              <w:rPr>
                <w:rFonts w:ascii="宋体" w:hAnsi="宋体" w:cs="宋体"/>
                <w:color w:val="000000" w:themeColor="text1"/>
                <w:sz w:val="24"/>
                <w14:textFill>
                  <w14:solidFill>
                    <w14:schemeClr w14:val="tx1"/>
                  </w14:solidFill>
                </w14:textFill>
              </w:rPr>
            </w:pPr>
          </w:p>
        </w:tc>
      </w:tr>
    </w:tbl>
    <w:p w14:paraId="0BF63FF5">
      <w:pPr>
        <w:spacing w:line="360" w:lineRule="auto"/>
        <w:rPr>
          <w:rFonts w:ascii="宋体" w:hAnsi="宋体" w:cs="宋体"/>
          <w:iCs/>
          <w:color w:val="000000" w:themeColor="text1"/>
          <w:spacing w:val="2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AC7AD6F">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本项目合同采用固定单价模式，包括但不仅限于：制造、运输、装卸、保险、保管、安装、调试、 验收、设备及材料费、</w:t>
      </w:r>
      <w:r>
        <w:rPr>
          <w:rFonts w:hint="eastAsia" w:ascii="宋体" w:hAnsi="宋体" w:eastAsia="宋体" w:cs="宋体"/>
          <w:color w:val="000000" w:themeColor="text1"/>
          <w:sz w:val="24"/>
          <w:highlight w:val="none"/>
          <w:lang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基础</w:t>
      </w:r>
      <w:r>
        <w:rPr>
          <w:rFonts w:hint="eastAsia" w:ascii="宋体" w:hAnsi="宋体" w:eastAsia="宋体" w:cs="宋体"/>
          <w:color w:val="000000" w:themeColor="text1"/>
          <w:sz w:val="24"/>
          <w:highlight w:val="none"/>
          <w:lang w:eastAsia="zh-CN"/>
          <w14:textFill>
            <w14:solidFill>
              <w14:schemeClr w14:val="tx1"/>
            </w14:solidFill>
          </w14:textFill>
        </w:rPr>
        <w:t>制作、穿墙破洞及封堵、管路安装、</w:t>
      </w:r>
      <w:r>
        <w:rPr>
          <w:rFonts w:hint="eastAsia" w:ascii="宋体" w:hAnsi="宋体" w:eastAsia="宋体" w:cs="宋体"/>
          <w:color w:val="000000" w:themeColor="text1"/>
          <w:sz w:val="24"/>
          <w:highlight w:val="none"/>
          <w14:textFill>
            <w14:solidFill>
              <w14:schemeClr w14:val="tx1"/>
            </w14:solidFill>
          </w14:textFill>
        </w:rPr>
        <w:t>图纸二次优化、系统对接、第三方检测机构检测所产生的一切费用、成本、利 润、税金、人员培训费、风险费、售后服务费、代理费等。投标人应对本项目所有子目、内容进行投 标报价，应报而未报价的、漏报的、规范内已含的而未报的等所有涉及一切内容及费用均视为已包含在各项单价报价中，合同单价不作调整，结算时按实际完成的工程量结算。</w:t>
      </w:r>
    </w:p>
    <w:p w14:paraId="79D80E4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投标人不接受有选择报价及优惠前报价，请投标人直接填报优惠后的报价。</w:t>
      </w:r>
    </w:p>
    <w:p w14:paraId="7EBA0FC0">
      <w:pPr>
        <w:spacing w:line="440" w:lineRule="exact"/>
        <w:ind w:firstLine="240" w:firstLineChars="100"/>
        <w:rPr>
          <w:rFonts w:ascii="宋体" w:hAnsi="宋体" w:cs="宋体"/>
          <w:color w:val="000000" w:themeColor="text1"/>
          <w:sz w:val="24"/>
          <w14:textFill>
            <w14:solidFill>
              <w14:schemeClr w14:val="tx1"/>
            </w14:solidFill>
          </w14:textFill>
        </w:rPr>
      </w:pPr>
    </w:p>
    <w:p w14:paraId="11104CC9">
      <w:pPr>
        <w:ind w:right="120" w:firstLine="2240" w:firstLineChars="800"/>
        <w:jc w:val="right"/>
        <w:rPr>
          <w:rFonts w:ascii="宋体" w:hAnsi="宋体" w:cs="宋体"/>
          <w:color w:val="000000" w:themeColor="text1"/>
          <w:spacing w:val="20"/>
          <w:sz w:val="24"/>
          <w:u w:val="single" w:color="000000"/>
          <w14:textFill>
            <w14:solidFill>
              <w14:schemeClr w14:val="tx1"/>
            </w14:solidFill>
          </w14:textFill>
        </w:rPr>
      </w:pPr>
      <w:r>
        <w:rPr>
          <w:rFonts w:hint="eastAsia" w:ascii="宋体" w:hAnsi="宋体" w:cs="宋体"/>
          <w:color w:val="000000" w:themeColor="text1"/>
          <w:spacing w:val="20"/>
          <w:sz w:val="24"/>
          <w:u w:val="single" w:color="000000"/>
          <w14:textFill>
            <w14:solidFill>
              <w14:schemeClr w14:val="tx1"/>
            </w14:solidFill>
          </w14:textFill>
        </w:rPr>
        <w:t xml:space="preserve">            </w:t>
      </w:r>
    </w:p>
    <w:p w14:paraId="357798FB">
      <w:pPr>
        <w:rPr>
          <w:rFonts w:ascii="宋体" w:hAnsi="宋体" w:cs="宋体"/>
          <w:color w:val="000000" w:themeColor="text1"/>
          <w:spacing w:val="20"/>
          <w:sz w:val="24"/>
          <w:u w:val="single" w:color="000000"/>
          <w14:textFill>
            <w14:solidFill>
              <w14:schemeClr w14:val="tx1"/>
            </w14:solidFill>
          </w14:textFill>
        </w:rPr>
      </w:pPr>
    </w:p>
    <w:p w14:paraId="55B8D042">
      <w:pPr>
        <w:ind w:firstLine="6160" w:firstLineChars="2200"/>
        <w:rPr>
          <w:rFonts w:ascii="宋体" w:hAnsi="宋体" w:cs="宋体"/>
          <w:color w:val="000000" w:themeColor="text1"/>
          <w:spacing w:val="20"/>
          <w:sz w:val="24"/>
          <w:u w:val="single" w:color="00000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供应商(电子签章):</w:t>
      </w:r>
      <w:r>
        <w:rPr>
          <w:rFonts w:hint="eastAsia" w:ascii="宋体" w:hAnsi="宋体" w:cs="宋体"/>
          <w:color w:val="000000" w:themeColor="text1"/>
          <w:spacing w:val="20"/>
          <w:sz w:val="24"/>
          <w:u w:val="single" w:color="000000"/>
          <w14:textFill>
            <w14:solidFill>
              <w14:schemeClr w14:val="tx1"/>
            </w14:solidFill>
          </w14:textFill>
        </w:rPr>
        <w:t xml:space="preserve">      </w:t>
      </w:r>
    </w:p>
    <w:p w14:paraId="2B6B4E3A">
      <w:pPr>
        <w:jc w:val="center"/>
        <w:rPr>
          <w:rFonts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w:t>
      </w:r>
    </w:p>
    <w:p w14:paraId="7B5C309B">
      <w:pPr>
        <w:jc w:val="center"/>
        <w:rPr>
          <w:rFonts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pacing w:val="20"/>
          <w:sz w:val="24"/>
          <w14:textFill>
            <w14:solidFill>
              <w14:schemeClr w14:val="tx1"/>
            </w14:solidFill>
          </w14:textFill>
        </w:rPr>
        <w:t xml:space="preserve"> </w:t>
      </w:r>
    </w:p>
    <w:p w14:paraId="54374EDF">
      <w:pPr>
        <w:spacing w:line="460" w:lineRule="exact"/>
        <w:ind w:firstLine="275" w:firstLineChars="98"/>
        <w:textAlignment w:val="baseline"/>
        <w:rPr>
          <w:rFonts w:ascii="宋体" w:hAnsi="宋体" w:cs="宋体"/>
          <w:b/>
          <w:color w:val="000000" w:themeColor="text1"/>
          <w:spacing w:val="20"/>
          <w:sz w:val="24"/>
          <w14:textFill>
            <w14:solidFill>
              <w14:schemeClr w14:val="tx1"/>
            </w14:solidFill>
          </w14:textFill>
        </w:rPr>
      </w:pPr>
    </w:p>
    <w:p w14:paraId="6D98AFE8">
      <w:pPr>
        <w:spacing w:line="360" w:lineRule="auto"/>
        <w:ind w:firstLine="480"/>
        <w:rPr>
          <w:rFonts w:ascii="宋体" w:hAnsi="宋体" w:cs="宋体"/>
          <w:b/>
          <w:color w:val="000000" w:themeColor="text1"/>
          <w:spacing w:val="20"/>
          <w:sz w:val="28"/>
          <w:szCs w:val="28"/>
          <w14:textFill>
            <w14:solidFill>
              <w14:schemeClr w14:val="tx1"/>
            </w14:solidFill>
          </w14:textFill>
        </w:rPr>
      </w:pPr>
    </w:p>
    <w:p w14:paraId="48DDCC27">
      <w:pPr>
        <w:rPr>
          <w:rFonts w:ascii="宋体" w:hAnsi="宋体" w:cs="宋体"/>
          <w:iCs/>
          <w:color w:val="000000" w:themeColor="text1"/>
          <w:spacing w:val="20"/>
          <w:sz w:val="22"/>
          <w:szCs w:val="22"/>
          <w14:textFill>
            <w14:solidFill>
              <w14:schemeClr w14:val="tx1"/>
            </w14:solidFill>
          </w14:textFill>
        </w:rPr>
      </w:pPr>
      <w:r>
        <w:rPr>
          <w:rFonts w:hint="eastAsia" w:ascii="宋体" w:hAnsi="宋体" w:cs="宋体"/>
          <w:iCs/>
          <w:color w:val="000000" w:themeColor="text1"/>
          <w:spacing w:val="20"/>
          <w:sz w:val="22"/>
          <w:szCs w:val="22"/>
          <w14:textFill>
            <w14:solidFill>
              <w14:schemeClr w14:val="tx1"/>
            </w14:solidFill>
          </w14:textFill>
        </w:rPr>
        <w:br w:type="page"/>
      </w:r>
    </w:p>
    <w:p w14:paraId="39CE1812">
      <w:pPr>
        <w:spacing w:line="360" w:lineRule="auto"/>
        <w:jc w:val="center"/>
        <w:rPr>
          <w:rFonts w:ascii="宋体" w:hAnsi="宋体" w:cs="宋体"/>
          <w:b/>
          <w:bCs/>
          <w:iCs/>
          <w:color w:val="000000" w:themeColor="text1"/>
          <w:spacing w:val="20"/>
          <w:sz w:val="28"/>
          <w:szCs w:val="28"/>
          <w14:textFill>
            <w14:solidFill>
              <w14:schemeClr w14:val="tx1"/>
            </w14:solidFill>
          </w14:textFill>
        </w:rPr>
      </w:pPr>
      <w:r>
        <w:rPr>
          <w:rFonts w:hint="eastAsia" w:ascii="宋体" w:hAnsi="宋体" w:cs="宋体"/>
          <w:b/>
          <w:bCs/>
          <w:iCs/>
          <w:color w:val="000000" w:themeColor="text1"/>
          <w:spacing w:val="20"/>
          <w:sz w:val="28"/>
          <w:szCs w:val="28"/>
          <w14:textFill>
            <w14:solidFill>
              <w14:schemeClr w14:val="tx1"/>
            </w14:solidFill>
          </w14:textFill>
        </w:rPr>
        <w:t>2、分项报价表</w:t>
      </w:r>
    </w:p>
    <w:p w14:paraId="2909988D">
      <w:pPr>
        <w:spacing w:line="360" w:lineRule="auto"/>
        <w:ind w:firstLine="280" w:firstLineChars="100"/>
        <w:rPr>
          <w:rFonts w:ascii="宋体" w:hAnsi="宋体" w:cs="宋体"/>
          <w:iCs/>
          <w:color w:val="000000" w:themeColor="text1"/>
          <w:spacing w:val="20"/>
          <w:sz w:val="24"/>
          <w14:textFill>
            <w14:solidFill>
              <w14:schemeClr w14:val="tx1"/>
            </w14:solidFill>
          </w14:textFill>
        </w:rPr>
      </w:pPr>
      <w:r>
        <w:rPr>
          <w:rFonts w:hint="eastAsia" w:ascii="宋体" w:hAnsi="宋体" w:cs="宋体"/>
          <w:iCs/>
          <w:color w:val="000000" w:themeColor="text1"/>
          <w:spacing w:val="20"/>
          <w:sz w:val="24"/>
          <w14:textFill>
            <w14:solidFill>
              <w14:schemeClr w14:val="tx1"/>
            </w14:solidFill>
          </w14:textFill>
        </w:rPr>
        <w:t>（格式自行编制）</w:t>
      </w:r>
    </w:p>
    <w:p w14:paraId="17C6F7CD">
      <w:pPr>
        <w:spacing w:line="360" w:lineRule="auto"/>
        <w:ind w:firstLine="280" w:firstLineChars="100"/>
        <w:rPr>
          <w:rFonts w:ascii="宋体" w:hAnsi="宋体" w:cs="宋体"/>
          <w:iCs/>
          <w:color w:val="000000" w:themeColor="text1"/>
          <w:spacing w:val="20"/>
          <w:sz w:val="24"/>
          <w14:textFill>
            <w14:solidFill>
              <w14:schemeClr w14:val="tx1"/>
            </w14:solidFill>
          </w14:textFill>
        </w:rPr>
      </w:pPr>
      <w:r>
        <w:rPr>
          <w:rFonts w:hint="eastAsia" w:ascii="宋体" w:hAnsi="宋体" w:cs="宋体"/>
          <w:iCs/>
          <w:color w:val="000000" w:themeColor="text1"/>
          <w:spacing w:val="20"/>
          <w:sz w:val="24"/>
          <w14:textFill>
            <w14:solidFill>
              <w14:schemeClr w14:val="tx1"/>
            </w14:solidFill>
          </w14:textFill>
        </w:rPr>
        <w:t>注：1、投标人需按“总报价表”的报价，对“缙云县第二人民医院迁建项目污水设备及基础设施采购项目”的分项报价分别进行详细列表说明。</w:t>
      </w:r>
    </w:p>
    <w:p w14:paraId="67F00056">
      <w:pPr>
        <w:spacing w:line="360" w:lineRule="auto"/>
        <w:ind w:firstLine="280" w:firstLineChars="100"/>
        <w:rPr>
          <w:rFonts w:ascii="宋体" w:hAnsi="宋体" w:cs="宋体"/>
          <w:iCs/>
          <w:color w:val="000000" w:themeColor="text1"/>
          <w:spacing w:val="20"/>
          <w:sz w:val="24"/>
          <w14:textFill>
            <w14:solidFill>
              <w14:schemeClr w14:val="tx1"/>
            </w14:solidFill>
          </w14:textFill>
        </w:rPr>
      </w:pPr>
    </w:p>
    <w:p w14:paraId="087C4942">
      <w:pPr>
        <w:spacing w:line="360" w:lineRule="auto"/>
        <w:ind w:firstLine="280" w:firstLineChars="100"/>
        <w:rPr>
          <w:rFonts w:ascii="宋体" w:hAnsi="宋体" w:cs="宋体"/>
          <w:color w:val="000000" w:themeColor="text1"/>
          <w:spacing w:val="20"/>
          <w:sz w:val="24"/>
          <w14:textFill>
            <w14:solidFill>
              <w14:schemeClr w14:val="tx1"/>
            </w14:solidFill>
          </w14:textFill>
        </w:rPr>
      </w:pPr>
    </w:p>
    <w:p w14:paraId="6A399463">
      <w:pPr>
        <w:rPr>
          <w:rFonts w:ascii="宋体" w:hAnsi="宋体" w:cs="宋体"/>
          <w:b/>
          <w:color w:val="000000" w:themeColor="text1"/>
          <w:sz w:val="24"/>
          <w14:textFill>
            <w14:solidFill>
              <w14:schemeClr w14:val="tx1"/>
            </w14:solidFill>
          </w14:textFill>
        </w:rPr>
      </w:pPr>
    </w:p>
    <w:p w14:paraId="4D448D67">
      <w:pPr>
        <w:rPr>
          <w:rFonts w:ascii="宋体" w:hAnsi="宋体" w:cs="宋体"/>
          <w:b/>
          <w:color w:val="000000" w:themeColor="text1"/>
          <w:sz w:val="24"/>
          <w14:textFill>
            <w14:solidFill>
              <w14:schemeClr w14:val="tx1"/>
            </w14:solidFill>
          </w14:textFill>
        </w:rPr>
      </w:pPr>
      <w:bookmarkStart w:id="135" w:name="_Toc119229667"/>
    </w:p>
    <w:p w14:paraId="0A91776D">
      <w:pPr>
        <w:rPr>
          <w:rFonts w:ascii="宋体" w:hAnsi="宋体" w:cs="宋体"/>
          <w:b/>
          <w:color w:val="000000" w:themeColor="text1"/>
          <w:sz w:val="24"/>
          <w14:textFill>
            <w14:solidFill>
              <w14:schemeClr w14:val="tx1"/>
            </w14:solidFill>
          </w14:textFill>
        </w:rPr>
      </w:pPr>
    </w:p>
    <w:p w14:paraId="5C5ECB2D">
      <w:pPr>
        <w:rPr>
          <w:rFonts w:ascii="宋体" w:hAnsi="宋体" w:cs="宋体"/>
          <w:b/>
          <w:color w:val="000000" w:themeColor="text1"/>
          <w:sz w:val="24"/>
          <w14:textFill>
            <w14:solidFill>
              <w14:schemeClr w14:val="tx1"/>
            </w14:solidFill>
          </w14:textFill>
        </w:rPr>
      </w:pPr>
    </w:p>
    <w:p w14:paraId="3BCE6792">
      <w:pPr>
        <w:rPr>
          <w:rFonts w:ascii="宋体" w:hAnsi="宋体" w:cs="宋体"/>
          <w:b/>
          <w:color w:val="000000" w:themeColor="text1"/>
          <w:sz w:val="24"/>
          <w14:textFill>
            <w14:solidFill>
              <w14:schemeClr w14:val="tx1"/>
            </w14:solidFill>
          </w14:textFill>
        </w:rPr>
      </w:pPr>
    </w:p>
    <w:p w14:paraId="35289CC9">
      <w:pPr>
        <w:ind w:firstLine="6160" w:firstLineChars="2200"/>
        <w:rPr>
          <w:rFonts w:ascii="宋体" w:hAnsi="宋体" w:cs="宋体"/>
          <w:color w:val="000000" w:themeColor="text1"/>
          <w:spacing w:val="20"/>
          <w:sz w:val="24"/>
          <w:u w:val="single" w:color="00000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供应商(电子签章):</w:t>
      </w:r>
      <w:r>
        <w:rPr>
          <w:rFonts w:hint="eastAsia" w:ascii="宋体" w:hAnsi="宋体" w:cs="宋体"/>
          <w:color w:val="000000" w:themeColor="text1"/>
          <w:spacing w:val="20"/>
          <w:sz w:val="24"/>
          <w:u w:val="single" w:color="000000"/>
          <w14:textFill>
            <w14:solidFill>
              <w14:schemeClr w14:val="tx1"/>
            </w14:solidFill>
          </w14:textFill>
        </w:rPr>
        <w:t xml:space="preserve">      </w:t>
      </w:r>
    </w:p>
    <w:p w14:paraId="18F5BEC8">
      <w:pPr>
        <w:jc w:val="center"/>
        <w:rPr>
          <w:rFonts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w:t>
      </w:r>
    </w:p>
    <w:p w14:paraId="21653592">
      <w:pPr>
        <w:jc w:val="center"/>
        <w:rPr>
          <w:rFonts w:ascii="宋体" w:hAnsi="宋体" w:cs="宋体"/>
          <w:color w:val="000000" w:themeColor="text1"/>
          <w:spacing w:val="20"/>
          <w:sz w:val="24"/>
          <w:u w:val="single" w:color="00000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color="000000"/>
          <w14:textFill>
            <w14:solidFill>
              <w14:schemeClr w14:val="tx1"/>
            </w14:solidFill>
          </w14:textFill>
        </w:rPr>
        <w:t xml:space="preserve">           </w:t>
      </w:r>
      <w:bookmarkEnd w:id="135"/>
    </w:p>
    <w:p w14:paraId="1E70D93F">
      <w:pPr>
        <w:jc w:val="center"/>
        <w:rPr>
          <w:rFonts w:ascii="宋体" w:hAnsi="宋体" w:cs="宋体"/>
          <w:color w:val="000000" w:themeColor="text1"/>
          <w:spacing w:val="20"/>
          <w:sz w:val="24"/>
          <w:u w:val="single" w:color="000000"/>
          <w14:textFill>
            <w14:solidFill>
              <w14:schemeClr w14:val="tx1"/>
            </w14:solidFill>
          </w14:textFill>
        </w:rPr>
      </w:pPr>
    </w:p>
    <w:p w14:paraId="19E63B12">
      <w:pPr>
        <w:jc w:val="center"/>
        <w:rPr>
          <w:rFonts w:ascii="宋体" w:hAnsi="宋体" w:cs="宋体"/>
          <w:color w:val="000000" w:themeColor="text1"/>
          <w:spacing w:val="20"/>
          <w:sz w:val="22"/>
          <w:szCs w:val="22"/>
          <w:u w:val="single" w:color="000000"/>
          <w14:textFill>
            <w14:solidFill>
              <w14:schemeClr w14:val="tx1"/>
            </w14:solidFill>
          </w14:textFill>
        </w:rPr>
      </w:pPr>
    </w:p>
    <w:p w14:paraId="568E2D48">
      <w:pPr>
        <w:jc w:val="center"/>
        <w:rPr>
          <w:rFonts w:ascii="宋体" w:hAnsi="宋体" w:cs="宋体"/>
          <w:color w:val="000000" w:themeColor="text1"/>
          <w:spacing w:val="20"/>
          <w:sz w:val="22"/>
          <w:szCs w:val="22"/>
          <w:u w:val="single" w:color="000000"/>
          <w14:textFill>
            <w14:solidFill>
              <w14:schemeClr w14:val="tx1"/>
            </w14:solidFill>
          </w14:textFill>
        </w:rPr>
      </w:pPr>
    </w:p>
    <w:p w14:paraId="58D2C63B">
      <w:pPr>
        <w:jc w:val="center"/>
        <w:rPr>
          <w:rFonts w:ascii="宋体" w:hAnsi="宋体" w:cs="宋体"/>
          <w:color w:val="000000" w:themeColor="text1"/>
          <w:spacing w:val="20"/>
          <w:sz w:val="22"/>
          <w:szCs w:val="22"/>
          <w:u w:val="single" w:color="000000"/>
          <w14:textFill>
            <w14:solidFill>
              <w14:schemeClr w14:val="tx1"/>
            </w14:solidFill>
          </w14:textFill>
        </w:rPr>
      </w:pPr>
    </w:p>
    <w:p w14:paraId="17FB2C89">
      <w:pPr>
        <w:jc w:val="center"/>
        <w:rPr>
          <w:rFonts w:ascii="宋体" w:hAnsi="宋体" w:cs="宋体"/>
          <w:color w:val="000000" w:themeColor="text1"/>
          <w:spacing w:val="20"/>
          <w:sz w:val="22"/>
          <w:szCs w:val="22"/>
          <w:u w:val="single" w:color="000000"/>
          <w14:textFill>
            <w14:solidFill>
              <w14:schemeClr w14:val="tx1"/>
            </w14:solidFill>
          </w14:textFill>
        </w:rPr>
      </w:pPr>
    </w:p>
    <w:p w14:paraId="5F68280C">
      <w:pPr>
        <w:rPr>
          <w:rFonts w:ascii="宋体" w:hAnsi="宋体" w:cs="宋体"/>
          <w:b/>
          <w:color w:val="000000" w:themeColor="text1"/>
          <w:sz w:val="32"/>
          <w:szCs w:val="32"/>
          <w14:textFill>
            <w14:solidFill>
              <w14:schemeClr w14:val="tx1"/>
            </w14:solidFill>
          </w14:textFill>
        </w:rPr>
      </w:pPr>
      <w:bookmarkStart w:id="136" w:name="_Toc18018_WPSOffice_Level1"/>
      <w:bookmarkStart w:id="137" w:name="_Toc19258"/>
      <w:r>
        <w:rPr>
          <w:rFonts w:hint="eastAsia" w:ascii="宋体" w:hAnsi="宋体" w:cs="宋体"/>
          <w:b/>
          <w:color w:val="000000" w:themeColor="text1"/>
          <w:sz w:val="32"/>
          <w:szCs w:val="32"/>
          <w14:textFill>
            <w14:solidFill>
              <w14:schemeClr w14:val="tx1"/>
            </w14:solidFill>
          </w14:textFill>
        </w:rPr>
        <w:br w:type="page"/>
      </w:r>
    </w:p>
    <w:p w14:paraId="688D38E6">
      <w:pPr>
        <w:spacing w:line="312" w:lineRule="auto"/>
        <w:ind w:firstLine="482"/>
        <w:jc w:val="left"/>
        <w:rPr>
          <w:rFonts w:ascii="宋体" w:hAnsi="宋体" w:cs="宋体"/>
          <w:color w:val="000000" w:themeColor="text1"/>
          <w:kern w:val="0"/>
          <w:sz w:val="24"/>
          <w14:textFill>
            <w14:solidFill>
              <w14:schemeClr w14:val="tx1"/>
            </w14:solidFill>
          </w14:textFill>
        </w:rPr>
      </w:pPr>
    </w:p>
    <w:p w14:paraId="2B39768D">
      <w:pPr>
        <w:rPr>
          <w:rFonts w:ascii="宋体" w:hAnsi="宋体" w:cs="宋体"/>
          <w:b/>
          <w:color w:val="000000" w:themeColor="text1"/>
          <w:sz w:val="28"/>
          <w:szCs w:val="28"/>
          <w14:textFill>
            <w14:solidFill>
              <w14:schemeClr w14:val="tx1"/>
            </w14:solidFill>
          </w14:textFill>
        </w:rPr>
      </w:pPr>
    </w:p>
    <w:p w14:paraId="791AD3A9">
      <w:pPr>
        <w:jc w:val="center"/>
        <w:rPr>
          <w:rFonts w:ascii="宋体" w:hAnsi="宋体" w:cs="宋体"/>
          <w:b/>
          <w:color w:val="000000" w:themeColor="text1"/>
          <w:sz w:val="28"/>
          <w:szCs w:val="28"/>
          <w14:textFill>
            <w14:solidFill>
              <w14:schemeClr w14:val="tx1"/>
            </w14:solidFill>
          </w14:textFill>
        </w:rPr>
      </w:pPr>
    </w:p>
    <w:p w14:paraId="46A9A2B3">
      <w:pPr>
        <w:jc w:val="center"/>
        <w:rPr>
          <w:rFonts w:ascii="宋体" w:hAnsi="宋体" w:cs="宋体"/>
          <w:b/>
          <w:color w:val="000000" w:themeColor="text1"/>
          <w:sz w:val="28"/>
          <w:szCs w:val="28"/>
          <w14:textFill>
            <w14:solidFill>
              <w14:schemeClr w14:val="tx1"/>
            </w14:solidFill>
          </w14:textFill>
        </w:rPr>
      </w:pPr>
    </w:p>
    <w:p w14:paraId="49EEE513">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3.其它</w:t>
      </w:r>
    </w:p>
    <w:p w14:paraId="18B49B2F">
      <w:pPr>
        <w:jc w:val="center"/>
        <w:rPr>
          <w:rFonts w:ascii="宋体" w:hAnsi="宋体" w:cs="宋体"/>
          <w:color w:val="000000" w:themeColor="text1"/>
          <w:sz w:val="22"/>
          <w:szCs w:val="28"/>
          <w14:textFill>
            <w14:solidFill>
              <w14:schemeClr w14:val="tx1"/>
            </w14:solidFill>
          </w14:textFill>
        </w:rPr>
      </w:pPr>
    </w:p>
    <w:p w14:paraId="76508F8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评标办法中涉及评分的相应证件、证明等资料的复印件（格式自拟）</w:t>
      </w:r>
    </w:p>
    <w:p w14:paraId="1E1DDEB8">
      <w:pPr>
        <w:rPr>
          <w:rFonts w:ascii="宋体" w:hAnsi="宋体" w:cs="宋体"/>
          <w:color w:val="000000" w:themeColor="text1"/>
          <w14:textFill>
            <w14:solidFill>
              <w14:schemeClr w14:val="tx1"/>
            </w14:solidFill>
          </w14:textFill>
        </w:rPr>
      </w:pPr>
      <w:bookmarkStart w:id="138" w:name="_Toc13063"/>
    </w:p>
    <w:p w14:paraId="499FBB41">
      <w:pPr>
        <w:rPr>
          <w:rFonts w:ascii="宋体" w:hAnsi="宋体" w:cs="宋体"/>
          <w:color w:val="000000" w:themeColor="text1"/>
          <w14:textFill>
            <w14:solidFill>
              <w14:schemeClr w14:val="tx1"/>
            </w14:solidFill>
          </w14:textFill>
        </w:rPr>
      </w:pPr>
    </w:p>
    <w:p w14:paraId="6DD25F14">
      <w:pPr>
        <w:rPr>
          <w:rFonts w:ascii="宋体" w:hAnsi="宋体" w:cs="宋体"/>
          <w:color w:val="000000" w:themeColor="text1"/>
          <w14:textFill>
            <w14:solidFill>
              <w14:schemeClr w14:val="tx1"/>
            </w14:solidFill>
          </w14:textFill>
        </w:rPr>
      </w:pPr>
    </w:p>
    <w:p w14:paraId="24AE3565">
      <w:pPr>
        <w:rPr>
          <w:rFonts w:ascii="宋体" w:hAnsi="宋体" w:cs="宋体"/>
          <w:color w:val="000000" w:themeColor="text1"/>
          <w14:textFill>
            <w14:solidFill>
              <w14:schemeClr w14:val="tx1"/>
            </w14:solidFill>
          </w14:textFill>
        </w:rPr>
      </w:pPr>
    </w:p>
    <w:p w14:paraId="0399A147">
      <w:pPr>
        <w:rPr>
          <w:rFonts w:ascii="宋体" w:hAnsi="宋体" w:cs="宋体"/>
          <w:color w:val="000000" w:themeColor="text1"/>
          <w14:textFill>
            <w14:solidFill>
              <w14:schemeClr w14:val="tx1"/>
            </w14:solidFill>
          </w14:textFill>
        </w:rPr>
      </w:pPr>
    </w:p>
    <w:p w14:paraId="1CDCB4AC">
      <w:pPr>
        <w:rPr>
          <w:rFonts w:ascii="宋体" w:hAnsi="宋体" w:cs="宋体"/>
          <w:color w:val="000000" w:themeColor="text1"/>
          <w14:textFill>
            <w14:solidFill>
              <w14:schemeClr w14:val="tx1"/>
            </w14:solidFill>
          </w14:textFill>
        </w:rPr>
      </w:pPr>
    </w:p>
    <w:p w14:paraId="578FEF5D">
      <w:pPr>
        <w:rPr>
          <w:rFonts w:ascii="宋体" w:hAnsi="宋体" w:cs="宋体"/>
          <w:color w:val="000000" w:themeColor="text1"/>
          <w14:textFill>
            <w14:solidFill>
              <w14:schemeClr w14:val="tx1"/>
            </w14:solidFill>
          </w14:textFill>
        </w:rPr>
      </w:pPr>
    </w:p>
    <w:p w14:paraId="5D0F7111">
      <w:pPr>
        <w:rPr>
          <w:rFonts w:ascii="宋体" w:hAnsi="宋体" w:cs="宋体"/>
          <w:color w:val="000000" w:themeColor="text1"/>
          <w14:textFill>
            <w14:solidFill>
              <w14:schemeClr w14:val="tx1"/>
            </w14:solidFill>
          </w14:textFill>
        </w:rPr>
      </w:pPr>
    </w:p>
    <w:p w14:paraId="493D7F35">
      <w:pPr>
        <w:rPr>
          <w:rFonts w:ascii="宋体" w:hAnsi="宋体" w:cs="宋体"/>
          <w:color w:val="000000" w:themeColor="text1"/>
          <w14:textFill>
            <w14:solidFill>
              <w14:schemeClr w14:val="tx1"/>
            </w14:solidFill>
          </w14:textFill>
        </w:rPr>
      </w:pPr>
    </w:p>
    <w:p w14:paraId="1BF3D40D">
      <w:pPr>
        <w:rPr>
          <w:rFonts w:ascii="宋体" w:hAnsi="宋体" w:cs="宋体"/>
          <w:color w:val="000000" w:themeColor="text1"/>
          <w14:textFill>
            <w14:solidFill>
              <w14:schemeClr w14:val="tx1"/>
            </w14:solidFill>
          </w14:textFill>
        </w:rPr>
      </w:pPr>
    </w:p>
    <w:p w14:paraId="721C2DF7">
      <w:pPr>
        <w:rPr>
          <w:rFonts w:ascii="宋体" w:hAnsi="宋体" w:cs="宋体"/>
          <w:color w:val="000000" w:themeColor="text1"/>
          <w14:textFill>
            <w14:solidFill>
              <w14:schemeClr w14:val="tx1"/>
            </w14:solidFill>
          </w14:textFill>
        </w:rPr>
      </w:pPr>
    </w:p>
    <w:p w14:paraId="6E969250">
      <w:pPr>
        <w:rPr>
          <w:rFonts w:ascii="宋体" w:hAnsi="宋体" w:cs="宋体"/>
          <w:color w:val="000000" w:themeColor="text1"/>
          <w14:textFill>
            <w14:solidFill>
              <w14:schemeClr w14:val="tx1"/>
            </w14:solidFill>
          </w14:textFill>
        </w:rPr>
      </w:pPr>
    </w:p>
    <w:p w14:paraId="3C3FA8F5">
      <w:pPr>
        <w:rPr>
          <w:rFonts w:ascii="宋体" w:hAnsi="宋体" w:cs="宋体"/>
          <w:color w:val="000000" w:themeColor="text1"/>
          <w14:textFill>
            <w14:solidFill>
              <w14:schemeClr w14:val="tx1"/>
            </w14:solidFill>
          </w14:textFill>
        </w:rPr>
      </w:pPr>
    </w:p>
    <w:p w14:paraId="022DC343">
      <w:pPr>
        <w:rPr>
          <w:rFonts w:ascii="宋体" w:hAnsi="宋体" w:cs="宋体"/>
          <w:color w:val="000000" w:themeColor="text1"/>
          <w14:textFill>
            <w14:solidFill>
              <w14:schemeClr w14:val="tx1"/>
            </w14:solidFill>
          </w14:textFill>
        </w:rPr>
      </w:pPr>
    </w:p>
    <w:p w14:paraId="60032C11">
      <w:pPr>
        <w:rPr>
          <w:rFonts w:ascii="宋体" w:hAnsi="宋体" w:cs="宋体"/>
          <w:color w:val="000000" w:themeColor="text1"/>
          <w14:textFill>
            <w14:solidFill>
              <w14:schemeClr w14:val="tx1"/>
            </w14:solidFill>
          </w14:textFill>
        </w:rPr>
      </w:pPr>
    </w:p>
    <w:p w14:paraId="580B9C27">
      <w:pPr>
        <w:rPr>
          <w:rFonts w:ascii="宋体" w:hAnsi="宋体" w:cs="宋体"/>
          <w:color w:val="000000" w:themeColor="text1"/>
          <w14:textFill>
            <w14:solidFill>
              <w14:schemeClr w14:val="tx1"/>
            </w14:solidFill>
          </w14:textFill>
        </w:rPr>
      </w:pPr>
    </w:p>
    <w:p w14:paraId="64F7A2C0">
      <w:pPr>
        <w:rPr>
          <w:rFonts w:ascii="宋体" w:hAnsi="宋体" w:cs="宋体"/>
          <w:color w:val="000000" w:themeColor="text1"/>
          <w14:textFill>
            <w14:solidFill>
              <w14:schemeClr w14:val="tx1"/>
            </w14:solidFill>
          </w14:textFill>
        </w:rPr>
      </w:pPr>
    </w:p>
    <w:p w14:paraId="15303FA4">
      <w:pPr>
        <w:rPr>
          <w:rFonts w:ascii="宋体" w:hAnsi="宋体" w:cs="宋体"/>
          <w:color w:val="000000" w:themeColor="text1"/>
          <w14:textFill>
            <w14:solidFill>
              <w14:schemeClr w14:val="tx1"/>
            </w14:solidFill>
          </w14:textFill>
        </w:rPr>
      </w:pPr>
    </w:p>
    <w:p w14:paraId="1342C581">
      <w:pPr>
        <w:rPr>
          <w:rFonts w:ascii="宋体" w:hAnsi="宋体" w:cs="宋体"/>
          <w:color w:val="000000" w:themeColor="text1"/>
          <w14:textFill>
            <w14:solidFill>
              <w14:schemeClr w14:val="tx1"/>
            </w14:solidFill>
          </w14:textFill>
        </w:rPr>
      </w:pPr>
    </w:p>
    <w:p w14:paraId="5C629293">
      <w:pPr>
        <w:rPr>
          <w:rFonts w:ascii="宋体" w:hAnsi="宋体" w:cs="宋体"/>
          <w:color w:val="000000" w:themeColor="text1"/>
          <w:sz w:val="36"/>
          <w:szCs w:val="36"/>
          <w14:textFill>
            <w14:solidFill>
              <w14:schemeClr w14:val="tx1"/>
            </w14:solidFill>
          </w14:textFill>
        </w:rPr>
      </w:pPr>
    </w:p>
    <w:p w14:paraId="26224217">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p>
    <w:p w14:paraId="4ABE255B">
      <w:pPr>
        <w:pStyle w:val="3"/>
        <w:spacing w:line="560" w:lineRule="exact"/>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第六章  评标办法和细则</w:t>
      </w:r>
      <w:bookmarkEnd w:id="136"/>
      <w:bookmarkEnd w:id="137"/>
      <w:bookmarkEnd w:id="138"/>
    </w:p>
    <w:p w14:paraId="717DC696">
      <w:pPr>
        <w:pStyle w:val="10"/>
        <w:snapToGrid/>
        <w:spacing w:line="360" w:lineRule="auto"/>
        <w:ind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根据《中华人民共和国政府采购法》等有关法律法规的规定，并结合本项目的实际，按照公正、公平、科学、择优的原则选择中标人，特制定本办法。</w:t>
      </w:r>
    </w:p>
    <w:p w14:paraId="3FAD7247">
      <w:pPr>
        <w:pStyle w:val="6"/>
        <w:spacing w:line="240" w:lineRule="auto"/>
        <w:ind w:firstLine="241" w:firstLineChars="100"/>
        <w:rPr>
          <w:rFonts w:ascii="宋体" w:hAnsi="宋体" w:eastAsia="宋体" w:cs="宋体"/>
          <w:color w:val="000000" w:themeColor="text1"/>
          <w:sz w:val="24"/>
          <w:szCs w:val="24"/>
          <w14:textFill>
            <w14:solidFill>
              <w14:schemeClr w14:val="tx1"/>
            </w14:solidFill>
          </w14:textFill>
        </w:rPr>
      </w:pPr>
      <w:bookmarkStart w:id="139" w:name="_Toc18586"/>
      <w:r>
        <w:rPr>
          <w:rFonts w:hint="eastAsia" w:ascii="宋体" w:hAnsi="宋体" w:eastAsia="宋体" w:cs="宋体"/>
          <w:color w:val="000000" w:themeColor="text1"/>
          <w:sz w:val="24"/>
          <w:szCs w:val="24"/>
          <w14:textFill>
            <w14:solidFill>
              <w14:schemeClr w14:val="tx1"/>
            </w14:solidFill>
          </w14:textFill>
        </w:rPr>
        <w:t>一   总则</w:t>
      </w:r>
      <w:bookmarkEnd w:id="139"/>
    </w:p>
    <w:p w14:paraId="22A26B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进行综合分析评价并编制评标报告。评审专家必须严格遵守保密规定，不得泄漏评标有关的情况，不得索贿受贿，不得参加影响评标的任何活动。</w:t>
      </w:r>
    </w:p>
    <w:p w14:paraId="22E6F9EA">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一名中标候选人，由采购人确定本项目中标人。评分过程中采用四舍五入法，并保留小数2位。</w:t>
      </w:r>
    </w:p>
    <w:p w14:paraId="703997CE">
      <w:pPr>
        <w:pStyle w:val="6"/>
        <w:spacing w:line="240" w:lineRule="auto"/>
        <w:ind w:firstLine="241" w:firstLineChars="100"/>
        <w:rPr>
          <w:rFonts w:ascii="宋体" w:hAnsi="宋体" w:eastAsia="宋体" w:cs="宋体"/>
          <w:color w:val="000000" w:themeColor="text1"/>
          <w:sz w:val="24"/>
          <w:szCs w:val="24"/>
          <w14:textFill>
            <w14:solidFill>
              <w14:schemeClr w14:val="tx1"/>
            </w14:solidFill>
          </w14:textFill>
        </w:rPr>
      </w:pPr>
      <w:bookmarkStart w:id="140" w:name="_Toc8737"/>
      <w:r>
        <w:rPr>
          <w:rFonts w:hint="eastAsia" w:ascii="宋体" w:hAnsi="宋体" w:eastAsia="宋体" w:cs="宋体"/>
          <w:color w:val="000000" w:themeColor="text1"/>
          <w:sz w:val="24"/>
          <w:szCs w:val="24"/>
          <w14:textFill>
            <w14:solidFill>
              <w14:schemeClr w14:val="tx1"/>
            </w14:solidFill>
          </w14:textFill>
        </w:rPr>
        <w:t>二   评审委员会</w:t>
      </w:r>
      <w:bookmarkEnd w:id="140"/>
    </w:p>
    <w:p w14:paraId="29557C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2.1评审委员会</w:t>
      </w:r>
    </w:p>
    <w:p w14:paraId="0CC562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14:textFill>
            <w14:solidFill>
              <w14:schemeClr w14:val="tx1"/>
            </w14:solidFill>
          </w14:textFill>
        </w:rPr>
        <w:t>对投标文件进行符合性审查、询标、评价和推荐中标候选人。</w:t>
      </w:r>
    </w:p>
    <w:p w14:paraId="6893EF4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14:paraId="70F432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E658271">
      <w:pPr>
        <w:pStyle w:val="6"/>
        <w:spacing w:line="240" w:lineRule="auto"/>
        <w:ind w:firstLine="241" w:firstLineChars="100"/>
        <w:rPr>
          <w:rFonts w:ascii="宋体" w:hAnsi="宋体" w:eastAsia="宋体" w:cs="宋体"/>
          <w:color w:val="000000" w:themeColor="text1"/>
          <w:sz w:val="24"/>
          <w:szCs w:val="24"/>
          <w14:textFill>
            <w14:solidFill>
              <w14:schemeClr w14:val="tx1"/>
            </w14:solidFill>
          </w14:textFill>
        </w:rPr>
      </w:pPr>
      <w:bookmarkStart w:id="141" w:name="_Toc7115"/>
      <w:r>
        <w:rPr>
          <w:rFonts w:hint="eastAsia" w:ascii="宋体" w:hAnsi="宋体" w:eastAsia="宋体" w:cs="宋体"/>
          <w:color w:val="000000" w:themeColor="text1"/>
          <w:sz w:val="24"/>
          <w:szCs w:val="24"/>
          <w14:textFill>
            <w14:solidFill>
              <w14:schemeClr w14:val="tx1"/>
            </w14:solidFill>
          </w14:textFill>
        </w:rPr>
        <w:t>三   评标程序</w:t>
      </w:r>
      <w:bookmarkEnd w:id="141"/>
    </w:p>
    <w:p w14:paraId="1514501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 符合性审查</w:t>
      </w:r>
    </w:p>
    <w:p w14:paraId="00A991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494208AA">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 资信商务及技术文件评审</w:t>
      </w:r>
    </w:p>
    <w:p w14:paraId="4258C4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3.2.1评审委员会依据招标文件的规定，对各</w:t>
      </w:r>
      <w:r>
        <w:rPr>
          <w:rFonts w:hint="eastAsia" w:ascii="宋体" w:hAnsi="宋体" w:cs="宋体"/>
          <w:color w:val="000000" w:themeColor="text1"/>
          <w:kern w:val="0"/>
          <w:sz w:val="24"/>
          <w14:textFill>
            <w14:solidFill>
              <w14:schemeClr w14:val="tx1"/>
            </w14:solidFill>
          </w14:textFill>
        </w:rPr>
        <w:t>投标人的</w:t>
      </w:r>
      <w:r>
        <w:rPr>
          <w:rFonts w:hint="eastAsia" w:ascii="宋体" w:hAnsi="宋体" w:cs="宋体"/>
          <w:color w:val="000000" w:themeColor="text1"/>
          <w:sz w:val="24"/>
          <w14:textFill>
            <w14:solidFill>
              <w14:schemeClr w14:val="tx1"/>
            </w14:solidFill>
          </w14:textFill>
        </w:rPr>
        <w:t>资信商务部分进行评审，对客观分应统一意见后统一给分。</w:t>
      </w:r>
    </w:p>
    <w:p w14:paraId="75C058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3.2.2评审委员会依据招标文件的规定，对各</w:t>
      </w:r>
      <w:r>
        <w:rPr>
          <w:rFonts w:hint="eastAsia" w:ascii="宋体" w:hAnsi="宋体" w:cs="宋体"/>
          <w:color w:val="000000" w:themeColor="text1"/>
          <w:kern w:val="0"/>
          <w:sz w:val="24"/>
          <w14:textFill>
            <w14:solidFill>
              <w14:schemeClr w14:val="tx1"/>
            </w14:solidFill>
          </w14:textFill>
        </w:rPr>
        <w:t>投标人的</w:t>
      </w:r>
      <w:r>
        <w:rPr>
          <w:rFonts w:hint="eastAsia" w:ascii="宋体" w:hAnsi="宋体" w:cs="宋体"/>
          <w:color w:val="000000" w:themeColor="text1"/>
          <w:sz w:val="24"/>
          <w14:textFill>
            <w14:solidFill>
              <w14:schemeClr w14:val="tx1"/>
            </w14:solidFill>
          </w14:textFill>
        </w:rPr>
        <w:t>技术部分进行独立评审，对各</w:t>
      </w:r>
      <w:r>
        <w:rPr>
          <w:rFonts w:hint="eastAsia" w:ascii="宋体" w:hAnsi="宋体" w:cs="宋体"/>
          <w:color w:val="000000" w:themeColor="text1"/>
          <w:kern w:val="0"/>
          <w:sz w:val="24"/>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进行比较和必要的澄清，并根据审查、澄清等情况结合评审办法进行独立打分；</w:t>
      </w:r>
    </w:p>
    <w:p w14:paraId="783B47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3.2.3各投标人的资信商务及技术得分，为各评审专家对该投标人的评分汇总后的算术平均数。</w:t>
      </w:r>
    </w:p>
    <w:p w14:paraId="74301DC2">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3.4通过政采云平台公布各投标人的资信商务及技术得分，开启有效投标人的报价文件。</w:t>
      </w:r>
    </w:p>
    <w:p w14:paraId="157C06F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3.5 报价文件评审</w:t>
      </w:r>
    </w:p>
    <w:p w14:paraId="05303C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 评审委员会依据招标文件的规定，对各投标人的报价的符合性进行审查，必要时可要求投标人对其报价做出澄清、说明；</w:t>
      </w:r>
    </w:p>
    <w:p w14:paraId="6AA0A33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3.5.2报价修正；</w:t>
      </w:r>
    </w:p>
    <w:p w14:paraId="3D0902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3.5.3政府采购政策价格扣除；</w:t>
      </w:r>
    </w:p>
    <w:p w14:paraId="4D5B13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3.5.4评审委员会根据投标人的报价和评审标准，计算各投标人的报价得分。</w:t>
      </w:r>
    </w:p>
    <w:p w14:paraId="47F695F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3.6 评标结果</w:t>
      </w:r>
    </w:p>
    <w:p w14:paraId="543C514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 评审结果汇总，投标人结果排序；</w:t>
      </w:r>
    </w:p>
    <w:p w14:paraId="559D19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 起草评标报告，确定中标候选人；</w:t>
      </w:r>
    </w:p>
    <w:p w14:paraId="6BEBAA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3.6.2.1 评标报告包括以下内容：</w:t>
      </w:r>
    </w:p>
    <w:p w14:paraId="5DA800E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（1）招标公告刊登的媒体名称、开标日期和地点；</w:t>
      </w:r>
    </w:p>
    <w:p w14:paraId="5BC8A6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（2）投标人名单和评审委员会成员名单；</w:t>
      </w:r>
    </w:p>
    <w:p w14:paraId="190344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（3）评审方法和标准；</w:t>
      </w:r>
    </w:p>
    <w:p w14:paraId="78A5DD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（4）资格审查记录；</w:t>
      </w:r>
    </w:p>
    <w:p w14:paraId="290F39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（5）开标记录和评审情况及说明，包括无效投标人名单及原因；</w:t>
      </w:r>
    </w:p>
    <w:p w14:paraId="51F085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（6）评审结果，确定的中标候选人名单；</w:t>
      </w:r>
    </w:p>
    <w:p w14:paraId="5148C6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（7）其他需要说明的情况，包括评审过程中投标人根据评审委员会要求进行的澄清、说明或者补正，评审委员会成员的更换等。</w:t>
      </w:r>
    </w:p>
    <w:p w14:paraId="005FA6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 评标报告由全体评审委员会成员确认后提交。</w:t>
      </w:r>
    </w:p>
    <w:p w14:paraId="5ED0F6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 评审结束后，由电子交易平台自动生成评审结果，采购人确定中标人后2个工作日内，发出中标通知书，并在相关媒体上公告中标结果。</w:t>
      </w:r>
    </w:p>
    <w:p w14:paraId="444371E3">
      <w:pPr>
        <w:pStyle w:val="6"/>
        <w:spacing w:line="240" w:lineRule="auto"/>
        <w:ind w:firstLine="241" w:firstLineChars="100"/>
        <w:rPr>
          <w:rFonts w:ascii="宋体" w:hAnsi="宋体" w:eastAsia="宋体" w:cs="宋体"/>
          <w:color w:val="000000" w:themeColor="text1"/>
          <w:sz w:val="24"/>
          <w:szCs w:val="24"/>
          <w14:textFill>
            <w14:solidFill>
              <w14:schemeClr w14:val="tx1"/>
            </w14:solidFill>
          </w14:textFill>
        </w:rPr>
      </w:pPr>
      <w:bookmarkStart w:id="142" w:name="_Toc27258"/>
      <w:r>
        <w:rPr>
          <w:rFonts w:hint="eastAsia" w:ascii="宋体" w:hAnsi="宋体" w:eastAsia="宋体" w:cs="宋体"/>
          <w:color w:val="000000" w:themeColor="text1"/>
          <w:sz w:val="24"/>
          <w:szCs w:val="24"/>
          <w14:textFill>
            <w14:solidFill>
              <w14:schemeClr w14:val="tx1"/>
            </w14:solidFill>
          </w14:textFill>
        </w:rPr>
        <w:t>四   评标一般规定</w:t>
      </w:r>
      <w:bookmarkEnd w:id="142"/>
    </w:p>
    <w:p w14:paraId="51AADF0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4.本评标办法采用综合评分法,总分100分。</w:t>
      </w:r>
    </w:p>
    <w:p w14:paraId="3C327BE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4.1资信商务及技术权重为70%，分值为70分，</w:t>
      </w:r>
      <w:r>
        <w:rPr>
          <w:rFonts w:hint="eastAsia" w:ascii="宋体" w:hAnsi="宋体" w:cs="宋体"/>
          <w:color w:val="000000" w:themeColor="text1"/>
          <w:sz w:val="24"/>
          <w14:textFill>
            <w14:solidFill>
              <w14:schemeClr w14:val="tx1"/>
            </w14:solidFill>
          </w14:textFill>
        </w:rPr>
        <w:t>评委对各投标文件经充分审核后，在规定的分值内由评委单独评定打分。如果某个单项的打分超过所规定的分值范围，则该张打分表无效。</w:t>
      </w:r>
    </w:p>
    <w:p w14:paraId="24901D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4.2报价权重为30%，分值为30分，由评委按各投标人的报价统一计算。</w:t>
      </w:r>
    </w:p>
    <w:p w14:paraId="68AA3A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4.3评审专家在规定的分值范围内独立打分，评分保留两位小数，如某分项评分要素为2分，则评审专家在0.01〜2分内打分。</w:t>
      </w:r>
      <w:bookmarkStart w:id="143" w:name="_Toc8214"/>
    </w:p>
    <w:p w14:paraId="107125EE">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   评标办法和细则</w:t>
      </w:r>
      <w:bookmarkEnd w:id="143"/>
    </w:p>
    <w:p w14:paraId="3EE9F467">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5.1.资信商务及技术分值为70分，权重为70%。</w:t>
      </w:r>
    </w:p>
    <w:tbl>
      <w:tblPr>
        <w:tblStyle w:val="26"/>
        <w:tblpPr w:leftFromText="180" w:rightFromText="180" w:vertAnchor="text" w:horzAnchor="page" w:tblpX="1108" w:tblpY="692"/>
        <w:tblOverlap w:val="never"/>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653"/>
        <w:gridCol w:w="842"/>
        <w:gridCol w:w="1113"/>
      </w:tblGrid>
      <w:tr w14:paraId="264B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9" w:type="dxa"/>
            <w:gridSpan w:val="2"/>
            <w:shd w:val="clear" w:color="auto" w:fill="auto"/>
            <w:vAlign w:val="center"/>
          </w:tcPr>
          <w:p w14:paraId="4A56DF6F">
            <w:pPr>
              <w:widowControl/>
              <w:jc w:val="center"/>
              <w:textAlignment w:val="center"/>
              <w:rPr>
                <w:rFonts w:ascii="宋体" w:hAnsi="宋体" w:cs="宋体"/>
                <w:b/>
                <w:bCs/>
                <w:szCs w:val="21"/>
              </w:rPr>
            </w:pPr>
            <w:bookmarkStart w:id="144" w:name="_Toc335664301"/>
            <w:bookmarkStart w:id="145" w:name="_Toc493956082"/>
            <w:bookmarkStart w:id="146" w:name="_Toc494555896"/>
            <w:r>
              <w:rPr>
                <w:rFonts w:hint="eastAsia" w:ascii="宋体" w:hAnsi="宋体" w:cs="宋体"/>
                <w:b/>
                <w:bCs/>
                <w:kern w:val="0"/>
                <w:szCs w:val="21"/>
                <w:lang w:bidi="ar"/>
              </w:rPr>
              <w:t>评标标准</w:t>
            </w:r>
          </w:p>
        </w:tc>
        <w:tc>
          <w:tcPr>
            <w:tcW w:w="842" w:type="dxa"/>
            <w:shd w:val="clear" w:color="auto" w:fill="auto"/>
            <w:vAlign w:val="center"/>
          </w:tcPr>
          <w:p w14:paraId="31CA8FB8">
            <w:pPr>
              <w:widowControl/>
              <w:jc w:val="center"/>
              <w:textAlignment w:val="center"/>
              <w:rPr>
                <w:rFonts w:ascii="宋体" w:hAnsi="宋体" w:cs="宋体"/>
                <w:b/>
                <w:bCs/>
                <w:kern w:val="0"/>
                <w:szCs w:val="21"/>
                <w:lang w:bidi="ar"/>
              </w:rPr>
            </w:pPr>
            <w:r>
              <w:rPr>
                <w:rFonts w:hint="eastAsia" w:ascii="宋体" w:hAnsi="宋体" w:cs="宋体"/>
                <w:b/>
                <w:bCs/>
                <w:kern w:val="0"/>
                <w:szCs w:val="21"/>
                <w:lang w:bidi="ar"/>
              </w:rPr>
              <w:t>权重</w:t>
            </w:r>
          </w:p>
          <w:p w14:paraId="1D5754FD">
            <w:pPr>
              <w:widowControl/>
              <w:jc w:val="center"/>
              <w:textAlignment w:val="center"/>
              <w:rPr>
                <w:rFonts w:ascii="宋体" w:hAnsi="宋体" w:cs="宋体"/>
                <w:b/>
                <w:bCs/>
                <w:szCs w:val="21"/>
              </w:rPr>
            </w:pPr>
            <w:r>
              <w:rPr>
                <w:rFonts w:hint="eastAsia" w:ascii="宋体" w:hAnsi="宋体" w:cs="宋体"/>
                <w:b/>
                <w:bCs/>
                <w:kern w:val="0"/>
                <w:szCs w:val="21"/>
                <w:lang w:bidi="ar"/>
              </w:rPr>
              <w:t>（分）</w:t>
            </w:r>
          </w:p>
        </w:tc>
        <w:tc>
          <w:tcPr>
            <w:tcW w:w="1113" w:type="dxa"/>
            <w:shd w:val="clear" w:color="auto" w:fill="auto"/>
            <w:vAlign w:val="center"/>
          </w:tcPr>
          <w:p w14:paraId="5DA8E27A">
            <w:pPr>
              <w:widowControl/>
              <w:jc w:val="center"/>
              <w:textAlignment w:val="center"/>
              <w:rPr>
                <w:rFonts w:ascii="宋体" w:hAnsi="宋体" w:cs="宋体"/>
                <w:b/>
                <w:bCs/>
                <w:szCs w:val="21"/>
              </w:rPr>
            </w:pPr>
            <w:r>
              <w:rPr>
                <w:rFonts w:hint="eastAsia" w:ascii="宋体" w:hAnsi="宋体" w:cs="宋体"/>
                <w:b/>
                <w:bCs/>
                <w:kern w:val="0"/>
                <w:szCs w:val="21"/>
                <w:lang w:bidi="ar"/>
              </w:rPr>
              <w:t>打分方法</w:t>
            </w:r>
          </w:p>
        </w:tc>
      </w:tr>
      <w:tr w14:paraId="404F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86" w:type="dxa"/>
            <w:shd w:val="clear" w:color="auto" w:fill="auto"/>
            <w:vAlign w:val="center"/>
          </w:tcPr>
          <w:p w14:paraId="622D150A">
            <w:pPr>
              <w:jc w:val="center"/>
              <w:rPr>
                <w:rFonts w:ascii="宋体" w:hAnsi="宋体" w:cs="宋体"/>
                <w:szCs w:val="21"/>
              </w:rPr>
            </w:pPr>
            <w:r>
              <w:rPr>
                <w:rFonts w:hint="eastAsia" w:ascii="宋体" w:hAnsi="宋体" w:cs="宋体"/>
                <w:szCs w:val="21"/>
              </w:rPr>
              <w:t>企业业绩</w:t>
            </w:r>
          </w:p>
        </w:tc>
        <w:tc>
          <w:tcPr>
            <w:tcW w:w="6653" w:type="dxa"/>
            <w:shd w:val="clear" w:color="auto" w:fill="auto"/>
            <w:vAlign w:val="center"/>
          </w:tcPr>
          <w:p w14:paraId="1392B9F0">
            <w:pPr>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投标人自2021年1月1日以来（以合同签订时间为准）类</w:t>
            </w:r>
            <w:r>
              <w:rPr>
                <w:rFonts w:hint="eastAsia" w:ascii="宋体" w:hAnsi="宋体" w:cs="宋体"/>
                <w:color w:val="000000" w:themeColor="text1"/>
                <w:szCs w:val="21"/>
                <w14:textFill>
                  <w14:solidFill>
                    <w14:schemeClr w14:val="tx1"/>
                  </w14:solidFill>
                </w14:textFill>
              </w:rPr>
              <w:t>似</w:t>
            </w:r>
            <w:r>
              <w:rPr>
                <w:rFonts w:hint="eastAsia" w:ascii="宋体" w:hAnsi="宋体" w:cs="宋体"/>
                <w:color w:val="000000" w:themeColor="text1"/>
                <w:szCs w:val="21"/>
                <w:lang w:eastAsia="zh-CN"/>
                <w14:textFill>
                  <w14:solidFill>
                    <w14:schemeClr w14:val="tx1"/>
                  </w14:solidFill>
                </w14:textFill>
              </w:rPr>
              <w:t>医疗污水</w:t>
            </w:r>
            <w:r>
              <w:rPr>
                <w:rFonts w:hint="eastAsia" w:ascii="宋体" w:hAnsi="宋体" w:cs="宋体"/>
                <w:color w:val="000000" w:themeColor="text1"/>
                <w:szCs w:val="21"/>
                <w14:textFill>
                  <w14:solidFill>
                    <w14:schemeClr w14:val="tx1"/>
                  </w14:solidFill>
                </w14:textFill>
              </w:rPr>
              <w:t>项目业绩，每一例业绩得1分。提供完整的合同复印件及中标通知书，否则不得分。本项最高得3分。</w:t>
            </w:r>
          </w:p>
          <w:p w14:paraId="04F6931B">
            <w:pPr>
              <w:rPr>
                <w:rFonts w:ascii="宋体" w:hAnsi="宋体" w:cs="宋体"/>
                <w:szCs w:val="21"/>
              </w:rPr>
            </w:pPr>
            <w:r>
              <w:rPr>
                <w:rFonts w:hint="eastAsia" w:ascii="宋体" w:hAnsi="宋体" w:eastAsia="宋体" w:cs="宋体"/>
                <w:b/>
                <w:bCs/>
                <w:color w:val="000000" w:themeColor="text1"/>
                <w:sz w:val="21"/>
                <w:szCs w:val="21"/>
                <w:highlight w:val="none"/>
                <w:lang w:bidi="ar"/>
                <w14:textFill>
                  <w14:solidFill>
                    <w14:schemeClr w14:val="tx1"/>
                  </w14:solidFill>
                </w14:textFill>
              </w:rPr>
              <w:t>是否属于类似业绩由</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评审</w:t>
            </w:r>
            <w:r>
              <w:rPr>
                <w:rFonts w:hint="eastAsia" w:ascii="宋体" w:hAnsi="宋体" w:eastAsia="宋体" w:cs="宋体"/>
                <w:b/>
                <w:bCs/>
                <w:color w:val="000000" w:themeColor="text1"/>
                <w:sz w:val="21"/>
                <w:szCs w:val="21"/>
                <w:highlight w:val="none"/>
                <w:lang w:bidi="ar"/>
                <w14:textFill>
                  <w14:solidFill>
                    <w14:schemeClr w14:val="tx1"/>
                  </w14:solidFill>
                </w14:textFill>
              </w:rPr>
              <w:t>小组根据合同的内容、特点等与本项目的类似程度</w:t>
            </w:r>
            <w:r>
              <w:rPr>
                <w:rFonts w:hint="eastAsia" w:ascii="宋体" w:hAnsi="宋体" w:eastAsia="宋体" w:cs="宋体"/>
                <w:b/>
                <w:bCs/>
                <w:color w:val="000000" w:themeColor="text1"/>
                <w:sz w:val="21"/>
                <w:szCs w:val="21"/>
                <w:highlight w:val="none"/>
                <w:lang w:eastAsia="zh-CN" w:bidi="ar"/>
                <w14:textFill>
                  <w14:solidFill>
                    <w14:schemeClr w14:val="tx1"/>
                  </w14:solidFill>
                </w14:textFill>
              </w:rPr>
              <w:t>由评委</w:t>
            </w:r>
            <w:r>
              <w:rPr>
                <w:rFonts w:hint="eastAsia" w:ascii="宋体" w:hAnsi="宋体" w:eastAsia="宋体" w:cs="宋体"/>
                <w:b/>
                <w:bCs/>
                <w:color w:val="000000" w:themeColor="text1"/>
                <w:sz w:val="21"/>
                <w:szCs w:val="21"/>
                <w:highlight w:val="none"/>
                <w:lang w:bidi="ar"/>
                <w14:textFill>
                  <w14:solidFill>
                    <w14:schemeClr w14:val="tx1"/>
                  </w14:solidFill>
                </w14:textFill>
              </w:rPr>
              <w:t>进行认定。</w:t>
            </w:r>
          </w:p>
        </w:tc>
        <w:tc>
          <w:tcPr>
            <w:tcW w:w="842" w:type="dxa"/>
            <w:shd w:val="clear" w:color="auto" w:fill="auto"/>
            <w:noWrap/>
            <w:vAlign w:val="center"/>
          </w:tcPr>
          <w:p w14:paraId="2807276C">
            <w:pPr>
              <w:widowControl/>
              <w:jc w:val="center"/>
              <w:textAlignment w:val="center"/>
              <w:rPr>
                <w:rFonts w:ascii="宋体" w:hAnsi="宋体" w:cs="宋体"/>
                <w:szCs w:val="21"/>
              </w:rPr>
            </w:pPr>
            <w:r>
              <w:rPr>
                <w:rFonts w:hint="eastAsia" w:ascii="宋体" w:hAnsi="宋体" w:cs="宋体"/>
                <w:kern w:val="0"/>
                <w:szCs w:val="21"/>
                <w:lang w:bidi="ar"/>
              </w:rPr>
              <w:t>3</w:t>
            </w:r>
          </w:p>
        </w:tc>
        <w:tc>
          <w:tcPr>
            <w:tcW w:w="1113" w:type="dxa"/>
            <w:shd w:val="clear" w:color="auto" w:fill="auto"/>
            <w:noWrap/>
            <w:vAlign w:val="center"/>
          </w:tcPr>
          <w:p w14:paraId="7A8F1F2E">
            <w:pPr>
              <w:widowControl/>
              <w:jc w:val="center"/>
              <w:textAlignment w:val="center"/>
              <w:rPr>
                <w:rFonts w:ascii="宋体" w:hAnsi="宋体" w:cs="宋体"/>
                <w:szCs w:val="21"/>
              </w:rPr>
            </w:pPr>
            <w:r>
              <w:rPr>
                <w:rFonts w:hint="eastAsia" w:ascii="宋体" w:hAnsi="宋体" w:cs="宋体"/>
                <w:kern w:val="0"/>
                <w:szCs w:val="21"/>
                <w:lang w:bidi="ar"/>
              </w:rPr>
              <w:t>客观分</w:t>
            </w:r>
          </w:p>
        </w:tc>
      </w:tr>
      <w:tr w14:paraId="2523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14:paraId="228F114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认证证书</w:t>
            </w:r>
          </w:p>
        </w:tc>
        <w:tc>
          <w:tcPr>
            <w:tcW w:w="6653" w:type="dxa"/>
            <w:shd w:val="clear" w:color="auto" w:fill="auto"/>
            <w:vAlign w:val="center"/>
          </w:tcPr>
          <w:p w14:paraId="1B74A266">
            <w:pPr>
              <w:numPr>
                <w:ilvl w:val="0"/>
                <w:numId w:val="5"/>
              </w:numPr>
              <w:rPr>
                <w:rFonts w:ascii="宋体" w:hAnsi="宋体" w:cs="宋体"/>
                <w:szCs w:val="21"/>
              </w:rPr>
            </w:pPr>
            <w:r>
              <w:rPr>
                <w:rFonts w:hint="eastAsia" w:ascii="宋体" w:hAnsi="宋体" w:cs="宋体"/>
                <w:szCs w:val="21"/>
              </w:rPr>
              <w:t>投标人具有有效期内 ISO9001 质量体系认证、ISO14001 环境管理体系认证、ISO45001 职业健康安全管理体系认证，且三体系认证范围含“环保工程”，全部满足的得1分，缺项或三体系认证范围不含“环保工程”不得分。</w:t>
            </w:r>
          </w:p>
          <w:p w14:paraId="7C0B2132">
            <w:pPr>
              <w:rPr>
                <w:rFonts w:ascii="宋体" w:hAnsi="宋体" w:cs="宋体"/>
                <w:szCs w:val="21"/>
              </w:rPr>
            </w:pPr>
            <w:r>
              <w:rPr>
                <w:rFonts w:hint="eastAsia" w:ascii="宋体" w:hAnsi="宋体" w:cs="宋体"/>
                <w:szCs w:val="21"/>
              </w:rPr>
              <w:t>2、投标人具有环境工程（水污染防治工程）专项设计乙级及以上资质，符合得1分，不符合不得分。</w:t>
            </w:r>
          </w:p>
          <w:p w14:paraId="49CDFAD6">
            <w:pPr>
              <w:rPr>
                <w:rFonts w:ascii="宋体" w:hAnsi="宋体" w:cs="宋体"/>
                <w:color w:val="000000" w:themeColor="text1"/>
                <w:szCs w:val="21"/>
                <w14:textFill>
                  <w14:solidFill>
                    <w14:schemeClr w14:val="tx1"/>
                  </w14:solidFill>
                </w14:textFill>
              </w:rPr>
            </w:pPr>
            <w:r>
              <w:rPr>
                <w:rFonts w:hint="eastAsia" w:ascii="宋体" w:hAnsi="宋体" w:cs="宋体"/>
                <w:szCs w:val="21"/>
              </w:rPr>
              <w:t>注：投标文件中须提供有效认证证书（需在有效期内）复印件加盖投标人公章，同时提供中国国家认证认可监督管理委员会官网查询截图证明并加盖投标人公章，否则不得分。</w:t>
            </w:r>
          </w:p>
        </w:tc>
        <w:tc>
          <w:tcPr>
            <w:tcW w:w="842" w:type="dxa"/>
            <w:shd w:val="clear" w:color="auto" w:fill="auto"/>
            <w:noWrap/>
            <w:vAlign w:val="center"/>
          </w:tcPr>
          <w:p w14:paraId="6C32FE33">
            <w:pPr>
              <w:widowControl/>
              <w:jc w:val="center"/>
              <w:textAlignment w:val="center"/>
              <w:rPr>
                <w:rFonts w:ascii="宋体" w:hAnsi="宋体" w:cs="宋体"/>
                <w:szCs w:val="21"/>
              </w:rPr>
            </w:pPr>
            <w:r>
              <w:rPr>
                <w:rFonts w:hint="eastAsia" w:ascii="宋体" w:hAnsi="宋体" w:cs="宋体"/>
                <w:kern w:val="0"/>
                <w:szCs w:val="21"/>
                <w:lang w:bidi="ar"/>
              </w:rPr>
              <w:t>2</w:t>
            </w:r>
          </w:p>
        </w:tc>
        <w:tc>
          <w:tcPr>
            <w:tcW w:w="1113" w:type="dxa"/>
            <w:shd w:val="clear" w:color="auto" w:fill="auto"/>
            <w:noWrap/>
            <w:vAlign w:val="center"/>
          </w:tcPr>
          <w:p w14:paraId="7864A7FD">
            <w:pPr>
              <w:widowControl/>
              <w:jc w:val="center"/>
              <w:textAlignment w:val="center"/>
              <w:rPr>
                <w:rFonts w:ascii="宋体" w:hAnsi="宋体" w:cs="宋体"/>
                <w:szCs w:val="21"/>
              </w:rPr>
            </w:pPr>
            <w:r>
              <w:rPr>
                <w:rFonts w:hint="eastAsia" w:ascii="宋体" w:hAnsi="宋体" w:cs="宋体"/>
                <w:kern w:val="0"/>
                <w:szCs w:val="21"/>
                <w:lang w:bidi="ar"/>
              </w:rPr>
              <w:t>客观分</w:t>
            </w:r>
          </w:p>
        </w:tc>
      </w:tr>
      <w:tr w14:paraId="03DD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86" w:type="dxa"/>
            <w:shd w:val="clear" w:color="auto" w:fill="auto"/>
            <w:vAlign w:val="center"/>
          </w:tcPr>
          <w:p w14:paraId="434868E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人员及设备情况</w:t>
            </w:r>
            <w:r>
              <w:rPr>
                <w:rFonts w:hint="eastAsia" w:ascii="宋体" w:hAnsi="宋体" w:cs="宋体"/>
                <w:color w:val="000000" w:themeColor="text1"/>
                <w:szCs w:val="21"/>
                <w14:textFill>
                  <w14:solidFill>
                    <w14:schemeClr w14:val="tx1"/>
                  </w14:solidFill>
                </w14:textFill>
              </w:rPr>
              <w:t xml:space="preserve"> </w:t>
            </w:r>
          </w:p>
        </w:tc>
        <w:tc>
          <w:tcPr>
            <w:tcW w:w="6653" w:type="dxa"/>
            <w:shd w:val="clear" w:color="auto" w:fill="auto"/>
            <w:vAlign w:val="center"/>
          </w:tcPr>
          <w:p w14:paraId="1D18FE6F">
            <w:pPr>
              <w:numPr>
                <w:ilvl w:val="0"/>
                <w:numId w:val="6"/>
              </w:numPr>
              <w:rPr>
                <w:rFonts w:ascii="宋体" w:hAnsi="宋体" w:cs="宋体"/>
                <w:szCs w:val="21"/>
              </w:rPr>
            </w:pPr>
            <w:r>
              <w:rPr>
                <w:rFonts w:hint="eastAsia" w:ascii="宋体" w:hAnsi="宋体" w:cs="宋体"/>
                <w:szCs w:val="21"/>
              </w:rPr>
              <w:t>项目负责人：项目负责人具有机电工程专业二级建造师注册证书的得1分，具有中级及以上职称证书的得1分。本项最高得2分。</w:t>
            </w:r>
          </w:p>
          <w:p w14:paraId="4166A517">
            <w:pPr>
              <w:rPr>
                <w:rFonts w:ascii="宋体" w:hAnsi="宋体" w:cs="宋体"/>
                <w:szCs w:val="21"/>
              </w:rPr>
            </w:pPr>
            <w:r>
              <w:rPr>
                <w:rFonts w:hint="eastAsia" w:ascii="宋体" w:hAnsi="宋体" w:cs="宋体"/>
                <w:szCs w:val="21"/>
              </w:rPr>
              <w:t>证明材料：提供证书复印件和本单位人员社保缴纳证明（二维码清晰可查）加盖公章。</w:t>
            </w:r>
          </w:p>
          <w:p w14:paraId="0197E0B7">
            <w:pPr>
              <w:rPr>
                <w:rFonts w:ascii="宋体" w:hAnsi="宋体" w:cs="宋体"/>
                <w:szCs w:val="21"/>
              </w:rPr>
            </w:pPr>
            <w:r>
              <w:rPr>
                <w:rFonts w:hint="eastAsia" w:ascii="宋体" w:hAnsi="宋体" w:cs="宋体"/>
                <w:szCs w:val="21"/>
              </w:rPr>
              <w:t>2、技术负责人：项目技术负责人具有注册环保工程师或环保工程高级工程师得1分，具有环境工程中级及以上职称证书的得1分。本项最高得2分。</w:t>
            </w:r>
          </w:p>
          <w:p w14:paraId="48701600">
            <w:pPr>
              <w:widowControl/>
              <w:jc w:val="left"/>
              <w:textAlignment w:val="center"/>
              <w:rPr>
                <w:rFonts w:ascii="宋体" w:hAnsi="宋体" w:cs="宋体"/>
                <w:szCs w:val="21"/>
              </w:rPr>
            </w:pPr>
            <w:r>
              <w:rPr>
                <w:rFonts w:hint="eastAsia" w:ascii="宋体" w:hAnsi="宋体" w:cs="宋体"/>
                <w:szCs w:val="21"/>
              </w:rPr>
              <w:t>证明材料：提供证书复印件和本单位人员社保缴纳证明（二维码清晰可查）加盖公章。</w:t>
            </w:r>
          </w:p>
          <w:p w14:paraId="7CF3617A">
            <w:pPr>
              <w:rPr>
                <w:rFonts w:ascii="宋体" w:hAnsi="宋体" w:cs="宋体"/>
                <w:szCs w:val="21"/>
              </w:rPr>
            </w:pPr>
            <w:r>
              <w:rPr>
                <w:rFonts w:hint="eastAsia" w:ascii="宋体" w:hAnsi="宋体" w:cs="宋体"/>
                <w:szCs w:val="21"/>
              </w:rPr>
              <w:t>3、提供自有施工专用便携式有害气体监测仪、电动送风长管呼吸器得2分（须在投标文件中提供自有购买发票佐证，未提供不得分）</w:t>
            </w:r>
          </w:p>
          <w:p w14:paraId="7DE159C9">
            <w:pPr>
              <w:rPr>
                <w:rFonts w:ascii="宋体" w:hAnsi="宋体" w:cs="宋体"/>
                <w:szCs w:val="21"/>
              </w:rPr>
            </w:pPr>
            <w:r>
              <w:rPr>
                <w:rFonts w:hint="eastAsia" w:ascii="宋体" w:hAnsi="宋体" w:cs="宋体"/>
                <w:szCs w:val="21"/>
              </w:rPr>
              <w:t>4、投标人须提供有限空间作业、潜水专业、安全管理职业能力证书并提供至少3个月的社保证明得2分（提供证书复印件和本单位人员社保缴纳证明（二维码清晰可查）加盖公章。）</w:t>
            </w:r>
          </w:p>
        </w:tc>
        <w:tc>
          <w:tcPr>
            <w:tcW w:w="842" w:type="dxa"/>
            <w:shd w:val="clear" w:color="auto" w:fill="auto"/>
            <w:noWrap/>
            <w:vAlign w:val="center"/>
          </w:tcPr>
          <w:p w14:paraId="0A215C3D">
            <w:pPr>
              <w:widowControl/>
              <w:jc w:val="center"/>
              <w:textAlignment w:val="center"/>
              <w:rPr>
                <w:rFonts w:ascii="宋体" w:hAnsi="宋体" w:cs="宋体"/>
                <w:szCs w:val="21"/>
              </w:rPr>
            </w:pPr>
            <w:r>
              <w:rPr>
                <w:rFonts w:hint="eastAsia" w:ascii="宋体" w:hAnsi="宋体" w:cs="宋体"/>
                <w:szCs w:val="21"/>
              </w:rPr>
              <w:t>8</w:t>
            </w:r>
          </w:p>
        </w:tc>
        <w:tc>
          <w:tcPr>
            <w:tcW w:w="1113" w:type="dxa"/>
            <w:shd w:val="clear" w:color="auto" w:fill="auto"/>
            <w:noWrap/>
            <w:vAlign w:val="center"/>
          </w:tcPr>
          <w:p w14:paraId="7FA8C74A">
            <w:pPr>
              <w:widowControl/>
              <w:jc w:val="center"/>
              <w:textAlignment w:val="center"/>
              <w:rPr>
                <w:rFonts w:ascii="宋体" w:hAnsi="宋体" w:cs="宋体"/>
                <w:szCs w:val="21"/>
              </w:rPr>
            </w:pPr>
            <w:r>
              <w:rPr>
                <w:rFonts w:hint="eastAsia" w:ascii="宋体" w:hAnsi="宋体" w:cs="宋体"/>
                <w:kern w:val="0"/>
                <w:szCs w:val="21"/>
                <w:lang w:bidi="ar"/>
              </w:rPr>
              <w:t>客观分</w:t>
            </w:r>
          </w:p>
        </w:tc>
      </w:tr>
      <w:tr w14:paraId="1518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86" w:type="dxa"/>
            <w:shd w:val="clear" w:color="auto" w:fill="auto"/>
            <w:vAlign w:val="center"/>
          </w:tcPr>
          <w:p w14:paraId="36D6F2C9">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技术需求符合度</w:t>
            </w:r>
          </w:p>
        </w:tc>
        <w:tc>
          <w:tcPr>
            <w:tcW w:w="6653" w:type="dxa"/>
            <w:shd w:val="clear" w:color="auto" w:fill="auto"/>
            <w:vAlign w:val="center"/>
          </w:tcPr>
          <w:p w14:paraId="76F8CE8C">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完全满足招标文件技术需求中所有的技术条款的得</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分。每负偏离（即不满足招标文件要求）一条打“★”号的技术条款的，扣</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分,（注：招标文件要求提供相关证明材料的，必须提供相关材料；否则，该条技术参数在评审中将认定为负偏离。）</w:t>
            </w:r>
          </w:p>
        </w:tc>
        <w:tc>
          <w:tcPr>
            <w:tcW w:w="842" w:type="dxa"/>
            <w:shd w:val="clear" w:color="auto" w:fill="auto"/>
            <w:noWrap/>
            <w:vAlign w:val="center"/>
          </w:tcPr>
          <w:p w14:paraId="3DD02708">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15</w:t>
            </w:r>
          </w:p>
        </w:tc>
        <w:tc>
          <w:tcPr>
            <w:tcW w:w="1113" w:type="dxa"/>
            <w:shd w:val="clear" w:color="auto" w:fill="auto"/>
            <w:noWrap/>
            <w:vAlign w:val="center"/>
          </w:tcPr>
          <w:p w14:paraId="205D37DC">
            <w:pPr>
              <w:widowControl/>
              <w:jc w:val="center"/>
              <w:textAlignment w:val="center"/>
              <w:rPr>
                <w:rFonts w:ascii="宋体" w:hAnsi="宋体" w:cs="宋体"/>
                <w:kern w:val="0"/>
                <w:szCs w:val="21"/>
                <w:lang w:bidi="ar"/>
              </w:rPr>
            </w:pPr>
            <w:r>
              <w:rPr>
                <w:rFonts w:hint="eastAsia" w:ascii="宋体" w:hAnsi="宋体" w:cs="宋体"/>
                <w:kern w:val="0"/>
                <w:szCs w:val="21"/>
                <w:lang w:bidi="ar"/>
              </w:rPr>
              <w:t>客观分</w:t>
            </w:r>
          </w:p>
        </w:tc>
      </w:tr>
      <w:tr w14:paraId="56CD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86" w:type="dxa"/>
            <w:shd w:val="clear" w:color="auto" w:fill="auto"/>
            <w:vAlign w:val="center"/>
          </w:tcPr>
          <w:p w14:paraId="1D243FF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污水运营管理方案</w:t>
            </w:r>
          </w:p>
        </w:tc>
        <w:tc>
          <w:tcPr>
            <w:tcW w:w="6653" w:type="dxa"/>
            <w:shd w:val="clear" w:color="auto" w:fill="auto"/>
            <w:vAlign w:val="center"/>
          </w:tcPr>
          <w:p w14:paraId="62EE56B5">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根据投标人提供医院运营管理方案，由评委进行综合打分。</w:t>
            </w:r>
          </w:p>
          <w:p w14:paraId="50062A14">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1.方案描述合理，符合项目要求的得</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p w14:paraId="6C02A937">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2.方案描述欠全面，欠可行，欠科学的每处扣0.5分；</w:t>
            </w:r>
          </w:p>
          <w:p w14:paraId="15B98F42">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3.不全面，不可行，不科学的每处扣1分；</w:t>
            </w:r>
          </w:p>
          <w:p w14:paraId="7A9C7C7B">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4.未提供不得分。</w:t>
            </w:r>
          </w:p>
        </w:tc>
        <w:tc>
          <w:tcPr>
            <w:tcW w:w="842" w:type="dxa"/>
            <w:shd w:val="clear" w:color="auto" w:fill="auto"/>
            <w:noWrap/>
            <w:vAlign w:val="center"/>
          </w:tcPr>
          <w:p w14:paraId="5DA6F934">
            <w:pPr>
              <w:widowControl/>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113" w:type="dxa"/>
            <w:shd w:val="clear" w:color="auto" w:fill="auto"/>
            <w:noWrap/>
            <w:vAlign w:val="center"/>
          </w:tcPr>
          <w:p w14:paraId="2FD2B3D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lang w:bidi="ar"/>
              </w:rPr>
              <w:t>主观分</w:t>
            </w:r>
          </w:p>
        </w:tc>
      </w:tr>
      <w:tr w14:paraId="6F8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86" w:type="dxa"/>
            <w:shd w:val="clear" w:color="auto" w:fill="auto"/>
            <w:vAlign w:val="center"/>
          </w:tcPr>
          <w:p w14:paraId="1FA7F2F6">
            <w:pPr>
              <w:spacing w:line="312" w:lineRule="auto"/>
              <w:jc w:val="left"/>
              <w:rPr>
                <w:rFonts w:ascii="宋体" w:hAnsi="宋体" w:cs="宋体"/>
                <w:szCs w:val="21"/>
              </w:rPr>
            </w:pPr>
            <w:r>
              <w:rPr>
                <w:rFonts w:hint="eastAsia" w:ascii="宋体" w:hAnsi="宋体" w:cs="宋体"/>
                <w:bCs/>
                <w:snapToGrid w:val="0"/>
                <w:color w:val="000000" w:themeColor="text1"/>
                <w:szCs w:val="21"/>
                <w14:textFill>
                  <w14:solidFill>
                    <w14:schemeClr w14:val="tx1"/>
                  </w14:solidFill>
                </w14:textFill>
              </w:rPr>
              <w:t>施工组织设计</w:t>
            </w:r>
          </w:p>
        </w:tc>
        <w:tc>
          <w:tcPr>
            <w:tcW w:w="6653" w:type="dxa"/>
            <w:shd w:val="clear" w:color="auto" w:fill="auto"/>
            <w:vAlign w:val="center"/>
          </w:tcPr>
          <w:p w14:paraId="272C4D18">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对投标人提供的针对本项目的安装就位和服务组织实施技术方案；安全文明施工保证措施；质量保证措施；工期保证措施；由评委进行综合打分。</w:t>
            </w:r>
          </w:p>
          <w:p w14:paraId="5C78F9D9">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1.方案描述合理，符合项目要求的得</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p w14:paraId="2934A572">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2.方案描述欠全面，欠可行，欠科学的每处扣0.5分；</w:t>
            </w:r>
          </w:p>
          <w:p w14:paraId="7BCCD6B0">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3.不全面，不可行，不科学的每处扣1分；</w:t>
            </w:r>
          </w:p>
          <w:p w14:paraId="498CC1E9">
            <w:pPr>
              <w:widowControl/>
              <w:jc w:val="left"/>
              <w:textAlignment w:val="center"/>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4.未提供不得分。</w:t>
            </w:r>
          </w:p>
        </w:tc>
        <w:tc>
          <w:tcPr>
            <w:tcW w:w="842" w:type="dxa"/>
            <w:shd w:val="clear" w:color="auto" w:fill="auto"/>
            <w:noWrap/>
            <w:vAlign w:val="center"/>
          </w:tcPr>
          <w:p w14:paraId="66EDF25B">
            <w:pPr>
              <w:spacing w:line="312"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113" w:type="dxa"/>
            <w:shd w:val="clear" w:color="auto" w:fill="auto"/>
            <w:noWrap/>
            <w:vAlign w:val="center"/>
          </w:tcPr>
          <w:p w14:paraId="4E744CD8">
            <w:pPr>
              <w:spacing w:line="312" w:lineRule="auto"/>
              <w:jc w:val="center"/>
              <w:rPr>
                <w:rFonts w:ascii="宋体" w:hAnsi="宋体" w:cs="宋体"/>
                <w:szCs w:val="21"/>
              </w:rPr>
            </w:pPr>
            <w:r>
              <w:rPr>
                <w:rFonts w:hint="eastAsia" w:ascii="宋体" w:hAnsi="宋体" w:cs="宋体"/>
                <w:bCs/>
                <w:snapToGrid w:val="0"/>
                <w:color w:val="000000" w:themeColor="text1"/>
                <w:szCs w:val="21"/>
                <w14:textFill>
                  <w14:solidFill>
                    <w14:schemeClr w14:val="tx1"/>
                  </w14:solidFill>
                </w14:textFill>
              </w:rPr>
              <w:t>主观分</w:t>
            </w:r>
          </w:p>
        </w:tc>
      </w:tr>
      <w:tr w14:paraId="75F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86" w:type="dxa"/>
            <w:shd w:val="clear" w:color="auto" w:fill="auto"/>
            <w:vAlign w:val="center"/>
          </w:tcPr>
          <w:p w14:paraId="0733B61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售后服务体系、服务标准、备件支持、保修措施</w:t>
            </w:r>
          </w:p>
        </w:tc>
        <w:tc>
          <w:tcPr>
            <w:tcW w:w="6653" w:type="dxa"/>
            <w:shd w:val="clear" w:color="auto" w:fill="auto"/>
            <w:vAlign w:val="center"/>
          </w:tcPr>
          <w:p w14:paraId="1A6380B5">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由评委专家根据售后服务体系的完善性、服务标准规范化程度、备件（含易耗品）齐全、保修措施完善、备品备件（含易耗品）质保期后优惠率及供应保障等方面评审打分。</w:t>
            </w:r>
          </w:p>
          <w:p w14:paraId="17BD2215">
            <w:pPr>
              <w:widowControl/>
              <w:jc w:val="left"/>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1、技术培训计划的科学合理、可行、操作性强的得3分，基本可行的</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分，有明显有缺陷的</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3CD4D30F">
            <w:pPr>
              <w:widowControl/>
              <w:jc w:val="left"/>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2、售后服务服务标准高、队伍强、到达现场时间短，完全满足项目和业主要求的得6分，基本满足的得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分，有明显缺陷的得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，方案</w:t>
            </w:r>
            <w:r>
              <w:rPr>
                <w:rFonts w:hint="eastAsia" w:ascii="宋体" w:hAnsi="宋体" w:cs="宋体"/>
                <w:color w:val="000000" w:themeColor="text1"/>
                <w:szCs w:val="21"/>
                <w:highlight w:val="none"/>
                <w14:textFill>
                  <w14:solidFill>
                    <w14:schemeClr w14:val="tx1"/>
                  </w14:solidFill>
                </w14:textFill>
              </w:rPr>
              <w:t>不可行，不科学的</w:t>
            </w:r>
            <w:r>
              <w:rPr>
                <w:rFonts w:hint="eastAsia" w:ascii="宋体" w:hAnsi="宋体" w:cs="宋体"/>
                <w:color w:val="000000" w:themeColor="text1"/>
                <w:szCs w:val="21"/>
                <w:highlight w:val="none"/>
                <w:lang w:eastAsia="zh-CN"/>
                <w14:textFill>
                  <w14:solidFill>
                    <w14:schemeClr w14:val="tx1"/>
                  </w14:solidFill>
                </w14:textFill>
              </w:rPr>
              <w:t>得</w:t>
            </w:r>
            <w:r>
              <w:rPr>
                <w:rFonts w:hint="eastAsia" w:ascii="宋体" w:hAnsi="宋体" w:cs="宋体"/>
                <w:color w:val="000000" w:themeColor="text1"/>
                <w:szCs w:val="21"/>
                <w:highlight w:val="none"/>
                <w14:textFill>
                  <w14:solidFill>
                    <w14:schemeClr w14:val="tx1"/>
                  </w14:solidFill>
                </w14:textFill>
              </w:rPr>
              <w:t>1分</w:t>
            </w:r>
            <w:r>
              <w:rPr>
                <w:rFonts w:hint="eastAsia" w:ascii="宋体" w:hAnsi="宋体" w:cs="宋体"/>
                <w:color w:val="000000" w:themeColor="text1"/>
                <w:szCs w:val="21"/>
                <w:highlight w:val="none"/>
                <w:lang w:eastAsia="zh-CN"/>
                <w14:textFill>
                  <w14:solidFill>
                    <w14:schemeClr w14:val="tx1"/>
                  </w14:solidFill>
                </w14:textFill>
              </w:rPr>
              <w:t>。</w:t>
            </w:r>
          </w:p>
          <w:p w14:paraId="14D23320">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3、备品备件齐全可靠、优惠力度高的得1分，基本可靠、优惠力度有明显缺陷的</w:t>
            </w:r>
            <w:r>
              <w:rPr>
                <w:rFonts w:hint="eastAsia" w:ascii="宋体" w:hAnsi="宋体" w:cs="宋体"/>
                <w:color w:val="000000" w:themeColor="text1"/>
                <w:szCs w:val="21"/>
                <w:highlight w:val="none"/>
                <w:lang w:eastAsia="zh-CN"/>
                <w14:textFill>
                  <w14:solidFill>
                    <w14:schemeClr w14:val="tx1"/>
                  </w14:solidFill>
                </w14:textFill>
              </w:rPr>
              <w:t>得</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842" w:type="dxa"/>
            <w:shd w:val="clear" w:color="auto" w:fill="auto"/>
            <w:noWrap/>
            <w:vAlign w:val="center"/>
          </w:tcPr>
          <w:p w14:paraId="4504604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113" w:type="dxa"/>
            <w:shd w:val="clear" w:color="auto" w:fill="auto"/>
            <w:noWrap/>
            <w:vAlign w:val="center"/>
          </w:tcPr>
          <w:p w14:paraId="37AECDE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r>
      <w:tr w14:paraId="4CE3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86" w:type="dxa"/>
            <w:shd w:val="clear" w:color="auto" w:fill="auto"/>
            <w:vAlign w:val="center"/>
          </w:tcPr>
          <w:p w14:paraId="288BD49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应急方案</w:t>
            </w:r>
          </w:p>
        </w:tc>
        <w:tc>
          <w:tcPr>
            <w:tcW w:w="6653" w:type="dxa"/>
            <w:shd w:val="clear" w:color="auto" w:fill="auto"/>
            <w:vAlign w:val="center"/>
          </w:tcPr>
          <w:p w14:paraId="24C470E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对投标人提供应急方案是否科学、全面，是否具有可操作性、能否及时有效的解决各种突发事件。制定可靠有效的有限共空间（封闭污水池体内）作业方案；</w:t>
            </w:r>
          </w:p>
          <w:p w14:paraId="475A02B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1.方案描述合理，符合项目要求的得6分；</w:t>
            </w:r>
          </w:p>
          <w:p w14:paraId="64A82267">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2.方案描述欠全面，欠可行，欠科学的每处扣0.5分；</w:t>
            </w:r>
          </w:p>
          <w:p w14:paraId="5C0BFCE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3.不全面，不可行，不科学的每处扣1分；</w:t>
            </w:r>
          </w:p>
          <w:p w14:paraId="4D43017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4.未提供不得分。</w:t>
            </w:r>
          </w:p>
        </w:tc>
        <w:tc>
          <w:tcPr>
            <w:tcW w:w="842" w:type="dxa"/>
            <w:shd w:val="clear" w:color="auto" w:fill="auto"/>
            <w:noWrap/>
            <w:vAlign w:val="center"/>
          </w:tcPr>
          <w:p w14:paraId="6C156F4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113" w:type="dxa"/>
            <w:shd w:val="clear" w:color="auto" w:fill="auto"/>
            <w:noWrap/>
            <w:vAlign w:val="center"/>
          </w:tcPr>
          <w:p w14:paraId="67A69D8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r>
      <w:tr w14:paraId="642F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86" w:type="dxa"/>
            <w:shd w:val="clear" w:color="auto" w:fill="auto"/>
            <w:vAlign w:val="center"/>
          </w:tcPr>
          <w:p w14:paraId="2B6B180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合理化建议</w:t>
            </w:r>
          </w:p>
        </w:tc>
        <w:tc>
          <w:tcPr>
            <w:tcW w:w="6653" w:type="dxa"/>
            <w:shd w:val="clear" w:color="auto" w:fill="auto"/>
            <w:vAlign w:val="center"/>
          </w:tcPr>
          <w:p w14:paraId="589D8235">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根据投标人所提供的对于本项目建议的合理性、针对性进行打分，由评委进行综合打分。</w:t>
            </w:r>
          </w:p>
          <w:p w14:paraId="2B165FD3">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1、方案描述合理，符合项目要求的得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2941202A">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2、方案描述欠全面，欠可行，欠科学的每处扣0.5分；</w:t>
            </w:r>
          </w:p>
          <w:p w14:paraId="0D12B240">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3、不全面，不可行，不科学的每处扣1分；</w:t>
            </w:r>
          </w:p>
          <w:p w14:paraId="6B2F426A">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4、未提供不得分。</w:t>
            </w:r>
          </w:p>
        </w:tc>
        <w:tc>
          <w:tcPr>
            <w:tcW w:w="842" w:type="dxa"/>
            <w:shd w:val="clear" w:color="auto" w:fill="auto"/>
            <w:noWrap/>
            <w:vAlign w:val="center"/>
          </w:tcPr>
          <w:p w14:paraId="6FE08F6A">
            <w:pPr>
              <w:spacing w:line="312" w:lineRule="auto"/>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6</w:t>
            </w:r>
          </w:p>
        </w:tc>
        <w:tc>
          <w:tcPr>
            <w:tcW w:w="1113" w:type="dxa"/>
            <w:shd w:val="clear" w:color="auto" w:fill="auto"/>
            <w:noWrap/>
            <w:vAlign w:val="center"/>
          </w:tcPr>
          <w:p w14:paraId="574D7730">
            <w:pPr>
              <w:widowControl/>
              <w:jc w:val="center"/>
              <w:textAlignment w:val="center"/>
              <w:rPr>
                <w:rFonts w:ascii="宋体" w:hAnsi="宋体" w:cs="宋体"/>
                <w:kern w:val="0"/>
                <w:szCs w:val="21"/>
                <w:lang w:bidi="ar"/>
              </w:rPr>
            </w:pPr>
            <w:r>
              <w:rPr>
                <w:rFonts w:hint="eastAsia" w:ascii="宋体" w:hAnsi="宋体" w:cs="宋体"/>
                <w:color w:val="000000" w:themeColor="text1"/>
                <w:szCs w:val="21"/>
                <w14:textFill>
                  <w14:solidFill>
                    <w14:schemeClr w14:val="tx1"/>
                  </w14:solidFill>
                </w14:textFill>
              </w:rPr>
              <w:t>主观分</w:t>
            </w:r>
          </w:p>
        </w:tc>
      </w:tr>
    </w:tbl>
    <w:p w14:paraId="1C1F7413">
      <w:pPr>
        <w:spacing w:line="360" w:lineRule="auto"/>
        <w:rPr>
          <w:rFonts w:ascii="宋体" w:hAnsi="宋体" w:cs="宋体"/>
          <w:b/>
          <w:color w:val="000000" w:themeColor="text1"/>
          <w:sz w:val="24"/>
          <w14:textFill>
            <w14:solidFill>
              <w14:schemeClr w14:val="tx1"/>
            </w14:solidFill>
          </w14:textFill>
        </w:rPr>
      </w:pPr>
    </w:p>
    <w:p w14:paraId="0D69DB3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5.2.报价分值30分：</w:t>
      </w:r>
      <w:bookmarkStart w:id="147" w:name="EB217c00f118724f6bb5745c5cec252819"/>
    </w:p>
    <w:bookmarkEnd w:id="147"/>
    <w:p w14:paraId="627D4784">
      <w:pPr>
        <w:spacing w:line="360" w:lineRule="auto"/>
        <w:ind w:firstLine="480" w:firstLineChars="200"/>
        <w:outlineLvl w:val="2"/>
        <w:rPr>
          <w:rFonts w:ascii="宋体" w:hAnsi="宋体" w:cs="宋体"/>
          <w:color w:val="000000" w:themeColor="text1"/>
          <w:sz w:val="24"/>
          <w14:textFill>
            <w14:solidFill>
              <w14:schemeClr w14:val="tx1"/>
            </w14:solidFill>
          </w14:textFill>
        </w:rPr>
      </w:pPr>
      <w:bookmarkStart w:id="148" w:name="_Toc23610"/>
      <w:r>
        <w:rPr>
          <w:rFonts w:hint="eastAsia" w:ascii="宋体" w:hAnsi="宋体" w:cs="宋体"/>
          <w:color w:val="000000" w:themeColor="text1"/>
          <w:sz w:val="24"/>
          <w14:textFill>
            <w14:solidFill>
              <w14:schemeClr w14:val="tx1"/>
            </w14:solidFill>
          </w14:textFill>
        </w:rPr>
        <w:t>1.评标基准价=投标报价中的最低报价；</w:t>
      </w:r>
    </w:p>
    <w:p w14:paraId="4B921F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2.投标报价等于评标基准价的得30分，其他投标人的报价得分按下列公式计算：</w:t>
      </w:r>
    </w:p>
    <w:p w14:paraId="57E063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3.投标报价得分=（评定基准价/投标报价）×报价权重×100。 </w:t>
      </w:r>
    </w:p>
    <w:p w14:paraId="70F33E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满足招标文件要求且报价最低的为评审基准价，其余投标人报价与该基准价对比，计算出报价评分值（小数点后按四舍五入保留2位）：</w:t>
      </w:r>
    </w:p>
    <w:p w14:paraId="7F422CE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   评审纪律和要求</w:t>
      </w:r>
      <w:bookmarkEnd w:id="144"/>
      <w:bookmarkEnd w:id="145"/>
      <w:bookmarkEnd w:id="146"/>
      <w:bookmarkEnd w:id="148"/>
    </w:p>
    <w:p w14:paraId="2D3461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评审专家必须公平、公正评审，遵纪守法，客观、</w:t>
      </w:r>
      <w:r>
        <w:rPr>
          <w:rFonts w:hint="eastAsia" w:ascii="宋体" w:hAnsi="宋体" w:cs="宋体"/>
          <w:iCs/>
          <w:color w:val="000000" w:themeColor="text1"/>
          <w:spacing w:val="20"/>
          <w:sz w:val="24"/>
          <w14:textFill>
            <w14:solidFill>
              <w14:schemeClr w14:val="tx1"/>
            </w14:solidFill>
          </w14:textFill>
        </w:rPr>
        <w:t>廉洁</w:t>
      </w:r>
      <w:r>
        <w:rPr>
          <w:rFonts w:hint="eastAsia" w:ascii="宋体" w:hAnsi="宋体" w:cs="宋体"/>
          <w:color w:val="000000" w:themeColor="text1"/>
          <w:sz w:val="24"/>
          <w14:textFill>
            <w14:solidFill>
              <w14:schemeClr w14:val="tx1"/>
            </w14:solidFill>
          </w14:textFill>
        </w:rPr>
        <w:t>地履行职责。</w:t>
      </w:r>
    </w:p>
    <w:p w14:paraId="3E2812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评审专家在评审开始前，应关闭并上交随身携带的各种通信工具。</w:t>
      </w:r>
    </w:p>
    <w:p w14:paraId="3D6778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评审专家在评审过程中，未经许可不得中途离开评审现场，不得迟到早退。</w:t>
      </w:r>
    </w:p>
    <w:p w14:paraId="4C12A25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 评审专家和工作人员不得透露评审过程中的讨论情况和评审结果。</w:t>
      </w:r>
    </w:p>
    <w:p w14:paraId="016853D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2F85B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 采购人、采购代理机构不得向评审委员会的评审专家作倾向性、误导性的解释或者说明。</w:t>
      </w:r>
    </w:p>
    <w:p w14:paraId="7668AC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EECDE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6.8 评审专家在评审过程中不得将自己的观点强加给其他评审专家，评审专家应自主发表见解，对评审意见承担个人责任。</w:t>
      </w:r>
    </w:p>
    <w:p w14:paraId="26FB1A1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60154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14:paraId="6FC21C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 评审专家应当遵守评审工作纪律，不得泄露评审文件、评审情况和评审中获悉的商业秘密。</w:t>
      </w:r>
    </w:p>
    <w:p w14:paraId="5DAB0D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评审委员会在评审过程中发现投标人有行贿、提供虚假材料或者串通等违法行为的，应当及时向财政部门报告。</w:t>
      </w:r>
    </w:p>
    <w:p w14:paraId="65D173E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 招标文件内容违反国家有关强制性规定的，评审委员会应当停止评审并向采购代理机构说明情况。</w:t>
      </w:r>
    </w:p>
    <w:p w14:paraId="43B020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 评审专家应当配合采购代理机构答复投标人提出的质疑。</w:t>
      </w:r>
    </w:p>
    <w:p w14:paraId="6D9582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 评审专家应当配合财政部门的投诉处理工作。</w:t>
      </w:r>
    </w:p>
    <w:p w14:paraId="253631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6.15评审专家有如下行为之一的，责令改正，给予警告，可以并处一千元以下的罚款：</w:t>
      </w:r>
    </w:p>
    <w:p w14:paraId="54E812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6.15.1 明知应当回避而未主动回避的；</w:t>
      </w:r>
    </w:p>
    <w:p w14:paraId="1DF194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6.15.2 在知道自己为评审专家身份后至评审结束前的时段内私下接触投标人的；</w:t>
      </w:r>
    </w:p>
    <w:p w14:paraId="2FE467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6.15.3 在评审过程中擅离职守，影响评审程序正常进行的；</w:t>
      </w:r>
    </w:p>
    <w:p w14:paraId="47E767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6.15.4 在评审过程有明显不合理或者不正当倾向性的；</w:t>
      </w:r>
    </w:p>
    <w:p w14:paraId="55946B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6.15.5 未按招标文件规定的评审方法和标准进行评审的。</w:t>
      </w:r>
    </w:p>
    <w:p w14:paraId="10AD1A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6.15.6 上述6.15.1至6.15.5行为影响中标结果的，中标结果无效。</w:t>
      </w:r>
    </w:p>
    <w:p w14:paraId="52CE4F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14:paraId="049E3A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7AD01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政府采购评审专家与投标人存在利害关系未回避的，处2万元以上5万元以下的罚款，禁止其参加政府采购评审活动。</w:t>
      </w:r>
    </w:p>
    <w:p w14:paraId="610F29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40E66232">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政府采购评审专家有上述违法行为的，其评审意见无效，不得获取评审费；有违法所得的，没收违法所得；给他人造成损失的，依法承担民事责任。</w:t>
      </w:r>
    </w:p>
    <w:p w14:paraId="3B90D265">
      <w:pPr>
        <w:pStyle w:val="34"/>
        <w:rPr>
          <w:rFonts w:ascii="宋体" w:hAnsi="宋体" w:eastAsia="宋体" w:cs="宋体"/>
          <w:color w:val="000000" w:themeColor="text1"/>
          <w14:textFill>
            <w14:solidFill>
              <w14:schemeClr w14:val="tx1"/>
            </w14:solidFill>
          </w14:textFill>
        </w:rPr>
      </w:pPr>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3924">
    <w:pPr>
      <w:pStyle w:val="12"/>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02F6">
    <w:pPr>
      <w:pStyle w:val="12"/>
      <w:tabs>
        <w:tab w:val="left" w:pos="38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E03CF">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BE03CF">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C853">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F0B22">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2F0B22">
                    <w:pPr>
                      <w:pStyle w:val="12"/>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2B18">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8A44C">
                          <w:pPr>
                            <w:pStyle w:val="12"/>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F8A44C">
                    <w:pPr>
                      <w:pStyle w:val="12"/>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0E94">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C5F2">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477">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A2BAA"/>
    <w:multiLevelType w:val="multilevel"/>
    <w:tmpl w:val="975A2BAA"/>
    <w:lvl w:ilvl="0" w:tentative="0">
      <w:start w:val="1"/>
      <w:numFmt w:val="decimal"/>
      <w:suff w:val="nothing"/>
      <w:lvlText w:val="%1、"/>
      <w:lvlJc w:val="left"/>
      <w:pPr>
        <w:tabs>
          <w:tab w:val="left" w:pos="0"/>
        </w:tabs>
        <w:ind w:left="3828" w:firstLine="0"/>
      </w:pPr>
      <w:rPr>
        <w:rFonts w:hint="default" w:ascii="宋体" w:hAnsi="宋体" w:eastAsia="宋体" w:cs="Times New Roman"/>
        <w:b/>
        <w:i w:val="0"/>
        <w:caps w:val="0"/>
        <w:strike w:val="0"/>
        <w:dstrike w:val="0"/>
        <w:snapToGrid w:val="0"/>
        <w:vanish w:val="0"/>
        <w:spacing w:val="0"/>
        <w:w w:val="100"/>
        <w:kern w:val="0"/>
        <w:position w:val="0"/>
        <w:sz w:val="24"/>
        <w:vertAlign w:val="baseline"/>
      </w:rPr>
    </w:lvl>
    <w:lvl w:ilvl="1" w:tentative="0">
      <w:start w:val="1"/>
      <w:numFmt w:val="decimal"/>
      <w:pStyle w:val="99"/>
      <w:isLgl/>
      <w:suff w:val="space"/>
      <w:lvlText w:val="%1.%2"/>
      <w:lvlJc w:val="left"/>
      <w:pPr>
        <w:ind w:left="0" w:firstLine="0"/>
      </w:pPr>
      <w:rPr>
        <w:rFonts w:hint="eastAsia"/>
        <w:b/>
        <w:i w:val="0"/>
      </w:rPr>
    </w:lvl>
    <w:lvl w:ilvl="2" w:tentative="0">
      <w:start w:val="1"/>
      <w:numFmt w:val="decimal"/>
      <w:pStyle w:val="98"/>
      <w:isLgl/>
      <w:suff w:val="space"/>
      <w:lvlText w:val="%1.%2.%3"/>
      <w:lvlJc w:val="left"/>
      <w:pPr>
        <w:ind w:left="0" w:firstLine="0"/>
      </w:pPr>
      <w:rPr>
        <w:rFonts w:hint="eastAsia"/>
        <w:b/>
        <w:i w:val="0"/>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9D8A6648"/>
    <w:multiLevelType w:val="singleLevel"/>
    <w:tmpl w:val="9D8A6648"/>
    <w:lvl w:ilvl="0" w:tentative="0">
      <w:start w:val="4"/>
      <w:numFmt w:val="chineseCounting"/>
      <w:suff w:val="nothing"/>
      <w:lvlText w:val="%1、"/>
      <w:lvlJc w:val="left"/>
      <w:rPr>
        <w:rFonts w:hint="eastAsia"/>
      </w:rPr>
    </w:lvl>
  </w:abstractNum>
  <w:abstractNum w:abstractNumId="2">
    <w:nsid w:val="A86A9162"/>
    <w:multiLevelType w:val="singleLevel"/>
    <w:tmpl w:val="A86A9162"/>
    <w:lvl w:ilvl="0" w:tentative="0">
      <w:start w:val="1"/>
      <w:numFmt w:val="decimal"/>
      <w:suff w:val="nothing"/>
      <w:lvlText w:val="%1、"/>
      <w:lvlJc w:val="left"/>
    </w:lvl>
  </w:abstractNum>
  <w:abstractNum w:abstractNumId="3">
    <w:nsid w:val="ADDC3253"/>
    <w:multiLevelType w:val="singleLevel"/>
    <w:tmpl w:val="ADDC3253"/>
    <w:lvl w:ilvl="0" w:tentative="0">
      <w:start w:val="1"/>
      <w:numFmt w:val="decimal"/>
      <w:lvlText w:val="%1."/>
      <w:lvlJc w:val="left"/>
      <w:pPr>
        <w:tabs>
          <w:tab w:val="left" w:pos="312"/>
        </w:tabs>
      </w:pPr>
    </w:lvl>
  </w:abstractNum>
  <w:abstractNum w:abstractNumId="4">
    <w:nsid w:val="4001A856"/>
    <w:multiLevelType w:val="singleLevel"/>
    <w:tmpl w:val="4001A856"/>
    <w:lvl w:ilvl="0" w:tentative="0">
      <w:start w:val="1"/>
      <w:numFmt w:val="decimal"/>
      <w:suff w:val="nothing"/>
      <w:lvlText w:val="%1、"/>
      <w:lvlJc w:val="left"/>
    </w:lvl>
  </w:abstractNum>
  <w:abstractNum w:abstractNumId="5">
    <w:nsid w:val="79563BEA"/>
    <w:multiLevelType w:val="multilevel"/>
    <w:tmpl w:val="79563BEA"/>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WQ4ZmY5ZGIzNmM2Y2E5ZTNiODkzNWRkMjA4MjgifQ=="/>
  </w:docVars>
  <w:rsids>
    <w:rsidRoot w:val="00172A27"/>
    <w:rsid w:val="0014658C"/>
    <w:rsid w:val="00172A27"/>
    <w:rsid w:val="0018506A"/>
    <w:rsid w:val="001E66C3"/>
    <w:rsid w:val="001F02E5"/>
    <w:rsid w:val="00267877"/>
    <w:rsid w:val="002C1A78"/>
    <w:rsid w:val="003B6343"/>
    <w:rsid w:val="003B6E2E"/>
    <w:rsid w:val="004A4F7D"/>
    <w:rsid w:val="004E0E17"/>
    <w:rsid w:val="005C4F52"/>
    <w:rsid w:val="005C5FB7"/>
    <w:rsid w:val="006D286B"/>
    <w:rsid w:val="00712769"/>
    <w:rsid w:val="00721B93"/>
    <w:rsid w:val="00780F4D"/>
    <w:rsid w:val="00906786"/>
    <w:rsid w:val="00925C26"/>
    <w:rsid w:val="00933398"/>
    <w:rsid w:val="009D04AB"/>
    <w:rsid w:val="00A91EA4"/>
    <w:rsid w:val="00B05016"/>
    <w:rsid w:val="00B52B40"/>
    <w:rsid w:val="00C37F58"/>
    <w:rsid w:val="00C92C6B"/>
    <w:rsid w:val="00CD5307"/>
    <w:rsid w:val="00CF2025"/>
    <w:rsid w:val="00D8493D"/>
    <w:rsid w:val="00DA4484"/>
    <w:rsid w:val="00E33012"/>
    <w:rsid w:val="00E36778"/>
    <w:rsid w:val="00E93248"/>
    <w:rsid w:val="00EB24BC"/>
    <w:rsid w:val="00ED05F0"/>
    <w:rsid w:val="00FD6CCE"/>
    <w:rsid w:val="016D0EAA"/>
    <w:rsid w:val="024B63AD"/>
    <w:rsid w:val="02724997"/>
    <w:rsid w:val="02897931"/>
    <w:rsid w:val="028C10EB"/>
    <w:rsid w:val="02E042DD"/>
    <w:rsid w:val="03046193"/>
    <w:rsid w:val="03063E06"/>
    <w:rsid w:val="03393105"/>
    <w:rsid w:val="03B51EBC"/>
    <w:rsid w:val="04117BDE"/>
    <w:rsid w:val="041A0982"/>
    <w:rsid w:val="041D0429"/>
    <w:rsid w:val="042506E3"/>
    <w:rsid w:val="047A36B0"/>
    <w:rsid w:val="050F07EE"/>
    <w:rsid w:val="053238B0"/>
    <w:rsid w:val="0541376E"/>
    <w:rsid w:val="0542197B"/>
    <w:rsid w:val="05485AD4"/>
    <w:rsid w:val="054E687D"/>
    <w:rsid w:val="05915426"/>
    <w:rsid w:val="05AC4D3B"/>
    <w:rsid w:val="05B52FF1"/>
    <w:rsid w:val="05D45367"/>
    <w:rsid w:val="05E01F5E"/>
    <w:rsid w:val="0613352B"/>
    <w:rsid w:val="066D777B"/>
    <w:rsid w:val="06A42F8B"/>
    <w:rsid w:val="06B03B3A"/>
    <w:rsid w:val="06C91D6F"/>
    <w:rsid w:val="070036FD"/>
    <w:rsid w:val="07395C5C"/>
    <w:rsid w:val="074B7B2B"/>
    <w:rsid w:val="074E7817"/>
    <w:rsid w:val="07577FFE"/>
    <w:rsid w:val="07B6220C"/>
    <w:rsid w:val="07C9201E"/>
    <w:rsid w:val="07C949B8"/>
    <w:rsid w:val="07F47604"/>
    <w:rsid w:val="08632F5F"/>
    <w:rsid w:val="086F1381"/>
    <w:rsid w:val="087B7477"/>
    <w:rsid w:val="08843074"/>
    <w:rsid w:val="08BC0A60"/>
    <w:rsid w:val="090F72CE"/>
    <w:rsid w:val="097E02BC"/>
    <w:rsid w:val="099010F5"/>
    <w:rsid w:val="09CB5BBC"/>
    <w:rsid w:val="09FF03C8"/>
    <w:rsid w:val="0A774519"/>
    <w:rsid w:val="0A8F3F52"/>
    <w:rsid w:val="0AF71F8B"/>
    <w:rsid w:val="0B06544F"/>
    <w:rsid w:val="0B0E6CFF"/>
    <w:rsid w:val="0B510739"/>
    <w:rsid w:val="0B857656"/>
    <w:rsid w:val="0B8A5162"/>
    <w:rsid w:val="0BD43C6E"/>
    <w:rsid w:val="0C460F23"/>
    <w:rsid w:val="0C6558FB"/>
    <w:rsid w:val="0CBA5A78"/>
    <w:rsid w:val="0CE335F9"/>
    <w:rsid w:val="0D244747"/>
    <w:rsid w:val="0D25741A"/>
    <w:rsid w:val="0D711787"/>
    <w:rsid w:val="0D747519"/>
    <w:rsid w:val="0D8E470D"/>
    <w:rsid w:val="0DB15F6D"/>
    <w:rsid w:val="0E261344"/>
    <w:rsid w:val="0E7A12E5"/>
    <w:rsid w:val="0E84178A"/>
    <w:rsid w:val="0E932937"/>
    <w:rsid w:val="0EEF76D1"/>
    <w:rsid w:val="0F3A26DF"/>
    <w:rsid w:val="0F7D25CB"/>
    <w:rsid w:val="0F9852C0"/>
    <w:rsid w:val="0FBA31FE"/>
    <w:rsid w:val="0FD07503"/>
    <w:rsid w:val="10280789"/>
    <w:rsid w:val="10345380"/>
    <w:rsid w:val="103C5FE2"/>
    <w:rsid w:val="10D62C55"/>
    <w:rsid w:val="10F800ED"/>
    <w:rsid w:val="10FC608E"/>
    <w:rsid w:val="1113155C"/>
    <w:rsid w:val="11317039"/>
    <w:rsid w:val="11B91861"/>
    <w:rsid w:val="12046EFB"/>
    <w:rsid w:val="122B3718"/>
    <w:rsid w:val="122E0AB9"/>
    <w:rsid w:val="124A1526"/>
    <w:rsid w:val="12705F2F"/>
    <w:rsid w:val="12862692"/>
    <w:rsid w:val="128A1884"/>
    <w:rsid w:val="13BA7068"/>
    <w:rsid w:val="13BD5C40"/>
    <w:rsid w:val="13BE3E71"/>
    <w:rsid w:val="13E92C40"/>
    <w:rsid w:val="1404150D"/>
    <w:rsid w:val="14176C38"/>
    <w:rsid w:val="141F00F5"/>
    <w:rsid w:val="147B23C2"/>
    <w:rsid w:val="149071D2"/>
    <w:rsid w:val="14992136"/>
    <w:rsid w:val="14A92287"/>
    <w:rsid w:val="14BC3B96"/>
    <w:rsid w:val="14FC218C"/>
    <w:rsid w:val="15516BA1"/>
    <w:rsid w:val="15547085"/>
    <w:rsid w:val="157658E8"/>
    <w:rsid w:val="15766302"/>
    <w:rsid w:val="15A72E39"/>
    <w:rsid w:val="15AA3FD7"/>
    <w:rsid w:val="15AD7024"/>
    <w:rsid w:val="16186ACE"/>
    <w:rsid w:val="161B13E4"/>
    <w:rsid w:val="162F7AA5"/>
    <w:rsid w:val="16302619"/>
    <w:rsid w:val="16466B98"/>
    <w:rsid w:val="167A536A"/>
    <w:rsid w:val="167B5B8D"/>
    <w:rsid w:val="16BD0666"/>
    <w:rsid w:val="16F067C0"/>
    <w:rsid w:val="172B4EF6"/>
    <w:rsid w:val="173236C6"/>
    <w:rsid w:val="174425FB"/>
    <w:rsid w:val="174A3651"/>
    <w:rsid w:val="1773448D"/>
    <w:rsid w:val="179254F0"/>
    <w:rsid w:val="17A47AE8"/>
    <w:rsid w:val="17C2315E"/>
    <w:rsid w:val="18B544FF"/>
    <w:rsid w:val="18DE13E4"/>
    <w:rsid w:val="19276313"/>
    <w:rsid w:val="19885D92"/>
    <w:rsid w:val="19AB0D99"/>
    <w:rsid w:val="19B861A9"/>
    <w:rsid w:val="1A043D0F"/>
    <w:rsid w:val="1A6130B1"/>
    <w:rsid w:val="1A7A4EC0"/>
    <w:rsid w:val="1ABD5EAB"/>
    <w:rsid w:val="1AD30E37"/>
    <w:rsid w:val="1AD85520"/>
    <w:rsid w:val="1AE30F1C"/>
    <w:rsid w:val="1AE96E4A"/>
    <w:rsid w:val="1B2213A0"/>
    <w:rsid w:val="1B727E84"/>
    <w:rsid w:val="1BA6220F"/>
    <w:rsid w:val="1BE70C00"/>
    <w:rsid w:val="1C683BF4"/>
    <w:rsid w:val="1CAC0220"/>
    <w:rsid w:val="1CF62BF1"/>
    <w:rsid w:val="1D0F6092"/>
    <w:rsid w:val="1D171EF9"/>
    <w:rsid w:val="1D500C19"/>
    <w:rsid w:val="1D9B5F40"/>
    <w:rsid w:val="1DA11B98"/>
    <w:rsid w:val="1DAB4E53"/>
    <w:rsid w:val="1DF31E95"/>
    <w:rsid w:val="1E0A3AC5"/>
    <w:rsid w:val="1E437AD2"/>
    <w:rsid w:val="1E562914"/>
    <w:rsid w:val="1E723DCB"/>
    <w:rsid w:val="1E760AF4"/>
    <w:rsid w:val="1EBB720E"/>
    <w:rsid w:val="1EC7171D"/>
    <w:rsid w:val="1EF022D3"/>
    <w:rsid w:val="1EF459C9"/>
    <w:rsid w:val="1F79024A"/>
    <w:rsid w:val="1F8F4381"/>
    <w:rsid w:val="1FD91577"/>
    <w:rsid w:val="200A51EE"/>
    <w:rsid w:val="201E3957"/>
    <w:rsid w:val="20206087"/>
    <w:rsid w:val="203D2EA6"/>
    <w:rsid w:val="209029D8"/>
    <w:rsid w:val="20B22DCF"/>
    <w:rsid w:val="20D50C2E"/>
    <w:rsid w:val="20DE6949"/>
    <w:rsid w:val="20F84A0D"/>
    <w:rsid w:val="211E6D66"/>
    <w:rsid w:val="211E74DE"/>
    <w:rsid w:val="211F25A7"/>
    <w:rsid w:val="212B724B"/>
    <w:rsid w:val="2141407C"/>
    <w:rsid w:val="215C607F"/>
    <w:rsid w:val="21A16B4C"/>
    <w:rsid w:val="21B75C14"/>
    <w:rsid w:val="221A4B12"/>
    <w:rsid w:val="2225131A"/>
    <w:rsid w:val="224654D8"/>
    <w:rsid w:val="22751D75"/>
    <w:rsid w:val="228E4FC7"/>
    <w:rsid w:val="22BB7089"/>
    <w:rsid w:val="22FA4BFB"/>
    <w:rsid w:val="22FE0FD0"/>
    <w:rsid w:val="234C1E36"/>
    <w:rsid w:val="235073EC"/>
    <w:rsid w:val="2351577F"/>
    <w:rsid w:val="235268D1"/>
    <w:rsid w:val="247C7EAE"/>
    <w:rsid w:val="247D3A55"/>
    <w:rsid w:val="24BA21D1"/>
    <w:rsid w:val="24CA4589"/>
    <w:rsid w:val="25375190"/>
    <w:rsid w:val="255319AC"/>
    <w:rsid w:val="256C2A6E"/>
    <w:rsid w:val="25873D4C"/>
    <w:rsid w:val="25F972D3"/>
    <w:rsid w:val="26210F30"/>
    <w:rsid w:val="262A4ECE"/>
    <w:rsid w:val="26325A66"/>
    <w:rsid w:val="26404E35"/>
    <w:rsid w:val="26442768"/>
    <w:rsid w:val="2658763F"/>
    <w:rsid w:val="269D5B1D"/>
    <w:rsid w:val="27161F43"/>
    <w:rsid w:val="272D447F"/>
    <w:rsid w:val="278A18D2"/>
    <w:rsid w:val="27FF7BCA"/>
    <w:rsid w:val="2821014A"/>
    <w:rsid w:val="288342CD"/>
    <w:rsid w:val="289D107F"/>
    <w:rsid w:val="28A57972"/>
    <w:rsid w:val="28BA1D43"/>
    <w:rsid w:val="28CE5F50"/>
    <w:rsid w:val="28EB02E8"/>
    <w:rsid w:val="29286CCD"/>
    <w:rsid w:val="294237A4"/>
    <w:rsid w:val="295B1445"/>
    <w:rsid w:val="29B242F6"/>
    <w:rsid w:val="29B6331C"/>
    <w:rsid w:val="2AAC4C35"/>
    <w:rsid w:val="2AC10ADC"/>
    <w:rsid w:val="2ACA7212"/>
    <w:rsid w:val="2ACF0873"/>
    <w:rsid w:val="2ADA0744"/>
    <w:rsid w:val="2B6F47FF"/>
    <w:rsid w:val="2BAA498E"/>
    <w:rsid w:val="2BE06C60"/>
    <w:rsid w:val="2BE85576"/>
    <w:rsid w:val="2C5D68DF"/>
    <w:rsid w:val="2C797AC3"/>
    <w:rsid w:val="2C8835CB"/>
    <w:rsid w:val="2CD020EF"/>
    <w:rsid w:val="2D7A0381"/>
    <w:rsid w:val="2DA41A22"/>
    <w:rsid w:val="2DD937C1"/>
    <w:rsid w:val="2DE71514"/>
    <w:rsid w:val="2DF77671"/>
    <w:rsid w:val="2E6A32E4"/>
    <w:rsid w:val="2E7E01C3"/>
    <w:rsid w:val="2E9C2C53"/>
    <w:rsid w:val="2EE67D35"/>
    <w:rsid w:val="2EF02962"/>
    <w:rsid w:val="2F027AF9"/>
    <w:rsid w:val="2FBA6E32"/>
    <w:rsid w:val="30101167"/>
    <w:rsid w:val="301343BA"/>
    <w:rsid w:val="30156509"/>
    <w:rsid w:val="305F1B4D"/>
    <w:rsid w:val="30851764"/>
    <w:rsid w:val="30D20571"/>
    <w:rsid w:val="30E12F2E"/>
    <w:rsid w:val="31330378"/>
    <w:rsid w:val="31A41A56"/>
    <w:rsid w:val="31A63CF2"/>
    <w:rsid w:val="31DF0DFF"/>
    <w:rsid w:val="31F1548D"/>
    <w:rsid w:val="32355D6E"/>
    <w:rsid w:val="323C3A1F"/>
    <w:rsid w:val="324533B4"/>
    <w:rsid w:val="32537A1E"/>
    <w:rsid w:val="328A6A0C"/>
    <w:rsid w:val="328C2084"/>
    <w:rsid w:val="32D337F9"/>
    <w:rsid w:val="33163CB5"/>
    <w:rsid w:val="33294C03"/>
    <w:rsid w:val="332B4269"/>
    <w:rsid w:val="333B3D69"/>
    <w:rsid w:val="33B10912"/>
    <w:rsid w:val="33B87A8E"/>
    <w:rsid w:val="343C450B"/>
    <w:rsid w:val="34D36666"/>
    <w:rsid w:val="3503127C"/>
    <w:rsid w:val="353A4937"/>
    <w:rsid w:val="353E103A"/>
    <w:rsid w:val="35527208"/>
    <w:rsid w:val="35A70D5A"/>
    <w:rsid w:val="36221DBF"/>
    <w:rsid w:val="364D3465"/>
    <w:rsid w:val="37686ABF"/>
    <w:rsid w:val="37F45271"/>
    <w:rsid w:val="37F57DF2"/>
    <w:rsid w:val="384F258A"/>
    <w:rsid w:val="38FD0155"/>
    <w:rsid w:val="390600CD"/>
    <w:rsid w:val="39200C06"/>
    <w:rsid w:val="398C396F"/>
    <w:rsid w:val="39A54D65"/>
    <w:rsid w:val="39C649EB"/>
    <w:rsid w:val="39F87D5C"/>
    <w:rsid w:val="3A0A06DD"/>
    <w:rsid w:val="3A2E433E"/>
    <w:rsid w:val="3A8075E8"/>
    <w:rsid w:val="3A861CC2"/>
    <w:rsid w:val="3A900B55"/>
    <w:rsid w:val="3A9F5C6C"/>
    <w:rsid w:val="3AFE43ED"/>
    <w:rsid w:val="3B1867C8"/>
    <w:rsid w:val="3B7431B5"/>
    <w:rsid w:val="3B7633AB"/>
    <w:rsid w:val="3B7856A1"/>
    <w:rsid w:val="3BC61723"/>
    <w:rsid w:val="3BE1180F"/>
    <w:rsid w:val="3BF16211"/>
    <w:rsid w:val="3C461E13"/>
    <w:rsid w:val="3C6165D6"/>
    <w:rsid w:val="3CBE31DE"/>
    <w:rsid w:val="3CBF12B5"/>
    <w:rsid w:val="3CD2663F"/>
    <w:rsid w:val="3CF767B5"/>
    <w:rsid w:val="3D620826"/>
    <w:rsid w:val="3D801945"/>
    <w:rsid w:val="3DB80AEF"/>
    <w:rsid w:val="3DBA4E66"/>
    <w:rsid w:val="3E1C2E2C"/>
    <w:rsid w:val="3E3C0D70"/>
    <w:rsid w:val="3E3F0267"/>
    <w:rsid w:val="3E597D6C"/>
    <w:rsid w:val="3EC62D97"/>
    <w:rsid w:val="3EDD59A7"/>
    <w:rsid w:val="3F0118B9"/>
    <w:rsid w:val="3F38167B"/>
    <w:rsid w:val="3F71792A"/>
    <w:rsid w:val="3F8A4DF2"/>
    <w:rsid w:val="3F901730"/>
    <w:rsid w:val="3FA4227B"/>
    <w:rsid w:val="4016460A"/>
    <w:rsid w:val="401C3DA2"/>
    <w:rsid w:val="4021065B"/>
    <w:rsid w:val="404228F2"/>
    <w:rsid w:val="40490124"/>
    <w:rsid w:val="407B4F1E"/>
    <w:rsid w:val="40F030CF"/>
    <w:rsid w:val="419E65CF"/>
    <w:rsid w:val="41AA11C0"/>
    <w:rsid w:val="41F929CD"/>
    <w:rsid w:val="42051F5E"/>
    <w:rsid w:val="427B7AFE"/>
    <w:rsid w:val="42A75956"/>
    <w:rsid w:val="42C85063"/>
    <w:rsid w:val="43003087"/>
    <w:rsid w:val="433C7ACC"/>
    <w:rsid w:val="435560A3"/>
    <w:rsid w:val="4374370A"/>
    <w:rsid w:val="43E50164"/>
    <w:rsid w:val="44105953"/>
    <w:rsid w:val="441417C6"/>
    <w:rsid w:val="444421EF"/>
    <w:rsid w:val="449F2A80"/>
    <w:rsid w:val="44BC0935"/>
    <w:rsid w:val="44CB2A89"/>
    <w:rsid w:val="45423C7A"/>
    <w:rsid w:val="456F110E"/>
    <w:rsid w:val="458A3B55"/>
    <w:rsid w:val="459C3512"/>
    <w:rsid w:val="461E3F3C"/>
    <w:rsid w:val="4691185D"/>
    <w:rsid w:val="47AD6981"/>
    <w:rsid w:val="48284B85"/>
    <w:rsid w:val="485055CC"/>
    <w:rsid w:val="48ED630F"/>
    <w:rsid w:val="491D5CAA"/>
    <w:rsid w:val="4938475C"/>
    <w:rsid w:val="49A45995"/>
    <w:rsid w:val="4A08695A"/>
    <w:rsid w:val="4A751303"/>
    <w:rsid w:val="4A9A2B71"/>
    <w:rsid w:val="4A9F72BE"/>
    <w:rsid w:val="4ACB784D"/>
    <w:rsid w:val="4BB94701"/>
    <w:rsid w:val="4C1415E6"/>
    <w:rsid w:val="4C3C40AA"/>
    <w:rsid w:val="4CA45D71"/>
    <w:rsid w:val="4CB0193B"/>
    <w:rsid w:val="4D2A07C4"/>
    <w:rsid w:val="4D526DBA"/>
    <w:rsid w:val="4D6055F8"/>
    <w:rsid w:val="4D611E71"/>
    <w:rsid w:val="4D654D87"/>
    <w:rsid w:val="4D805701"/>
    <w:rsid w:val="4D8120EF"/>
    <w:rsid w:val="4D926C66"/>
    <w:rsid w:val="4D9E2E8C"/>
    <w:rsid w:val="4DC21C05"/>
    <w:rsid w:val="4DC67854"/>
    <w:rsid w:val="4DDB52B6"/>
    <w:rsid w:val="4DFB5750"/>
    <w:rsid w:val="4E6B14BD"/>
    <w:rsid w:val="4E70082B"/>
    <w:rsid w:val="4E8046EB"/>
    <w:rsid w:val="4E8639E6"/>
    <w:rsid w:val="4F016EB3"/>
    <w:rsid w:val="4F3654C6"/>
    <w:rsid w:val="4F385108"/>
    <w:rsid w:val="4F4323BD"/>
    <w:rsid w:val="4F560E36"/>
    <w:rsid w:val="4F5D1E0D"/>
    <w:rsid w:val="4FA47125"/>
    <w:rsid w:val="4FAD3C3C"/>
    <w:rsid w:val="4FB1493B"/>
    <w:rsid w:val="4FC346FE"/>
    <w:rsid w:val="4FCC168E"/>
    <w:rsid w:val="4FD17771"/>
    <w:rsid w:val="501429D6"/>
    <w:rsid w:val="50706600"/>
    <w:rsid w:val="50805ED4"/>
    <w:rsid w:val="509773A7"/>
    <w:rsid w:val="50B71DA5"/>
    <w:rsid w:val="50C6038C"/>
    <w:rsid w:val="517174DB"/>
    <w:rsid w:val="51CD770E"/>
    <w:rsid w:val="51EC3A38"/>
    <w:rsid w:val="520D5BFF"/>
    <w:rsid w:val="52313617"/>
    <w:rsid w:val="529161DE"/>
    <w:rsid w:val="52FC33B5"/>
    <w:rsid w:val="53443366"/>
    <w:rsid w:val="53692325"/>
    <w:rsid w:val="53C75190"/>
    <w:rsid w:val="53F3051A"/>
    <w:rsid w:val="53F543A3"/>
    <w:rsid w:val="54145A91"/>
    <w:rsid w:val="5416087B"/>
    <w:rsid w:val="54293B80"/>
    <w:rsid w:val="542D593B"/>
    <w:rsid w:val="54A00C6B"/>
    <w:rsid w:val="54E27213"/>
    <w:rsid w:val="55203C63"/>
    <w:rsid w:val="55283D2B"/>
    <w:rsid w:val="554D5B69"/>
    <w:rsid w:val="55E53FF3"/>
    <w:rsid w:val="56037691"/>
    <w:rsid w:val="56311EEC"/>
    <w:rsid w:val="5651145D"/>
    <w:rsid w:val="565E4C16"/>
    <w:rsid w:val="566A4C99"/>
    <w:rsid w:val="56917487"/>
    <w:rsid w:val="56C65968"/>
    <w:rsid w:val="56CA2358"/>
    <w:rsid w:val="56ED5073"/>
    <w:rsid w:val="56F279EC"/>
    <w:rsid w:val="572877DB"/>
    <w:rsid w:val="57471CB6"/>
    <w:rsid w:val="574C73A9"/>
    <w:rsid w:val="5761241C"/>
    <w:rsid w:val="57B009A0"/>
    <w:rsid w:val="57B1258E"/>
    <w:rsid w:val="57E30C41"/>
    <w:rsid w:val="57ED150F"/>
    <w:rsid w:val="58160494"/>
    <w:rsid w:val="58480464"/>
    <w:rsid w:val="58711DA6"/>
    <w:rsid w:val="58B32CFF"/>
    <w:rsid w:val="58B84B4A"/>
    <w:rsid w:val="58D66907"/>
    <w:rsid w:val="58EC0277"/>
    <w:rsid w:val="59183F9B"/>
    <w:rsid w:val="59305CC5"/>
    <w:rsid w:val="598C1496"/>
    <w:rsid w:val="59926473"/>
    <w:rsid w:val="59F55B79"/>
    <w:rsid w:val="5A6E50F7"/>
    <w:rsid w:val="5AFF7905"/>
    <w:rsid w:val="5B084825"/>
    <w:rsid w:val="5B631C42"/>
    <w:rsid w:val="5B956153"/>
    <w:rsid w:val="5BCB5E61"/>
    <w:rsid w:val="5C1F20BF"/>
    <w:rsid w:val="5C327567"/>
    <w:rsid w:val="5C493A11"/>
    <w:rsid w:val="5CC523C4"/>
    <w:rsid w:val="5CEA600A"/>
    <w:rsid w:val="5CEB7876"/>
    <w:rsid w:val="5CF54B1C"/>
    <w:rsid w:val="5D5418FE"/>
    <w:rsid w:val="5D566E45"/>
    <w:rsid w:val="5D641CA2"/>
    <w:rsid w:val="5DC4375B"/>
    <w:rsid w:val="5DC85B47"/>
    <w:rsid w:val="5DF9112D"/>
    <w:rsid w:val="5E0947A2"/>
    <w:rsid w:val="5E36363E"/>
    <w:rsid w:val="5E954808"/>
    <w:rsid w:val="5EB47819"/>
    <w:rsid w:val="5F286A4D"/>
    <w:rsid w:val="5F4B03E2"/>
    <w:rsid w:val="5F576703"/>
    <w:rsid w:val="5F7D2BD7"/>
    <w:rsid w:val="5F8D1984"/>
    <w:rsid w:val="5FF015E1"/>
    <w:rsid w:val="60052557"/>
    <w:rsid w:val="60665E63"/>
    <w:rsid w:val="609A65F6"/>
    <w:rsid w:val="60B103E5"/>
    <w:rsid w:val="60CD36E9"/>
    <w:rsid w:val="60F4748F"/>
    <w:rsid w:val="60F92651"/>
    <w:rsid w:val="611B2826"/>
    <w:rsid w:val="615C40D5"/>
    <w:rsid w:val="615C7739"/>
    <w:rsid w:val="617536ED"/>
    <w:rsid w:val="61852ADA"/>
    <w:rsid w:val="61AE106F"/>
    <w:rsid w:val="622A51F0"/>
    <w:rsid w:val="62325914"/>
    <w:rsid w:val="62397BA1"/>
    <w:rsid w:val="623E51B7"/>
    <w:rsid w:val="6261228B"/>
    <w:rsid w:val="6269349E"/>
    <w:rsid w:val="626C32D2"/>
    <w:rsid w:val="627E6A7F"/>
    <w:rsid w:val="629B74F7"/>
    <w:rsid w:val="62C1074B"/>
    <w:rsid w:val="62FE4897"/>
    <w:rsid w:val="63016A5A"/>
    <w:rsid w:val="6341732B"/>
    <w:rsid w:val="63617466"/>
    <w:rsid w:val="636C0A8D"/>
    <w:rsid w:val="63872C1F"/>
    <w:rsid w:val="639E4473"/>
    <w:rsid w:val="63AE3C76"/>
    <w:rsid w:val="63B405DA"/>
    <w:rsid w:val="63CB42E2"/>
    <w:rsid w:val="63CF1424"/>
    <w:rsid w:val="63D020E5"/>
    <w:rsid w:val="64065A07"/>
    <w:rsid w:val="645E0CBF"/>
    <w:rsid w:val="64CF5A89"/>
    <w:rsid w:val="65261B3D"/>
    <w:rsid w:val="6532658B"/>
    <w:rsid w:val="65337E1C"/>
    <w:rsid w:val="6640736E"/>
    <w:rsid w:val="66774E76"/>
    <w:rsid w:val="66AB3362"/>
    <w:rsid w:val="67430D50"/>
    <w:rsid w:val="674332D8"/>
    <w:rsid w:val="6744501E"/>
    <w:rsid w:val="67572291"/>
    <w:rsid w:val="67C24670"/>
    <w:rsid w:val="68012F0F"/>
    <w:rsid w:val="68336E40"/>
    <w:rsid w:val="687A27CC"/>
    <w:rsid w:val="68EF44E9"/>
    <w:rsid w:val="68FC4769"/>
    <w:rsid w:val="691E3ACF"/>
    <w:rsid w:val="692D0546"/>
    <w:rsid w:val="69424C47"/>
    <w:rsid w:val="69614434"/>
    <w:rsid w:val="69856900"/>
    <w:rsid w:val="69AD1E55"/>
    <w:rsid w:val="69CF4AB1"/>
    <w:rsid w:val="69EE74C3"/>
    <w:rsid w:val="6A086843"/>
    <w:rsid w:val="6A0D22AD"/>
    <w:rsid w:val="6A4746A0"/>
    <w:rsid w:val="6A527606"/>
    <w:rsid w:val="6A657064"/>
    <w:rsid w:val="6A7259FE"/>
    <w:rsid w:val="6B4D3A7A"/>
    <w:rsid w:val="6BD56C5B"/>
    <w:rsid w:val="6BDA1B01"/>
    <w:rsid w:val="6BEA20A2"/>
    <w:rsid w:val="6C0807E8"/>
    <w:rsid w:val="6C147CCC"/>
    <w:rsid w:val="6D075ADD"/>
    <w:rsid w:val="6D0C07E6"/>
    <w:rsid w:val="6D526965"/>
    <w:rsid w:val="6D8200C7"/>
    <w:rsid w:val="6D8B167C"/>
    <w:rsid w:val="6D986A55"/>
    <w:rsid w:val="6D9E6722"/>
    <w:rsid w:val="6DAF7546"/>
    <w:rsid w:val="6DD3778F"/>
    <w:rsid w:val="6DE9247B"/>
    <w:rsid w:val="6E0F63FE"/>
    <w:rsid w:val="6E4075F6"/>
    <w:rsid w:val="6E706934"/>
    <w:rsid w:val="6F0A3C88"/>
    <w:rsid w:val="6F151965"/>
    <w:rsid w:val="6F2F024F"/>
    <w:rsid w:val="6F305E09"/>
    <w:rsid w:val="6F871259"/>
    <w:rsid w:val="6F975F07"/>
    <w:rsid w:val="6F9A3F5E"/>
    <w:rsid w:val="6FCE7C36"/>
    <w:rsid w:val="70140E66"/>
    <w:rsid w:val="704C0A9F"/>
    <w:rsid w:val="70735A4B"/>
    <w:rsid w:val="70A25CD9"/>
    <w:rsid w:val="70D773FF"/>
    <w:rsid w:val="70EE0855"/>
    <w:rsid w:val="715017E0"/>
    <w:rsid w:val="722D759C"/>
    <w:rsid w:val="724334B1"/>
    <w:rsid w:val="727062C8"/>
    <w:rsid w:val="729A3D44"/>
    <w:rsid w:val="74197038"/>
    <w:rsid w:val="7435511E"/>
    <w:rsid w:val="7481070F"/>
    <w:rsid w:val="7530517A"/>
    <w:rsid w:val="75842A89"/>
    <w:rsid w:val="75B34E3A"/>
    <w:rsid w:val="7673645B"/>
    <w:rsid w:val="76944F4E"/>
    <w:rsid w:val="769D2054"/>
    <w:rsid w:val="772F4DF8"/>
    <w:rsid w:val="773D7013"/>
    <w:rsid w:val="77B92815"/>
    <w:rsid w:val="77EB5BDE"/>
    <w:rsid w:val="77EF6E59"/>
    <w:rsid w:val="77FD5013"/>
    <w:rsid w:val="78104FAE"/>
    <w:rsid w:val="78185285"/>
    <w:rsid w:val="78290CE6"/>
    <w:rsid w:val="7860333A"/>
    <w:rsid w:val="78623556"/>
    <w:rsid w:val="78957FFD"/>
    <w:rsid w:val="789F7973"/>
    <w:rsid w:val="78B54629"/>
    <w:rsid w:val="78C064CE"/>
    <w:rsid w:val="78CC6C21"/>
    <w:rsid w:val="78E7663D"/>
    <w:rsid w:val="791F69AF"/>
    <w:rsid w:val="79AD2739"/>
    <w:rsid w:val="79D230AD"/>
    <w:rsid w:val="7A0D0FEA"/>
    <w:rsid w:val="7AA5257E"/>
    <w:rsid w:val="7AC22487"/>
    <w:rsid w:val="7ACA0268"/>
    <w:rsid w:val="7ADC073C"/>
    <w:rsid w:val="7ADE6C32"/>
    <w:rsid w:val="7AFF61ED"/>
    <w:rsid w:val="7B46521F"/>
    <w:rsid w:val="7B5212AA"/>
    <w:rsid w:val="7B6A44CF"/>
    <w:rsid w:val="7B85220B"/>
    <w:rsid w:val="7BE1201B"/>
    <w:rsid w:val="7BE35CBC"/>
    <w:rsid w:val="7C0478E4"/>
    <w:rsid w:val="7C495B25"/>
    <w:rsid w:val="7D083C19"/>
    <w:rsid w:val="7D0E48E7"/>
    <w:rsid w:val="7D1B5B99"/>
    <w:rsid w:val="7D3A7600"/>
    <w:rsid w:val="7D537F48"/>
    <w:rsid w:val="7D551A71"/>
    <w:rsid w:val="7D95502D"/>
    <w:rsid w:val="7DAB14EA"/>
    <w:rsid w:val="7DB02570"/>
    <w:rsid w:val="7DC55189"/>
    <w:rsid w:val="7DD23BB4"/>
    <w:rsid w:val="7DE40569"/>
    <w:rsid w:val="7DF804B8"/>
    <w:rsid w:val="7E014D45"/>
    <w:rsid w:val="7E1404F1"/>
    <w:rsid w:val="7E171EEC"/>
    <w:rsid w:val="7E3037AE"/>
    <w:rsid w:val="7E3639BF"/>
    <w:rsid w:val="7E606457"/>
    <w:rsid w:val="7EAA745B"/>
    <w:rsid w:val="7EBE6941"/>
    <w:rsid w:val="7EF317E1"/>
    <w:rsid w:val="7F1B2123"/>
    <w:rsid w:val="7F430F9C"/>
    <w:rsid w:val="7F43783F"/>
    <w:rsid w:val="7F44541A"/>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5"/>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5"/>
    <w:autoRedefine/>
    <w:qFormat/>
    <w:uiPriority w:val="0"/>
    <w:pPr>
      <w:tabs>
        <w:tab w:val="left" w:pos="208"/>
      </w:tabs>
      <w:spacing w:line="432" w:lineRule="auto"/>
    </w:pPr>
    <w:rPr>
      <w:rFonts w:ascii="仿宋_GB2312" w:eastAsia="仿宋_GB2312"/>
      <w:sz w:val="28"/>
    </w:rPr>
  </w:style>
  <w:style w:type="paragraph" w:styleId="5">
    <w:name w:val="Normal Indent"/>
    <w:basedOn w:val="1"/>
    <w:autoRedefine/>
    <w:qFormat/>
    <w:uiPriority w:val="0"/>
    <w:pPr>
      <w:ind w:firstLine="420"/>
    </w:pPr>
    <w:rPr>
      <w:szCs w:val="20"/>
    </w:rPr>
  </w:style>
  <w:style w:type="paragraph" w:styleId="7">
    <w:name w:val="Body Text Indent"/>
    <w:basedOn w:val="1"/>
    <w:next w:val="5"/>
    <w:autoRedefine/>
    <w:qFormat/>
    <w:uiPriority w:val="0"/>
    <w:pPr>
      <w:ind w:firstLine="540"/>
    </w:pPr>
    <w:rPr>
      <w:sz w:val="28"/>
      <w:szCs w:val="20"/>
    </w:rPr>
  </w:style>
  <w:style w:type="paragraph" w:styleId="8">
    <w:name w:val="Plain Text"/>
    <w:basedOn w:val="1"/>
    <w:next w:val="1"/>
    <w:autoRedefine/>
    <w:qFormat/>
    <w:uiPriority w:val="0"/>
    <w:rPr>
      <w:rFonts w:ascii="宋体" w:hAnsi="Courier New" w:eastAsiaTheme="minorEastAsia"/>
    </w:rPr>
  </w:style>
  <w:style w:type="paragraph" w:styleId="9">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0">
    <w:name w:val="Body Text Indent 2"/>
    <w:basedOn w:val="1"/>
    <w:autoRedefine/>
    <w:qFormat/>
    <w:uiPriority w:val="0"/>
    <w:pPr>
      <w:snapToGrid w:val="0"/>
      <w:spacing w:line="400" w:lineRule="exact"/>
      <w:ind w:firstLine="480"/>
    </w:pPr>
    <w:rPr>
      <w:rFonts w:eastAsia="仿宋_GB2312"/>
      <w:sz w:val="24"/>
    </w:rPr>
  </w:style>
  <w:style w:type="paragraph" w:styleId="11">
    <w:name w:val="Balloon Text"/>
    <w:basedOn w:val="1"/>
    <w:link w:val="102"/>
    <w:qFormat/>
    <w:uiPriority w:val="0"/>
    <w:rPr>
      <w:sz w:val="18"/>
      <w:szCs w:val="18"/>
    </w:rPr>
  </w:style>
  <w:style w:type="paragraph" w:styleId="12">
    <w:name w:val="footer"/>
    <w:basedOn w:val="1"/>
    <w:link w:val="91"/>
    <w:autoRedefine/>
    <w:qFormat/>
    <w:uiPriority w:val="0"/>
    <w:pPr>
      <w:tabs>
        <w:tab w:val="center" w:pos="4153"/>
        <w:tab w:val="right" w:pos="8306"/>
      </w:tabs>
      <w:snapToGrid w:val="0"/>
      <w:jc w:val="left"/>
    </w:pPr>
    <w:rPr>
      <w:sz w:val="18"/>
      <w:szCs w:val="18"/>
    </w:rPr>
  </w:style>
  <w:style w:type="paragraph" w:styleId="13">
    <w:name w:val="envelope return"/>
    <w:basedOn w:val="1"/>
    <w:autoRedefine/>
    <w:qFormat/>
    <w:uiPriority w:val="99"/>
    <w:pPr>
      <w:snapToGrid w:val="0"/>
    </w:pPr>
    <w:rPr>
      <w:rFonts w:ascii="Arial" w:hAnsi="Arial" w:cs="Arial"/>
    </w:rPr>
  </w:style>
  <w:style w:type="paragraph" w:styleId="14">
    <w:name w:val="header"/>
    <w:basedOn w:val="1"/>
    <w:link w:val="90"/>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5">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16">
    <w:name w:val="Subtitle"/>
    <w:basedOn w:val="1"/>
    <w:next w:val="1"/>
    <w:qFormat/>
    <w:uiPriority w:val="0"/>
    <w:pPr>
      <w:spacing w:before="240" w:after="60" w:line="312" w:lineRule="auto"/>
      <w:jc w:val="center"/>
      <w:outlineLvl w:val="1"/>
    </w:pPr>
    <w:rPr>
      <w:rFonts w:ascii="@华文中宋" w:hAnsi="@华文中宋" w:cs="@华文中宋"/>
      <w:b/>
      <w:bCs/>
      <w:kern w:val="28"/>
      <w:sz w:val="32"/>
      <w:szCs w:val="32"/>
    </w:rPr>
  </w:style>
  <w:style w:type="paragraph" w:styleId="17">
    <w:name w:val="List"/>
    <w:basedOn w:val="1"/>
    <w:autoRedefine/>
    <w:qFormat/>
    <w:uiPriority w:val="0"/>
    <w:pPr>
      <w:ind w:left="200" w:hanging="200" w:hangingChars="200"/>
    </w:pPr>
  </w:style>
  <w:style w:type="paragraph" w:styleId="18">
    <w:name w:val="footnote text"/>
    <w:basedOn w:val="1"/>
    <w:autoRedefine/>
    <w:qFormat/>
    <w:uiPriority w:val="0"/>
    <w:pPr>
      <w:snapToGrid w:val="0"/>
      <w:jc w:val="left"/>
    </w:pPr>
    <w:rPr>
      <w:sz w:val="18"/>
    </w:rPr>
  </w:style>
  <w:style w:type="paragraph" w:styleId="19">
    <w:name w:val="toc 6"/>
    <w:basedOn w:val="1"/>
    <w:next w:val="1"/>
    <w:autoRedefine/>
    <w:qFormat/>
    <w:uiPriority w:val="0"/>
    <w:pPr>
      <w:ind w:left="2100" w:leftChars="1000"/>
    </w:pPr>
    <w:rPr>
      <w:rFonts w:ascii="Calibri" w:hAnsi="Calibri"/>
      <w:szCs w:val="22"/>
    </w:rPr>
  </w:style>
  <w:style w:type="paragraph" w:styleId="20">
    <w:name w:val="index 7"/>
    <w:basedOn w:val="1"/>
    <w:next w:val="1"/>
    <w:autoRedefine/>
    <w:semiHidden/>
    <w:qFormat/>
    <w:uiPriority w:val="0"/>
    <w:pPr>
      <w:ind w:left="1200" w:leftChars="1200"/>
    </w:pPr>
  </w:style>
  <w:style w:type="paragraph" w:styleId="21">
    <w:name w:val="toc 2"/>
    <w:basedOn w:val="1"/>
    <w:next w:val="1"/>
    <w:autoRedefine/>
    <w:qFormat/>
    <w:uiPriority w:val="39"/>
    <w:pPr>
      <w:tabs>
        <w:tab w:val="right" w:leader="dot" w:pos="9060"/>
      </w:tabs>
      <w:ind w:left="525" w:leftChars="250"/>
      <w:jc w:val="center"/>
    </w:pPr>
    <w:rPr>
      <w:rFonts w:ascii="宋体" w:hAnsi="宋体" w:eastAsia="仿宋_GB2312"/>
      <w:b/>
      <w:bCs/>
      <w:sz w:val="30"/>
      <w:szCs w:val="30"/>
    </w:rPr>
  </w:style>
  <w:style w:type="paragraph" w:styleId="22">
    <w:name w:val="Normal (Web)"/>
    <w:basedOn w:val="1"/>
    <w:autoRedefine/>
    <w:qFormat/>
    <w:uiPriority w:val="0"/>
    <w:pPr>
      <w:widowControl/>
      <w:jc w:val="left"/>
    </w:pPr>
    <w:rPr>
      <w:rFonts w:ascii="宋体" w:hAnsi="宋体"/>
      <w:kern w:val="0"/>
      <w:sz w:val="24"/>
    </w:rPr>
  </w:style>
  <w:style w:type="paragraph" w:styleId="23">
    <w:name w:val="Title"/>
    <w:basedOn w:val="1"/>
    <w:next w:val="1"/>
    <w:autoRedefine/>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Body Text First Indent"/>
    <w:basedOn w:val="2"/>
    <w:next w:val="19"/>
    <w:autoRedefine/>
    <w:qFormat/>
    <w:uiPriority w:val="0"/>
    <w:pPr>
      <w:spacing w:after="120" w:line="240" w:lineRule="auto"/>
      <w:ind w:firstLine="420"/>
    </w:pPr>
    <w:rPr>
      <w:lang w:val="zh-CN"/>
    </w:rPr>
  </w:style>
  <w:style w:type="paragraph" w:styleId="25">
    <w:name w:val="Body Text First Indent 2"/>
    <w:basedOn w:val="7"/>
    <w:next w:val="24"/>
    <w:autoRedefine/>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99"/>
  </w:style>
  <w:style w:type="character" w:styleId="30">
    <w:name w:val="Hyperlink"/>
    <w:autoRedefine/>
    <w:qFormat/>
    <w:uiPriority w:val="99"/>
    <w:rPr>
      <w:color w:val="000000"/>
      <w:u w:val="none"/>
    </w:rPr>
  </w:style>
  <w:style w:type="character" w:styleId="31">
    <w:name w:val="footnote reference"/>
    <w:basedOn w:val="28"/>
    <w:autoRedefine/>
    <w:qFormat/>
    <w:uiPriority w:val="0"/>
    <w:rPr>
      <w:vertAlign w:val="superscript"/>
    </w:rPr>
  </w:style>
  <w:style w:type="paragraph" w:styleId="32">
    <w:name w:val="List Paragraph"/>
    <w:basedOn w:val="1"/>
    <w:next w:val="1"/>
    <w:autoRedefine/>
    <w:qFormat/>
    <w:uiPriority w:val="34"/>
    <w:pPr>
      <w:ind w:firstLine="420" w:firstLineChars="200"/>
    </w:pPr>
    <w:rPr>
      <w:rFonts w:ascii="Verdana" w:hAnsi="Verdana" w:eastAsia="微软雅黑"/>
    </w:rPr>
  </w:style>
  <w:style w:type="paragraph" w:customStyle="1" w:styleId="33">
    <w:name w:val="样式 正文文本缩进 + 首行缩进:  2 字符 行距: 1.5 倍行距"/>
    <w:basedOn w:val="7"/>
    <w:autoRedefine/>
    <w:qFormat/>
    <w:uiPriority w:val="0"/>
    <w:pPr>
      <w:spacing w:before="156" w:after="120"/>
      <w:ind w:firstLine="645"/>
    </w:pPr>
    <w:rPr>
      <w:rFonts w:ascii="Calibri" w:hAnsi="Calibri" w:cs="宋体"/>
      <w:kern w:val="0"/>
    </w:rPr>
  </w:style>
  <w:style w:type="paragraph" w:customStyle="1" w:styleId="34">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5">
    <w:name w:val="Other|1"/>
    <w:basedOn w:val="1"/>
    <w:autoRedefine/>
    <w:qFormat/>
    <w:uiPriority w:val="0"/>
    <w:rPr>
      <w:rFonts w:ascii="宋体" w:hAnsi="宋体" w:cs="宋体"/>
      <w:sz w:val="22"/>
      <w:szCs w:val="22"/>
      <w:lang w:val="zh-TW" w:eastAsia="zh-TW" w:bidi="zh-TW"/>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Char"/>
    <w:basedOn w:val="1"/>
    <w:autoRedefine/>
    <w:qFormat/>
    <w:uiPriority w:val="0"/>
    <w:rPr>
      <w:rFonts w:ascii="Tahoma" w:hAnsi="Tahoma"/>
      <w:sz w:val="24"/>
      <w:szCs w:val="20"/>
    </w:rPr>
  </w:style>
  <w:style w:type="paragraph" w:customStyle="1" w:styleId="38">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39">
    <w:name w:val="纯文本_3"/>
    <w:basedOn w:val="40"/>
    <w:autoRedefine/>
    <w:qFormat/>
    <w:uiPriority w:val="0"/>
    <w:rPr>
      <w:rFonts w:ascii="宋体" w:hAnsi="Courier New"/>
      <w:szCs w:val="20"/>
    </w:rPr>
  </w:style>
  <w:style w:type="paragraph" w:customStyle="1" w:styleId="4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普通(网站)_0"/>
    <w:basedOn w:val="42"/>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缩进1"/>
    <w:basedOn w:val="1"/>
    <w:autoRedefine/>
    <w:qFormat/>
    <w:uiPriority w:val="0"/>
    <w:pPr>
      <w:spacing w:line="300" w:lineRule="auto"/>
      <w:ind w:firstLine="425"/>
    </w:pPr>
    <w:rPr>
      <w:szCs w:val="20"/>
    </w:rPr>
  </w:style>
  <w:style w:type="paragraph" w:customStyle="1" w:styleId="44">
    <w:name w:val="索引 11"/>
    <w:basedOn w:val="1"/>
    <w:next w:val="1"/>
    <w:autoRedefine/>
    <w:qFormat/>
    <w:uiPriority w:val="0"/>
    <w:pPr>
      <w:spacing w:line="360" w:lineRule="auto"/>
    </w:pPr>
    <w:rPr>
      <w:rFonts w:ascii="仿宋_GB2312" w:eastAsia="仿宋_GB2312"/>
      <w:sz w:val="24"/>
      <w:szCs w:val="20"/>
    </w:rPr>
  </w:style>
  <w:style w:type="character" w:customStyle="1" w:styleId="45">
    <w:name w:val="ca-11"/>
    <w:autoRedefine/>
    <w:qFormat/>
    <w:uiPriority w:val="99"/>
    <w:rPr>
      <w:rFonts w:ascii="仿宋_GB2312" w:eastAsia="仿宋_GB2312" w:cs="Times New Roman"/>
      <w:sz w:val="28"/>
      <w:szCs w:val="28"/>
    </w:rPr>
  </w:style>
  <w:style w:type="paragraph" w:customStyle="1" w:styleId="46">
    <w:name w:val="pa-2"/>
    <w:basedOn w:val="1"/>
    <w:autoRedefine/>
    <w:qFormat/>
    <w:uiPriority w:val="99"/>
    <w:pPr>
      <w:widowControl/>
      <w:spacing w:line="360" w:lineRule="atLeast"/>
      <w:ind w:firstLine="560"/>
      <w:jc w:val="left"/>
    </w:pPr>
    <w:rPr>
      <w:rFonts w:ascii="宋体" w:hAnsi="宋体" w:cs="宋体"/>
      <w:kern w:val="0"/>
      <w:sz w:val="24"/>
    </w:rPr>
  </w:style>
  <w:style w:type="character" w:customStyle="1" w:styleId="47">
    <w:name w:val="ca-31"/>
    <w:autoRedefine/>
    <w:qFormat/>
    <w:uiPriority w:val="99"/>
    <w:rPr>
      <w:rFonts w:ascii="仿宋_GB2312" w:eastAsia="仿宋_GB2312" w:cs="Times New Roman"/>
      <w:b/>
      <w:bCs/>
      <w:spacing w:val="-20"/>
      <w:sz w:val="28"/>
      <w:szCs w:val="28"/>
    </w:rPr>
  </w:style>
  <w:style w:type="paragraph" w:customStyle="1" w:styleId="48">
    <w:name w:val="pa-4"/>
    <w:basedOn w:val="1"/>
    <w:autoRedefine/>
    <w:qFormat/>
    <w:uiPriority w:val="99"/>
    <w:pPr>
      <w:widowControl/>
      <w:spacing w:line="360" w:lineRule="atLeast"/>
      <w:jc w:val="left"/>
    </w:pPr>
    <w:rPr>
      <w:rFonts w:ascii="宋体" w:hAnsi="宋体" w:cs="宋体"/>
      <w:kern w:val="0"/>
      <w:sz w:val="24"/>
    </w:rPr>
  </w:style>
  <w:style w:type="paragraph" w:customStyle="1" w:styleId="49">
    <w:name w:val="pa-5"/>
    <w:basedOn w:val="1"/>
    <w:autoRedefine/>
    <w:qFormat/>
    <w:uiPriority w:val="99"/>
    <w:pPr>
      <w:widowControl/>
      <w:spacing w:line="360" w:lineRule="atLeast"/>
      <w:ind w:firstLine="560"/>
      <w:jc w:val="left"/>
    </w:pPr>
    <w:rPr>
      <w:rFonts w:ascii="宋体" w:hAnsi="宋体" w:cs="宋体"/>
      <w:kern w:val="0"/>
      <w:sz w:val="24"/>
    </w:rPr>
  </w:style>
  <w:style w:type="paragraph" w:customStyle="1" w:styleId="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0_0"/>
    <w:basedOn w:val="50"/>
    <w:autoRedefine/>
    <w:qFormat/>
    <w:uiPriority w:val="0"/>
    <w:rPr>
      <w:rFonts w:ascii="宋体" w:hAnsi="Courier New"/>
      <w:szCs w:val="21"/>
    </w:rPr>
  </w:style>
  <w:style w:type="paragraph" w:customStyle="1" w:styleId="52">
    <w:name w:val="纯文本_0"/>
    <w:basedOn w:val="1"/>
    <w:autoRedefine/>
    <w:unhideWhenUsed/>
    <w:qFormat/>
    <w:uiPriority w:val="0"/>
    <w:rPr>
      <w:rFonts w:ascii="宋体" w:hAnsi="Courier New"/>
      <w:kern w:val="0"/>
      <w:sz w:val="20"/>
      <w:szCs w:val="20"/>
    </w:rPr>
  </w:style>
  <w:style w:type="paragraph" w:customStyle="1" w:styleId="53">
    <w:name w:val="纯文本_1"/>
    <w:basedOn w:val="1"/>
    <w:autoRedefine/>
    <w:qFormat/>
    <w:uiPriority w:val="0"/>
    <w:rPr>
      <w:rFonts w:ascii="宋体" w:hAnsi="Courier New"/>
      <w:szCs w:val="20"/>
    </w:rPr>
  </w:style>
  <w:style w:type="paragraph" w:customStyle="1" w:styleId="54">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_5_0"/>
    <w:basedOn w:val="1"/>
    <w:autoRedefine/>
    <w:qFormat/>
    <w:uiPriority w:val="0"/>
    <w:rPr>
      <w:rFonts w:ascii="宋体" w:hAnsi="Courier New"/>
      <w:szCs w:val="20"/>
    </w:rPr>
  </w:style>
  <w:style w:type="paragraph" w:customStyle="1" w:styleId="57">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har_0"/>
    <w:basedOn w:val="42"/>
    <w:autoRedefine/>
    <w:qFormat/>
    <w:uiPriority w:val="0"/>
    <w:rPr>
      <w:rFonts w:ascii="Tahoma" w:hAnsi="Tahoma"/>
      <w:sz w:val="24"/>
      <w:szCs w:val="20"/>
    </w:rPr>
  </w:style>
  <w:style w:type="paragraph" w:customStyle="1" w:styleId="62">
    <w:name w:val="列出段落1"/>
    <w:basedOn w:val="1"/>
    <w:autoRedefine/>
    <w:qFormat/>
    <w:uiPriority w:val="34"/>
    <w:pPr>
      <w:ind w:firstLine="420" w:firstLineChars="200"/>
    </w:pPr>
    <w:rPr>
      <w:rFonts w:ascii="Calibri" w:hAnsi="Calibri"/>
      <w:szCs w:val="22"/>
    </w:rPr>
  </w:style>
  <w:style w:type="paragraph" w:customStyle="1" w:styleId="63">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普通文字"/>
    <w:basedOn w:val="1"/>
    <w:next w:val="1"/>
    <w:autoRedefine/>
    <w:qFormat/>
    <w:uiPriority w:val="0"/>
    <w:rPr>
      <w:rFonts w:ascii="宋体"/>
    </w:rPr>
  </w:style>
  <w:style w:type="paragraph" w:customStyle="1" w:styleId="66">
    <w:name w:val="Table Paragraph"/>
    <w:basedOn w:val="1"/>
    <w:autoRedefine/>
    <w:unhideWhenUsed/>
    <w:qFormat/>
    <w:uiPriority w:val="1"/>
    <w:pPr>
      <w:spacing w:before="120"/>
      <w:jc w:val="center"/>
    </w:pPr>
    <w:rPr>
      <w:rFonts w:hint="eastAsia"/>
      <w:sz w:val="24"/>
    </w:rPr>
  </w:style>
  <w:style w:type="character" w:customStyle="1" w:styleId="67">
    <w:name w:val="标题 1 Char1"/>
    <w:autoRedefine/>
    <w:qFormat/>
    <w:uiPriority w:val="0"/>
    <w:rPr>
      <w:rFonts w:ascii="Times New Roman" w:hAnsi="Times New Roman" w:eastAsia="宋体" w:cs="Times New Roman"/>
      <w:b/>
      <w:bCs/>
      <w:kern w:val="44"/>
      <w:sz w:val="32"/>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表格文字"/>
    <w:basedOn w:val="71"/>
    <w:next w:val="2"/>
    <w:autoRedefine/>
    <w:qFormat/>
    <w:uiPriority w:val="0"/>
    <w:pPr>
      <w:adjustRightInd w:val="0"/>
      <w:spacing w:line="420" w:lineRule="atLeast"/>
      <w:textAlignment w:val="baseline"/>
    </w:pPr>
  </w:style>
  <w:style w:type="paragraph" w:customStyle="1" w:styleId="71">
    <w:name w:val="表格"/>
    <w:basedOn w:val="1"/>
    <w:next w:val="1"/>
    <w:autoRedefine/>
    <w:qFormat/>
    <w:uiPriority w:val="99"/>
    <w:pPr>
      <w:snapToGrid w:val="0"/>
      <w:ind w:firstLine="42" w:firstLineChars="21"/>
    </w:pPr>
    <w:rPr>
      <w:rFonts w:ascii="宋体" w:hAnsi="宋体"/>
      <w:kern w:val="0"/>
      <w:sz w:val="20"/>
      <w:szCs w:val="20"/>
    </w:rPr>
  </w:style>
  <w:style w:type="paragraph" w:customStyle="1" w:styleId="72">
    <w:name w:val="_Style 3"/>
    <w:basedOn w:val="1"/>
    <w:autoRedefine/>
    <w:qFormat/>
    <w:uiPriority w:val="34"/>
    <w:pPr>
      <w:ind w:firstLine="420" w:firstLineChars="200"/>
    </w:pPr>
    <w:rPr>
      <w:rFonts w:eastAsia="仿宋_GB2312"/>
      <w:sz w:val="28"/>
    </w:rPr>
  </w:style>
  <w:style w:type="paragraph" w:customStyle="1" w:styleId="73">
    <w:name w:val="Table Text"/>
    <w:basedOn w:val="1"/>
    <w:autoRedefine/>
    <w:semiHidden/>
    <w:qFormat/>
    <w:uiPriority w:val="0"/>
    <w:rPr>
      <w:rFonts w:ascii="宋体" w:hAnsi="宋体" w:cs="宋体"/>
      <w:sz w:val="20"/>
      <w:szCs w:val="20"/>
      <w:lang w:eastAsia="en-US"/>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character" w:customStyle="1" w:styleId="75">
    <w:name w:val="正文文本 Char"/>
    <w:basedOn w:val="28"/>
    <w:link w:val="2"/>
    <w:autoRedefine/>
    <w:qFormat/>
    <w:uiPriority w:val="0"/>
    <w:rPr>
      <w:rFonts w:hint="default" w:ascii="Times New Roman" w:hAnsi="Times New Roman" w:eastAsia="宋体" w:cs="Times New Roman"/>
      <w:kern w:val="2"/>
      <w:sz w:val="21"/>
      <w:szCs w:val="24"/>
    </w:rPr>
  </w:style>
  <w:style w:type="character" w:customStyle="1" w:styleId="76">
    <w:name w:val="正文文本首行缩进 字符"/>
    <w:basedOn w:val="75"/>
    <w:autoRedefine/>
    <w:qFormat/>
    <w:uiPriority w:val="0"/>
    <w:rPr>
      <w:rFonts w:hint="default" w:ascii="Times New Roman" w:hAnsi="Times New Roman" w:eastAsia="宋体" w:cs="Times New Roman"/>
      <w:kern w:val="2"/>
      <w:sz w:val="21"/>
      <w:szCs w:val="24"/>
    </w:rPr>
  </w:style>
  <w:style w:type="character" w:customStyle="1" w:styleId="77">
    <w:name w:val="font111"/>
    <w:basedOn w:val="28"/>
    <w:autoRedefine/>
    <w:qFormat/>
    <w:uiPriority w:val="0"/>
    <w:rPr>
      <w:rFonts w:hint="eastAsia" w:ascii="宋体" w:hAnsi="宋体" w:eastAsia="宋体" w:cs="宋体"/>
      <w:color w:val="000000"/>
      <w:sz w:val="20"/>
      <w:szCs w:val="20"/>
      <w:u w:val="none"/>
    </w:rPr>
  </w:style>
  <w:style w:type="character" w:customStyle="1" w:styleId="78">
    <w:name w:val="font91"/>
    <w:basedOn w:val="28"/>
    <w:autoRedefine/>
    <w:qFormat/>
    <w:uiPriority w:val="0"/>
    <w:rPr>
      <w:rFonts w:hint="eastAsia" w:ascii="宋体" w:hAnsi="宋体" w:eastAsia="宋体" w:cs="宋体"/>
      <w:color w:val="000000"/>
      <w:sz w:val="20"/>
      <w:szCs w:val="20"/>
      <w:u w:val="none"/>
      <w:vertAlign w:val="superscript"/>
    </w:rPr>
  </w:style>
  <w:style w:type="character" w:customStyle="1" w:styleId="79">
    <w:name w:val="font41"/>
    <w:basedOn w:val="28"/>
    <w:autoRedefine/>
    <w:qFormat/>
    <w:uiPriority w:val="0"/>
    <w:rPr>
      <w:rFonts w:hint="eastAsia" w:ascii="宋体" w:hAnsi="宋体" w:eastAsia="宋体" w:cs="宋体"/>
      <w:color w:val="000000"/>
      <w:sz w:val="20"/>
      <w:szCs w:val="20"/>
      <w:u w:val="none"/>
    </w:rPr>
  </w:style>
  <w:style w:type="character" w:customStyle="1" w:styleId="80">
    <w:name w:val="font112"/>
    <w:basedOn w:val="28"/>
    <w:autoRedefine/>
    <w:qFormat/>
    <w:uiPriority w:val="0"/>
    <w:rPr>
      <w:rFonts w:hint="eastAsia" w:ascii="宋体" w:hAnsi="宋体" w:eastAsia="宋体" w:cs="宋体"/>
      <w:color w:val="000000"/>
      <w:sz w:val="20"/>
      <w:szCs w:val="20"/>
      <w:u w:val="none"/>
      <w:vertAlign w:val="superscript"/>
    </w:rPr>
  </w:style>
  <w:style w:type="paragraph" w:customStyle="1" w:styleId="81">
    <w:name w:val="目录 5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2">
    <w:name w:val="首行缩进"/>
    <w:basedOn w:val="1"/>
    <w:autoRedefine/>
    <w:qFormat/>
    <w:uiPriority w:val="0"/>
    <w:pPr>
      <w:ind w:firstLine="480" w:firstLineChars="200"/>
    </w:pPr>
    <w:rPr>
      <w:szCs w:val="20"/>
      <w:lang w:val="zh-CN"/>
    </w:rPr>
  </w:style>
  <w:style w:type="character" w:customStyle="1" w:styleId="83">
    <w:name w:val="NormalCharacter"/>
    <w:autoRedefine/>
    <w:qFormat/>
    <w:uiPriority w:val="0"/>
    <w:rPr>
      <w:rFonts w:ascii="Calibri" w:hAnsi="Calibri" w:eastAsia="宋体" w:cs="Times New Roman"/>
      <w:kern w:val="2"/>
      <w:sz w:val="21"/>
      <w:szCs w:val="24"/>
      <w:lang w:val="en-US" w:eastAsia="zh-CN" w:bidi="ar-SA"/>
    </w:rPr>
  </w:style>
  <w:style w:type="character" w:customStyle="1" w:styleId="84">
    <w:name w:val="font61"/>
    <w:basedOn w:val="28"/>
    <w:autoRedefine/>
    <w:qFormat/>
    <w:uiPriority w:val="0"/>
    <w:rPr>
      <w:rFonts w:ascii="宋体" w:hAnsi="宋体" w:eastAsia="宋体" w:cs="宋体"/>
      <w:color w:val="000000"/>
      <w:sz w:val="20"/>
      <w:szCs w:val="20"/>
      <w:u w:val="none"/>
    </w:rPr>
  </w:style>
  <w:style w:type="character" w:customStyle="1" w:styleId="85">
    <w:name w:val="font81"/>
    <w:basedOn w:val="28"/>
    <w:autoRedefine/>
    <w:qFormat/>
    <w:uiPriority w:val="0"/>
    <w:rPr>
      <w:rFonts w:ascii="宋体" w:hAnsi="宋体" w:eastAsia="宋体" w:cs="宋体"/>
      <w:color w:val="000000"/>
      <w:sz w:val="20"/>
      <w:szCs w:val="20"/>
      <w:u w:val="none"/>
      <w:vertAlign w:val="superscript"/>
    </w:rPr>
  </w:style>
  <w:style w:type="character" w:customStyle="1" w:styleId="86">
    <w:name w:val="font21"/>
    <w:basedOn w:val="28"/>
    <w:autoRedefine/>
    <w:qFormat/>
    <w:uiPriority w:val="0"/>
    <w:rPr>
      <w:rFonts w:hint="eastAsia" w:ascii="宋体" w:hAnsi="宋体" w:eastAsia="宋体" w:cs="宋体"/>
      <w:color w:val="000000"/>
      <w:sz w:val="20"/>
      <w:szCs w:val="20"/>
      <w:u w:val="none"/>
    </w:rPr>
  </w:style>
  <w:style w:type="character" w:customStyle="1" w:styleId="87">
    <w:name w:val="font11"/>
    <w:basedOn w:val="28"/>
    <w:autoRedefine/>
    <w:qFormat/>
    <w:uiPriority w:val="0"/>
    <w:rPr>
      <w:rFonts w:hint="eastAsia" w:ascii="宋体" w:hAnsi="宋体" w:eastAsia="宋体" w:cs="宋体"/>
      <w:color w:val="000000"/>
      <w:sz w:val="20"/>
      <w:szCs w:val="20"/>
      <w:u w:val="none"/>
    </w:rPr>
  </w:style>
  <w:style w:type="character" w:customStyle="1" w:styleId="88">
    <w:name w:val="font51"/>
    <w:basedOn w:val="28"/>
    <w:autoRedefine/>
    <w:qFormat/>
    <w:uiPriority w:val="0"/>
    <w:rPr>
      <w:rFonts w:ascii="宋体" w:hAnsi="宋体" w:eastAsia="宋体" w:cs="宋体"/>
      <w:color w:val="000000"/>
      <w:sz w:val="20"/>
      <w:szCs w:val="20"/>
      <w:u w:val="none"/>
    </w:rPr>
  </w:style>
  <w:style w:type="character" w:customStyle="1" w:styleId="89">
    <w:name w:val="font31"/>
    <w:basedOn w:val="28"/>
    <w:autoRedefine/>
    <w:qFormat/>
    <w:uiPriority w:val="0"/>
    <w:rPr>
      <w:rFonts w:hint="eastAsia" w:ascii="宋体" w:hAnsi="宋体" w:eastAsia="宋体" w:cs="宋体"/>
      <w:b/>
      <w:bCs/>
      <w:color w:val="000000"/>
      <w:sz w:val="20"/>
      <w:szCs w:val="20"/>
      <w:u w:val="none"/>
    </w:rPr>
  </w:style>
  <w:style w:type="character" w:customStyle="1" w:styleId="90">
    <w:name w:val="页眉 Char"/>
    <w:basedOn w:val="28"/>
    <w:link w:val="14"/>
    <w:autoRedefine/>
    <w:qFormat/>
    <w:uiPriority w:val="0"/>
    <w:rPr>
      <w:sz w:val="18"/>
    </w:rPr>
  </w:style>
  <w:style w:type="character" w:customStyle="1" w:styleId="91">
    <w:name w:val="页脚 Char"/>
    <w:basedOn w:val="28"/>
    <w:link w:val="12"/>
    <w:autoRedefine/>
    <w:qFormat/>
    <w:uiPriority w:val="0"/>
    <w:rPr>
      <w:kern w:val="2"/>
      <w:sz w:val="18"/>
      <w:szCs w:val="18"/>
    </w:rPr>
  </w:style>
  <w:style w:type="paragraph" w:customStyle="1" w:styleId="92">
    <w:name w:val="BodyText"/>
    <w:basedOn w:val="1"/>
    <w:autoRedefine/>
    <w:qFormat/>
    <w:uiPriority w:val="0"/>
    <w:pPr>
      <w:spacing w:line="360" w:lineRule="auto"/>
    </w:pPr>
    <w:rPr>
      <w:rFonts w:ascii="宋体"/>
      <w:sz w:val="24"/>
      <w:szCs w:val="21"/>
      <w:lang w:val="zh-CN"/>
    </w:rPr>
  </w:style>
  <w:style w:type="paragraph" w:customStyle="1" w:styleId="9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正文00"/>
    <w:autoRedefine/>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 w:type="paragraph" w:customStyle="1" w:styleId="95">
    <w:name w:val="正文首行缩进1"/>
    <w:basedOn w:val="2"/>
    <w:qFormat/>
    <w:uiPriority w:val="0"/>
    <w:pPr>
      <w:autoSpaceDN w:val="0"/>
      <w:adjustRightInd w:val="0"/>
      <w:ind w:firstLine="420" w:firstLineChars="100"/>
      <w:jc w:val="left"/>
    </w:pPr>
    <w:rPr>
      <w:kern w:val="0"/>
      <w:sz w:val="20"/>
      <w:szCs w:val="20"/>
    </w:rPr>
  </w:style>
  <w:style w:type="paragraph" w:customStyle="1" w:styleId="96">
    <w:name w:val="列出段落2"/>
    <w:basedOn w:val="1"/>
    <w:semiHidden/>
    <w:qFormat/>
    <w:uiPriority w:val="0"/>
    <w:pPr>
      <w:ind w:firstLine="420" w:firstLineChars="200"/>
    </w:pPr>
  </w:style>
  <w:style w:type="paragraph" w:customStyle="1" w:styleId="97">
    <w:name w:val="列表段落1"/>
    <w:basedOn w:val="1"/>
    <w:next w:val="1"/>
    <w:qFormat/>
    <w:uiPriority w:val="0"/>
    <w:pPr>
      <w:autoSpaceDE w:val="0"/>
      <w:ind w:firstLine="420"/>
    </w:pPr>
    <w:rPr>
      <w:sz w:val="28"/>
      <w:szCs w:val="28"/>
    </w:rPr>
  </w:style>
  <w:style w:type="paragraph" w:customStyle="1" w:styleId="98">
    <w:name w:val="三级标题"/>
    <w:basedOn w:val="99"/>
    <w:next w:val="1"/>
    <w:qFormat/>
    <w:uiPriority w:val="0"/>
    <w:pPr>
      <w:numPr>
        <w:ilvl w:val="2"/>
      </w:numPr>
      <w:spacing w:before="360" w:after="240"/>
      <w:outlineLvl w:val="2"/>
    </w:pPr>
  </w:style>
  <w:style w:type="paragraph" w:customStyle="1" w:styleId="99">
    <w:name w:val="二级标题"/>
    <w:basedOn w:val="1"/>
    <w:next w:val="1"/>
    <w:qFormat/>
    <w:uiPriority w:val="0"/>
    <w:pPr>
      <w:numPr>
        <w:ilvl w:val="1"/>
        <w:numId w:val="1"/>
      </w:numPr>
    </w:pPr>
    <w:rPr>
      <w:rFonts w:asciiTheme="minorHAnsi" w:hAnsiTheme="minorHAnsi" w:eastAsiaTheme="minorEastAsia" w:cstheme="minorBidi"/>
      <w:szCs w:val="22"/>
    </w:rPr>
  </w:style>
  <w:style w:type="paragraph" w:customStyle="1" w:styleId="100">
    <w:name w:val="正文首行缩进 21"/>
    <w:basedOn w:val="7"/>
    <w:next w:val="1"/>
    <w:qFormat/>
    <w:uiPriority w:val="0"/>
    <w:pPr>
      <w:autoSpaceDE w:val="0"/>
      <w:spacing w:line="240" w:lineRule="atLeast"/>
      <w:ind w:firstLine="420"/>
    </w:pPr>
    <w:rPr>
      <w:rFonts w:ascii="宋体"/>
      <w:sz w:val="18"/>
      <w:szCs w:val="18"/>
    </w:rPr>
  </w:style>
  <w:style w:type="paragraph" w:customStyle="1" w:styleId="101">
    <w:name w:val="样式1"/>
    <w:basedOn w:val="1"/>
    <w:qFormat/>
    <w:uiPriority w:val="0"/>
    <w:pPr>
      <w:spacing w:line="360" w:lineRule="auto"/>
    </w:pPr>
    <w:rPr>
      <w:sz w:val="24"/>
    </w:rPr>
  </w:style>
  <w:style w:type="character" w:customStyle="1" w:styleId="102">
    <w:name w:val="批注框文本 Char"/>
    <w:basedOn w:val="28"/>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49729</Words>
  <Characters>55286</Characters>
  <Lines>443</Lines>
  <Paragraphs>124</Paragraphs>
  <TotalTime>3</TotalTime>
  <ScaleCrop>false</ScaleCrop>
  <LinksUpToDate>false</LinksUpToDate>
  <CharactersWithSpaces>57622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秀儿</cp:lastModifiedBy>
  <cp:lastPrinted>2024-09-03T01:01:00Z</cp:lastPrinted>
  <dcterms:modified xsi:type="dcterms:W3CDTF">2024-09-04T03:49:14Z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8E860A1F4B2340D09C23F5790A87813C_13</vt:lpwstr>
  </property>
</Properties>
</file>