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62DD7">
      <w:pPr>
        <w:autoSpaceDE w:val="0"/>
        <w:autoSpaceDN w:val="0"/>
        <w:spacing w:line="360" w:lineRule="auto"/>
        <w:ind w:firstLine="1687" w:firstLineChars="200"/>
        <w:textAlignment w:val="bottom"/>
        <w:outlineLvl w:val="0"/>
        <w:rPr>
          <w:rFonts w:hint="eastAsia" w:ascii="宋体" w:hAnsi="宋体" w:cs="宋体"/>
          <w:b/>
          <w:color w:val="auto"/>
          <w:sz w:val="84"/>
          <w:highlight w:val="none"/>
        </w:rPr>
      </w:pPr>
      <w:r>
        <w:rPr>
          <w:rFonts w:hint="eastAsia" w:ascii="宋体" w:hAnsi="宋体" w:cs="宋体"/>
          <w:b/>
          <w:color w:val="auto"/>
          <w:sz w:val="84"/>
          <w:highlight w:val="none"/>
        </w:rPr>
        <w:t xml:space="preserve"> </w:t>
      </w:r>
      <w:bookmarkStart w:id="0" w:name="_Toc25450"/>
      <w:bookmarkStart w:id="1" w:name="_Toc7341"/>
      <w:bookmarkStart w:id="2" w:name="_Toc26731"/>
      <w:bookmarkStart w:id="3" w:name="_Toc25001"/>
      <w:bookmarkStart w:id="4" w:name="_Toc10107"/>
      <w:bookmarkStart w:id="5" w:name="_Toc15632"/>
      <w:bookmarkStart w:id="6" w:name="_Toc4851"/>
      <w:bookmarkStart w:id="7" w:name="_Toc14233"/>
      <w:r>
        <w:rPr>
          <w:rFonts w:hint="eastAsia" w:ascii="宋体" w:hAnsi="宋体" w:cs="宋体"/>
          <w:b/>
          <w:color w:val="auto"/>
          <w:sz w:val="84"/>
          <w:highlight w:val="none"/>
        </w:rPr>
        <w:t xml:space="preserve"> </w:t>
      </w:r>
      <w:bookmarkStart w:id="8" w:name="_Toc15750"/>
      <w:r>
        <w:rPr>
          <w:rFonts w:hint="eastAsia" w:ascii="宋体" w:hAnsi="宋体" w:cs="宋体"/>
          <w:b/>
          <w:color w:val="auto"/>
          <w:sz w:val="84"/>
          <w:highlight w:val="none"/>
        </w:rPr>
        <w:t>公开招标文件</w:t>
      </w:r>
      <w:bookmarkEnd w:id="0"/>
      <w:bookmarkEnd w:id="1"/>
      <w:bookmarkEnd w:id="2"/>
      <w:bookmarkEnd w:id="3"/>
      <w:bookmarkEnd w:id="4"/>
      <w:bookmarkEnd w:id="5"/>
      <w:bookmarkEnd w:id="6"/>
      <w:bookmarkEnd w:id="7"/>
      <w:bookmarkEnd w:id="8"/>
    </w:p>
    <w:p w14:paraId="4A9961F4">
      <w:pPr>
        <w:autoSpaceDE w:val="0"/>
        <w:autoSpaceDN w:val="0"/>
        <w:spacing w:line="360" w:lineRule="auto"/>
        <w:jc w:val="center"/>
        <w:textAlignment w:val="bottom"/>
        <w:outlineLvl w:val="0"/>
        <w:rPr>
          <w:rFonts w:hint="eastAsia" w:ascii="宋体" w:hAnsi="宋体" w:cs="宋体"/>
          <w:color w:val="auto"/>
          <w:sz w:val="24"/>
          <w:szCs w:val="22"/>
          <w:highlight w:val="none"/>
        </w:rPr>
      </w:pPr>
      <w:bookmarkStart w:id="9" w:name="_Toc7252"/>
      <w:r>
        <w:rPr>
          <w:rFonts w:hint="eastAsia" w:ascii="宋体" w:hAnsi="宋体" w:cs="宋体"/>
          <w:b/>
          <w:color w:val="auto"/>
          <w:sz w:val="72"/>
          <w:szCs w:val="22"/>
          <w:highlight w:val="none"/>
        </w:rPr>
        <w:t>（分散采购）</w:t>
      </w:r>
      <w:bookmarkEnd w:id="9"/>
    </w:p>
    <w:p w14:paraId="794FA71A">
      <w:pPr>
        <w:pStyle w:val="22"/>
        <w:rPr>
          <w:rFonts w:hint="eastAsia" w:ascii="宋体" w:hAnsi="宋体" w:eastAsia="宋体" w:cs="宋体"/>
          <w:color w:val="auto"/>
          <w:highlight w:val="none"/>
        </w:rPr>
      </w:pPr>
    </w:p>
    <w:p w14:paraId="7FCA8C00">
      <w:pPr>
        <w:autoSpaceDE w:val="0"/>
        <w:autoSpaceDN w:val="0"/>
        <w:spacing w:line="912" w:lineRule="auto"/>
        <w:ind w:firstLine="361" w:firstLineChars="100"/>
        <w:textAlignment w:val="bottom"/>
        <w:outlineLvl w:val="0"/>
        <w:rPr>
          <w:rFonts w:hint="eastAsia" w:ascii="宋体" w:hAnsi="宋体" w:cs="宋体"/>
          <w:color w:val="auto"/>
          <w:highlight w:val="none"/>
        </w:rPr>
      </w:pPr>
      <w:bookmarkStart w:id="10" w:name="_Toc11330"/>
      <w:bookmarkStart w:id="11" w:name="_Toc25296"/>
      <w:bookmarkStart w:id="12" w:name="_Toc17971"/>
      <w:bookmarkStart w:id="13" w:name="_Toc17374"/>
      <w:bookmarkStart w:id="14" w:name="_Toc13639"/>
      <w:bookmarkStart w:id="15" w:name="_Toc10238"/>
      <w:bookmarkStart w:id="16" w:name="_Toc6358"/>
      <w:bookmarkStart w:id="17" w:name="_Toc2317"/>
      <w:bookmarkStart w:id="18" w:name="_Toc12620"/>
      <w:r>
        <w:rPr>
          <w:rFonts w:hint="eastAsia" w:ascii="宋体" w:hAnsi="宋体" w:cs="宋体"/>
          <w:b/>
          <w:color w:val="auto"/>
          <w:sz w:val="36"/>
          <w:highlight w:val="none"/>
        </w:rPr>
        <w:t xml:space="preserve">项目编号: </w:t>
      </w:r>
      <w:bookmarkEnd w:id="10"/>
      <w:bookmarkEnd w:id="11"/>
      <w:bookmarkEnd w:id="12"/>
      <w:bookmarkEnd w:id="13"/>
      <w:bookmarkEnd w:id="14"/>
      <w:bookmarkEnd w:id="15"/>
      <w:bookmarkEnd w:id="16"/>
      <w:bookmarkEnd w:id="17"/>
      <w:bookmarkEnd w:id="18"/>
      <w:r>
        <w:rPr>
          <w:rFonts w:hint="eastAsia" w:ascii="宋体" w:hAnsi="宋体" w:cs="宋体"/>
          <w:b/>
          <w:color w:val="auto"/>
          <w:sz w:val="36"/>
          <w:highlight w:val="none"/>
        </w:rPr>
        <w:t>浙大采招E2024201号</w:t>
      </w:r>
    </w:p>
    <w:p w14:paraId="1869CA13">
      <w:pPr>
        <w:autoSpaceDE w:val="0"/>
        <w:autoSpaceDN w:val="0"/>
        <w:spacing w:line="360" w:lineRule="auto"/>
        <w:ind w:left="2166" w:leftChars="171" w:hanging="1807" w:hangingChars="500"/>
        <w:jc w:val="left"/>
        <w:textAlignment w:val="bottom"/>
        <w:rPr>
          <w:rFonts w:hint="eastAsia" w:ascii="宋体" w:hAnsi="宋体" w:cs="宋体"/>
          <w:b/>
          <w:color w:val="auto"/>
          <w:sz w:val="36"/>
          <w:highlight w:val="none"/>
        </w:rPr>
      </w:pPr>
      <w:bookmarkStart w:id="19" w:name="_Toc28845"/>
      <w:bookmarkStart w:id="20" w:name="_Toc15310"/>
      <w:bookmarkStart w:id="21" w:name="_Toc23201"/>
      <w:bookmarkStart w:id="22" w:name="_Toc18543"/>
      <w:bookmarkStart w:id="23" w:name="_Toc26118"/>
      <w:bookmarkStart w:id="24" w:name="_Toc27177"/>
      <w:bookmarkStart w:id="25" w:name="_Toc18523"/>
      <w:bookmarkStart w:id="26" w:name="_Toc13530"/>
      <w:bookmarkStart w:id="27" w:name="_Toc2101"/>
      <w:r>
        <w:rPr>
          <w:rFonts w:hint="eastAsia" w:ascii="宋体" w:hAnsi="宋体" w:cs="宋体"/>
          <w:b/>
          <w:color w:val="auto"/>
          <w:sz w:val="36"/>
          <w:highlight w:val="none"/>
        </w:rPr>
        <w:t>项目名称：</w:t>
      </w:r>
      <w:bookmarkEnd w:id="19"/>
      <w:bookmarkEnd w:id="20"/>
      <w:bookmarkEnd w:id="21"/>
      <w:r>
        <w:rPr>
          <w:rFonts w:hint="eastAsia" w:ascii="宋体" w:hAnsi="宋体" w:cs="宋体"/>
          <w:b/>
          <w:color w:val="auto"/>
          <w:sz w:val="36"/>
          <w:highlight w:val="none"/>
        </w:rPr>
        <w:t>丽水市新污染物试点监测项目</w:t>
      </w:r>
    </w:p>
    <w:p w14:paraId="2D79E7F0">
      <w:pPr>
        <w:pStyle w:val="21"/>
        <w:rPr>
          <w:rFonts w:hint="eastAsia" w:ascii="宋体" w:hAnsi="宋体" w:eastAsia="宋体" w:cs="宋体"/>
          <w:b/>
          <w:color w:val="auto"/>
          <w:sz w:val="36"/>
          <w:highlight w:val="none"/>
        </w:rPr>
      </w:pPr>
    </w:p>
    <w:p w14:paraId="38C39C08">
      <w:pPr>
        <w:rPr>
          <w:rFonts w:hint="eastAsia" w:ascii="宋体" w:hAnsi="宋体" w:cs="宋体"/>
          <w:color w:val="auto"/>
          <w:highlight w:val="none"/>
        </w:rPr>
      </w:pPr>
    </w:p>
    <w:bookmarkEnd w:id="22"/>
    <w:bookmarkEnd w:id="23"/>
    <w:bookmarkEnd w:id="24"/>
    <w:bookmarkEnd w:id="25"/>
    <w:bookmarkEnd w:id="26"/>
    <w:bookmarkEnd w:id="27"/>
    <w:p w14:paraId="4345C170">
      <w:pPr>
        <w:rPr>
          <w:rFonts w:hint="eastAsia" w:ascii="宋体" w:hAnsi="宋体" w:cs="宋体"/>
          <w:color w:val="auto"/>
          <w:highlight w:val="none"/>
        </w:rPr>
      </w:pPr>
      <w:bookmarkStart w:id="28" w:name="_Toc21999"/>
      <w:bookmarkStart w:id="29" w:name="_Toc32288"/>
      <w:bookmarkStart w:id="30" w:name="_Toc32313"/>
      <w:bookmarkStart w:id="31" w:name="_Toc26427"/>
      <w:bookmarkStart w:id="32" w:name="_Toc17342"/>
      <w:bookmarkStart w:id="33" w:name="_Toc12921"/>
      <w:bookmarkStart w:id="34" w:name="_Toc22191"/>
      <w:bookmarkStart w:id="35" w:name="_Toc1791"/>
      <w:bookmarkStart w:id="36" w:name="_Toc12093"/>
    </w:p>
    <w:p w14:paraId="661ABA0E">
      <w:pPr>
        <w:autoSpaceDE w:val="0"/>
        <w:autoSpaceDN w:val="0"/>
        <w:spacing w:line="912" w:lineRule="auto"/>
        <w:ind w:firstLine="361" w:firstLineChars="100"/>
        <w:textAlignment w:val="bottom"/>
        <w:outlineLvl w:val="0"/>
        <w:rPr>
          <w:rFonts w:hint="eastAsia" w:ascii="宋体" w:hAnsi="宋体" w:cs="宋体"/>
          <w:b/>
          <w:color w:val="auto"/>
          <w:sz w:val="36"/>
          <w:highlight w:val="none"/>
        </w:rPr>
      </w:pPr>
      <w:r>
        <w:rPr>
          <w:rFonts w:hint="eastAsia" w:ascii="宋体" w:hAnsi="宋体" w:cs="宋体"/>
          <w:b/>
          <w:color w:val="auto"/>
          <w:sz w:val="36"/>
          <w:highlight w:val="none"/>
        </w:rPr>
        <w:t>交易方式：政府采购电子交易（政府采购云平台）</w:t>
      </w:r>
      <w:bookmarkEnd w:id="28"/>
      <w:bookmarkEnd w:id="29"/>
      <w:bookmarkEnd w:id="30"/>
      <w:bookmarkEnd w:id="31"/>
      <w:bookmarkEnd w:id="32"/>
      <w:bookmarkEnd w:id="33"/>
      <w:bookmarkEnd w:id="34"/>
      <w:bookmarkEnd w:id="35"/>
      <w:bookmarkEnd w:id="36"/>
    </w:p>
    <w:p w14:paraId="2A609928">
      <w:pPr>
        <w:autoSpaceDE w:val="0"/>
        <w:autoSpaceDN w:val="0"/>
        <w:spacing w:line="912" w:lineRule="auto"/>
        <w:ind w:firstLine="361" w:firstLineChars="100"/>
        <w:textAlignment w:val="bottom"/>
        <w:outlineLvl w:val="0"/>
        <w:rPr>
          <w:rFonts w:hint="eastAsia" w:ascii="宋体" w:hAnsi="宋体" w:cs="宋体"/>
          <w:b/>
          <w:color w:val="auto"/>
          <w:sz w:val="36"/>
          <w:highlight w:val="none"/>
        </w:rPr>
      </w:pPr>
      <w:bookmarkStart w:id="37" w:name="_Toc16180"/>
      <w:bookmarkStart w:id="38" w:name="_Toc14517"/>
      <w:bookmarkStart w:id="39" w:name="_Toc621"/>
      <w:bookmarkStart w:id="40" w:name="_Toc20330"/>
      <w:bookmarkStart w:id="41" w:name="_Toc16171"/>
      <w:bookmarkStart w:id="42" w:name="_Toc27982"/>
      <w:bookmarkStart w:id="43" w:name="_Toc17312"/>
      <w:bookmarkStart w:id="44" w:name="_Toc4000"/>
      <w:bookmarkStart w:id="45" w:name="_Toc14466"/>
      <w:r>
        <w:rPr>
          <w:rFonts w:hint="eastAsia" w:ascii="宋体" w:hAnsi="宋体" w:cs="宋体"/>
          <w:b/>
          <w:color w:val="auto"/>
          <w:sz w:val="36"/>
          <w:highlight w:val="none"/>
        </w:rPr>
        <w:t>采 购 人：</w:t>
      </w:r>
      <w:bookmarkEnd w:id="37"/>
      <w:bookmarkEnd w:id="38"/>
      <w:bookmarkEnd w:id="39"/>
      <w:bookmarkEnd w:id="40"/>
      <w:bookmarkEnd w:id="41"/>
      <w:bookmarkEnd w:id="42"/>
      <w:bookmarkEnd w:id="43"/>
      <w:bookmarkEnd w:id="44"/>
      <w:bookmarkEnd w:id="45"/>
      <w:r>
        <w:rPr>
          <w:rFonts w:hint="eastAsia" w:ascii="宋体" w:hAnsi="宋体" w:cs="宋体"/>
          <w:b/>
          <w:color w:val="auto"/>
          <w:sz w:val="36"/>
          <w:highlight w:val="none"/>
        </w:rPr>
        <w:t>丽水市生态环境局</w:t>
      </w:r>
    </w:p>
    <w:p w14:paraId="56E066DA">
      <w:pPr>
        <w:autoSpaceDE w:val="0"/>
        <w:autoSpaceDN w:val="0"/>
        <w:spacing w:line="912" w:lineRule="auto"/>
        <w:ind w:firstLine="361" w:firstLineChars="100"/>
        <w:textAlignment w:val="bottom"/>
        <w:outlineLvl w:val="0"/>
        <w:rPr>
          <w:rFonts w:hint="eastAsia" w:ascii="宋体" w:hAnsi="宋体" w:cs="宋体"/>
          <w:b/>
          <w:color w:val="auto"/>
          <w:sz w:val="36"/>
          <w:highlight w:val="none"/>
        </w:rPr>
      </w:pPr>
      <w:bookmarkStart w:id="46" w:name="_Toc1981"/>
      <w:bookmarkStart w:id="47" w:name="_Toc25656"/>
      <w:bookmarkStart w:id="48" w:name="_Toc17204"/>
      <w:bookmarkStart w:id="49" w:name="_Toc2279"/>
      <w:bookmarkStart w:id="50" w:name="_Toc26409"/>
      <w:bookmarkStart w:id="51" w:name="_Toc11417"/>
      <w:bookmarkStart w:id="52" w:name="_Toc23794"/>
      <w:bookmarkStart w:id="53" w:name="_Toc26720"/>
      <w:bookmarkStart w:id="54" w:name="_Toc3904"/>
      <w:r>
        <w:rPr>
          <w:rFonts w:hint="eastAsia" w:ascii="宋体" w:hAnsi="宋体" w:cs="宋体"/>
          <w:b/>
          <w:color w:val="auto"/>
          <w:sz w:val="36"/>
          <w:highlight w:val="none"/>
        </w:rPr>
        <w:t>采购代理机构：浙江大兴建设项目管理咨询有限公司</w:t>
      </w:r>
      <w:bookmarkEnd w:id="46"/>
      <w:bookmarkEnd w:id="47"/>
      <w:bookmarkEnd w:id="48"/>
      <w:bookmarkEnd w:id="49"/>
      <w:bookmarkEnd w:id="50"/>
      <w:bookmarkEnd w:id="51"/>
      <w:bookmarkEnd w:id="52"/>
      <w:bookmarkEnd w:id="53"/>
      <w:bookmarkEnd w:id="54"/>
      <w:r>
        <w:rPr>
          <w:rFonts w:hint="eastAsia" w:ascii="宋体" w:hAnsi="宋体" w:cs="宋体"/>
          <w:b/>
          <w:color w:val="auto"/>
          <w:sz w:val="36"/>
          <w:highlight w:val="none"/>
        </w:rPr>
        <w:t xml:space="preserve"> </w:t>
      </w:r>
      <w:bookmarkStart w:id="55" w:name="_Toc31265"/>
      <w:bookmarkStart w:id="56" w:name="_Toc7103"/>
      <w:bookmarkStart w:id="57" w:name="_Toc17127"/>
      <w:bookmarkStart w:id="58" w:name="_Toc6003"/>
      <w:bookmarkStart w:id="59" w:name="_Toc18216"/>
    </w:p>
    <w:p w14:paraId="79D6926F">
      <w:pPr>
        <w:autoSpaceDE w:val="0"/>
        <w:autoSpaceDN w:val="0"/>
        <w:spacing w:line="912" w:lineRule="auto"/>
        <w:ind w:firstLine="2891" w:firstLineChars="800"/>
        <w:textAlignment w:val="bottom"/>
        <w:outlineLvl w:val="0"/>
        <w:rPr>
          <w:rFonts w:hint="eastAsia" w:ascii="宋体" w:hAnsi="宋体" w:cs="宋体"/>
          <w:b/>
          <w:color w:val="auto"/>
          <w:sz w:val="36"/>
          <w:highlight w:val="none"/>
        </w:rPr>
      </w:pPr>
      <w:bookmarkStart w:id="60" w:name="_Toc17090"/>
      <w:r>
        <w:rPr>
          <w:rFonts w:hint="eastAsia" w:ascii="宋体" w:hAnsi="宋体" w:cs="宋体"/>
          <w:b/>
          <w:color w:val="auto"/>
          <w:sz w:val="36"/>
          <w:highlight w:val="none"/>
        </w:rPr>
        <w:t>日 期：二〇二四年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bookmarkEnd w:id="55"/>
      <w:bookmarkEnd w:id="56"/>
      <w:bookmarkEnd w:id="57"/>
      <w:bookmarkEnd w:id="58"/>
      <w:bookmarkEnd w:id="59"/>
      <w:bookmarkEnd w:id="60"/>
    </w:p>
    <w:p w14:paraId="21879542">
      <w:pPr>
        <w:pStyle w:val="23"/>
        <w:rPr>
          <w:rFonts w:hint="eastAsia" w:ascii="宋体" w:hAnsi="宋体" w:cs="宋体"/>
          <w:b/>
          <w:color w:val="auto"/>
          <w:sz w:val="36"/>
          <w:highlight w:val="none"/>
        </w:rPr>
        <w:sectPr>
          <w:headerReference r:id="rId3" w:type="first"/>
          <w:footerReference r:id="rId4" w:type="default"/>
          <w:pgSz w:w="11906" w:h="16838"/>
          <w:pgMar w:top="1276" w:right="1020" w:bottom="1276" w:left="1134" w:header="851" w:footer="992" w:gutter="0"/>
          <w:pgNumType w:start="0"/>
          <w:cols w:space="720" w:num="1"/>
          <w:titlePg/>
          <w:docGrid w:linePitch="312" w:charSpace="0"/>
        </w:sectPr>
      </w:pPr>
    </w:p>
    <w:p w14:paraId="585F54F7">
      <w:pPr>
        <w:rPr>
          <w:rFonts w:hint="eastAsia" w:ascii="宋体" w:hAnsi="宋体" w:cs="宋体"/>
          <w:color w:val="auto"/>
          <w:highlight w:val="none"/>
        </w:rPr>
      </w:pPr>
    </w:p>
    <w:p w14:paraId="5C4B60E5">
      <w:pPr>
        <w:jc w:val="center"/>
        <w:rPr>
          <w:rFonts w:hint="eastAsia" w:ascii="宋体" w:hAnsi="宋体" w:cs="宋体"/>
          <w:b/>
          <w:bCs/>
          <w:color w:val="auto"/>
          <w:sz w:val="36"/>
          <w:szCs w:val="36"/>
          <w:highlight w:val="none"/>
        </w:rPr>
      </w:pPr>
    </w:p>
    <w:p w14:paraId="52D110E0">
      <w:pPr>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 xml:space="preserve">目  录 </w:t>
      </w:r>
    </w:p>
    <w:p w14:paraId="3981397E">
      <w:pPr>
        <w:pStyle w:val="102"/>
        <w:ind w:firstLine="640"/>
        <w:rPr>
          <w:rFonts w:hint="eastAsia" w:ascii="宋体" w:hAnsi="宋体" w:eastAsia="宋体" w:cs="宋体"/>
          <w:color w:val="auto"/>
          <w:highlight w:val="none"/>
        </w:rPr>
      </w:pPr>
    </w:p>
    <w:p w14:paraId="2D8761A1">
      <w:pPr>
        <w:pStyle w:val="102"/>
        <w:ind w:firstLine="640"/>
        <w:rPr>
          <w:rFonts w:hint="eastAsia" w:ascii="宋体" w:hAnsi="宋体" w:eastAsia="宋体" w:cs="宋体"/>
          <w:color w:val="auto"/>
          <w:highlight w:val="none"/>
        </w:rPr>
      </w:pPr>
    </w:p>
    <w:p w14:paraId="3DB92293">
      <w:pPr>
        <w:pStyle w:val="358"/>
        <w:tabs>
          <w:tab w:val="right" w:leader="dot" w:pos="9752"/>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p>
    <w:p w14:paraId="02702704">
      <w:pPr>
        <w:pStyle w:val="358"/>
        <w:tabs>
          <w:tab w:val="right" w:leader="dot" w:pos="9752"/>
        </w:tabs>
        <w:spacing w:line="72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"_Toc13948" </w:instrText>
      </w:r>
      <w:r>
        <w:rPr>
          <w:color w:val="auto"/>
          <w:highlight w:val="none"/>
        </w:rPr>
        <w:fldChar w:fldCharType="separate"/>
      </w:r>
      <w:r>
        <w:rPr>
          <w:rFonts w:hint="eastAsia" w:ascii="宋体" w:hAnsi="宋体" w:cs="宋体"/>
          <w:b/>
          <w:bCs/>
          <w:color w:val="auto"/>
          <w:sz w:val="24"/>
          <w:szCs w:val="24"/>
          <w:highlight w:val="none"/>
        </w:rPr>
        <w:t>第一章 公开招标公告</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_Toc13948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3956E1E">
      <w:pPr>
        <w:pStyle w:val="358"/>
        <w:tabs>
          <w:tab w:val="right" w:leader="dot" w:pos="9752"/>
        </w:tabs>
        <w:spacing w:line="72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"_Toc20521" </w:instrText>
      </w:r>
      <w:r>
        <w:rPr>
          <w:color w:val="auto"/>
          <w:highlight w:val="none"/>
        </w:rPr>
        <w:fldChar w:fldCharType="separate"/>
      </w:r>
      <w:r>
        <w:rPr>
          <w:rFonts w:hint="eastAsia" w:ascii="宋体" w:hAnsi="宋体" w:cs="宋体"/>
          <w:b/>
          <w:bCs/>
          <w:color w:val="auto"/>
          <w:sz w:val="24"/>
          <w:szCs w:val="24"/>
          <w:highlight w:val="none"/>
        </w:rPr>
        <w:t>第二章 投标人须知</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_Toc20521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6AE2814">
      <w:pPr>
        <w:pStyle w:val="358"/>
        <w:tabs>
          <w:tab w:val="right" w:leader="dot" w:pos="9752"/>
        </w:tabs>
        <w:spacing w:line="72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"_Toc19269" </w:instrText>
      </w:r>
      <w:r>
        <w:rPr>
          <w:color w:val="auto"/>
          <w:highlight w:val="none"/>
        </w:rPr>
        <w:fldChar w:fldCharType="separate"/>
      </w:r>
      <w:r>
        <w:rPr>
          <w:rFonts w:hint="eastAsia" w:ascii="宋体" w:hAnsi="宋体" w:cs="宋体"/>
          <w:b/>
          <w:bCs/>
          <w:color w:val="auto"/>
          <w:sz w:val="24"/>
          <w:szCs w:val="48"/>
          <w:highlight w:val="none"/>
        </w:rPr>
        <w:t>第三章 采购需求</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_Toc19269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25</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52445411">
      <w:pPr>
        <w:pStyle w:val="358"/>
        <w:tabs>
          <w:tab w:val="right" w:leader="dot" w:pos="9752"/>
        </w:tabs>
        <w:spacing w:line="72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"_Toc5285" </w:instrText>
      </w:r>
      <w:r>
        <w:rPr>
          <w:color w:val="auto"/>
          <w:highlight w:val="none"/>
        </w:rPr>
        <w:fldChar w:fldCharType="separate"/>
      </w:r>
      <w:r>
        <w:rPr>
          <w:rFonts w:hint="eastAsia" w:ascii="宋体" w:hAnsi="宋体" w:cs="宋体"/>
          <w:b/>
          <w:bCs/>
          <w:color w:val="auto"/>
          <w:sz w:val="24"/>
          <w:szCs w:val="44"/>
          <w:highlight w:val="none"/>
        </w:rPr>
        <w:t>第四章 采购合同</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_Toc5285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34</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2259F0FC">
      <w:pPr>
        <w:pStyle w:val="358"/>
        <w:tabs>
          <w:tab w:val="right" w:leader="dot" w:pos="9752"/>
        </w:tabs>
        <w:spacing w:line="720" w:lineRule="auto"/>
        <w:rPr>
          <w:rFonts w:hint="eastAsia" w:ascii="宋体" w:hAnsi="宋体" w:cs="宋体"/>
          <w:b/>
          <w:bCs/>
          <w:color w:val="auto"/>
          <w:sz w:val="24"/>
          <w:szCs w:val="24"/>
          <w:highlight w:val="none"/>
        </w:rPr>
      </w:pPr>
      <w:r>
        <w:rPr>
          <w:color w:val="auto"/>
          <w:highlight w:val="none"/>
        </w:rPr>
        <w:fldChar w:fldCharType="begin"/>
      </w:r>
      <w:r>
        <w:rPr>
          <w:color w:val="auto"/>
          <w:highlight w:val="none"/>
        </w:rPr>
        <w:instrText xml:space="preserve"> HYPERLINK \l "_Toc13609" </w:instrText>
      </w:r>
      <w:r>
        <w:rPr>
          <w:color w:val="auto"/>
          <w:highlight w:val="none"/>
        </w:rPr>
        <w:fldChar w:fldCharType="separate"/>
      </w:r>
      <w:r>
        <w:rPr>
          <w:rFonts w:hint="eastAsia" w:ascii="宋体" w:hAnsi="宋体" w:cs="宋体"/>
          <w:b/>
          <w:bCs/>
          <w:color w:val="auto"/>
          <w:sz w:val="24"/>
          <w:szCs w:val="44"/>
          <w:highlight w:val="none"/>
        </w:rPr>
        <w:t>第五章 投标相关文件格式</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_Toc13609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41</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F7EC118">
      <w:pPr>
        <w:pStyle w:val="358"/>
        <w:tabs>
          <w:tab w:val="right" w:leader="dot" w:pos="9752"/>
        </w:tabs>
        <w:spacing w:line="72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"_Toc16870" </w:instrText>
      </w:r>
      <w:r>
        <w:rPr>
          <w:color w:val="auto"/>
          <w:highlight w:val="none"/>
        </w:rPr>
        <w:fldChar w:fldCharType="separate"/>
      </w:r>
      <w:r>
        <w:rPr>
          <w:rFonts w:hint="eastAsia" w:ascii="宋体" w:hAnsi="宋体" w:cs="宋体"/>
          <w:b/>
          <w:bCs/>
          <w:color w:val="auto"/>
          <w:sz w:val="24"/>
          <w:szCs w:val="44"/>
          <w:highlight w:val="none"/>
        </w:rPr>
        <w:t>第六章 评标办法和细则（综合评分法）</w:t>
      </w:r>
      <w:r>
        <w:rPr>
          <w:rFonts w:hint="eastAsia" w:ascii="宋体" w:hAnsi="宋体" w:cs="宋体"/>
          <w:b/>
          <w:bCs/>
          <w:color w:val="auto"/>
          <w:sz w:val="24"/>
          <w:szCs w:val="24"/>
          <w:highlight w:val="none"/>
        </w:rPr>
        <w:tab/>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PAGEREF _Toc16870 \h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67</w:t>
      </w:r>
      <w:r>
        <w:rPr>
          <w:rFonts w:hint="eastAsia" w:ascii="宋体" w:hAnsi="宋体" w:cs="宋体"/>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CC2B5D8">
      <w:pPr>
        <w:pStyle w:val="358"/>
        <w:tabs>
          <w:tab w:val="right" w:leader="dot" w:pos="9752"/>
        </w:tabs>
        <w:rPr>
          <w:rFonts w:hint="eastAsia" w:ascii="宋体" w:hAnsi="宋体" w:cs="宋体"/>
          <w:color w:val="auto"/>
          <w:highlight w:val="none"/>
        </w:rPr>
      </w:pPr>
    </w:p>
    <w:p w14:paraId="04C710B0">
      <w:pPr>
        <w:rPr>
          <w:rFonts w:hint="eastAsia" w:ascii="宋体" w:hAnsi="宋体" w:cs="宋体"/>
          <w:color w:val="auto"/>
          <w:highlight w:val="none"/>
        </w:rPr>
      </w:pPr>
      <w:r>
        <w:rPr>
          <w:rFonts w:hint="eastAsia" w:ascii="宋体" w:hAnsi="宋体" w:cs="宋体"/>
          <w:color w:val="auto"/>
          <w:highlight w:val="none"/>
        </w:rPr>
        <w:fldChar w:fldCharType="end"/>
      </w:r>
    </w:p>
    <w:p w14:paraId="63D7F518">
      <w:pPr>
        <w:pStyle w:val="38"/>
        <w:tabs>
          <w:tab w:val="right" w:leader="dot" w:pos="9756"/>
          <w:tab w:val="clear" w:pos="1470"/>
          <w:tab w:val="clear" w:pos="9016"/>
        </w:tabs>
        <w:spacing w:line="840" w:lineRule="auto"/>
        <w:rPr>
          <w:rFonts w:hint="eastAsia" w:eastAsia="宋体" w:cs="宋体"/>
          <w:color w:val="auto"/>
          <w:highlight w:val="none"/>
        </w:rPr>
      </w:pPr>
      <w:r>
        <w:rPr>
          <w:rFonts w:hint="eastAsia" w:eastAsia="宋体" w:cs="宋体"/>
          <w:b w:val="0"/>
          <w:bCs/>
          <w:color w:val="auto"/>
          <w:sz w:val="28"/>
          <w:szCs w:val="28"/>
          <w:highlight w:val="none"/>
        </w:rPr>
        <w:fldChar w:fldCharType="begin"/>
      </w:r>
      <w:r>
        <w:rPr>
          <w:rFonts w:hint="eastAsia" w:eastAsia="宋体" w:cs="宋体"/>
          <w:b w:val="0"/>
          <w:bCs/>
          <w:color w:val="auto"/>
          <w:sz w:val="28"/>
          <w:szCs w:val="28"/>
          <w:highlight w:val="none"/>
        </w:rPr>
        <w:instrText xml:space="preserve">TOC \o "1-1" \h \u </w:instrText>
      </w:r>
      <w:r>
        <w:rPr>
          <w:rFonts w:hint="eastAsia" w:eastAsia="宋体" w:cs="宋体"/>
          <w:b w:val="0"/>
          <w:bCs/>
          <w:color w:val="auto"/>
          <w:sz w:val="28"/>
          <w:szCs w:val="28"/>
          <w:highlight w:val="none"/>
        </w:rPr>
        <w:fldChar w:fldCharType="separate"/>
      </w:r>
    </w:p>
    <w:p w14:paraId="6EE28CA8">
      <w:pPr>
        <w:pStyle w:val="38"/>
        <w:tabs>
          <w:tab w:val="right" w:leader="dot" w:pos="9756"/>
          <w:tab w:val="clear" w:pos="1470"/>
          <w:tab w:val="clear" w:pos="9016"/>
        </w:tabs>
        <w:spacing w:line="840" w:lineRule="auto"/>
        <w:ind w:firstLine="0"/>
        <w:rPr>
          <w:rFonts w:hint="eastAsia" w:eastAsia="宋体" w:cs="宋体"/>
          <w:b w:val="0"/>
          <w:bCs/>
          <w:color w:val="auto"/>
          <w:sz w:val="28"/>
          <w:szCs w:val="28"/>
          <w:highlight w:val="none"/>
        </w:rPr>
      </w:pPr>
      <w:r>
        <w:rPr>
          <w:rFonts w:hint="eastAsia" w:eastAsia="宋体" w:cs="宋体"/>
          <w:bCs/>
          <w:color w:val="auto"/>
          <w:szCs w:val="28"/>
          <w:highlight w:val="none"/>
        </w:rPr>
        <w:fldChar w:fldCharType="end"/>
      </w:r>
    </w:p>
    <w:p w14:paraId="043AFB4D">
      <w:pPr>
        <w:pStyle w:val="23"/>
        <w:spacing w:line="720" w:lineRule="auto"/>
        <w:rPr>
          <w:rFonts w:hint="eastAsia" w:ascii="宋体" w:hAnsi="宋体" w:cs="宋体"/>
          <w:bCs/>
          <w:color w:val="auto"/>
          <w:szCs w:val="28"/>
          <w:highlight w:val="none"/>
        </w:rPr>
      </w:pPr>
    </w:p>
    <w:p w14:paraId="65C76C99">
      <w:pPr>
        <w:pStyle w:val="35"/>
        <w:rPr>
          <w:rFonts w:hint="eastAsia" w:ascii="宋体" w:hAnsi="宋体" w:cs="宋体"/>
          <w:bCs/>
          <w:color w:val="auto"/>
          <w:szCs w:val="28"/>
          <w:highlight w:val="none"/>
        </w:rPr>
      </w:pPr>
    </w:p>
    <w:p w14:paraId="2E9E0931">
      <w:pPr>
        <w:pStyle w:val="35"/>
        <w:rPr>
          <w:rFonts w:hint="eastAsia" w:ascii="宋体" w:hAnsi="宋体" w:cs="宋体"/>
          <w:bCs/>
          <w:color w:val="auto"/>
          <w:szCs w:val="28"/>
          <w:highlight w:val="none"/>
        </w:rPr>
      </w:pPr>
    </w:p>
    <w:p w14:paraId="7FD36DF2">
      <w:pPr>
        <w:rPr>
          <w:rFonts w:hint="eastAsia" w:ascii="宋体" w:hAnsi="宋体" w:cs="宋体"/>
          <w:bCs/>
          <w:color w:val="auto"/>
          <w:szCs w:val="32"/>
          <w:highlight w:val="none"/>
        </w:rPr>
      </w:pPr>
    </w:p>
    <w:p w14:paraId="6D2DD240">
      <w:pPr>
        <w:pStyle w:val="102"/>
        <w:ind w:firstLine="640"/>
        <w:rPr>
          <w:rFonts w:hint="eastAsia" w:ascii="宋体" w:hAnsi="宋体" w:eastAsia="宋体" w:cs="宋体"/>
          <w:color w:val="auto"/>
          <w:highlight w:val="none"/>
        </w:rPr>
      </w:pPr>
    </w:p>
    <w:p w14:paraId="11E7CC7A">
      <w:pPr>
        <w:pStyle w:val="35"/>
        <w:rPr>
          <w:rFonts w:hint="eastAsia" w:ascii="宋体" w:hAnsi="宋体" w:cs="宋体"/>
          <w:bCs/>
          <w:color w:val="auto"/>
          <w:szCs w:val="32"/>
          <w:highlight w:val="none"/>
        </w:rPr>
      </w:pPr>
    </w:p>
    <w:p w14:paraId="049C151A">
      <w:pPr>
        <w:pStyle w:val="28"/>
        <w:numPr>
          <w:ilvl w:val="0"/>
          <w:numId w:val="3"/>
        </w:numPr>
        <w:tabs>
          <w:tab w:val="left" w:pos="2740"/>
        </w:tabs>
        <w:ind w:leftChars="0" w:firstLine="851" w:firstLineChars="265"/>
        <w:outlineLvl w:val="0"/>
        <w:rPr>
          <w:rFonts w:hint="eastAsia" w:ascii="宋体" w:hAnsi="宋体" w:eastAsia="宋体" w:cs="宋体"/>
          <w:b/>
          <w:bCs/>
          <w:color w:val="auto"/>
          <w:sz w:val="32"/>
          <w:highlight w:val="none"/>
        </w:rPr>
      </w:pPr>
      <w:bookmarkStart w:id="61" w:name="_Toc55212776"/>
      <w:r>
        <w:rPr>
          <w:rFonts w:hint="eastAsia" w:ascii="宋体" w:hAnsi="宋体" w:eastAsia="宋体" w:cs="宋体"/>
          <w:b/>
          <w:bCs/>
          <w:color w:val="auto"/>
          <w:sz w:val="32"/>
          <w:highlight w:val="none"/>
        </w:rPr>
        <w:t xml:space="preserve"> </w:t>
      </w:r>
      <w:bookmarkStart w:id="62" w:name="_Toc19084"/>
      <w:bookmarkStart w:id="63" w:name="_Toc18227"/>
      <w:bookmarkStart w:id="64" w:name="_Toc13948"/>
      <w:r>
        <w:rPr>
          <w:rFonts w:hint="eastAsia" w:ascii="宋体" w:hAnsi="宋体" w:eastAsia="宋体" w:cs="宋体"/>
          <w:b/>
          <w:bCs/>
          <w:color w:val="auto"/>
          <w:sz w:val="32"/>
          <w:highlight w:val="none"/>
        </w:rPr>
        <w:t>公开招标公告</w:t>
      </w:r>
      <w:bookmarkEnd w:id="61"/>
      <w:bookmarkEnd w:id="62"/>
      <w:bookmarkEnd w:id="63"/>
      <w:bookmarkEnd w:id="64"/>
    </w:p>
    <w:p w14:paraId="72E2436F">
      <w:pPr>
        <w:rPr>
          <w:rFonts w:hint="eastAsia" w:ascii="宋体" w:hAnsi="宋体" w:cs="宋体"/>
          <w:color w:val="auto"/>
          <w:highlight w:val="none"/>
        </w:rPr>
      </w:pPr>
    </w:p>
    <w:p w14:paraId="6D41F3FB">
      <w:pPr>
        <w:pBdr>
          <w:top w:val="single" w:color="auto" w:sz="4" w:space="0"/>
          <w:left w:val="single" w:color="auto" w:sz="4" w:space="4"/>
          <w:bottom w:val="single" w:color="auto" w:sz="4" w:space="1"/>
          <w:right w:val="single" w:color="auto" w:sz="4" w:space="10"/>
        </w:pBdr>
        <w:spacing w:line="480" w:lineRule="exact"/>
        <w:ind w:right="42" w:rightChars="20" w:firstLine="422" w:firstLineChars="200"/>
        <w:rPr>
          <w:rFonts w:hint="eastAsia" w:ascii="宋体" w:hAnsi="宋体" w:cs="宋体"/>
          <w:b/>
          <w:bCs/>
          <w:color w:val="auto"/>
          <w:szCs w:val="21"/>
          <w:highlight w:val="none"/>
        </w:rPr>
      </w:pPr>
      <w:bookmarkStart w:id="65" w:name="OLE_LINK4"/>
      <w:r>
        <w:rPr>
          <w:rFonts w:hint="eastAsia" w:ascii="宋体" w:hAnsi="宋体" w:cs="宋体"/>
          <w:b/>
          <w:bCs/>
          <w:color w:val="auto"/>
          <w:szCs w:val="21"/>
          <w:highlight w:val="none"/>
        </w:rPr>
        <w:t>项目概况</w:t>
      </w:r>
    </w:p>
    <w:p w14:paraId="1639CB5D">
      <w:pPr>
        <w:pBdr>
          <w:top w:val="single" w:color="auto" w:sz="4" w:space="0"/>
          <w:left w:val="single" w:color="auto" w:sz="4" w:space="4"/>
          <w:bottom w:val="single" w:color="auto" w:sz="4" w:space="1"/>
          <w:right w:val="single" w:color="auto" w:sz="4" w:space="10"/>
        </w:pBdr>
        <w:spacing w:line="44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 xml:space="preserve"> (丽水市新污染物试点监测项目)</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（浙江政府采购网（</w:t>
      </w:r>
      <w:r>
        <w:rPr>
          <w:color w:val="auto"/>
          <w:highlight w:val="none"/>
        </w:rPr>
        <w:fldChar w:fldCharType="begin"/>
      </w:r>
      <w:r>
        <w:rPr>
          <w:color w:val="auto"/>
          <w:highlight w:val="none"/>
        </w:rPr>
        <w:instrText xml:space="preserve"> HYPERLINK "http://zfcg.czt.zj.gov.cn/）获取采购文件，并于2020年07月" </w:instrText>
      </w:r>
      <w:r>
        <w:rPr>
          <w:color w:val="auto"/>
          <w:highlight w:val="none"/>
        </w:rPr>
        <w:fldChar w:fldCharType="separate"/>
      </w:r>
      <w:r>
        <w:rPr>
          <w:rStyle w:val="64"/>
          <w:rFonts w:hint="default" w:ascii="宋体" w:hAnsi="宋体" w:eastAsia="宋体" w:cs="宋体"/>
          <w:bCs/>
          <w:color w:val="auto"/>
          <w:szCs w:val="21"/>
          <w:highlight w:val="none"/>
        </w:rPr>
        <w:t>https://zfcg.czt.zj.gov.cn/）获取（下载）招标文件，并于2024年</w:t>
      </w:r>
      <w:r>
        <w:rPr>
          <w:rStyle w:val="64"/>
          <w:rFonts w:hint="eastAsia" w:ascii="宋体" w:hAnsi="宋体" w:cs="宋体"/>
          <w:bCs/>
          <w:color w:val="auto"/>
          <w:szCs w:val="21"/>
          <w:highlight w:val="none"/>
          <w:lang w:val="en-US" w:eastAsia="zh-CN"/>
        </w:rPr>
        <w:t>9</w:t>
      </w:r>
      <w:r>
        <w:rPr>
          <w:rStyle w:val="64"/>
          <w:rFonts w:hint="default" w:ascii="宋体" w:hAnsi="宋体" w:eastAsia="宋体" w:cs="宋体"/>
          <w:bCs/>
          <w:color w:val="auto"/>
          <w:szCs w:val="21"/>
          <w:highlight w:val="none"/>
        </w:rPr>
        <w:t>月</w:t>
      </w:r>
      <w:r>
        <w:rPr>
          <w:rStyle w:val="64"/>
          <w:rFonts w:hint="default" w:ascii="宋体" w:hAnsi="宋体" w:eastAsia="宋体" w:cs="宋体"/>
          <w:bCs/>
          <w:color w:val="auto"/>
          <w:szCs w:val="21"/>
          <w:highlight w:val="none"/>
        </w:rPr>
        <w:fldChar w:fldCharType="end"/>
      </w:r>
      <w:r>
        <w:rPr>
          <w:rFonts w:hint="eastAsia" w:ascii="宋体" w:hAnsi="宋体" w:cs="宋体"/>
          <w:bCs/>
          <w:color w:val="auto"/>
          <w:szCs w:val="21"/>
          <w:highlight w:val="none"/>
          <w:u w:val="single"/>
          <w:lang w:val="en-US" w:eastAsia="zh-CN"/>
        </w:rPr>
        <w:t>6</w:t>
      </w:r>
      <w:r>
        <w:rPr>
          <w:rStyle w:val="64"/>
          <w:rFonts w:hint="default" w:ascii="宋体" w:hAnsi="宋体" w:eastAsia="宋体" w:cs="宋体"/>
          <w:bCs/>
          <w:color w:val="auto"/>
          <w:szCs w:val="21"/>
          <w:highlight w:val="none"/>
        </w:rPr>
        <w:t>日9点00分</w:t>
      </w:r>
      <w:r>
        <w:rPr>
          <w:rFonts w:hint="eastAsia" w:ascii="宋体" w:hAnsi="宋体" w:cs="宋体"/>
          <w:bCs/>
          <w:color w:val="auto"/>
          <w:szCs w:val="21"/>
          <w:highlight w:val="none"/>
        </w:rPr>
        <w:t>（北京时间）前提交(上传)投标文件</w:t>
      </w:r>
      <w:r>
        <w:rPr>
          <w:rFonts w:hint="eastAsia" w:ascii="宋体" w:hAnsi="宋体" w:cs="宋体"/>
          <w:color w:val="auto"/>
          <w:szCs w:val="21"/>
          <w:highlight w:val="none"/>
        </w:rPr>
        <w:t>，</w:t>
      </w:r>
      <w:r>
        <w:rPr>
          <w:rStyle w:val="57"/>
          <w:rFonts w:hint="eastAsia" w:ascii="宋体" w:hAnsi="宋体" w:cs="宋体"/>
          <w:color w:val="auto"/>
          <w:szCs w:val="21"/>
          <w:highlight w:val="none"/>
        </w:rPr>
        <w:t>本项目通过政府采购云平台（网址：https://www.zcygov.cn/）实施电子交易。</w:t>
      </w:r>
    </w:p>
    <w:p w14:paraId="423B66E8">
      <w:pPr>
        <w:numPr>
          <w:ilvl w:val="0"/>
          <w:numId w:val="4"/>
        </w:numPr>
        <w:autoSpaceDE w:val="0"/>
        <w:autoSpaceDN w:val="0"/>
        <w:spacing w:line="360" w:lineRule="auto"/>
        <w:ind w:left="1409" w:leftChars="171" w:hanging="1050" w:hangingChars="500"/>
        <w:jc w:val="left"/>
        <w:textAlignment w:val="bottom"/>
        <w:rPr>
          <w:rFonts w:hint="eastAsia" w:ascii="宋体" w:hAnsi="宋体" w:cs="宋体"/>
          <w:color w:val="auto"/>
          <w:szCs w:val="21"/>
          <w:highlight w:val="none"/>
        </w:rPr>
      </w:pPr>
      <w:bookmarkStart w:id="66" w:name="_Toc45640129"/>
      <w:bookmarkStart w:id="67" w:name="_Toc51317767"/>
      <w:bookmarkStart w:id="68" w:name="_Toc45525443"/>
      <w:bookmarkStart w:id="69" w:name="_Toc17952"/>
      <w:bookmarkStart w:id="70" w:name="_Toc35393629"/>
      <w:bookmarkStart w:id="71" w:name="_Toc28359012"/>
      <w:bookmarkStart w:id="72" w:name="_Toc35393798"/>
      <w:bookmarkStart w:id="73" w:name="_Toc28359089"/>
      <w:bookmarkStart w:id="74" w:name="_Toc45525492"/>
      <w:r>
        <w:rPr>
          <w:rFonts w:hint="eastAsia" w:ascii="宋体" w:hAnsi="宋体" w:cs="宋体"/>
          <w:color w:val="auto"/>
          <w:szCs w:val="21"/>
          <w:highlight w:val="none"/>
        </w:rPr>
        <w:t>项目基本情况</w:t>
      </w:r>
      <w:bookmarkEnd w:id="66"/>
      <w:bookmarkEnd w:id="67"/>
      <w:bookmarkEnd w:id="68"/>
      <w:bookmarkEnd w:id="69"/>
      <w:bookmarkEnd w:id="70"/>
      <w:bookmarkEnd w:id="71"/>
      <w:bookmarkEnd w:id="72"/>
      <w:bookmarkEnd w:id="73"/>
      <w:bookmarkEnd w:id="74"/>
    </w:p>
    <w:p w14:paraId="7BE7ADFD">
      <w:pPr>
        <w:autoSpaceDE w:val="0"/>
        <w:autoSpaceDN w:val="0"/>
        <w:spacing w:line="360" w:lineRule="auto"/>
        <w:ind w:left="-691" w:leftChars="-329" w:firstLine="1050" w:firstLineChars="500"/>
        <w:jc w:val="left"/>
        <w:textAlignment w:val="bottom"/>
        <w:rPr>
          <w:rFonts w:hint="eastAsia" w:ascii="宋体" w:hAnsi="宋体" w:cs="宋体"/>
          <w:color w:val="auto"/>
          <w:szCs w:val="21"/>
          <w:highlight w:val="none"/>
        </w:rPr>
      </w:pPr>
      <w:r>
        <w:rPr>
          <w:rFonts w:hint="eastAsia" w:ascii="宋体" w:hAnsi="宋体" w:cs="宋体"/>
          <w:color w:val="auto"/>
          <w:szCs w:val="21"/>
          <w:highlight w:val="none"/>
        </w:rPr>
        <w:t>1.项目编号：浙大采招E2024201号</w:t>
      </w:r>
    </w:p>
    <w:p w14:paraId="020ACFB4">
      <w:pPr>
        <w:snapToGrid w:val="0"/>
        <w:spacing w:line="480" w:lineRule="exact"/>
        <w:ind w:right="42" w:rightChars="20"/>
        <w:rPr>
          <w:rFonts w:hint="eastAsia" w:ascii="宋体" w:hAnsi="宋体" w:cs="宋体"/>
          <w:color w:val="auto"/>
          <w:szCs w:val="21"/>
          <w:highlight w:val="none"/>
        </w:rPr>
      </w:pPr>
      <w:r>
        <w:rPr>
          <w:rFonts w:hint="eastAsia" w:ascii="宋体" w:hAnsi="宋体" w:cs="宋体"/>
          <w:color w:val="auto"/>
          <w:szCs w:val="21"/>
          <w:highlight w:val="none"/>
        </w:rPr>
        <w:t xml:space="preserve">    2.项目名称：</w:t>
      </w:r>
      <w:r>
        <w:rPr>
          <w:color w:val="auto"/>
          <w:highlight w:val="none"/>
        </w:rPr>
        <w:fldChar w:fldCharType="begin"/>
      </w:r>
      <w:r>
        <w:rPr>
          <w:color w:val="auto"/>
          <w:highlight w:val="none"/>
        </w:rPr>
        <w:instrText xml:space="preserve">HYPERLINK "https://bidding.zcygov.cn/xmgl/projectQuery/queryDetail?projectUuid=5c859e260a927c18" \l "/purchaseFileMake/_blank" \t "https://www.zcygov.cn/bidding-entrust/"</w:instrText>
      </w:r>
      <w:r>
        <w:rPr>
          <w:color w:val="auto"/>
          <w:highlight w:val="none"/>
        </w:rPr>
        <w:fldChar w:fldCharType="separate"/>
      </w:r>
      <w:r>
        <w:rPr>
          <w:rFonts w:hint="eastAsia" w:ascii="宋体" w:hAnsi="宋体" w:cs="宋体"/>
          <w:color w:val="auto"/>
          <w:szCs w:val="21"/>
          <w:highlight w:val="none"/>
        </w:rPr>
        <w:t xml:space="preserve">丽水市新污染物试点监测项目 </w:t>
      </w:r>
      <w:r>
        <w:rPr>
          <w:rFonts w:ascii="宋体" w:hAnsi="宋体" w:cs="宋体"/>
          <w:color w:val="auto"/>
          <w:szCs w:val="21"/>
          <w:highlight w:val="none"/>
        </w:rPr>
        <w:fldChar w:fldCharType="end"/>
      </w:r>
    </w:p>
    <w:p w14:paraId="73CEEB8D">
      <w:pPr>
        <w:snapToGrid w:val="0"/>
        <w:spacing w:line="4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3.预算金额（元）：200000</w:t>
      </w:r>
    </w:p>
    <w:p w14:paraId="642F8525">
      <w:pPr>
        <w:snapToGrid w:val="0"/>
        <w:spacing w:line="4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4.最高限价（元）：200000</w:t>
      </w:r>
    </w:p>
    <w:p w14:paraId="0E13D634">
      <w:pPr>
        <w:spacing w:line="4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5.采购需求：</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496"/>
        <w:gridCol w:w="941"/>
        <w:gridCol w:w="772"/>
        <w:gridCol w:w="2175"/>
        <w:gridCol w:w="1869"/>
      </w:tblGrid>
      <w:tr w14:paraId="2AE41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A0D42BD">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3496" w:type="dxa"/>
            <w:tcBorders>
              <w:top w:val="single" w:color="auto" w:sz="4" w:space="0"/>
              <w:left w:val="single" w:color="auto" w:sz="4" w:space="0"/>
              <w:bottom w:val="single" w:color="auto" w:sz="4" w:space="0"/>
              <w:right w:val="single" w:color="auto" w:sz="4" w:space="0"/>
            </w:tcBorders>
            <w:vAlign w:val="center"/>
          </w:tcPr>
          <w:p w14:paraId="59C608D4">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标项名称</w:t>
            </w:r>
          </w:p>
        </w:tc>
        <w:tc>
          <w:tcPr>
            <w:tcW w:w="941" w:type="dxa"/>
            <w:tcBorders>
              <w:top w:val="single" w:color="auto" w:sz="4" w:space="0"/>
              <w:left w:val="single" w:color="auto" w:sz="4" w:space="0"/>
              <w:bottom w:val="single" w:color="auto" w:sz="4" w:space="0"/>
              <w:right w:val="single" w:color="auto" w:sz="4" w:space="0"/>
            </w:tcBorders>
            <w:vAlign w:val="center"/>
          </w:tcPr>
          <w:p w14:paraId="1D4D8163">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数量</w:t>
            </w:r>
          </w:p>
        </w:tc>
        <w:tc>
          <w:tcPr>
            <w:tcW w:w="772" w:type="dxa"/>
            <w:tcBorders>
              <w:top w:val="single" w:color="auto" w:sz="4" w:space="0"/>
              <w:left w:val="single" w:color="auto" w:sz="4" w:space="0"/>
              <w:bottom w:val="single" w:color="auto" w:sz="4" w:space="0"/>
              <w:right w:val="single" w:color="auto" w:sz="4" w:space="0"/>
            </w:tcBorders>
            <w:vAlign w:val="center"/>
          </w:tcPr>
          <w:p w14:paraId="41697AAC">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2175" w:type="dxa"/>
            <w:tcBorders>
              <w:top w:val="single" w:color="auto" w:sz="4" w:space="0"/>
              <w:left w:val="single" w:color="auto" w:sz="4" w:space="0"/>
              <w:bottom w:val="single" w:color="auto" w:sz="4" w:space="0"/>
              <w:right w:val="single" w:color="auto" w:sz="4" w:space="0"/>
            </w:tcBorders>
            <w:vAlign w:val="center"/>
          </w:tcPr>
          <w:p w14:paraId="0693EBCF">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简要规格描述</w:t>
            </w:r>
          </w:p>
        </w:tc>
        <w:tc>
          <w:tcPr>
            <w:tcW w:w="1869" w:type="dxa"/>
            <w:tcBorders>
              <w:top w:val="single" w:color="auto" w:sz="4" w:space="0"/>
              <w:left w:val="single" w:color="auto" w:sz="4" w:space="0"/>
              <w:bottom w:val="single" w:color="auto" w:sz="4" w:space="0"/>
              <w:right w:val="single" w:color="auto" w:sz="4" w:space="0"/>
            </w:tcBorders>
            <w:vAlign w:val="center"/>
          </w:tcPr>
          <w:p w14:paraId="73CA1713">
            <w:pPr>
              <w:snapToGrid w:val="0"/>
              <w:spacing w:line="360" w:lineRule="auto"/>
              <w:ind w:right="42" w:rightChars="20"/>
              <w:jc w:val="center"/>
              <w:rPr>
                <w:rFonts w:hint="eastAsia" w:ascii="宋体" w:hAnsi="宋体" w:cs="宋体"/>
                <w:b/>
                <w:color w:val="auto"/>
                <w:szCs w:val="21"/>
                <w:highlight w:val="none"/>
              </w:rPr>
            </w:pPr>
            <w:r>
              <w:rPr>
                <w:rFonts w:hint="eastAsia" w:ascii="宋体" w:hAnsi="宋体" w:cs="宋体"/>
                <w:b/>
                <w:color w:val="auto"/>
                <w:szCs w:val="21"/>
                <w:highlight w:val="none"/>
              </w:rPr>
              <w:t>备注</w:t>
            </w:r>
          </w:p>
        </w:tc>
      </w:tr>
      <w:tr w14:paraId="1AF1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DB8DBC">
            <w:pPr>
              <w:snapToGrid w:val="0"/>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496" w:type="dxa"/>
            <w:tcBorders>
              <w:top w:val="single" w:color="auto" w:sz="4" w:space="0"/>
              <w:left w:val="single" w:color="auto" w:sz="4" w:space="0"/>
              <w:bottom w:val="single" w:color="auto" w:sz="4" w:space="0"/>
              <w:right w:val="single" w:color="auto" w:sz="4" w:space="0"/>
            </w:tcBorders>
            <w:vAlign w:val="center"/>
          </w:tcPr>
          <w:p w14:paraId="00D9181A">
            <w:pPr>
              <w:autoSpaceDE w:val="0"/>
              <w:autoSpaceDN w:val="0"/>
              <w:spacing w:line="360" w:lineRule="auto"/>
              <w:jc w:val="center"/>
              <w:textAlignment w:val="bottom"/>
              <w:rPr>
                <w:rFonts w:hint="eastAsia" w:ascii="宋体" w:hAnsi="宋体" w:cs="宋体"/>
                <w:color w:val="auto"/>
                <w:szCs w:val="21"/>
                <w:highlight w:val="none"/>
              </w:rPr>
            </w:pPr>
            <w:r>
              <w:rPr>
                <w:rFonts w:hint="eastAsia" w:ascii="宋体" w:hAnsi="宋体" w:cs="宋体"/>
                <w:color w:val="auto"/>
                <w:szCs w:val="21"/>
                <w:highlight w:val="none"/>
              </w:rPr>
              <w:t>丽水市新污染物试点监测项目</w:t>
            </w:r>
          </w:p>
        </w:tc>
        <w:tc>
          <w:tcPr>
            <w:tcW w:w="941" w:type="dxa"/>
            <w:tcBorders>
              <w:top w:val="single" w:color="auto" w:sz="4" w:space="0"/>
              <w:left w:val="single" w:color="auto" w:sz="4" w:space="0"/>
              <w:bottom w:val="single" w:color="auto" w:sz="4" w:space="0"/>
              <w:right w:val="single" w:color="auto" w:sz="4" w:space="0"/>
            </w:tcBorders>
            <w:vAlign w:val="center"/>
          </w:tcPr>
          <w:p w14:paraId="237E56C4">
            <w:pPr>
              <w:snapToGrid w:val="0"/>
              <w:spacing w:line="360" w:lineRule="auto"/>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772" w:type="dxa"/>
            <w:tcBorders>
              <w:top w:val="single" w:color="auto" w:sz="4" w:space="0"/>
              <w:left w:val="single" w:color="auto" w:sz="4" w:space="0"/>
              <w:bottom w:val="single" w:color="auto" w:sz="4" w:space="0"/>
              <w:right w:val="single" w:color="auto" w:sz="4" w:space="0"/>
            </w:tcBorders>
            <w:vAlign w:val="center"/>
          </w:tcPr>
          <w:p w14:paraId="40D37552">
            <w:pPr>
              <w:snapToGrid w:val="0"/>
              <w:spacing w:line="360" w:lineRule="auto"/>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2175" w:type="dxa"/>
            <w:tcBorders>
              <w:top w:val="single" w:color="auto" w:sz="4" w:space="0"/>
              <w:left w:val="single" w:color="auto" w:sz="4" w:space="0"/>
              <w:bottom w:val="single" w:color="auto" w:sz="4" w:space="0"/>
              <w:right w:val="single" w:color="auto" w:sz="4" w:space="0"/>
            </w:tcBorders>
            <w:vAlign w:val="center"/>
          </w:tcPr>
          <w:p w14:paraId="0B48A126">
            <w:pPr>
              <w:pStyle w:val="48"/>
              <w:spacing w:line="360" w:lineRule="auto"/>
              <w:jc w:val="center"/>
              <w:rPr>
                <w:rFonts w:hint="eastAsia" w:cs="宋体"/>
                <w:color w:val="auto"/>
                <w:kern w:val="2"/>
                <w:sz w:val="21"/>
                <w:szCs w:val="21"/>
                <w:highlight w:val="none"/>
              </w:rPr>
            </w:pPr>
            <w:r>
              <w:rPr>
                <w:rFonts w:hint="eastAsia" w:cs="宋体"/>
                <w:color w:val="auto"/>
                <w:kern w:val="2"/>
                <w:sz w:val="21"/>
                <w:szCs w:val="21"/>
                <w:highlight w:val="none"/>
              </w:rPr>
              <w:t>具体详见</w:t>
            </w:r>
          </w:p>
          <w:p w14:paraId="7C5ADC35">
            <w:pPr>
              <w:pStyle w:val="48"/>
              <w:spacing w:line="360" w:lineRule="auto"/>
              <w:jc w:val="center"/>
              <w:rPr>
                <w:rFonts w:hint="eastAsia" w:cs="宋体"/>
                <w:color w:val="auto"/>
                <w:sz w:val="21"/>
                <w:szCs w:val="21"/>
                <w:highlight w:val="none"/>
              </w:rPr>
            </w:pPr>
            <w:r>
              <w:rPr>
                <w:rFonts w:hint="eastAsia" w:cs="宋体"/>
                <w:color w:val="auto"/>
                <w:kern w:val="2"/>
                <w:sz w:val="21"/>
                <w:szCs w:val="21"/>
                <w:highlight w:val="none"/>
              </w:rPr>
              <w:t>招标文件第三章</w:t>
            </w:r>
          </w:p>
        </w:tc>
        <w:tc>
          <w:tcPr>
            <w:tcW w:w="1869" w:type="dxa"/>
            <w:tcBorders>
              <w:top w:val="single" w:color="auto" w:sz="4" w:space="0"/>
              <w:left w:val="single" w:color="auto" w:sz="4" w:space="0"/>
              <w:bottom w:val="single" w:color="auto" w:sz="4" w:space="0"/>
              <w:right w:val="single" w:color="auto" w:sz="4" w:space="0"/>
            </w:tcBorders>
            <w:vAlign w:val="center"/>
          </w:tcPr>
          <w:p w14:paraId="44BEE04E">
            <w:pPr>
              <w:snapToGrid w:val="0"/>
              <w:spacing w:line="360" w:lineRule="auto"/>
              <w:ind w:right="42" w:rightChars="20"/>
              <w:rPr>
                <w:rFonts w:hint="eastAsia" w:ascii="宋体" w:hAnsi="宋体" w:cs="宋体"/>
                <w:color w:val="auto"/>
                <w:szCs w:val="21"/>
                <w:highlight w:val="none"/>
              </w:rPr>
            </w:pPr>
            <w:r>
              <w:rPr>
                <w:rFonts w:hint="eastAsia" w:ascii="宋体" w:hAnsi="宋体" w:cs="宋体"/>
                <w:color w:val="auto"/>
                <w:szCs w:val="21"/>
                <w:highlight w:val="none"/>
              </w:rPr>
              <w:t>标项1，</w:t>
            </w:r>
          </w:p>
          <w:p w14:paraId="69AFDE56">
            <w:pPr>
              <w:snapToGrid w:val="0"/>
              <w:spacing w:line="360" w:lineRule="auto"/>
              <w:ind w:right="42" w:rightChars="20"/>
              <w:rPr>
                <w:rFonts w:hint="eastAsia" w:ascii="宋体" w:hAnsi="宋体" w:cs="宋体"/>
                <w:color w:val="auto"/>
                <w:szCs w:val="21"/>
                <w:highlight w:val="none"/>
              </w:rPr>
            </w:pPr>
            <w:r>
              <w:rPr>
                <w:rFonts w:hint="eastAsia" w:ascii="宋体" w:hAnsi="宋体" w:cs="宋体"/>
                <w:color w:val="auto"/>
                <w:szCs w:val="21"/>
                <w:highlight w:val="none"/>
              </w:rPr>
              <w:t>项目属性：服务类</w:t>
            </w:r>
          </w:p>
        </w:tc>
      </w:tr>
    </w:tbl>
    <w:p w14:paraId="39F4487B">
      <w:pPr>
        <w:snapToGrid w:val="0"/>
        <w:spacing w:line="4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6.合同履行期限：自合同生效之日至合同全部权利义务履行完毕之日止，具体详见招标文件第三章。</w:t>
      </w:r>
    </w:p>
    <w:p w14:paraId="6B8D7671">
      <w:pPr>
        <w:snapToGrid w:val="0"/>
        <w:spacing w:line="480" w:lineRule="exact"/>
        <w:ind w:right="42" w:rightChars="20"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kern w:val="0"/>
          <w:szCs w:val="21"/>
          <w:highlight w:val="none"/>
        </w:rPr>
        <w:t>本项目（是）接受联合体投标。</w:t>
      </w:r>
    </w:p>
    <w:p w14:paraId="2D05AC23">
      <w:pPr>
        <w:pStyle w:val="4"/>
        <w:spacing w:line="480" w:lineRule="exact"/>
        <w:ind w:right="42" w:rightChars="20"/>
        <w:jc w:val="left"/>
        <w:rPr>
          <w:rFonts w:hint="eastAsia" w:ascii="宋体" w:hAnsi="宋体" w:eastAsia="宋体" w:cs="宋体"/>
          <w:color w:val="auto"/>
          <w:sz w:val="21"/>
          <w:szCs w:val="21"/>
          <w:highlight w:val="none"/>
        </w:rPr>
      </w:pPr>
      <w:bookmarkStart w:id="75" w:name="_Toc28359013"/>
      <w:bookmarkStart w:id="76" w:name="_Toc35393630"/>
      <w:bookmarkStart w:id="77" w:name="_Toc45525493"/>
      <w:bookmarkStart w:id="78" w:name="_Toc51317768"/>
      <w:bookmarkStart w:id="79" w:name="_Toc505"/>
      <w:bookmarkStart w:id="80" w:name="_Toc35393799"/>
      <w:bookmarkStart w:id="81" w:name="_Toc28359090"/>
      <w:bookmarkStart w:id="82" w:name="_Toc45640130"/>
      <w:bookmarkStart w:id="83" w:name="_Toc45525444"/>
      <w:r>
        <w:rPr>
          <w:rFonts w:hint="eastAsia" w:ascii="宋体" w:hAnsi="宋体" w:eastAsia="宋体" w:cs="宋体"/>
          <w:color w:val="auto"/>
          <w:sz w:val="21"/>
          <w:szCs w:val="21"/>
          <w:highlight w:val="none"/>
        </w:rPr>
        <w:t>二、申请人的资格要求</w:t>
      </w:r>
      <w:bookmarkEnd w:id="75"/>
      <w:bookmarkEnd w:id="76"/>
      <w:bookmarkEnd w:id="77"/>
      <w:bookmarkEnd w:id="78"/>
      <w:bookmarkEnd w:id="79"/>
      <w:bookmarkEnd w:id="80"/>
      <w:bookmarkEnd w:id="81"/>
      <w:bookmarkEnd w:id="82"/>
      <w:bookmarkEnd w:id="83"/>
      <w:r>
        <w:rPr>
          <w:rFonts w:hint="eastAsia" w:ascii="宋体" w:hAnsi="宋体" w:eastAsia="宋体" w:cs="宋体"/>
          <w:color w:val="auto"/>
          <w:sz w:val="21"/>
          <w:szCs w:val="21"/>
          <w:highlight w:val="none"/>
        </w:rPr>
        <w:t>（合格投标人资格要求）</w:t>
      </w:r>
    </w:p>
    <w:p w14:paraId="4DA98186">
      <w:pPr>
        <w:tabs>
          <w:tab w:val="left" w:pos="0"/>
        </w:tabs>
        <w:spacing w:line="440" w:lineRule="exact"/>
        <w:ind w:right="42" w:rightChars="20" w:firstLine="420" w:firstLineChars="200"/>
        <w:jc w:val="left"/>
        <w:rPr>
          <w:rFonts w:hint="eastAsia" w:ascii="宋体" w:hAnsi="宋体" w:cs="宋体"/>
          <w:color w:val="auto"/>
          <w:szCs w:val="21"/>
          <w:highlight w:val="none"/>
        </w:rPr>
      </w:pPr>
      <w:bookmarkStart w:id="84" w:name="_Toc28359014"/>
      <w:bookmarkStart w:id="85" w:name="_Toc28359091"/>
      <w:r>
        <w:rPr>
          <w:rFonts w:hint="eastAsia" w:ascii="宋体" w:hAnsi="宋体" w:cs="宋体"/>
          <w:color w:val="auto"/>
          <w:szCs w:val="21"/>
          <w:highlight w:val="none"/>
        </w:rPr>
        <w:t xml:space="preserve">1.基本资格要求：                                                                      </w:t>
      </w:r>
    </w:p>
    <w:p w14:paraId="7ADABE1A">
      <w:pPr>
        <w:tabs>
          <w:tab w:val="left" w:pos="0"/>
        </w:tabs>
        <w:spacing w:line="440" w:lineRule="exact"/>
        <w:ind w:right="42" w:rightChars="20" w:firstLine="420" w:firstLineChars="200"/>
        <w:jc w:val="left"/>
        <w:outlineLvl w:val="2"/>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34BBF623">
      <w:pPr>
        <w:tabs>
          <w:tab w:val="left" w:pos="0"/>
        </w:tabs>
        <w:spacing w:line="440" w:lineRule="exact"/>
        <w:ind w:right="42" w:rightChars="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（2）未被“信用中国”（www.creditchina.gov.cn)、中国政府采购网（www.ccgp.gov.cn）列入失信被执行人、重大税收违法案件当事人名单、政府采购严重违法失信行为记录名单。</w:t>
      </w:r>
    </w:p>
    <w:p w14:paraId="29DE7EF3">
      <w:pPr>
        <w:tabs>
          <w:tab w:val="left" w:pos="0"/>
        </w:tabs>
        <w:spacing w:line="440" w:lineRule="exact"/>
        <w:ind w:right="42" w:rightChars="20"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color w:val="auto"/>
          <w:kern w:val="0"/>
          <w:szCs w:val="21"/>
          <w:highlight w:val="none"/>
        </w:rPr>
        <w:t>无</w:t>
      </w:r>
      <w:r>
        <w:rPr>
          <w:rFonts w:hint="eastAsia" w:ascii="宋体" w:hAnsi="宋体" w:cs="宋体"/>
          <w:color w:val="auto"/>
          <w:szCs w:val="21"/>
          <w:highlight w:val="none"/>
        </w:rPr>
        <w:t>；</w:t>
      </w:r>
    </w:p>
    <w:p w14:paraId="57B8E8C6">
      <w:pPr>
        <w:tabs>
          <w:tab w:val="left" w:pos="0"/>
        </w:tabs>
        <w:spacing w:line="440" w:lineRule="exact"/>
        <w:ind w:right="42" w:rightChars="20"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3.特定资格条件：</w:t>
      </w:r>
    </w:p>
    <w:p w14:paraId="6BC6CC1E">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bookmarkStart w:id="86" w:name="_Toc35393631"/>
      <w:bookmarkStart w:id="87" w:name="_Toc51317769"/>
      <w:bookmarkStart w:id="88" w:name="_Toc45525445"/>
      <w:bookmarkStart w:id="89" w:name="_Toc45640131"/>
      <w:bookmarkStart w:id="90" w:name="_Toc45525494"/>
      <w:bookmarkStart w:id="91" w:name="_Toc35393800"/>
      <w:bookmarkStart w:id="92" w:name="_Toc22979"/>
      <w:r>
        <w:rPr>
          <w:rFonts w:hint="eastAsia" w:ascii="宋体" w:hAnsi="宋体" w:cs="宋体"/>
          <w:color w:val="auto"/>
          <w:szCs w:val="21"/>
          <w:highlight w:val="none"/>
        </w:rPr>
        <w:t>（1）单位负责人为同一人或者存在直接控股、管理关系的不同投标人，不得参加本项目同一合同项下的政府采购活动；</w:t>
      </w:r>
    </w:p>
    <w:p w14:paraId="44919315">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（2）为本项目提供整体设计、规范编制或者项目管理、监理、检测等服务的投标人不得参加本次采购活动；</w:t>
      </w:r>
    </w:p>
    <w:p w14:paraId="1FC473F5">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（3）公益一类事业单位、使用事业编制且由财政拨款保障的群团组织，不得参加本项目的政府采购活动。</w:t>
      </w:r>
    </w:p>
    <w:p w14:paraId="4EA143FD">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（4）接受联合体，联合体参加本项目政府采购应满足以下条件：</w:t>
      </w:r>
    </w:p>
    <w:p w14:paraId="1BBA0D6A">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①两个以上的自然人、法人或者其他组织可以组成一个联合体，以一个投标人的身份共同参加本项目政府采购活动，联合体在响应文件中提供联合体协议并明确分工；</w:t>
      </w:r>
    </w:p>
    <w:p w14:paraId="4BA16071">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②联合体主办方和成员单位均应具备资格要求1、2及特定资格要求第（1）、（2）、（3）项；</w:t>
      </w:r>
    </w:p>
    <w:p w14:paraId="08FDAD17">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③联合体中有同类资质的投标人按照联合体分工承担相同工作，按资质等级较低的投标人确定资质等级；</w:t>
      </w:r>
    </w:p>
    <w:p w14:paraId="06E5FD43">
      <w:pPr>
        <w:tabs>
          <w:tab w:val="left" w:pos="0"/>
        </w:tabs>
        <w:spacing w:line="440" w:lineRule="exact"/>
        <w:ind w:left="199" w:leftChars="95" w:right="42" w:rightChars="20" w:firstLine="233" w:firstLineChars="111"/>
        <w:jc w:val="left"/>
        <w:rPr>
          <w:rFonts w:hint="eastAsia" w:ascii="宋体" w:hAnsi="宋体" w:cs="宋体"/>
          <w:color w:val="auto"/>
          <w:szCs w:val="21"/>
          <w:highlight w:val="none"/>
        </w:rPr>
      </w:pPr>
      <w:r>
        <w:rPr>
          <w:rFonts w:hint="eastAsia" w:ascii="宋体" w:hAnsi="宋体" w:cs="宋体"/>
          <w:color w:val="auto"/>
          <w:szCs w:val="21"/>
          <w:highlight w:val="none"/>
        </w:rPr>
        <w:t>④联合体各方不得再单独参加或与其他投标人另外组成联合体参加本项目政府采购活动。</w:t>
      </w:r>
    </w:p>
    <w:p w14:paraId="4031A5C4">
      <w:pPr>
        <w:pStyle w:val="4"/>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三、获取招标文件</w:t>
      </w:r>
      <w:bookmarkEnd w:id="84"/>
      <w:bookmarkEnd w:id="85"/>
      <w:bookmarkEnd w:id="86"/>
      <w:bookmarkEnd w:id="87"/>
      <w:bookmarkEnd w:id="88"/>
      <w:bookmarkEnd w:id="89"/>
      <w:bookmarkEnd w:id="90"/>
      <w:bookmarkEnd w:id="91"/>
      <w:bookmarkEnd w:id="92"/>
    </w:p>
    <w:p w14:paraId="4BB13368">
      <w:pPr>
        <w:spacing w:line="480" w:lineRule="exact"/>
        <w:ind w:firstLine="422" w:firstLineChars="200"/>
        <w:outlineLvl w:val="2"/>
        <w:rPr>
          <w:rFonts w:hint="eastAsia" w:ascii="宋体" w:hAnsi="宋体" w:cs="宋体"/>
          <w:color w:val="auto"/>
          <w:kern w:val="0"/>
          <w:sz w:val="20"/>
          <w:szCs w:val="20"/>
          <w:highlight w:val="none"/>
        </w:rPr>
      </w:pPr>
      <w:bookmarkStart w:id="93" w:name="_Toc35393801"/>
      <w:bookmarkStart w:id="94" w:name="_Toc28359015"/>
      <w:bookmarkStart w:id="95" w:name="_Toc35393632"/>
      <w:bookmarkStart w:id="96" w:name="_Toc28359092"/>
      <w:r>
        <w:rPr>
          <w:rFonts w:hint="eastAsia" w:ascii="宋体" w:hAnsi="宋体" w:cs="宋体"/>
          <w:b/>
          <w:bCs/>
          <w:color w:val="auto"/>
          <w:kern w:val="0"/>
          <w:szCs w:val="21"/>
          <w:highlight w:val="none"/>
        </w:rPr>
        <w:t>1.时间：</w:t>
      </w:r>
      <w:r>
        <w:rPr>
          <w:rFonts w:hint="eastAsia" w:ascii="宋体" w:hAnsi="宋体" w:cs="宋体"/>
          <w:color w:val="auto"/>
          <w:sz w:val="22"/>
          <w:szCs w:val="22"/>
          <w:highlight w:val="none"/>
        </w:rPr>
        <w:t>发布公告之日至</w:t>
      </w:r>
      <w:r>
        <w:rPr>
          <w:rFonts w:hint="eastAsia" w:ascii="宋体" w:hAnsi="宋体" w:cs="宋体"/>
          <w:color w:val="auto"/>
          <w:sz w:val="22"/>
          <w:szCs w:val="22"/>
          <w:highlight w:val="none"/>
          <w:u w:val="single"/>
        </w:rPr>
        <w:t xml:space="preserve"> </w:t>
      </w:r>
      <w:r>
        <w:rPr>
          <w:rFonts w:hint="eastAsia" w:ascii="宋体" w:hAnsi="宋体" w:cs="宋体"/>
          <w:bCs/>
          <w:snapToGrid w:val="0"/>
          <w:color w:val="auto"/>
          <w:sz w:val="22"/>
          <w:szCs w:val="22"/>
          <w:highlight w:val="none"/>
          <w:u w:val="single"/>
        </w:rPr>
        <w:t>2024</w:t>
      </w:r>
      <w:r>
        <w:rPr>
          <w:rFonts w:hint="eastAsia" w:ascii="宋体" w:hAnsi="宋体" w:cs="宋体"/>
          <w:bCs/>
          <w:color w:val="auto"/>
          <w:sz w:val="22"/>
          <w:szCs w:val="22"/>
          <w:highlight w:val="none"/>
        </w:rPr>
        <w:t>年</w:t>
      </w:r>
      <w:r>
        <w:rPr>
          <w:rFonts w:hint="eastAsia" w:ascii="宋体" w:hAnsi="宋体" w:cs="宋体"/>
          <w:bCs/>
          <w:snapToGrid w:val="0"/>
          <w:color w:val="auto"/>
          <w:sz w:val="22"/>
          <w:szCs w:val="22"/>
          <w:highlight w:val="none"/>
          <w:u w:val="single"/>
          <w:lang w:val="en-US" w:eastAsia="zh-CN"/>
        </w:rPr>
        <w:t>9</w:t>
      </w:r>
      <w:r>
        <w:rPr>
          <w:rFonts w:hint="eastAsia" w:ascii="宋体" w:hAnsi="宋体" w:cs="宋体"/>
          <w:bCs/>
          <w:color w:val="auto"/>
          <w:sz w:val="22"/>
          <w:szCs w:val="22"/>
          <w:highlight w:val="none"/>
        </w:rPr>
        <w:t>月</w:t>
      </w:r>
      <w:r>
        <w:rPr>
          <w:rFonts w:hint="eastAsia" w:ascii="宋体" w:hAnsi="宋体" w:cs="宋体"/>
          <w:bCs/>
          <w:color w:val="auto"/>
          <w:sz w:val="22"/>
          <w:szCs w:val="22"/>
          <w:highlight w:val="none"/>
          <w:u w:val="single"/>
          <w:lang w:val="en-US" w:eastAsia="zh-CN"/>
        </w:rPr>
        <w:t>6</w:t>
      </w:r>
      <w:r>
        <w:rPr>
          <w:rFonts w:hint="eastAsia" w:ascii="宋体" w:hAnsi="宋体" w:cs="宋体"/>
          <w:bCs/>
          <w:color w:val="auto"/>
          <w:sz w:val="22"/>
          <w:szCs w:val="22"/>
          <w:highlight w:val="none"/>
        </w:rPr>
        <w:t>日</w:t>
      </w:r>
      <w:r>
        <w:rPr>
          <w:rFonts w:hint="eastAsia" w:ascii="宋体" w:hAnsi="宋体" w:cs="宋体"/>
          <w:bCs/>
          <w:snapToGrid w:val="0"/>
          <w:color w:val="auto"/>
          <w:sz w:val="22"/>
          <w:szCs w:val="22"/>
          <w:highlight w:val="none"/>
          <w:u w:val="single"/>
        </w:rPr>
        <w:t>9:00</w:t>
      </w:r>
      <w:r>
        <w:rPr>
          <w:rFonts w:hint="eastAsia" w:ascii="宋体" w:hAnsi="宋体" w:cs="宋体"/>
          <w:color w:val="auto"/>
          <w:szCs w:val="21"/>
          <w:highlight w:val="none"/>
        </w:rPr>
        <w:t>（北京时间）</w:t>
      </w:r>
      <w:r>
        <w:rPr>
          <w:rFonts w:hint="eastAsia" w:ascii="宋体" w:hAnsi="宋体" w:cs="宋体"/>
          <w:color w:val="auto"/>
          <w:kern w:val="0"/>
          <w:sz w:val="20"/>
          <w:szCs w:val="20"/>
          <w:highlight w:val="none"/>
        </w:rPr>
        <w:t>；</w:t>
      </w:r>
    </w:p>
    <w:p w14:paraId="680E0980">
      <w:pPr>
        <w:spacing w:line="48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rPr>
        <w:t>2.地址：</w:t>
      </w:r>
      <w:r>
        <w:rPr>
          <w:rFonts w:hint="eastAsia" w:ascii="宋体" w:hAnsi="宋体" w:cs="宋体"/>
          <w:color w:val="auto"/>
          <w:szCs w:val="21"/>
          <w:highlight w:val="none"/>
        </w:rPr>
        <w:t>浙江政府采购网（https://zfcg.czt.zj.gov.cn/）</w:t>
      </w:r>
      <w:r>
        <w:rPr>
          <w:rFonts w:hint="eastAsia" w:ascii="宋体" w:hAnsi="宋体" w:cs="宋体"/>
          <w:color w:val="auto"/>
          <w:kern w:val="0"/>
          <w:szCs w:val="21"/>
          <w:highlight w:val="none"/>
        </w:rPr>
        <w:t>；</w:t>
      </w:r>
    </w:p>
    <w:p w14:paraId="7D8F62D7">
      <w:pPr>
        <w:spacing w:line="480" w:lineRule="exact"/>
        <w:ind w:firstLine="422" w:firstLineChars="200"/>
        <w:outlineLvl w:val="2"/>
        <w:rPr>
          <w:rFonts w:hint="eastAsia" w:ascii="宋体" w:hAnsi="宋体" w:cs="宋体"/>
          <w:color w:val="auto"/>
          <w:kern w:val="0"/>
          <w:szCs w:val="21"/>
          <w:highlight w:val="none"/>
        </w:rPr>
      </w:pPr>
      <w:r>
        <w:rPr>
          <w:rFonts w:hint="eastAsia" w:ascii="宋体" w:hAnsi="宋体" w:cs="宋体"/>
          <w:b/>
          <w:bCs/>
          <w:color w:val="auto"/>
          <w:kern w:val="0"/>
          <w:szCs w:val="21"/>
          <w:highlight w:val="none"/>
        </w:rPr>
        <w:t>3.方式：</w:t>
      </w:r>
      <w:r>
        <w:rPr>
          <w:rFonts w:hint="eastAsia" w:ascii="宋体" w:hAnsi="宋体" w:cs="宋体"/>
          <w:color w:val="auto"/>
          <w:kern w:val="0"/>
          <w:szCs w:val="21"/>
          <w:highlight w:val="none"/>
        </w:rPr>
        <w:t>线上获取，联合体由主办方获取采购文件；</w:t>
      </w:r>
    </w:p>
    <w:p w14:paraId="00CFCF2A">
      <w:pPr>
        <w:spacing w:line="48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潜在投标人完成“政府采购云平台”账号注册后，通过浙江政府采购网公告下方“潜在投标人获取招标文件”跳转登录或直接登录“政府采购云平台”（账号或短信验证码或CA方式登录），依次进入「项目采购」-「获取招标文件」-「申请获取招标文件」后在线登记、获取招标文件；</w:t>
      </w:r>
    </w:p>
    <w:p w14:paraId="3F4B37E1">
      <w:pPr>
        <w:spacing w:line="480" w:lineRule="exact"/>
        <w:ind w:firstLine="420" w:firstLineChars="200"/>
        <w:rPr>
          <w:rFonts w:hint="eastAsia" w:ascii="宋体" w:hAnsi="宋体" w:cs="宋体"/>
          <w:b/>
          <w:bCs/>
          <w:color w:val="auto"/>
          <w:kern w:val="0"/>
          <w:szCs w:val="21"/>
          <w:highlight w:val="none"/>
        </w:rPr>
      </w:pPr>
      <w:r>
        <w:rPr>
          <w:rFonts w:hint="eastAsia" w:ascii="宋体" w:hAnsi="宋体" w:cs="宋体"/>
          <w:color w:val="auto"/>
          <w:kern w:val="0"/>
          <w:szCs w:val="21"/>
          <w:highlight w:val="none"/>
        </w:rPr>
        <w:t>（2）浙江政府采购网采购公告下方“游客浏览招标文件”内公告的招标文件仅供社会公众查阅使用，</w:t>
      </w:r>
      <w:r>
        <w:rPr>
          <w:rFonts w:hint="eastAsia" w:ascii="宋体" w:hAnsi="宋体" w:cs="宋体"/>
          <w:b/>
          <w:bCs/>
          <w:color w:val="auto"/>
          <w:kern w:val="0"/>
          <w:szCs w:val="21"/>
          <w:highlight w:val="none"/>
        </w:rPr>
        <w:t>潜在投标人只有通过“政府采购云平台”在线登记并获取了招标文件后才被视作“获取招标文件”</w:t>
      </w:r>
      <w:r>
        <w:rPr>
          <w:rFonts w:hint="eastAsia" w:ascii="宋体" w:hAnsi="宋体" w:cs="宋体"/>
          <w:color w:val="auto"/>
          <w:kern w:val="0"/>
          <w:szCs w:val="21"/>
          <w:highlight w:val="none"/>
        </w:rPr>
        <w:t>。法律法规所指的投标人获取招标文件时间以投标人通过“政府采购云平台”在线下载获取招标文件的时间为准。</w:t>
      </w:r>
      <w:r>
        <w:rPr>
          <w:rFonts w:hint="eastAsia" w:ascii="宋体" w:hAnsi="宋体" w:cs="宋体"/>
          <w:b/>
          <w:bCs/>
          <w:color w:val="auto"/>
          <w:kern w:val="0"/>
          <w:szCs w:val="21"/>
          <w:highlight w:val="none"/>
        </w:rPr>
        <w:t>未按规定获取招标文件的投标人，对招标文件提起的质疑、投诉将不予受理。</w:t>
      </w:r>
    </w:p>
    <w:p w14:paraId="43AB805E">
      <w:pPr>
        <w:spacing w:line="480" w:lineRule="exact"/>
        <w:ind w:firstLine="422" w:firstLineChars="200"/>
        <w:outlineLvl w:val="2"/>
        <w:rPr>
          <w:rFonts w:hint="eastAsia" w:ascii="宋体" w:hAnsi="宋体" w:cs="宋体"/>
          <w:color w:val="auto"/>
          <w:kern w:val="0"/>
          <w:szCs w:val="21"/>
          <w:highlight w:val="none"/>
        </w:rPr>
      </w:pPr>
      <w:r>
        <w:rPr>
          <w:rFonts w:hint="eastAsia" w:ascii="宋体" w:hAnsi="宋体" w:cs="宋体"/>
          <w:b/>
          <w:bCs/>
          <w:color w:val="auto"/>
          <w:kern w:val="0"/>
          <w:szCs w:val="21"/>
          <w:highlight w:val="none"/>
        </w:rPr>
        <w:t>4.售价：</w:t>
      </w:r>
      <w:r>
        <w:rPr>
          <w:rFonts w:hint="eastAsia" w:ascii="宋体" w:hAnsi="宋体" w:cs="宋体"/>
          <w:color w:val="auto"/>
          <w:kern w:val="0"/>
          <w:szCs w:val="21"/>
          <w:highlight w:val="none"/>
        </w:rPr>
        <w:t>免费提供。</w:t>
      </w:r>
      <w:bookmarkStart w:id="97" w:name="_Toc25554"/>
      <w:bookmarkStart w:id="98" w:name="_Toc45640132"/>
      <w:bookmarkStart w:id="99" w:name="_Toc45525495"/>
      <w:bookmarkStart w:id="100" w:name="_Toc45525446"/>
      <w:bookmarkStart w:id="101" w:name="_Toc51317770"/>
    </w:p>
    <w:p w14:paraId="25685BFC">
      <w:pPr>
        <w:pStyle w:val="4"/>
        <w:spacing w:line="480" w:lineRule="exact"/>
        <w:ind w:right="42" w:rightChars="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bookmarkEnd w:id="93"/>
      <w:bookmarkEnd w:id="94"/>
      <w:bookmarkEnd w:id="95"/>
      <w:bookmarkEnd w:id="96"/>
      <w:bookmarkEnd w:id="97"/>
      <w:bookmarkEnd w:id="98"/>
      <w:bookmarkEnd w:id="99"/>
      <w:bookmarkEnd w:id="100"/>
      <w:bookmarkEnd w:id="101"/>
      <w:r>
        <w:rPr>
          <w:rFonts w:hint="eastAsia" w:ascii="宋体" w:hAnsi="宋体" w:eastAsia="宋体" w:cs="宋体"/>
          <w:color w:val="auto"/>
          <w:sz w:val="21"/>
          <w:szCs w:val="21"/>
          <w:highlight w:val="none"/>
        </w:rPr>
        <w:t>提交投标文件截止时间、开标时间和地点</w:t>
      </w:r>
    </w:p>
    <w:p w14:paraId="2F9D911D">
      <w:pPr>
        <w:snapToGrid w:val="0"/>
        <w:spacing w:line="480" w:lineRule="exact"/>
        <w:ind w:right="42" w:rightChars="20" w:firstLine="420" w:firstLineChars="200"/>
        <w:rPr>
          <w:rFonts w:hint="eastAsia" w:ascii="宋体" w:hAnsi="宋体" w:cs="宋体"/>
          <w:color w:val="auto"/>
          <w:szCs w:val="21"/>
          <w:highlight w:val="none"/>
        </w:rPr>
      </w:pPr>
      <w:bookmarkStart w:id="102" w:name="_Toc35393633"/>
      <w:bookmarkStart w:id="103" w:name="_Toc28359016"/>
      <w:bookmarkStart w:id="104" w:name="_Toc35393802"/>
      <w:bookmarkStart w:id="105" w:name="_Toc28359093"/>
      <w:r>
        <w:rPr>
          <w:rFonts w:hint="eastAsia" w:ascii="宋体" w:hAnsi="宋体" w:cs="宋体"/>
          <w:color w:val="auto"/>
          <w:szCs w:val="21"/>
          <w:highlight w:val="none"/>
        </w:rPr>
        <w:t>1.投标截止时间：2024年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日9：00（北京时间）；</w:t>
      </w:r>
    </w:p>
    <w:p w14:paraId="4AD4D2B6">
      <w:pPr>
        <w:spacing w:line="42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2.联合体由主办方提交投标文件；</w:t>
      </w:r>
    </w:p>
    <w:p w14:paraId="61A46D67">
      <w:pPr>
        <w:spacing w:line="480" w:lineRule="exact"/>
        <w:ind w:right="42" w:rightChars="20"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3.投标地点（网址）：</w:t>
      </w:r>
    </w:p>
    <w:p w14:paraId="7C05E7B9">
      <w:pPr>
        <w:pStyle w:val="29"/>
        <w:adjustRightInd w:val="0"/>
        <w:snapToGrid w:val="0"/>
        <w:spacing w:line="480" w:lineRule="exact"/>
        <w:ind w:right="42" w:rightChars="20" w:firstLine="420" w:firstLineChars="200"/>
        <w:rPr>
          <w:rFonts w:hint="eastAsia" w:hAnsi="宋体" w:cs="宋体"/>
          <w:color w:val="auto"/>
          <w:szCs w:val="21"/>
          <w:highlight w:val="none"/>
        </w:rPr>
      </w:pPr>
      <w:r>
        <w:rPr>
          <w:rFonts w:hint="eastAsia" w:hAnsi="宋体" w:cs="宋体"/>
          <w:color w:val="auto"/>
          <w:szCs w:val="21"/>
          <w:highlight w:val="none"/>
        </w:rPr>
        <w:t>（1）电子投标文件：在政府采购云平台（https://www.zcygov.cn）上传提交，投标投标文件成功传输递交后，投标人可自行打印投标投标文件接收回执；</w:t>
      </w:r>
    </w:p>
    <w:p w14:paraId="0997A636">
      <w:pPr>
        <w:pStyle w:val="29"/>
        <w:adjustRightInd w:val="0"/>
        <w:snapToGrid w:val="0"/>
        <w:spacing w:line="480" w:lineRule="exact"/>
        <w:ind w:right="42" w:rightChars="20" w:firstLine="420" w:firstLineChars="200"/>
        <w:rPr>
          <w:rFonts w:hint="eastAsia" w:hAnsi="宋体" w:cs="宋体"/>
          <w:color w:val="auto"/>
          <w:szCs w:val="21"/>
          <w:highlight w:val="none"/>
        </w:rPr>
      </w:pPr>
      <w:r>
        <w:rPr>
          <w:rFonts w:hint="eastAsia" w:hAnsi="宋体" w:cs="宋体"/>
          <w:color w:val="auto"/>
          <w:szCs w:val="21"/>
          <w:highlight w:val="none"/>
        </w:rPr>
        <w:t>（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857344410@qq.com），传送的备份投标文件须打包压缩并加密，密码由投标人自行保管。压缩包命名为“</w:t>
      </w:r>
      <w:r>
        <w:rPr>
          <w:rFonts w:hint="eastAsia" w:hAnsi="宋体" w:cs="宋体"/>
          <w:b/>
          <w:color w:val="auto"/>
          <w:szCs w:val="21"/>
          <w:highlight w:val="none"/>
        </w:rPr>
        <w:t>备份投标文件</w:t>
      </w:r>
      <w:r>
        <w:rPr>
          <w:rFonts w:hint="eastAsia" w:hAnsi="宋体" w:cs="宋体"/>
          <w:color w:val="auto"/>
          <w:szCs w:val="21"/>
          <w:highlight w:val="none"/>
        </w:rPr>
        <w:t xml:space="preserve">”，并在邮件中注明项目名称及投标人名称。 </w:t>
      </w:r>
    </w:p>
    <w:p w14:paraId="19D01ECA">
      <w:pPr>
        <w:pStyle w:val="29"/>
        <w:adjustRightInd w:val="0"/>
        <w:snapToGrid w:val="0"/>
        <w:spacing w:line="480" w:lineRule="exact"/>
        <w:ind w:right="42" w:rightChars="20" w:firstLine="420" w:firstLineChars="200"/>
        <w:outlineLvl w:val="2"/>
        <w:rPr>
          <w:rFonts w:hint="eastAsia" w:hAnsi="宋体" w:cs="宋体"/>
          <w:color w:val="auto"/>
          <w:szCs w:val="21"/>
          <w:highlight w:val="none"/>
        </w:rPr>
      </w:pPr>
      <w:r>
        <w:rPr>
          <w:rFonts w:hint="eastAsia" w:hAnsi="宋体" w:cs="宋体"/>
          <w:color w:val="auto"/>
          <w:szCs w:val="21"/>
          <w:highlight w:val="none"/>
        </w:rPr>
        <w:t>4.开标时间：同投标截止时间；</w:t>
      </w:r>
    </w:p>
    <w:p w14:paraId="6039F58F">
      <w:pPr>
        <w:pStyle w:val="29"/>
        <w:adjustRightInd w:val="0"/>
        <w:snapToGrid w:val="0"/>
        <w:spacing w:line="480" w:lineRule="exact"/>
        <w:ind w:right="42" w:rightChars="20" w:firstLine="420" w:firstLineChars="200"/>
        <w:rPr>
          <w:rFonts w:hint="eastAsia" w:hAnsi="宋体" w:cs="宋体"/>
          <w:color w:val="auto"/>
          <w:highlight w:val="none"/>
        </w:rPr>
      </w:pPr>
      <w:r>
        <w:rPr>
          <w:rFonts w:hint="eastAsia" w:hAnsi="宋体" w:cs="宋体"/>
          <w:color w:val="auto"/>
          <w:szCs w:val="21"/>
          <w:highlight w:val="none"/>
        </w:rPr>
        <w:t>5.开启地点：“政府采购云平台（https://www.zcygov.cn）”在线开标，浙江政府采购网→用户入驻/登录→用户登录→项目采购→开标评标→进入开标大厅；</w:t>
      </w:r>
    </w:p>
    <w:p w14:paraId="2A8E6869">
      <w:pPr>
        <w:pStyle w:val="29"/>
        <w:adjustRightInd w:val="0"/>
        <w:snapToGrid w:val="0"/>
        <w:spacing w:line="480" w:lineRule="exact"/>
        <w:ind w:right="42" w:rightChars="20" w:firstLine="420" w:firstLineChars="200"/>
        <w:rPr>
          <w:rFonts w:hint="eastAsia" w:hAnsi="宋体" w:cs="宋体"/>
          <w:color w:val="auto"/>
          <w:szCs w:val="21"/>
          <w:highlight w:val="none"/>
        </w:rPr>
      </w:pPr>
      <w:r>
        <w:rPr>
          <w:rFonts w:hint="eastAsia" w:hAnsi="宋体" w:cs="宋体"/>
          <w:color w:val="auto"/>
          <w:szCs w:val="21"/>
          <w:highlight w:val="none"/>
        </w:rPr>
        <w:t>注：投标人应按招标文件规定的方式和时间在线解密。 </w:t>
      </w:r>
    </w:p>
    <w:bookmarkEnd w:id="102"/>
    <w:bookmarkEnd w:id="103"/>
    <w:bookmarkEnd w:id="104"/>
    <w:bookmarkEnd w:id="105"/>
    <w:p w14:paraId="3448487B">
      <w:pPr>
        <w:pStyle w:val="4"/>
        <w:spacing w:line="480" w:lineRule="exact"/>
        <w:ind w:right="42" w:rightChars="20"/>
        <w:jc w:val="left"/>
        <w:rPr>
          <w:rFonts w:hint="eastAsia" w:ascii="宋体" w:hAnsi="宋体" w:eastAsia="宋体" w:cs="宋体"/>
          <w:color w:val="auto"/>
          <w:sz w:val="21"/>
          <w:szCs w:val="21"/>
          <w:highlight w:val="none"/>
        </w:rPr>
      </w:pPr>
      <w:bookmarkStart w:id="106" w:name="_Toc45525497"/>
      <w:bookmarkStart w:id="107" w:name="_Toc28359094"/>
      <w:bookmarkStart w:id="108" w:name="_Toc28359017"/>
      <w:bookmarkStart w:id="109" w:name="_Toc14360"/>
      <w:bookmarkStart w:id="110" w:name="_Toc35393803"/>
      <w:bookmarkStart w:id="111" w:name="_Toc35393634"/>
      <w:bookmarkStart w:id="112" w:name="_Toc45525448"/>
      <w:bookmarkStart w:id="113" w:name="_Toc51317772"/>
      <w:bookmarkStart w:id="114" w:name="_Toc45640134"/>
      <w:r>
        <w:rPr>
          <w:rFonts w:hint="eastAsia" w:ascii="宋体" w:hAnsi="宋体" w:eastAsia="宋体" w:cs="宋体"/>
          <w:color w:val="auto"/>
          <w:sz w:val="21"/>
          <w:szCs w:val="21"/>
          <w:highlight w:val="none"/>
        </w:rPr>
        <w:t>五、公告期限</w:t>
      </w:r>
      <w:bookmarkEnd w:id="106"/>
      <w:bookmarkEnd w:id="107"/>
      <w:bookmarkEnd w:id="108"/>
      <w:bookmarkEnd w:id="109"/>
      <w:bookmarkEnd w:id="110"/>
      <w:bookmarkEnd w:id="111"/>
      <w:bookmarkEnd w:id="112"/>
      <w:bookmarkEnd w:id="113"/>
      <w:bookmarkEnd w:id="114"/>
    </w:p>
    <w:p w14:paraId="54116356">
      <w:pPr>
        <w:spacing w:line="480" w:lineRule="exact"/>
        <w:ind w:right="42" w:rightChars="20"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A1CAD1D">
      <w:pPr>
        <w:pStyle w:val="4"/>
        <w:numPr>
          <w:ilvl w:val="0"/>
          <w:numId w:val="5"/>
        </w:numPr>
        <w:spacing w:line="480" w:lineRule="exact"/>
        <w:ind w:right="42" w:rightChars="20"/>
        <w:jc w:val="left"/>
        <w:textAlignment w:val="auto"/>
        <w:rPr>
          <w:rFonts w:hint="eastAsia" w:ascii="宋体" w:hAnsi="宋体" w:eastAsia="宋体" w:cs="宋体"/>
          <w:color w:val="auto"/>
          <w:sz w:val="21"/>
          <w:szCs w:val="21"/>
          <w:highlight w:val="none"/>
        </w:rPr>
      </w:pPr>
      <w:bookmarkStart w:id="115" w:name="_Toc45525498"/>
      <w:bookmarkStart w:id="116" w:name="_Toc51317773"/>
      <w:bookmarkStart w:id="117" w:name="_Toc35393804"/>
      <w:bookmarkStart w:id="118" w:name="_Toc45525449"/>
      <w:bookmarkStart w:id="119" w:name="_Toc45640135"/>
      <w:bookmarkStart w:id="120" w:name="_Toc35393635"/>
      <w:bookmarkStart w:id="121" w:name="_Toc6132"/>
      <w:r>
        <w:rPr>
          <w:rFonts w:hint="eastAsia" w:ascii="宋体" w:hAnsi="宋体" w:eastAsia="宋体" w:cs="宋体"/>
          <w:color w:val="auto"/>
          <w:sz w:val="21"/>
          <w:szCs w:val="21"/>
          <w:highlight w:val="none"/>
        </w:rPr>
        <w:t>其他补充事宜</w:t>
      </w:r>
      <w:bookmarkEnd w:id="115"/>
      <w:bookmarkEnd w:id="116"/>
      <w:bookmarkEnd w:id="117"/>
      <w:bookmarkEnd w:id="118"/>
      <w:bookmarkEnd w:id="119"/>
      <w:bookmarkEnd w:id="120"/>
      <w:bookmarkEnd w:id="121"/>
    </w:p>
    <w:p w14:paraId="792A0753">
      <w:pPr>
        <w:widowControl/>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67FA87">
      <w:pPr>
        <w:widowControl/>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根据《浙江省财政厅关于进一步促进政府采购公平竞争打造最优营商环境的通知》（浙财采监〔2021〕22号）文件关于“健全行政裁决机制”要求，鼓励投标人在线提起询问，路径为：政采云-项目采购-询问质疑投诉-询问列表，鼓励投标人在线提起质疑，路径为：政采云-项目采购-询问质疑投诉-质疑列表，质疑投标人对在线质疑答复不满意的，可在线提起投诉，路径为：浙江政府服务网-政府采购投诉处理-在线办理。</w:t>
      </w:r>
    </w:p>
    <w:p w14:paraId="1C030528">
      <w:pPr>
        <w:widowControl/>
        <w:adjustRightIn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 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E98987">
      <w:pPr>
        <w:pStyle w:val="29"/>
        <w:adjustRightInd w:val="0"/>
        <w:snapToGrid w:val="0"/>
        <w:spacing w:line="440" w:lineRule="exact"/>
        <w:ind w:right="42" w:rightChars="20" w:firstLine="420" w:firstLineChars="200"/>
        <w:rPr>
          <w:rFonts w:hint="eastAsia" w:hAnsi="宋体" w:cs="宋体"/>
          <w:color w:val="auto"/>
          <w:szCs w:val="21"/>
          <w:highlight w:val="none"/>
        </w:rPr>
      </w:pPr>
      <w:r>
        <w:rPr>
          <w:rFonts w:hint="eastAsia" w:hAnsi="宋体" w:cs="宋体"/>
          <w:color w:val="auto"/>
          <w:szCs w:val="21"/>
          <w:highlight w:val="none"/>
        </w:rPr>
        <w:t>4.采购项目需要落实的政府采购政策：包括节约资源、保护环境、支持创新、促进中小企业发展等。详见采购文件的第三章 采购需求；</w:t>
      </w:r>
    </w:p>
    <w:p w14:paraId="2C4DCA26">
      <w:pPr>
        <w:pStyle w:val="29"/>
        <w:adjustRightInd w:val="0"/>
        <w:snapToGrid w:val="0"/>
        <w:spacing w:line="440" w:lineRule="exact"/>
        <w:ind w:right="42" w:rightChars="20" w:firstLine="420" w:firstLineChars="200"/>
        <w:rPr>
          <w:rFonts w:hint="eastAsia" w:hAnsi="宋体" w:cs="宋体"/>
          <w:color w:val="auto"/>
          <w:szCs w:val="21"/>
          <w:highlight w:val="none"/>
        </w:rPr>
      </w:pPr>
      <w:r>
        <w:rPr>
          <w:rFonts w:hint="eastAsia" w:hAnsi="宋体" w:cs="宋体"/>
          <w:color w:val="auto"/>
          <w:szCs w:val="21"/>
          <w:highlight w:val="none"/>
        </w:rPr>
        <w:t>5.在线响应（电子投标）说明：（1）本项目采用政府采购电子化交易；（2）投标人应完成CA数字证书办理。（办理流程详见https://zfcg.czt.zj.gov.cn/bidClientTemplate/2019-05-27/12945.html）； （3）投标人应安装“政采云投标客户端”，电子投标工具请投标人自行前往浙江政府采购网下载并安装，（下载网址：https://zfcg.czt.zj.gov.cn/bidClientTemplate/2019-09-24/12975.html）；（4）电子交易具体流程详见操作指南：登录政府采购云平台（https://www.zcygov.cn/），从首页-服务中心-帮助文档-项目采购-电子招投标，查看文档和视频；（5）如有疑问，可致电政府采购云平台技术支持热线咨询，联系方式：400-881-7190。（6）开标时间后30分钟内，投标人须登录政府采购云平台，用“项目采购-开标评标”功能解密投标文件（线上）；（7）中标人应在合同签订前完成政府采购云平台（https://www.zcygov.cn/）全部注册步骤并成为正式注册入库投标人，否则将导致合同款无法正常支付，责任由中标人承担。请投标人尽早完成注册。https://middle.zcygov.cn/settle-front/#/registry（投标人注册页面）；</w:t>
      </w:r>
    </w:p>
    <w:p w14:paraId="3F50DFEF">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6. 其他事项</w:t>
      </w:r>
    </w:p>
    <w:p w14:paraId="1CAB9C48">
      <w:pPr>
        <w:pStyle w:val="48"/>
        <w:spacing w:line="480" w:lineRule="exact"/>
        <w:ind w:right="42" w:rightChars="20" w:firstLine="480" w:firstLineChars="200"/>
        <w:rPr>
          <w:rFonts w:hint="eastAsia" w:cs="宋体"/>
          <w:color w:val="auto"/>
          <w:sz w:val="21"/>
          <w:szCs w:val="21"/>
          <w:highlight w:val="none"/>
        </w:rPr>
      </w:pPr>
      <w:r>
        <w:rPr>
          <w:rFonts w:hint="eastAsia" w:cs="宋体"/>
          <w:color w:val="auto"/>
          <w:szCs w:val="21"/>
          <w:highlight w:val="none"/>
        </w:rPr>
        <w:t>（</w:t>
      </w:r>
      <w:r>
        <w:rPr>
          <w:rFonts w:hint="eastAsia" w:cs="宋体"/>
          <w:color w:val="auto"/>
          <w:sz w:val="21"/>
          <w:szCs w:val="21"/>
          <w:highlight w:val="none"/>
        </w:rPr>
        <w:t>1）采购信息发布媒介：浙江政府采购网</w:t>
      </w:r>
      <w:r>
        <w:rPr>
          <w:color w:val="auto"/>
          <w:highlight w:val="none"/>
        </w:rPr>
        <w:fldChar w:fldCharType="begin"/>
      </w:r>
      <w:r>
        <w:rPr>
          <w:color w:val="auto"/>
          <w:highlight w:val="none"/>
        </w:rPr>
        <w:instrText xml:space="preserve">HYPERLINK "http://60.190.126.3:8080/wcm/WCMV6/editor/editor/招标文件（新版）.doc"</w:instrText>
      </w:r>
      <w:r>
        <w:rPr>
          <w:rFonts w:hint="eastAsia"/>
          <w:color w:val="auto"/>
          <w:highlight w:val="none"/>
        </w:rPr>
        <w:fldChar w:fldCharType="separate"/>
      </w:r>
      <w:r>
        <w:rPr>
          <w:rFonts w:hint="eastAsia" w:cs="宋体"/>
          <w:color w:val="auto"/>
          <w:sz w:val="21"/>
          <w:szCs w:val="21"/>
          <w:highlight w:val="none"/>
        </w:rPr>
        <w:t>https://zfcg.czt.zj.gov.cn/</w:t>
      </w:r>
      <w:r>
        <w:rPr>
          <w:rFonts w:cs="宋体"/>
          <w:color w:val="auto"/>
          <w:sz w:val="21"/>
          <w:szCs w:val="21"/>
          <w:highlight w:val="none"/>
        </w:rPr>
        <w:fldChar w:fldCharType="end"/>
      </w:r>
      <w:r>
        <w:rPr>
          <w:rFonts w:hint="eastAsia" w:cs="宋体"/>
          <w:color w:val="auto"/>
          <w:sz w:val="21"/>
          <w:szCs w:val="21"/>
          <w:highlight w:val="none"/>
        </w:rPr>
        <w:t xml:space="preserve"> 、丽水市公共资源交易网https://lssggzy.lishui.gov.cn/；</w:t>
      </w:r>
    </w:p>
    <w:p w14:paraId="7E97426E">
      <w:pPr>
        <w:pStyle w:val="48"/>
        <w:spacing w:line="480" w:lineRule="exact"/>
        <w:ind w:right="42" w:rightChars="20" w:firstLine="480" w:firstLineChars="200"/>
        <w:rPr>
          <w:rFonts w:hint="eastAsia" w:cs="宋体"/>
          <w:color w:val="auto"/>
          <w:highlight w:val="none"/>
        </w:rPr>
      </w:pPr>
      <w:r>
        <w:rPr>
          <w:rFonts w:hint="eastAsia" w:cs="宋体"/>
          <w:color w:val="auto"/>
          <w:szCs w:val="21"/>
          <w:highlight w:val="none"/>
        </w:rPr>
        <w:t>（</w:t>
      </w:r>
      <w:r>
        <w:rPr>
          <w:rFonts w:hint="eastAsia" w:cs="宋体"/>
          <w:color w:val="auto"/>
          <w:sz w:val="21"/>
          <w:szCs w:val="21"/>
          <w:highlight w:val="none"/>
        </w:rPr>
        <w:t>2）联系邮箱：857344410@qq.com。</w:t>
      </w:r>
    </w:p>
    <w:p w14:paraId="0BDC72B8">
      <w:pPr>
        <w:pStyle w:val="48"/>
        <w:spacing w:line="480" w:lineRule="exact"/>
        <w:ind w:right="42" w:rightChars="20"/>
        <w:outlineLvl w:val="1"/>
        <w:rPr>
          <w:rFonts w:hint="eastAsia" w:cs="宋体"/>
          <w:b/>
          <w:color w:val="auto"/>
          <w:sz w:val="21"/>
          <w:szCs w:val="21"/>
          <w:highlight w:val="none"/>
        </w:rPr>
      </w:pPr>
      <w:r>
        <w:rPr>
          <w:rFonts w:hint="eastAsia" w:cs="宋体"/>
          <w:b/>
          <w:color w:val="auto"/>
          <w:sz w:val="21"/>
          <w:szCs w:val="21"/>
          <w:highlight w:val="none"/>
        </w:rPr>
        <w:t>七、凡对本次招标提出询问、质疑、投诉，请按以下方式联系</w:t>
      </w:r>
    </w:p>
    <w:p w14:paraId="2329C0F5">
      <w:pPr>
        <w:pStyle w:val="48"/>
        <w:spacing w:line="480" w:lineRule="exact"/>
        <w:ind w:right="42" w:rightChars="20" w:firstLine="422" w:firstLineChars="200"/>
        <w:outlineLvl w:val="2"/>
        <w:rPr>
          <w:rFonts w:hint="eastAsia" w:cs="宋体"/>
          <w:b/>
          <w:bCs/>
          <w:color w:val="auto"/>
          <w:sz w:val="21"/>
          <w:szCs w:val="21"/>
          <w:highlight w:val="none"/>
        </w:rPr>
      </w:pPr>
      <w:r>
        <w:rPr>
          <w:rFonts w:hint="eastAsia" w:cs="宋体"/>
          <w:b/>
          <w:bCs/>
          <w:color w:val="auto"/>
          <w:sz w:val="21"/>
          <w:szCs w:val="21"/>
          <w:highlight w:val="none"/>
        </w:rPr>
        <w:t>1.采购人信息</w:t>
      </w:r>
    </w:p>
    <w:p w14:paraId="13DC2EC1">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名    称：丽水市生态环境局   </w:t>
      </w:r>
    </w:p>
    <w:p w14:paraId="00FA5AFD">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 xml:space="preserve">地    址：浙江省丽水市莲都区丽阳街689号金融大厦 </w:t>
      </w:r>
    </w:p>
    <w:p w14:paraId="1F814A38">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项目联系人（询问）：林宝达</w:t>
      </w:r>
    </w:p>
    <w:p w14:paraId="3E090390">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项目联系方式（询问）：0578-2098926</w:t>
      </w:r>
    </w:p>
    <w:p w14:paraId="7ADA79A6">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质疑联系人：朱志华</w:t>
      </w:r>
    </w:p>
    <w:p w14:paraId="2A79BEA8">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质疑联系方式：0578-2098926</w:t>
      </w:r>
    </w:p>
    <w:p w14:paraId="1B93F57F">
      <w:pPr>
        <w:pStyle w:val="48"/>
        <w:spacing w:line="480" w:lineRule="exact"/>
        <w:ind w:right="42" w:rightChars="20" w:firstLine="422" w:firstLineChars="200"/>
        <w:outlineLvl w:val="2"/>
        <w:rPr>
          <w:rFonts w:hint="eastAsia" w:cs="宋体"/>
          <w:b/>
          <w:bCs/>
          <w:color w:val="auto"/>
          <w:sz w:val="21"/>
          <w:szCs w:val="21"/>
          <w:highlight w:val="none"/>
        </w:rPr>
      </w:pPr>
      <w:r>
        <w:rPr>
          <w:rFonts w:hint="eastAsia" w:cs="宋体"/>
          <w:b/>
          <w:bCs/>
          <w:color w:val="auto"/>
          <w:sz w:val="21"/>
          <w:szCs w:val="21"/>
          <w:highlight w:val="none"/>
        </w:rPr>
        <w:t>2.采购代理机构信息</w:t>
      </w:r>
    </w:p>
    <w:p w14:paraId="163DC109">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名    称：浙江大兴建设项目管理咨询有限公司</w:t>
      </w:r>
    </w:p>
    <w:p w14:paraId="5A233D13">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地    址：浙江省丽水市丽青路141号</w:t>
      </w:r>
    </w:p>
    <w:p w14:paraId="14EAF4B2">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传    真：0578-2151491</w:t>
      </w:r>
    </w:p>
    <w:p w14:paraId="14BA0EA2">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项目联系人（询问）：林波军、陈龙娇</w:t>
      </w:r>
    </w:p>
    <w:p w14:paraId="40D018A5">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项目联系方式（询问）：0578-2151491/15869248566</w:t>
      </w:r>
    </w:p>
    <w:p w14:paraId="0A4E49D6">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质疑联系人：杜益龙</w:t>
      </w:r>
    </w:p>
    <w:p w14:paraId="78734CB0">
      <w:pPr>
        <w:pStyle w:val="48"/>
        <w:spacing w:line="48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质疑联系方式：0578-2172379</w:t>
      </w:r>
    </w:p>
    <w:p w14:paraId="7A51F3BF">
      <w:pPr>
        <w:pStyle w:val="48"/>
        <w:spacing w:line="480" w:lineRule="exact"/>
        <w:ind w:right="42" w:rightChars="20" w:firstLine="422" w:firstLineChars="200"/>
        <w:outlineLvl w:val="2"/>
        <w:rPr>
          <w:rFonts w:hint="eastAsia" w:cs="宋体"/>
          <w:b/>
          <w:bCs/>
          <w:color w:val="auto"/>
          <w:sz w:val="21"/>
          <w:szCs w:val="21"/>
          <w:highlight w:val="none"/>
        </w:rPr>
      </w:pPr>
      <w:r>
        <w:rPr>
          <w:rFonts w:hint="eastAsia" w:cs="宋体"/>
          <w:b/>
          <w:bCs/>
          <w:color w:val="auto"/>
          <w:sz w:val="21"/>
          <w:szCs w:val="21"/>
          <w:highlight w:val="none"/>
        </w:rPr>
        <w:t>3.同级政府采购监督管理部门</w:t>
      </w:r>
    </w:p>
    <w:p w14:paraId="3500D14F">
      <w:pPr>
        <w:pStyle w:val="48"/>
        <w:spacing w:line="44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名    称：丽水市财政局政府采购监管处</w:t>
      </w:r>
    </w:p>
    <w:p w14:paraId="7B6AA554">
      <w:pPr>
        <w:pStyle w:val="48"/>
        <w:spacing w:line="44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地    址：丽水市北苑路190号</w:t>
      </w:r>
    </w:p>
    <w:p w14:paraId="45557B5B">
      <w:pPr>
        <w:pStyle w:val="48"/>
        <w:spacing w:line="44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联  系  人 ：吴先生、叶先生</w:t>
      </w:r>
    </w:p>
    <w:p w14:paraId="7B6A2500">
      <w:pPr>
        <w:pStyle w:val="48"/>
        <w:spacing w:line="440" w:lineRule="exact"/>
        <w:ind w:right="42" w:rightChars="20" w:firstLine="420" w:firstLineChars="200"/>
        <w:rPr>
          <w:rFonts w:hint="eastAsia" w:cs="宋体"/>
          <w:color w:val="auto"/>
          <w:sz w:val="21"/>
          <w:szCs w:val="21"/>
          <w:highlight w:val="none"/>
        </w:rPr>
      </w:pPr>
      <w:r>
        <w:rPr>
          <w:rFonts w:hint="eastAsia" w:cs="宋体"/>
          <w:color w:val="auto"/>
          <w:sz w:val="21"/>
          <w:szCs w:val="21"/>
          <w:highlight w:val="none"/>
        </w:rPr>
        <w:t xml:space="preserve">监督投诉电话：0578-2669165   </w:t>
      </w:r>
    </w:p>
    <w:p w14:paraId="321A7420">
      <w:pPr>
        <w:pStyle w:val="48"/>
        <w:spacing w:line="440" w:lineRule="exact"/>
        <w:ind w:right="42" w:rightChars="20" w:firstLine="420" w:firstLineChars="200"/>
        <w:rPr>
          <w:rFonts w:hint="eastAsia" w:cs="宋体"/>
          <w:b/>
          <w:bCs/>
          <w:color w:val="auto"/>
          <w:sz w:val="21"/>
          <w:szCs w:val="21"/>
          <w:highlight w:val="none"/>
        </w:rPr>
      </w:pPr>
      <w:r>
        <w:rPr>
          <w:rFonts w:hint="eastAsia" w:cs="宋体"/>
          <w:color w:val="auto"/>
          <w:sz w:val="21"/>
          <w:szCs w:val="21"/>
          <w:highlight w:val="none"/>
        </w:rPr>
        <w:t>传真：0578-2669165</w:t>
      </w:r>
    </w:p>
    <w:p w14:paraId="3BE5C4AB">
      <w:pPr>
        <w:pStyle w:val="48"/>
        <w:spacing w:line="500" w:lineRule="exact"/>
        <w:ind w:right="42" w:rightChars="20" w:firstLine="420" w:firstLineChars="200"/>
        <w:rPr>
          <w:rFonts w:hint="eastAsia" w:cs="宋体"/>
          <w:b/>
          <w:bCs/>
          <w:color w:val="auto"/>
          <w:sz w:val="21"/>
          <w:szCs w:val="21"/>
          <w:highlight w:val="none"/>
        </w:rPr>
      </w:pPr>
      <w:r>
        <w:rPr>
          <w:rFonts w:hint="eastAsia" w:cs="宋体"/>
          <w:color w:val="auto"/>
          <w:sz w:val="21"/>
          <w:szCs w:val="21"/>
          <w:highlight w:val="none"/>
        </w:rPr>
        <w:t xml:space="preserve">                   </w:t>
      </w:r>
      <w:r>
        <w:rPr>
          <w:rFonts w:hint="eastAsia" w:cs="宋体"/>
          <w:b/>
          <w:bCs/>
          <w:color w:val="auto"/>
          <w:sz w:val="21"/>
          <w:szCs w:val="21"/>
          <w:highlight w:val="none"/>
        </w:rPr>
        <w:t xml:space="preserve">                     </w:t>
      </w:r>
    </w:p>
    <w:p w14:paraId="78B6B42D">
      <w:pPr>
        <w:pStyle w:val="48"/>
        <w:spacing w:line="480" w:lineRule="auto"/>
        <w:ind w:right="42" w:rightChars="20" w:firstLine="422" w:firstLineChars="200"/>
        <w:rPr>
          <w:rFonts w:hint="eastAsia" w:cs="宋体"/>
          <w:b/>
          <w:bCs/>
          <w:color w:val="auto"/>
          <w:sz w:val="21"/>
          <w:szCs w:val="21"/>
          <w:highlight w:val="none"/>
        </w:rPr>
      </w:pPr>
      <w:r>
        <w:rPr>
          <w:rFonts w:hint="eastAsia" w:cs="宋体"/>
          <w:b/>
          <w:bCs/>
          <w:color w:val="auto"/>
          <w:sz w:val="21"/>
          <w:szCs w:val="21"/>
          <w:highlight w:val="none"/>
        </w:rPr>
        <w:t>特别提醒：</w:t>
      </w:r>
    </w:p>
    <w:bookmarkEnd w:id="65"/>
    <w:p w14:paraId="142B1D4F">
      <w:pPr>
        <w:pStyle w:val="48"/>
        <w:spacing w:line="360" w:lineRule="auto"/>
        <w:ind w:right="42" w:rightChars="20" w:firstLine="422" w:firstLineChars="200"/>
        <w:rPr>
          <w:rFonts w:hint="eastAsia" w:cs="宋体"/>
          <w:b/>
          <w:bCs/>
          <w:color w:val="auto"/>
          <w:sz w:val="21"/>
          <w:szCs w:val="21"/>
          <w:highlight w:val="none"/>
        </w:rPr>
      </w:pPr>
      <w:bookmarkStart w:id="122" w:name="_Toc55212777"/>
      <w:r>
        <w:rPr>
          <w:rFonts w:hint="eastAsia" w:cs="宋体"/>
          <w:b/>
          <w:bCs/>
          <w:color w:val="auto"/>
          <w:sz w:val="21"/>
          <w:szCs w:val="21"/>
          <w:highlight w:val="none"/>
        </w:rPr>
        <w:t>1.本项目采用电子招标，投标人自行决定是否安排人员赴现场参与投标（现场开标地点:</w:t>
      </w:r>
      <w:bookmarkStart w:id="247" w:name="_GoBack"/>
      <w:r>
        <w:rPr>
          <w:rFonts w:hint="eastAsia" w:cs="宋体"/>
          <w:b/>
          <w:bCs/>
          <w:color w:val="auto"/>
          <w:sz w:val="21"/>
          <w:szCs w:val="21"/>
          <w:highlight w:val="none"/>
        </w:rPr>
        <w:t>浙江大兴建设项目管理咨询有限公司二楼（浙江省丽水市丽青路141号）指定开标室</w:t>
      </w:r>
      <w:bookmarkEnd w:id="247"/>
      <w:r>
        <w:rPr>
          <w:rFonts w:hint="eastAsia" w:cs="宋体"/>
          <w:b/>
          <w:bCs/>
          <w:color w:val="auto"/>
          <w:sz w:val="21"/>
          <w:szCs w:val="21"/>
          <w:highlight w:val="none"/>
        </w:rPr>
        <w:t>）。</w:t>
      </w:r>
    </w:p>
    <w:p w14:paraId="55101605">
      <w:pPr>
        <w:pStyle w:val="48"/>
        <w:spacing w:line="480" w:lineRule="exact"/>
        <w:ind w:right="42" w:rightChars="20" w:firstLine="422" w:firstLineChars="200"/>
        <w:rPr>
          <w:rFonts w:hint="eastAsia" w:cs="宋体"/>
          <w:b/>
          <w:bCs/>
          <w:color w:val="auto"/>
          <w:sz w:val="21"/>
          <w:szCs w:val="21"/>
          <w:highlight w:val="none"/>
        </w:rPr>
      </w:pPr>
      <w:r>
        <w:rPr>
          <w:rFonts w:hint="eastAsia" w:cs="宋体"/>
          <w:b/>
          <w:bCs/>
          <w:color w:val="auto"/>
          <w:sz w:val="21"/>
          <w:szCs w:val="21"/>
          <w:highlight w:val="none"/>
        </w:rPr>
        <w:t>2.若对项目采购电子交易系统操作有疑问，可登录政采云（https://www.zcygov.cn/），点击右侧咨询小采，获取采小蜜智能服务管家帮助，或拨打政采云服务热线95763获取热线服务帮助，CA问题联系电话（人工）：汇信CA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14:paraId="6529B21A">
      <w:pPr>
        <w:tabs>
          <w:tab w:val="left" w:pos="540"/>
        </w:tabs>
        <w:snapToGrid w:val="0"/>
        <w:spacing w:line="480" w:lineRule="exact"/>
        <w:ind w:right="42" w:rightChars="20" w:firstLine="422" w:firstLineChars="20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3.浙江政府采购网相关注册事宜：本项目排名第一的成交候选人未注册成为浙江省政府采购网“正式投标人”的，将会影响该项目合同备案及付款，由此造成的不利影响由投标人自行承担。</w:t>
      </w:r>
    </w:p>
    <w:p w14:paraId="0BA28C0E">
      <w:pPr>
        <w:pStyle w:val="23"/>
        <w:ind w:firstLine="0"/>
        <w:rPr>
          <w:rFonts w:hint="eastAsia" w:ascii="宋体" w:hAnsi="宋体" w:cs="宋体"/>
          <w:color w:val="auto"/>
          <w:highlight w:val="none"/>
        </w:rPr>
      </w:pPr>
    </w:p>
    <w:p w14:paraId="75E3AB2E">
      <w:pPr>
        <w:pStyle w:val="15"/>
        <w:rPr>
          <w:rFonts w:hint="eastAsia" w:ascii="宋体" w:hAnsi="宋体" w:cs="宋体"/>
          <w:color w:val="auto"/>
          <w:highlight w:val="none"/>
        </w:rPr>
      </w:pPr>
    </w:p>
    <w:p w14:paraId="3A2B0975">
      <w:pPr>
        <w:rPr>
          <w:rFonts w:hint="eastAsia" w:ascii="宋体" w:hAnsi="宋体" w:cs="宋体"/>
          <w:color w:val="auto"/>
          <w:highlight w:val="none"/>
        </w:rPr>
      </w:pPr>
    </w:p>
    <w:p w14:paraId="2016B030">
      <w:pPr>
        <w:pStyle w:val="23"/>
        <w:rPr>
          <w:rFonts w:hint="eastAsia" w:ascii="宋体" w:hAnsi="宋体" w:cs="宋体"/>
          <w:color w:val="auto"/>
          <w:highlight w:val="none"/>
        </w:rPr>
      </w:pPr>
    </w:p>
    <w:p w14:paraId="2171DD62">
      <w:pPr>
        <w:pStyle w:val="15"/>
        <w:rPr>
          <w:rFonts w:hint="eastAsia" w:ascii="宋体" w:hAnsi="宋体" w:cs="宋体"/>
          <w:color w:val="auto"/>
          <w:highlight w:val="none"/>
        </w:rPr>
      </w:pPr>
    </w:p>
    <w:p w14:paraId="2846B811">
      <w:pPr>
        <w:rPr>
          <w:rFonts w:hint="eastAsia" w:ascii="宋体" w:hAnsi="宋体" w:cs="宋体"/>
          <w:color w:val="auto"/>
          <w:highlight w:val="none"/>
        </w:rPr>
      </w:pPr>
    </w:p>
    <w:p w14:paraId="3C10383F">
      <w:pPr>
        <w:pStyle w:val="23"/>
        <w:rPr>
          <w:rFonts w:hint="eastAsia" w:ascii="宋体" w:hAnsi="宋体" w:cs="宋体"/>
          <w:color w:val="auto"/>
          <w:highlight w:val="none"/>
        </w:rPr>
      </w:pPr>
    </w:p>
    <w:p w14:paraId="554A9B15">
      <w:pPr>
        <w:pStyle w:val="15"/>
        <w:rPr>
          <w:rFonts w:hint="eastAsia" w:ascii="宋体" w:hAnsi="宋体" w:cs="宋体"/>
          <w:color w:val="auto"/>
          <w:highlight w:val="none"/>
        </w:rPr>
      </w:pPr>
    </w:p>
    <w:p w14:paraId="2A2C586F">
      <w:pPr>
        <w:rPr>
          <w:rFonts w:hint="eastAsia" w:ascii="宋体" w:hAnsi="宋体" w:cs="宋体"/>
          <w:color w:val="auto"/>
          <w:highlight w:val="none"/>
        </w:rPr>
      </w:pPr>
    </w:p>
    <w:p w14:paraId="02497212">
      <w:pPr>
        <w:pStyle w:val="23"/>
        <w:rPr>
          <w:rFonts w:hint="eastAsia" w:ascii="宋体" w:hAnsi="宋体" w:cs="宋体"/>
          <w:color w:val="auto"/>
          <w:highlight w:val="none"/>
        </w:rPr>
      </w:pPr>
    </w:p>
    <w:p w14:paraId="56A9C48D">
      <w:pPr>
        <w:pStyle w:val="15"/>
        <w:rPr>
          <w:rFonts w:hint="eastAsia" w:ascii="宋体" w:hAnsi="宋体" w:cs="宋体"/>
          <w:color w:val="auto"/>
          <w:highlight w:val="none"/>
        </w:rPr>
      </w:pPr>
    </w:p>
    <w:p w14:paraId="49E62EEA">
      <w:pPr>
        <w:rPr>
          <w:rFonts w:hint="eastAsia" w:ascii="宋体" w:hAnsi="宋体" w:cs="宋体"/>
          <w:color w:val="auto"/>
          <w:highlight w:val="none"/>
        </w:rPr>
      </w:pPr>
    </w:p>
    <w:p w14:paraId="1EA2A1C0">
      <w:pPr>
        <w:pStyle w:val="23"/>
        <w:rPr>
          <w:rFonts w:hint="eastAsia" w:ascii="宋体" w:hAnsi="宋体" w:cs="宋体"/>
          <w:color w:val="auto"/>
          <w:highlight w:val="none"/>
        </w:rPr>
      </w:pPr>
    </w:p>
    <w:p w14:paraId="6023F4F3">
      <w:pPr>
        <w:pStyle w:val="15"/>
        <w:rPr>
          <w:rFonts w:hint="eastAsia" w:ascii="宋体" w:hAnsi="宋体" w:cs="宋体"/>
          <w:color w:val="auto"/>
          <w:highlight w:val="none"/>
        </w:rPr>
      </w:pPr>
    </w:p>
    <w:p w14:paraId="5E7902F0">
      <w:pPr>
        <w:rPr>
          <w:rFonts w:hint="eastAsia" w:ascii="宋体" w:hAnsi="宋体" w:cs="宋体"/>
          <w:color w:val="auto"/>
          <w:highlight w:val="none"/>
        </w:rPr>
      </w:pPr>
    </w:p>
    <w:p w14:paraId="6372AA45">
      <w:pPr>
        <w:pStyle w:val="97"/>
        <w:rPr>
          <w:rFonts w:hint="eastAsia" w:ascii="宋体" w:hAnsi="宋体" w:eastAsia="宋体" w:cs="宋体"/>
          <w:color w:val="auto"/>
          <w:highlight w:val="none"/>
        </w:rPr>
      </w:pPr>
    </w:p>
    <w:p w14:paraId="40FB0749">
      <w:pPr>
        <w:pStyle w:val="98"/>
        <w:rPr>
          <w:rFonts w:hint="eastAsia" w:ascii="宋体" w:hAnsi="宋体" w:cs="宋体"/>
          <w:color w:val="auto"/>
          <w:highlight w:val="none"/>
        </w:rPr>
      </w:pPr>
    </w:p>
    <w:p w14:paraId="79535CC6">
      <w:pPr>
        <w:rPr>
          <w:rFonts w:hint="eastAsia" w:ascii="宋体" w:hAnsi="宋体" w:cs="宋体"/>
          <w:color w:val="auto"/>
          <w:highlight w:val="none"/>
        </w:rPr>
      </w:pPr>
    </w:p>
    <w:p w14:paraId="0E1B0F4B">
      <w:pPr>
        <w:pStyle w:val="21"/>
        <w:rPr>
          <w:rFonts w:hint="eastAsia" w:ascii="宋体" w:hAnsi="宋体" w:eastAsia="宋体" w:cs="宋体"/>
          <w:color w:val="auto"/>
          <w:highlight w:val="none"/>
        </w:rPr>
      </w:pPr>
    </w:p>
    <w:p w14:paraId="3F26715C">
      <w:pPr>
        <w:pStyle w:val="22"/>
        <w:rPr>
          <w:rFonts w:hint="eastAsia" w:ascii="宋体" w:hAnsi="宋体" w:eastAsia="宋体" w:cs="宋体"/>
          <w:color w:val="auto"/>
          <w:highlight w:val="none"/>
        </w:rPr>
      </w:pPr>
    </w:p>
    <w:p w14:paraId="40D7AA58">
      <w:pPr>
        <w:pStyle w:val="42"/>
        <w:rPr>
          <w:rFonts w:hint="eastAsia" w:ascii="宋体" w:hAnsi="宋体" w:cs="宋体"/>
          <w:color w:val="auto"/>
          <w:highlight w:val="none"/>
        </w:rPr>
      </w:pPr>
    </w:p>
    <w:p w14:paraId="2CAEB63B">
      <w:pPr>
        <w:rPr>
          <w:rFonts w:hint="eastAsia" w:ascii="宋体" w:hAnsi="宋体" w:cs="宋体"/>
          <w:color w:val="auto"/>
          <w:highlight w:val="none"/>
        </w:rPr>
      </w:pPr>
    </w:p>
    <w:p w14:paraId="4591BB1E">
      <w:pPr>
        <w:pStyle w:val="97"/>
        <w:rPr>
          <w:color w:val="auto"/>
          <w:highlight w:val="none"/>
        </w:rPr>
      </w:pPr>
    </w:p>
    <w:p w14:paraId="02C444E5">
      <w:pPr>
        <w:pStyle w:val="21"/>
        <w:rPr>
          <w:rFonts w:hint="eastAsia" w:ascii="宋体" w:hAnsi="宋体" w:eastAsia="宋体" w:cs="宋体"/>
          <w:color w:val="auto"/>
          <w:highlight w:val="none"/>
        </w:rPr>
      </w:pPr>
    </w:p>
    <w:p w14:paraId="3E93B43F">
      <w:pPr>
        <w:rPr>
          <w:rFonts w:hint="eastAsia" w:ascii="宋体" w:hAnsi="宋体" w:cs="宋体"/>
          <w:color w:val="auto"/>
          <w:highlight w:val="none"/>
        </w:rPr>
      </w:pPr>
    </w:p>
    <w:p w14:paraId="4376B16D">
      <w:pPr>
        <w:pStyle w:val="22"/>
        <w:rPr>
          <w:rFonts w:hint="eastAsia" w:ascii="宋体" w:hAnsi="宋体" w:eastAsia="宋体" w:cs="宋体"/>
          <w:color w:val="auto"/>
          <w:highlight w:val="none"/>
        </w:rPr>
      </w:pPr>
    </w:p>
    <w:p w14:paraId="3B817997">
      <w:pPr>
        <w:pStyle w:val="28"/>
        <w:numPr>
          <w:ilvl w:val="0"/>
          <w:numId w:val="3"/>
        </w:numPr>
        <w:tabs>
          <w:tab w:val="left" w:pos="2740"/>
        </w:tabs>
        <w:ind w:leftChars="0" w:firstLine="851" w:firstLineChars="265"/>
        <w:outlineLvl w:val="0"/>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bookmarkStart w:id="123" w:name="_Toc12313"/>
      <w:bookmarkStart w:id="124" w:name="_Toc20521"/>
      <w:bookmarkStart w:id="125" w:name="_Toc12954"/>
      <w:r>
        <w:rPr>
          <w:rFonts w:hint="eastAsia" w:ascii="宋体" w:hAnsi="宋体" w:eastAsia="宋体" w:cs="宋体"/>
          <w:b/>
          <w:bCs/>
          <w:color w:val="auto"/>
          <w:sz w:val="32"/>
          <w:highlight w:val="none"/>
        </w:rPr>
        <w:t>投标人须知</w:t>
      </w:r>
      <w:bookmarkEnd w:id="122"/>
      <w:bookmarkEnd w:id="123"/>
      <w:bookmarkEnd w:id="124"/>
      <w:bookmarkEnd w:id="125"/>
    </w:p>
    <w:p w14:paraId="71226B45">
      <w:pPr>
        <w:pStyle w:val="5"/>
        <w:spacing w:before="240" w:after="240" w:line="300" w:lineRule="exact"/>
        <w:ind w:firstLine="562"/>
        <w:jc w:val="center"/>
        <w:rPr>
          <w:rFonts w:hint="eastAsia" w:ascii="宋体" w:hAnsi="宋体" w:eastAsia="宋体" w:cs="宋体"/>
          <w:color w:val="auto"/>
          <w:sz w:val="28"/>
          <w:szCs w:val="28"/>
          <w:highlight w:val="none"/>
        </w:rPr>
      </w:pPr>
      <w:bookmarkStart w:id="126" w:name="_Toc55212778"/>
      <w:r>
        <w:rPr>
          <w:rFonts w:hint="eastAsia" w:ascii="宋体" w:hAnsi="宋体" w:eastAsia="宋体" w:cs="宋体"/>
          <w:color w:val="auto"/>
          <w:sz w:val="28"/>
          <w:szCs w:val="28"/>
          <w:highlight w:val="none"/>
        </w:rPr>
        <w:t>前列表</w:t>
      </w:r>
      <w:bookmarkEnd w:id="126"/>
    </w:p>
    <w:tbl>
      <w:tblPr>
        <w:tblStyle w:val="52"/>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01"/>
        <w:gridCol w:w="2382"/>
        <w:gridCol w:w="1262"/>
        <w:gridCol w:w="3685"/>
      </w:tblGrid>
      <w:tr w14:paraId="3ED6E44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507A38F7">
            <w:pPr>
              <w:spacing w:line="400" w:lineRule="exact"/>
              <w:jc w:val="center"/>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序号</w:t>
            </w:r>
          </w:p>
        </w:tc>
        <w:tc>
          <w:tcPr>
            <w:tcW w:w="1701" w:type="dxa"/>
            <w:shd w:val="clear" w:color="auto" w:fill="FFFFFF"/>
            <w:vAlign w:val="center"/>
          </w:tcPr>
          <w:p w14:paraId="7BE84227">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须知项目</w:t>
            </w:r>
          </w:p>
        </w:tc>
        <w:tc>
          <w:tcPr>
            <w:tcW w:w="7329" w:type="dxa"/>
            <w:gridSpan w:val="3"/>
            <w:shd w:val="clear" w:color="auto" w:fill="FFFFFF"/>
            <w:vAlign w:val="center"/>
          </w:tcPr>
          <w:p w14:paraId="183EDDFD">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r>
      <w:tr w14:paraId="70C0AC3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712" w:type="dxa"/>
            <w:shd w:val="clear" w:color="auto" w:fill="FFFFFF"/>
            <w:vAlign w:val="center"/>
          </w:tcPr>
          <w:p w14:paraId="5500B942">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w:t>
            </w:r>
          </w:p>
        </w:tc>
        <w:tc>
          <w:tcPr>
            <w:tcW w:w="1701" w:type="dxa"/>
            <w:shd w:val="clear" w:color="auto" w:fill="FFFFFF"/>
            <w:vAlign w:val="center"/>
          </w:tcPr>
          <w:p w14:paraId="17CFF2AB">
            <w:pPr>
              <w:spacing w:line="400" w:lineRule="exac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项目名称</w:t>
            </w:r>
          </w:p>
        </w:tc>
        <w:tc>
          <w:tcPr>
            <w:tcW w:w="7329" w:type="dxa"/>
            <w:gridSpan w:val="3"/>
            <w:shd w:val="clear" w:color="auto" w:fill="FFFFFF"/>
            <w:vAlign w:val="center"/>
          </w:tcPr>
          <w:p w14:paraId="1F9D4DDC">
            <w:pPr>
              <w:spacing w:line="400" w:lineRule="exact"/>
              <w:rPr>
                <w:rFonts w:hint="eastAsia" w:ascii="宋体" w:hAnsi="宋体" w:cs="宋体"/>
                <w:b/>
                <w:bCs/>
                <w:color w:val="auto"/>
                <w:szCs w:val="21"/>
                <w:highlight w:val="none"/>
              </w:rPr>
            </w:pPr>
            <w:r>
              <w:rPr>
                <w:rFonts w:hint="eastAsia" w:ascii="宋体" w:hAnsi="宋体" w:cs="宋体"/>
                <w:color w:val="auto"/>
                <w:szCs w:val="21"/>
                <w:highlight w:val="none"/>
              </w:rPr>
              <w:t>丽水市新污染物试点监测项目</w:t>
            </w:r>
          </w:p>
        </w:tc>
      </w:tr>
      <w:tr w14:paraId="0D63E22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712" w:type="dxa"/>
            <w:vAlign w:val="center"/>
          </w:tcPr>
          <w:p w14:paraId="2A9AA147">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2</w:t>
            </w:r>
          </w:p>
        </w:tc>
        <w:tc>
          <w:tcPr>
            <w:tcW w:w="1701" w:type="dxa"/>
            <w:vAlign w:val="center"/>
          </w:tcPr>
          <w:p w14:paraId="0929F3BE">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采购人</w:t>
            </w:r>
          </w:p>
        </w:tc>
        <w:tc>
          <w:tcPr>
            <w:tcW w:w="7329" w:type="dxa"/>
            <w:gridSpan w:val="3"/>
            <w:vAlign w:val="center"/>
          </w:tcPr>
          <w:p w14:paraId="2978766C">
            <w:pPr>
              <w:spacing w:line="400" w:lineRule="exact"/>
              <w:rPr>
                <w:rFonts w:hint="eastAsia" w:ascii="宋体" w:hAnsi="宋体" w:cs="宋体"/>
                <w:bCs/>
                <w:color w:val="auto"/>
                <w:szCs w:val="21"/>
                <w:highlight w:val="none"/>
              </w:rPr>
            </w:pPr>
            <w:r>
              <w:rPr>
                <w:rFonts w:hint="eastAsia" w:ascii="宋体" w:hAnsi="宋体" w:cs="宋体"/>
                <w:color w:val="auto"/>
                <w:szCs w:val="21"/>
                <w:highlight w:val="none"/>
              </w:rPr>
              <w:t>丽水市生态环境局</w:t>
            </w:r>
          </w:p>
        </w:tc>
      </w:tr>
      <w:tr w14:paraId="3F45140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712" w:type="dxa"/>
            <w:vAlign w:val="center"/>
          </w:tcPr>
          <w:p w14:paraId="4BE6DE1C">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3</w:t>
            </w:r>
          </w:p>
        </w:tc>
        <w:tc>
          <w:tcPr>
            <w:tcW w:w="1701" w:type="dxa"/>
            <w:vAlign w:val="center"/>
          </w:tcPr>
          <w:p w14:paraId="72E3B501">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采购代理机构</w:t>
            </w:r>
          </w:p>
        </w:tc>
        <w:tc>
          <w:tcPr>
            <w:tcW w:w="7329" w:type="dxa"/>
            <w:gridSpan w:val="3"/>
            <w:vAlign w:val="center"/>
          </w:tcPr>
          <w:p w14:paraId="24A3E997">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浙江大兴建设项目管理咨询有限公司</w:t>
            </w:r>
          </w:p>
        </w:tc>
      </w:tr>
      <w:tr w14:paraId="5228A888">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712" w:type="dxa"/>
            <w:vAlign w:val="center"/>
          </w:tcPr>
          <w:p w14:paraId="581D5582">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4</w:t>
            </w:r>
          </w:p>
        </w:tc>
        <w:tc>
          <w:tcPr>
            <w:tcW w:w="1701" w:type="dxa"/>
            <w:vAlign w:val="center"/>
          </w:tcPr>
          <w:p w14:paraId="786652AF">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采购方式</w:t>
            </w:r>
          </w:p>
        </w:tc>
        <w:tc>
          <w:tcPr>
            <w:tcW w:w="2382" w:type="dxa"/>
            <w:vAlign w:val="center"/>
          </w:tcPr>
          <w:p w14:paraId="087F0A73">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公开招标</w:t>
            </w:r>
          </w:p>
        </w:tc>
        <w:tc>
          <w:tcPr>
            <w:tcW w:w="1262" w:type="dxa"/>
            <w:vAlign w:val="center"/>
          </w:tcPr>
          <w:p w14:paraId="0CC08F75">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组织方式</w:t>
            </w:r>
          </w:p>
        </w:tc>
        <w:tc>
          <w:tcPr>
            <w:tcW w:w="3685" w:type="dxa"/>
            <w:vAlign w:val="center"/>
          </w:tcPr>
          <w:p w14:paraId="524C3F63">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分散采购委托中介</w:t>
            </w:r>
          </w:p>
        </w:tc>
      </w:tr>
      <w:tr w14:paraId="197BE3C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32" w:hRule="exact"/>
          <w:jc w:val="center"/>
        </w:trPr>
        <w:tc>
          <w:tcPr>
            <w:tcW w:w="712" w:type="dxa"/>
            <w:vAlign w:val="center"/>
          </w:tcPr>
          <w:p w14:paraId="7CD65500">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5</w:t>
            </w:r>
          </w:p>
        </w:tc>
        <w:tc>
          <w:tcPr>
            <w:tcW w:w="1701" w:type="dxa"/>
            <w:vAlign w:val="center"/>
          </w:tcPr>
          <w:p w14:paraId="4587DAE9">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资格审查方式</w:t>
            </w:r>
          </w:p>
        </w:tc>
        <w:tc>
          <w:tcPr>
            <w:tcW w:w="7329" w:type="dxa"/>
            <w:gridSpan w:val="3"/>
            <w:vAlign w:val="center"/>
          </w:tcPr>
          <w:p w14:paraId="07E5E481">
            <w:pPr>
              <w:spacing w:line="400" w:lineRule="exac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采用资格后审。</w:t>
            </w:r>
            <w:r>
              <w:rPr>
                <w:rFonts w:hint="eastAsia" w:ascii="宋体" w:hAnsi="宋体" w:cs="宋体"/>
                <w:color w:val="auto"/>
                <w:szCs w:val="21"/>
                <w:highlight w:val="none"/>
              </w:rPr>
              <w:t>投标人获取招标文件或提交投标文件不表明已获取投标资格。开标会上通过资格审查的投标人才具有投标资格。</w:t>
            </w:r>
          </w:p>
        </w:tc>
      </w:tr>
      <w:tr w14:paraId="32AD7C4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2" w:hRule="exact"/>
          <w:jc w:val="center"/>
        </w:trPr>
        <w:tc>
          <w:tcPr>
            <w:tcW w:w="712" w:type="dxa"/>
            <w:vAlign w:val="center"/>
          </w:tcPr>
          <w:p w14:paraId="40DD5A79">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6</w:t>
            </w:r>
          </w:p>
        </w:tc>
        <w:tc>
          <w:tcPr>
            <w:tcW w:w="1701" w:type="dxa"/>
            <w:vAlign w:val="center"/>
          </w:tcPr>
          <w:p w14:paraId="06E4BB5D">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投标有效期</w:t>
            </w:r>
          </w:p>
        </w:tc>
        <w:tc>
          <w:tcPr>
            <w:tcW w:w="7329" w:type="dxa"/>
            <w:gridSpan w:val="3"/>
            <w:vAlign w:val="center"/>
          </w:tcPr>
          <w:p w14:paraId="0FF48560">
            <w:pPr>
              <w:spacing w:line="400" w:lineRule="exac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提交投标文件的截止之日起90日内有效</w:t>
            </w:r>
          </w:p>
        </w:tc>
      </w:tr>
      <w:tr w14:paraId="2069A63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61" w:hRule="exact"/>
          <w:jc w:val="center"/>
        </w:trPr>
        <w:tc>
          <w:tcPr>
            <w:tcW w:w="712" w:type="dxa"/>
            <w:vAlign w:val="center"/>
          </w:tcPr>
          <w:p w14:paraId="4484B549">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7</w:t>
            </w:r>
          </w:p>
        </w:tc>
        <w:tc>
          <w:tcPr>
            <w:tcW w:w="1701" w:type="dxa"/>
            <w:vAlign w:val="center"/>
          </w:tcPr>
          <w:p w14:paraId="322B8C09">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招标文件质疑</w:t>
            </w:r>
          </w:p>
        </w:tc>
        <w:tc>
          <w:tcPr>
            <w:tcW w:w="7329" w:type="dxa"/>
            <w:gridSpan w:val="3"/>
            <w:vAlign w:val="center"/>
          </w:tcPr>
          <w:p w14:paraId="4BA7F8E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1.只有通过电子交易平台“潜在投标人”栏获取招标文件的投标人才能对招标文件提出质疑（质疑时间详见前附表），否则不予受理；</w:t>
            </w:r>
          </w:p>
          <w:p w14:paraId="06059D21">
            <w:pPr>
              <w:spacing w:line="400" w:lineRule="exact"/>
              <w:rPr>
                <w:rFonts w:hint="eastAsia" w:ascii="宋体" w:hAnsi="宋体" w:cs="宋体"/>
                <w:bCs/>
                <w:color w:val="auto"/>
                <w:szCs w:val="21"/>
                <w:highlight w:val="none"/>
              </w:rPr>
            </w:pPr>
            <w:r>
              <w:rPr>
                <w:rFonts w:hint="eastAsia" w:ascii="宋体" w:hAnsi="宋体" w:cs="宋体"/>
                <w:color w:val="auto"/>
                <w:szCs w:val="21"/>
                <w:highlight w:val="none"/>
              </w:rPr>
              <w:t>2.质疑期限为自获取招标文件或者招标公告期限届满之日（招标公告届满日为公告发布后的第6个工作日）起7个工作日内且应当在投标截止时间之前提出，否则被质疑人可以不予接受。投标人应以书面形式向采购人和采购代理机构一次性提出质疑。</w:t>
            </w:r>
          </w:p>
        </w:tc>
      </w:tr>
      <w:tr w14:paraId="75111442">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712" w:type="dxa"/>
            <w:vAlign w:val="center"/>
          </w:tcPr>
          <w:p w14:paraId="101AAB22">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8</w:t>
            </w:r>
          </w:p>
        </w:tc>
        <w:tc>
          <w:tcPr>
            <w:tcW w:w="1701" w:type="dxa"/>
            <w:vAlign w:val="center"/>
          </w:tcPr>
          <w:p w14:paraId="6A23E355">
            <w:pPr>
              <w:spacing w:line="400" w:lineRule="exact"/>
              <w:jc w:val="left"/>
              <w:rPr>
                <w:rFonts w:hint="eastAsia" w:ascii="宋体" w:hAnsi="宋体" w:cs="宋体"/>
                <w:bCs/>
                <w:snapToGrid w:val="0"/>
                <w:color w:val="auto"/>
                <w:szCs w:val="21"/>
                <w:highlight w:val="none"/>
              </w:rPr>
            </w:pPr>
            <w:r>
              <w:rPr>
                <w:rFonts w:hint="eastAsia" w:ascii="宋体" w:hAnsi="宋体" w:cs="宋体"/>
                <w:color w:val="auto"/>
                <w:szCs w:val="21"/>
                <w:highlight w:val="none"/>
              </w:rPr>
              <w:t>招标文件澄清或修改时间</w:t>
            </w:r>
          </w:p>
        </w:tc>
        <w:tc>
          <w:tcPr>
            <w:tcW w:w="7329" w:type="dxa"/>
            <w:gridSpan w:val="3"/>
            <w:vAlign w:val="center"/>
          </w:tcPr>
          <w:p w14:paraId="7DD5259E">
            <w:pPr>
              <w:spacing w:line="400" w:lineRule="exact"/>
              <w:rPr>
                <w:rFonts w:hint="eastAsia" w:ascii="宋体" w:hAnsi="宋体" w:cs="宋体"/>
                <w:bCs/>
                <w:snapToGrid w:val="0"/>
                <w:color w:val="auto"/>
                <w:szCs w:val="21"/>
                <w:highlight w:val="none"/>
              </w:rPr>
            </w:pPr>
            <w:r>
              <w:rPr>
                <w:rFonts w:hint="eastAsia" w:ascii="宋体" w:hAnsi="宋体" w:cs="宋体"/>
                <w:color w:val="auto"/>
                <w:szCs w:val="21"/>
                <w:highlight w:val="none"/>
              </w:rPr>
              <w:t>投标截止时间15日前，发布网址同招标公告发布网址。</w:t>
            </w:r>
          </w:p>
        </w:tc>
      </w:tr>
      <w:tr w14:paraId="6D3B804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712" w:type="dxa"/>
            <w:vAlign w:val="center"/>
          </w:tcPr>
          <w:p w14:paraId="2B431D8A">
            <w:pPr>
              <w:spacing w:line="400" w:lineRule="exact"/>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9</w:t>
            </w:r>
          </w:p>
        </w:tc>
        <w:tc>
          <w:tcPr>
            <w:tcW w:w="1701" w:type="dxa"/>
            <w:vAlign w:val="center"/>
          </w:tcPr>
          <w:p w14:paraId="48D110D2">
            <w:pPr>
              <w:spacing w:line="400" w:lineRule="exact"/>
              <w:jc w:val="left"/>
              <w:rPr>
                <w:rFonts w:hint="eastAsia" w:ascii="宋体" w:hAnsi="宋体" w:cs="宋体"/>
                <w:b/>
                <w:bCs/>
                <w:snapToGrid w:val="0"/>
                <w:color w:val="auto"/>
                <w:szCs w:val="21"/>
                <w:highlight w:val="none"/>
              </w:rPr>
            </w:pPr>
            <w:r>
              <w:rPr>
                <w:rFonts w:hint="eastAsia" w:ascii="宋体" w:hAnsi="宋体" w:cs="宋体"/>
                <w:bCs/>
                <w:snapToGrid w:val="0"/>
                <w:color w:val="auto"/>
                <w:szCs w:val="21"/>
                <w:highlight w:val="none"/>
              </w:rPr>
              <w:t>投标文件提交</w:t>
            </w:r>
          </w:p>
        </w:tc>
        <w:tc>
          <w:tcPr>
            <w:tcW w:w="7329" w:type="dxa"/>
            <w:gridSpan w:val="3"/>
            <w:vAlign w:val="center"/>
          </w:tcPr>
          <w:p w14:paraId="177F3264">
            <w:pPr>
              <w:pStyle w:val="202"/>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1.接收人：浙江大兴建设项目管理咨询有限公司； </w:t>
            </w:r>
          </w:p>
          <w:p w14:paraId="05BCE19A">
            <w:pPr>
              <w:spacing w:line="400" w:lineRule="exact"/>
              <w:ind w:left="103" w:hanging="102" w:hangingChars="49"/>
              <w:rPr>
                <w:rFonts w:hint="eastAsia" w:ascii="宋体" w:hAnsi="宋体" w:cs="宋体"/>
                <w:color w:val="auto"/>
                <w:szCs w:val="21"/>
                <w:highlight w:val="none"/>
              </w:rPr>
            </w:pPr>
            <w:r>
              <w:rPr>
                <w:rFonts w:hint="eastAsia" w:ascii="宋体" w:hAnsi="宋体" w:cs="宋体"/>
                <w:color w:val="auto"/>
                <w:szCs w:val="21"/>
                <w:highlight w:val="none"/>
              </w:rPr>
              <w:t>2.提交投标文件截止时间（即投标截止时间）：</w:t>
            </w:r>
            <w:r>
              <w:rPr>
                <w:rFonts w:hint="eastAsia" w:ascii="宋体" w:hAnsi="宋体" w:cs="宋体"/>
                <w:b/>
                <w:color w:val="auto"/>
                <w:szCs w:val="21"/>
                <w:highlight w:val="none"/>
                <w:u w:val="single"/>
              </w:rPr>
              <w:t>2024年</w:t>
            </w:r>
            <w:r>
              <w:rPr>
                <w:rFonts w:hint="eastAsia" w:ascii="宋体" w:hAnsi="宋体" w:cs="宋体"/>
                <w:b/>
                <w:color w:val="auto"/>
                <w:szCs w:val="21"/>
                <w:highlight w:val="none"/>
                <w:u w:val="single"/>
                <w:lang w:val="en-US" w:eastAsia="zh-CN"/>
              </w:rPr>
              <w:t>9</w:t>
            </w:r>
            <w:r>
              <w:rPr>
                <w:rFonts w:hint="eastAsia" w:ascii="宋体" w:hAnsi="宋体" w:cs="宋体"/>
                <w:b/>
                <w:color w:val="auto"/>
                <w:szCs w:val="21"/>
                <w:highlight w:val="none"/>
                <w:u w:val="single"/>
              </w:rPr>
              <w:t>月</w:t>
            </w:r>
            <w:r>
              <w:rPr>
                <w:rFonts w:hint="eastAsia" w:ascii="宋体" w:hAnsi="宋体" w:cs="宋体"/>
                <w:b/>
                <w:color w:val="auto"/>
                <w:szCs w:val="21"/>
                <w:highlight w:val="none"/>
                <w:u w:val="single"/>
                <w:lang w:val="en-US" w:eastAsia="zh-CN"/>
              </w:rPr>
              <w:t>6</w:t>
            </w:r>
            <w:r>
              <w:rPr>
                <w:rFonts w:hint="eastAsia" w:ascii="宋体" w:hAnsi="宋体" w:cs="宋体"/>
                <w:b/>
                <w:color w:val="auto"/>
                <w:szCs w:val="21"/>
                <w:highlight w:val="none"/>
                <w:u w:val="single"/>
              </w:rPr>
              <w:t>日9时00分；</w:t>
            </w:r>
          </w:p>
          <w:p w14:paraId="3A27780F">
            <w:pPr>
              <w:tabs>
                <w:tab w:val="left" w:pos="0"/>
                <w:tab w:val="left" w:pos="1134"/>
              </w:tabs>
              <w:adjustRightInd w:val="0"/>
              <w:snapToGrid w:val="0"/>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3.提交投标文件地点：</w:t>
            </w:r>
          </w:p>
          <w:p w14:paraId="1735AA3F">
            <w:pPr>
              <w:pStyle w:val="29"/>
              <w:adjustRightInd w:val="0"/>
              <w:snapToGrid w:val="0"/>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（1）电子投标文件：投标截止时间前在政采云平台完成电子投标文件的传输提交；</w:t>
            </w:r>
          </w:p>
          <w:p w14:paraId="00D101B7">
            <w:pPr>
              <w:pStyle w:val="29"/>
              <w:adjustRightInd w:val="0"/>
              <w:snapToGrid w:val="0"/>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 xml:space="preserve">（2）备份投标文件：备份投标文件是否提交由投标人自行决定，如不提交的，当电子投标文件无法解密时，将导致无备份投标文件而失去投标资格。如提交备份投标文件的，应在投标截止时间前将最后生成的具有电子签章的备份投标文件通过电子邮件方式传送至代理机构邮箱（857344410@qq.com），传送的备份投标文件须打包压缩并加密，加密密码由投标人自行保管，压缩包命名为“备份投标文件”，并在邮件中注明项目名称及投标人名称。 </w:t>
            </w:r>
          </w:p>
        </w:tc>
      </w:tr>
      <w:tr w14:paraId="484C9D4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712" w:type="dxa"/>
            <w:shd w:val="clear" w:color="auto" w:fill="FFFFFF"/>
            <w:vAlign w:val="center"/>
          </w:tcPr>
          <w:p w14:paraId="1EB40EFD">
            <w:pPr>
              <w:spacing w:line="400" w:lineRule="exact"/>
              <w:jc w:val="center"/>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序号</w:t>
            </w:r>
          </w:p>
        </w:tc>
        <w:tc>
          <w:tcPr>
            <w:tcW w:w="1701" w:type="dxa"/>
            <w:shd w:val="clear" w:color="auto" w:fill="FFFFFF"/>
            <w:vAlign w:val="center"/>
          </w:tcPr>
          <w:p w14:paraId="7CAFC8F6">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须知项目</w:t>
            </w:r>
          </w:p>
        </w:tc>
        <w:tc>
          <w:tcPr>
            <w:tcW w:w="7329" w:type="dxa"/>
            <w:gridSpan w:val="3"/>
            <w:shd w:val="clear" w:color="auto" w:fill="FFFFFF"/>
            <w:vAlign w:val="center"/>
          </w:tcPr>
          <w:p w14:paraId="7EBD8963">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r>
      <w:tr w14:paraId="196366AE">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11" w:hRule="exact"/>
          <w:jc w:val="center"/>
        </w:trPr>
        <w:tc>
          <w:tcPr>
            <w:tcW w:w="712" w:type="dxa"/>
            <w:vAlign w:val="center"/>
          </w:tcPr>
          <w:p w14:paraId="3E3A0EBF">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10</w:t>
            </w:r>
          </w:p>
        </w:tc>
        <w:tc>
          <w:tcPr>
            <w:tcW w:w="1701" w:type="dxa"/>
            <w:vAlign w:val="center"/>
          </w:tcPr>
          <w:p w14:paraId="54549572">
            <w:pPr>
              <w:spacing w:line="480" w:lineRule="auto"/>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开标时间及地点</w:t>
            </w:r>
          </w:p>
        </w:tc>
        <w:tc>
          <w:tcPr>
            <w:tcW w:w="7329" w:type="dxa"/>
            <w:gridSpan w:val="3"/>
            <w:vAlign w:val="center"/>
          </w:tcPr>
          <w:p w14:paraId="4BF60B02">
            <w:pPr>
              <w:spacing w:line="480" w:lineRule="auto"/>
              <w:rPr>
                <w:rFonts w:hint="eastAsia" w:ascii="宋体" w:hAnsi="宋体" w:cs="宋体"/>
                <w:b/>
                <w:color w:val="auto"/>
                <w:szCs w:val="21"/>
                <w:highlight w:val="none"/>
              </w:rPr>
            </w:pPr>
            <w:r>
              <w:rPr>
                <w:rFonts w:hint="eastAsia" w:ascii="宋体" w:hAnsi="宋体" w:cs="宋体"/>
                <w:b/>
                <w:color w:val="auto"/>
                <w:szCs w:val="21"/>
                <w:highlight w:val="none"/>
                <w:u w:val="single"/>
              </w:rPr>
              <w:t>开标时间：同投标截止时间</w:t>
            </w:r>
            <w:r>
              <w:rPr>
                <w:rFonts w:hint="eastAsia" w:ascii="宋体" w:hAnsi="宋体" w:cs="宋体"/>
                <w:b/>
                <w:color w:val="auto"/>
                <w:szCs w:val="21"/>
                <w:highlight w:val="none"/>
              </w:rPr>
              <w:t>；</w:t>
            </w:r>
          </w:p>
          <w:p w14:paraId="39112857">
            <w:pPr>
              <w:pStyle w:val="29"/>
              <w:adjustRightInd w:val="0"/>
              <w:snapToGrid w:val="0"/>
              <w:spacing w:line="480" w:lineRule="auto"/>
              <w:ind w:right="42" w:rightChars="20"/>
              <w:rPr>
                <w:rFonts w:hint="eastAsia" w:hAnsi="宋体" w:cs="宋体"/>
                <w:color w:val="auto"/>
                <w:szCs w:val="21"/>
                <w:highlight w:val="none"/>
              </w:rPr>
            </w:pPr>
            <w:r>
              <w:rPr>
                <w:rFonts w:hint="eastAsia" w:hAnsi="宋体" w:cs="宋体"/>
                <w:color w:val="auto"/>
                <w:szCs w:val="21"/>
                <w:highlight w:val="none"/>
              </w:rPr>
              <w:t>开标地点（网址）：政府采购云平台（https://www.zcygov.cn）。</w:t>
            </w:r>
          </w:p>
          <w:p w14:paraId="62455890">
            <w:pPr>
              <w:spacing w:line="480" w:lineRule="auto"/>
              <w:rPr>
                <w:rFonts w:hint="eastAsia" w:ascii="宋体" w:hAnsi="宋体" w:cs="宋体"/>
                <w:color w:val="auto"/>
                <w:szCs w:val="21"/>
                <w:highlight w:val="none"/>
              </w:rPr>
            </w:pPr>
          </w:p>
        </w:tc>
      </w:tr>
      <w:tr w14:paraId="075A4920">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10" w:hRule="exact"/>
          <w:jc w:val="center"/>
        </w:trPr>
        <w:tc>
          <w:tcPr>
            <w:tcW w:w="712" w:type="dxa"/>
            <w:vAlign w:val="center"/>
          </w:tcPr>
          <w:p w14:paraId="1566D6F0">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11</w:t>
            </w:r>
          </w:p>
        </w:tc>
        <w:tc>
          <w:tcPr>
            <w:tcW w:w="1701" w:type="dxa"/>
            <w:vAlign w:val="center"/>
          </w:tcPr>
          <w:p w14:paraId="255071BB">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中标结果公告及中标通知书</w:t>
            </w:r>
          </w:p>
        </w:tc>
        <w:tc>
          <w:tcPr>
            <w:tcW w:w="7329" w:type="dxa"/>
            <w:gridSpan w:val="3"/>
            <w:vAlign w:val="center"/>
          </w:tcPr>
          <w:p w14:paraId="1A27E3C9">
            <w:pPr>
              <w:snapToGrid w:val="0"/>
              <w:spacing w:line="480" w:lineRule="auto"/>
              <w:rPr>
                <w:rFonts w:hint="eastAsia" w:ascii="宋体" w:hAnsi="宋体" w:cs="宋体"/>
                <w:bCs/>
                <w:color w:val="auto"/>
                <w:szCs w:val="21"/>
                <w:highlight w:val="none"/>
              </w:rPr>
            </w:pPr>
            <w:r>
              <w:rPr>
                <w:rFonts w:hint="eastAsia" w:ascii="宋体" w:hAnsi="宋体" w:cs="宋体"/>
                <w:color w:val="auto"/>
                <w:szCs w:val="21"/>
                <w:highlight w:val="none"/>
              </w:rPr>
              <w:t>评审报告经采购人确认后2个工作日内，成交公告在浙江政府采购网（https://zfcg.czt.zj.gov.cn/）、丽水市公共资源交易网（https://lssggzy.lishui.gov.cn/）等媒体上发布，并同时发出成交通知书。</w:t>
            </w:r>
          </w:p>
        </w:tc>
      </w:tr>
      <w:tr w14:paraId="2AD8339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1" w:hRule="exact"/>
          <w:jc w:val="center"/>
        </w:trPr>
        <w:tc>
          <w:tcPr>
            <w:tcW w:w="712" w:type="dxa"/>
            <w:vAlign w:val="center"/>
          </w:tcPr>
          <w:p w14:paraId="2DB3FF75">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12</w:t>
            </w:r>
          </w:p>
        </w:tc>
        <w:tc>
          <w:tcPr>
            <w:tcW w:w="1701" w:type="dxa"/>
            <w:vAlign w:val="center"/>
          </w:tcPr>
          <w:p w14:paraId="6D5BF322">
            <w:pPr>
              <w:spacing w:line="480" w:lineRule="auto"/>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评标办法和细则</w:t>
            </w:r>
          </w:p>
        </w:tc>
        <w:tc>
          <w:tcPr>
            <w:tcW w:w="7329" w:type="dxa"/>
            <w:gridSpan w:val="3"/>
            <w:vAlign w:val="center"/>
          </w:tcPr>
          <w:p w14:paraId="7B8B5210">
            <w:pPr>
              <w:spacing w:line="480" w:lineRule="auto"/>
              <w:rPr>
                <w:rFonts w:hint="eastAsia" w:ascii="宋体" w:hAnsi="宋体" w:cs="宋体"/>
                <w:bCs/>
                <w:color w:val="auto"/>
                <w:szCs w:val="21"/>
                <w:highlight w:val="none"/>
              </w:rPr>
            </w:pPr>
            <w:r>
              <w:rPr>
                <w:rFonts w:hint="eastAsia" w:ascii="宋体" w:hAnsi="宋体" w:cs="宋体"/>
                <w:bCs/>
                <w:color w:val="auto"/>
                <w:szCs w:val="21"/>
                <w:highlight w:val="none"/>
              </w:rPr>
              <w:t>详见本招标文件第六章</w:t>
            </w:r>
          </w:p>
        </w:tc>
      </w:tr>
      <w:tr w14:paraId="3A19CFE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661" w:hRule="exact"/>
          <w:jc w:val="center"/>
        </w:trPr>
        <w:tc>
          <w:tcPr>
            <w:tcW w:w="712" w:type="dxa"/>
            <w:vAlign w:val="center"/>
          </w:tcPr>
          <w:p w14:paraId="4340D4FE">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13</w:t>
            </w:r>
          </w:p>
        </w:tc>
        <w:tc>
          <w:tcPr>
            <w:tcW w:w="1701" w:type="dxa"/>
            <w:vAlign w:val="center"/>
          </w:tcPr>
          <w:p w14:paraId="2937EEA4">
            <w:pPr>
              <w:spacing w:line="360" w:lineRule="auto"/>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采购标的及其对应的中小企业划分标准所属行业</w:t>
            </w:r>
          </w:p>
        </w:tc>
        <w:tc>
          <w:tcPr>
            <w:tcW w:w="7329" w:type="dxa"/>
            <w:gridSpan w:val="3"/>
            <w:vAlign w:val="center"/>
          </w:tcPr>
          <w:p w14:paraId="61CABF4D">
            <w:pPr>
              <w:autoSpaceDE w:val="0"/>
              <w:autoSpaceDN w:val="0"/>
              <w:spacing w:line="360" w:lineRule="auto"/>
              <w:jc w:val="left"/>
              <w:textAlignment w:val="bottom"/>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标的：</w:t>
            </w:r>
            <w:r>
              <w:rPr>
                <w:rFonts w:hint="eastAsia" w:ascii="宋体" w:hAnsi="宋体" w:cs="宋体"/>
                <w:bCs/>
                <w:snapToGrid w:val="0"/>
                <w:color w:val="auto"/>
                <w:szCs w:val="21"/>
                <w:highlight w:val="none"/>
                <w:u w:val="single"/>
              </w:rPr>
              <w:t>丽水市新污染物试点监测项目，属于其他未列明行业</w:t>
            </w:r>
            <w:r>
              <w:rPr>
                <w:rFonts w:hint="eastAsia" w:ascii="宋体" w:hAnsi="宋体" w:cs="宋体"/>
                <w:bCs/>
                <w:snapToGrid w:val="0"/>
                <w:color w:val="auto"/>
                <w:szCs w:val="21"/>
                <w:highlight w:val="none"/>
              </w:rPr>
              <w:t>。</w:t>
            </w:r>
          </w:p>
        </w:tc>
      </w:tr>
      <w:tr w14:paraId="52631A2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42" w:hRule="exact"/>
          <w:jc w:val="center"/>
        </w:trPr>
        <w:tc>
          <w:tcPr>
            <w:tcW w:w="712" w:type="dxa"/>
            <w:vAlign w:val="center"/>
          </w:tcPr>
          <w:p w14:paraId="0B48BB97">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14</w:t>
            </w:r>
          </w:p>
        </w:tc>
        <w:tc>
          <w:tcPr>
            <w:tcW w:w="1701" w:type="dxa"/>
            <w:vAlign w:val="center"/>
          </w:tcPr>
          <w:p w14:paraId="005142F6">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偏  离</w:t>
            </w:r>
          </w:p>
        </w:tc>
        <w:tc>
          <w:tcPr>
            <w:tcW w:w="7329" w:type="dxa"/>
            <w:gridSpan w:val="3"/>
            <w:vAlign w:val="center"/>
          </w:tcPr>
          <w:p w14:paraId="48828632">
            <w:pPr>
              <w:spacing w:line="400" w:lineRule="exact"/>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投标文件不允许实质性偏离和重大偏离</w:t>
            </w:r>
          </w:p>
        </w:tc>
      </w:tr>
      <w:tr w14:paraId="037511B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712" w:type="dxa"/>
            <w:vAlign w:val="center"/>
          </w:tcPr>
          <w:p w14:paraId="3EEF71A2">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15</w:t>
            </w:r>
          </w:p>
        </w:tc>
        <w:tc>
          <w:tcPr>
            <w:tcW w:w="1701" w:type="dxa"/>
            <w:vAlign w:val="center"/>
          </w:tcPr>
          <w:p w14:paraId="02E72C6C">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签订合同</w:t>
            </w:r>
          </w:p>
        </w:tc>
        <w:tc>
          <w:tcPr>
            <w:tcW w:w="7329" w:type="dxa"/>
            <w:gridSpan w:val="3"/>
            <w:vAlign w:val="center"/>
          </w:tcPr>
          <w:p w14:paraId="799FD32B">
            <w:pPr>
              <w:pStyle w:val="202"/>
              <w:spacing w:line="480" w:lineRule="auto"/>
              <w:rPr>
                <w:rFonts w:hint="eastAsia" w:ascii="宋体" w:hAnsi="宋体" w:cs="宋体"/>
                <w:bCs/>
                <w:color w:val="auto"/>
                <w:sz w:val="21"/>
                <w:szCs w:val="21"/>
                <w:highlight w:val="none"/>
              </w:rPr>
            </w:pPr>
            <w:r>
              <w:rPr>
                <w:rFonts w:hint="eastAsia" w:ascii="宋体" w:hAnsi="宋体" w:cs="宋体"/>
                <w:color w:val="auto"/>
                <w:sz w:val="21"/>
                <w:szCs w:val="21"/>
                <w:highlight w:val="none"/>
              </w:rPr>
              <w:t>中标通知书发出之日起30日内，按照招标文件确定的事项签订政府采购合同</w:t>
            </w:r>
          </w:p>
        </w:tc>
      </w:tr>
      <w:tr w14:paraId="5DEB0A5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46" w:hRule="exact"/>
          <w:jc w:val="center"/>
        </w:trPr>
        <w:tc>
          <w:tcPr>
            <w:tcW w:w="712" w:type="dxa"/>
            <w:vAlign w:val="center"/>
          </w:tcPr>
          <w:p w14:paraId="3D352BB0">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16</w:t>
            </w:r>
          </w:p>
        </w:tc>
        <w:tc>
          <w:tcPr>
            <w:tcW w:w="1701" w:type="dxa"/>
            <w:vAlign w:val="center"/>
          </w:tcPr>
          <w:p w14:paraId="3BD9DE19">
            <w:pPr>
              <w:widowControl/>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29" w:type="dxa"/>
            <w:gridSpan w:val="3"/>
            <w:vAlign w:val="center"/>
          </w:tcPr>
          <w:p w14:paraId="302A32C9">
            <w:pPr>
              <w:widowControl/>
              <w:spacing w:line="480" w:lineRule="auto"/>
              <w:jc w:val="left"/>
              <w:rPr>
                <w:rFonts w:hint="eastAsia" w:ascii="宋体" w:hAnsi="宋体" w:cs="宋体"/>
                <w:color w:val="auto"/>
                <w:szCs w:val="21"/>
                <w:highlight w:val="none"/>
              </w:rPr>
            </w:pPr>
            <w:r>
              <w:rPr>
                <w:rFonts w:hint="eastAsia" w:ascii="宋体" w:hAnsi="宋体" w:cs="宋体"/>
                <w:bCs/>
                <w:color w:val="auto"/>
                <w:szCs w:val="21"/>
                <w:highlight w:val="none"/>
              </w:rPr>
              <w:t>无</w:t>
            </w:r>
          </w:p>
        </w:tc>
      </w:tr>
      <w:tr w14:paraId="5A5F2EA5">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38" w:hRule="exact"/>
          <w:jc w:val="center"/>
        </w:trPr>
        <w:tc>
          <w:tcPr>
            <w:tcW w:w="712" w:type="dxa"/>
            <w:vAlign w:val="center"/>
          </w:tcPr>
          <w:p w14:paraId="1CF92DE3">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17</w:t>
            </w:r>
          </w:p>
        </w:tc>
        <w:tc>
          <w:tcPr>
            <w:tcW w:w="1701" w:type="dxa"/>
            <w:vAlign w:val="center"/>
          </w:tcPr>
          <w:p w14:paraId="1E62155D">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踏勘现场</w:t>
            </w:r>
          </w:p>
        </w:tc>
        <w:tc>
          <w:tcPr>
            <w:tcW w:w="7329" w:type="dxa"/>
            <w:gridSpan w:val="3"/>
            <w:vAlign w:val="center"/>
          </w:tcPr>
          <w:p w14:paraId="33DA5798">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不组织，投标人如有需要，经采购人同意后可自行前往，踏勘期间发生的费用或意外导致伤亡等一切责任和损失均由投标人自负</w:t>
            </w:r>
          </w:p>
        </w:tc>
      </w:tr>
      <w:tr w14:paraId="0827C8E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712" w:type="dxa"/>
            <w:vAlign w:val="center"/>
          </w:tcPr>
          <w:p w14:paraId="108D5446">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18</w:t>
            </w:r>
          </w:p>
        </w:tc>
        <w:tc>
          <w:tcPr>
            <w:tcW w:w="1701" w:type="dxa"/>
            <w:vAlign w:val="center"/>
          </w:tcPr>
          <w:p w14:paraId="18E6BD3A">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答疑会</w:t>
            </w:r>
          </w:p>
        </w:tc>
        <w:tc>
          <w:tcPr>
            <w:tcW w:w="7329" w:type="dxa"/>
            <w:gridSpan w:val="3"/>
            <w:vAlign w:val="center"/>
          </w:tcPr>
          <w:p w14:paraId="66F60B99">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不召开</w:t>
            </w:r>
          </w:p>
        </w:tc>
      </w:tr>
      <w:tr w14:paraId="47E443DD">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712" w:type="dxa"/>
            <w:vAlign w:val="center"/>
          </w:tcPr>
          <w:p w14:paraId="7952CAA3">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19</w:t>
            </w:r>
          </w:p>
        </w:tc>
        <w:tc>
          <w:tcPr>
            <w:tcW w:w="1701" w:type="dxa"/>
            <w:vAlign w:val="center"/>
          </w:tcPr>
          <w:p w14:paraId="7834BA0F">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投标文件的组成</w:t>
            </w:r>
          </w:p>
        </w:tc>
        <w:tc>
          <w:tcPr>
            <w:tcW w:w="7329" w:type="dxa"/>
            <w:gridSpan w:val="3"/>
            <w:vAlign w:val="center"/>
          </w:tcPr>
          <w:p w14:paraId="19D2D28E">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完整的《投标文件》由“资格文件”、“商务技术文件”和“报价文件”三部分组成</w:t>
            </w:r>
          </w:p>
        </w:tc>
      </w:tr>
      <w:tr w14:paraId="08E3765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7" w:hRule="exact"/>
          <w:jc w:val="center"/>
        </w:trPr>
        <w:tc>
          <w:tcPr>
            <w:tcW w:w="712" w:type="dxa"/>
            <w:vAlign w:val="center"/>
          </w:tcPr>
          <w:p w14:paraId="1B0C4A8E">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20</w:t>
            </w:r>
          </w:p>
        </w:tc>
        <w:tc>
          <w:tcPr>
            <w:tcW w:w="1701" w:type="dxa"/>
            <w:vAlign w:val="center"/>
          </w:tcPr>
          <w:p w14:paraId="4194F830">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投标文件</w:t>
            </w:r>
          </w:p>
          <w:p w14:paraId="0B0211AC">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装订要求</w:t>
            </w:r>
          </w:p>
        </w:tc>
        <w:tc>
          <w:tcPr>
            <w:tcW w:w="7329" w:type="dxa"/>
            <w:gridSpan w:val="3"/>
            <w:vAlign w:val="center"/>
          </w:tcPr>
          <w:p w14:paraId="696CAADB">
            <w:pPr>
              <w:spacing w:line="48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本项目投标时采用电子文件，不需提供纸质投标文件，无装订要求。</w:t>
            </w:r>
          </w:p>
        </w:tc>
      </w:tr>
      <w:tr w14:paraId="6788C5E1">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165" w:hRule="exact"/>
          <w:jc w:val="center"/>
        </w:trPr>
        <w:tc>
          <w:tcPr>
            <w:tcW w:w="712" w:type="dxa"/>
            <w:vAlign w:val="center"/>
          </w:tcPr>
          <w:p w14:paraId="193EC457">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21</w:t>
            </w:r>
          </w:p>
        </w:tc>
        <w:tc>
          <w:tcPr>
            <w:tcW w:w="1701" w:type="dxa"/>
            <w:vAlign w:val="center"/>
          </w:tcPr>
          <w:p w14:paraId="17FEF8F4">
            <w:pPr>
              <w:spacing w:line="480" w:lineRule="auto"/>
              <w:jc w:val="left"/>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发布媒体</w:t>
            </w:r>
          </w:p>
        </w:tc>
        <w:tc>
          <w:tcPr>
            <w:tcW w:w="7329" w:type="dxa"/>
            <w:gridSpan w:val="3"/>
            <w:vAlign w:val="center"/>
          </w:tcPr>
          <w:p w14:paraId="2BA156B9">
            <w:pPr>
              <w:snapToGrid w:val="0"/>
              <w:spacing w:line="360" w:lineRule="auto"/>
              <w:rPr>
                <w:rFonts w:hint="eastAsia" w:ascii="宋体" w:hAnsi="宋体" w:cs="宋体"/>
                <w:bCs/>
                <w:snapToGrid w:val="0"/>
                <w:color w:val="auto"/>
                <w:szCs w:val="21"/>
                <w:highlight w:val="none"/>
              </w:rPr>
            </w:pPr>
            <w:r>
              <w:rPr>
                <w:rFonts w:hint="eastAsia" w:ascii="宋体" w:hAnsi="宋体" w:cs="宋体"/>
                <w:color w:val="auto"/>
                <w:szCs w:val="21"/>
                <w:highlight w:val="none"/>
              </w:rPr>
              <w:t>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color w:val="auto"/>
                <w:szCs w:val="21"/>
                <w:highlight w:val="none"/>
              </w:rPr>
              <w:t>https://zfcg.czt.zj.gov.cn/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、丽水市公共资源交易网https://lssggzy.lishui.gov.cn/</w:t>
            </w:r>
          </w:p>
        </w:tc>
      </w:tr>
      <w:tr w14:paraId="1F05738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712" w:type="dxa"/>
            <w:vAlign w:val="center"/>
          </w:tcPr>
          <w:p w14:paraId="051C3E4E">
            <w:pPr>
              <w:spacing w:line="480" w:lineRule="auto"/>
              <w:jc w:val="center"/>
              <w:rPr>
                <w:rFonts w:hint="eastAsia" w:ascii="宋体" w:hAnsi="宋体" w:cs="宋体"/>
                <w:bCs/>
                <w:snapToGrid w:val="0"/>
                <w:color w:val="auto"/>
                <w:szCs w:val="21"/>
                <w:highlight w:val="none"/>
              </w:rPr>
            </w:pPr>
            <w:r>
              <w:rPr>
                <w:rFonts w:hint="eastAsia" w:ascii="宋体" w:hAnsi="宋体" w:cs="宋体"/>
                <w:bCs/>
                <w:snapToGrid w:val="0"/>
                <w:color w:val="auto"/>
                <w:szCs w:val="21"/>
                <w:highlight w:val="none"/>
              </w:rPr>
              <w:t>22</w:t>
            </w:r>
          </w:p>
        </w:tc>
        <w:tc>
          <w:tcPr>
            <w:tcW w:w="1701" w:type="dxa"/>
            <w:vAlign w:val="center"/>
          </w:tcPr>
          <w:p w14:paraId="278EE997">
            <w:pPr>
              <w:spacing w:line="480" w:lineRule="auto"/>
              <w:jc w:val="left"/>
              <w:rPr>
                <w:rFonts w:hint="eastAsia" w:ascii="宋体" w:hAnsi="宋体" w:cs="宋体"/>
                <w:bCs/>
                <w:snapToGrid w:val="0"/>
                <w:color w:val="auto"/>
                <w:szCs w:val="21"/>
                <w:highlight w:val="none"/>
              </w:rPr>
            </w:pPr>
            <w:r>
              <w:rPr>
                <w:rFonts w:hint="eastAsia" w:ascii="宋体" w:hAnsi="宋体" w:cs="宋体"/>
                <w:bCs/>
                <w:color w:val="auto"/>
                <w:szCs w:val="21"/>
                <w:highlight w:val="none"/>
              </w:rPr>
              <w:t>招标文件解释权</w:t>
            </w:r>
          </w:p>
        </w:tc>
        <w:tc>
          <w:tcPr>
            <w:tcW w:w="7329" w:type="dxa"/>
            <w:gridSpan w:val="3"/>
            <w:vAlign w:val="center"/>
          </w:tcPr>
          <w:p w14:paraId="30A402A0">
            <w:pPr>
              <w:spacing w:line="480" w:lineRule="auto"/>
              <w:rPr>
                <w:rFonts w:hint="eastAsia" w:ascii="宋体" w:hAnsi="宋体" w:cs="宋体"/>
                <w:bCs/>
                <w:snapToGrid w:val="0"/>
                <w:color w:val="auto"/>
                <w:szCs w:val="21"/>
                <w:highlight w:val="none"/>
              </w:rPr>
            </w:pPr>
            <w:r>
              <w:rPr>
                <w:rFonts w:hint="eastAsia" w:ascii="宋体" w:hAnsi="宋体" w:cs="宋体"/>
                <w:bCs/>
                <w:color w:val="auto"/>
                <w:szCs w:val="21"/>
                <w:highlight w:val="none"/>
              </w:rPr>
              <w:t>本项目招标文件的解释权属于</w:t>
            </w:r>
            <w:r>
              <w:rPr>
                <w:rFonts w:hint="eastAsia" w:ascii="宋体" w:hAnsi="宋体" w:cs="宋体"/>
                <w:color w:val="auto"/>
                <w:szCs w:val="21"/>
                <w:highlight w:val="none"/>
              </w:rPr>
              <w:t>浙江大兴建设项目管理咨询有限公司</w:t>
            </w:r>
          </w:p>
        </w:tc>
      </w:tr>
      <w:tr w14:paraId="6E929D2B">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712" w:type="dxa"/>
            <w:shd w:val="clear" w:color="auto" w:fill="FFFFFF"/>
            <w:vAlign w:val="center"/>
          </w:tcPr>
          <w:p w14:paraId="2F2D5C0E">
            <w:pPr>
              <w:spacing w:line="400" w:lineRule="exact"/>
              <w:jc w:val="center"/>
              <w:rPr>
                <w:rFonts w:hint="eastAsia" w:ascii="宋体" w:hAnsi="宋体" w:cs="宋体"/>
                <w:b/>
                <w:bCs/>
                <w:snapToGrid w:val="0"/>
                <w:color w:val="auto"/>
                <w:szCs w:val="21"/>
                <w:highlight w:val="none"/>
              </w:rPr>
            </w:pPr>
            <w:r>
              <w:rPr>
                <w:rFonts w:hint="eastAsia" w:ascii="宋体" w:hAnsi="宋体" w:cs="宋体"/>
                <w:b/>
                <w:bCs/>
                <w:snapToGrid w:val="0"/>
                <w:color w:val="auto"/>
                <w:szCs w:val="21"/>
                <w:highlight w:val="none"/>
              </w:rPr>
              <w:t>序号</w:t>
            </w:r>
          </w:p>
        </w:tc>
        <w:tc>
          <w:tcPr>
            <w:tcW w:w="1701" w:type="dxa"/>
            <w:shd w:val="clear" w:color="auto" w:fill="FFFFFF"/>
            <w:vAlign w:val="center"/>
          </w:tcPr>
          <w:p w14:paraId="7A315B66">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须知项目</w:t>
            </w:r>
          </w:p>
        </w:tc>
        <w:tc>
          <w:tcPr>
            <w:tcW w:w="7329" w:type="dxa"/>
            <w:gridSpan w:val="3"/>
            <w:shd w:val="clear" w:color="auto" w:fill="FFFFFF"/>
            <w:vAlign w:val="center"/>
          </w:tcPr>
          <w:p w14:paraId="528C61D9">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内容</w:t>
            </w:r>
          </w:p>
        </w:tc>
      </w:tr>
      <w:tr w14:paraId="4DD2F0EA">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662" w:hRule="exact"/>
          <w:jc w:val="center"/>
        </w:trPr>
        <w:tc>
          <w:tcPr>
            <w:tcW w:w="712" w:type="dxa"/>
            <w:vAlign w:val="center"/>
          </w:tcPr>
          <w:p w14:paraId="09A46493">
            <w:pPr>
              <w:spacing w:line="360" w:lineRule="exact"/>
              <w:jc w:val="center"/>
              <w:rPr>
                <w:rFonts w:hint="eastAsia" w:ascii="宋体" w:hAnsi="宋体" w:cs="宋体"/>
                <w:bCs/>
                <w:snapToGrid w:val="0"/>
                <w:color w:val="auto"/>
                <w:szCs w:val="21"/>
                <w:highlight w:val="none"/>
              </w:rPr>
            </w:pPr>
            <w:r>
              <w:rPr>
                <w:rFonts w:hint="eastAsia" w:ascii="宋体" w:hAnsi="宋体" w:cs="宋体"/>
                <w:bCs/>
                <w:color w:val="auto"/>
                <w:szCs w:val="21"/>
                <w:highlight w:val="none"/>
              </w:rPr>
              <w:t>23</w:t>
            </w:r>
          </w:p>
        </w:tc>
        <w:tc>
          <w:tcPr>
            <w:tcW w:w="1701" w:type="dxa"/>
            <w:vAlign w:val="center"/>
          </w:tcPr>
          <w:p w14:paraId="02B308E3">
            <w:pPr>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投标人信用信息 查询、存档与使用</w:t>
            </w:r>
          </w:p>
          <w:p w14:paraId="2968A9C2">
            <w:pPr>
              <w:spacing w:line="360" w:lineRule="exact"/>
              <w:jc w:val="left"/>
              <w:rPr>
                <w:rFonts w:hint="eastAsia" w:ascii="宋体" w:hAnsi="宋体" w:cs="宋体"/>
                <w:bCs/>
                <w:color w:val="auto"/>
                <w:szCs w:val="21"/>
                <w:highlight w:val="none"/>
              </w:rPr>
            </w:pPr>
          </w:p>
        </w:tc>
        <w:tc>
          <w:tcPr>
            <w:tcW w:w="7329" w:type="dxa"/>
            <w:gridSpan w:val="3"/>
            <w:vAlign w:val="center"/>
          </w:tcPr>
          <w:p w14:paraId="2F454149">
            <w:pPr>
              <w:spacing w:line="380" w:lineRule="exact"/>
              <w:rPr>
                <w:rFonts w:hint="eastAsia" w:ascii="宋体" w:hAnsi="宋体" w:cs="宋体"/>
                <w:color w:val="auto"/>
                <w:highlight w:val="none"/>
              </w:rPr>
            </w:pPr>
            <w:r>
              <w:rPr>
                <w:rFonts w:hint="eastAsia" w:ascii="宋体" w:hAnsi="宋体" w:cs="宋体"/>
                <w:color w:val="auto"/>
                <w:highlight w:val="none"/>
              </w:rPr>
              <w:t>根据《关于在政府采购活动中查询及使用信用记录有关问题的通知》财库[2016]125 号的规定：</w:t>
            </w:r>
          </w:p>
          <w:p w14:paraId="0EE654C8">
            <w:pPr>
              <w:spacing w:line="380" w:lineRule="exact"/>
              <w:rPr>
                <w:rFonts w:hint="eastAsia" w:ascii="宋体" w:hAnsi="宋体" w:cs="宋体"/>
                <w:color w:val="auto"/>
                <w:highlight w:val="none"/>
              </w:rPr>
            </w:pPr>
            <w:r>
              <w:rPr>
                <w:rFonts w:hint="eastAsia" w:ascii="宋体" w:hAnsi="宋体" w:cs="宋体"/>
                <w:color w:val="auto"/>
                <w:highlight w:val="none"/>
              </w:rPr>
              <w:t>（1）采购人或采购代理机构将对本项目投标人的信用信息进行查询。</w:t>
            </w:r>
          </w:p>
          <w:p w14:paraId="354F262B">
            <w:pPr>
              <w:spacing w:line="380" w:lineRule="exact"/>
              <w:rPr>
                <w:rFonts w:hint="eastAsia" w:ascii="宋体" w:hAnsi="宋体" w:cs="宋体"/>
                <w:color w:val="auto"/>
                <w:highlight w:val="none"/>
              </w:rPr>
            </w:pPr>
            <w:r>
              <w:rPr>
                <w:rFonts w:hint="eastAsia" w:ascii="宋体" w:hAnsi="宋体" w:cs="宋体"/>
                <w:color w:val="auto"/>
                <w:highlight w:val="none"/>
              </w:rPr>
              <w:t>（2）查询渠道为信用中国网站（www.creditchina.gov.cn）、中国政府采购网（www.ccgp.gov.cn）。</w:t>
            </w:r>
          </w:p>
          <w:p w14:paraId="38780B39">
            <w:pPr>
              <w:spacing w:line="380" w:lineRule="exact"/>
              <w:rPr>
                <w:rFonts w:hint="eastAsia" w:ascii="宋体" w:hAnsi="宋体" w:cs="宋体"/>
                <w:color w:val="auto"/>
                <w:highlight w:val="none"/>
              </w:rPr>
            </w:pPr>
            <w:r>
              <w:rPr>
                <w:rFonts w:hint="eastAsia" w:ascii="宋体" w:hAnsi="宋体" w:cs="宋体"/>
                <w:color w:val="auto"/>
                <w:highlight w:val="none"/>
              </w:rPr>
              <w:t>（3）列入失信被执行人名单、重大税收违法案件当事人名单、政府采购严重违法失信行为记录名单等投标人信用信息均将用于本项目。</w:t>
            </w:r>
          </w:p>
          <w:p w14:paraId="70536E1C">
            <w:pPr>
              <w:spacing w:line="380" w:lineRule="exact"/>
              <w:rPr>
                <w:rFonts w:hint="eastAsia" w:ascii="宋体" w:hAnsi="宋体" w:cs="宋体"/>
                <w:color w:val="auto"/>
                <w:highlight w:val="none"/>
              </w:rPr>
            </w:pPr>
            <w:r>
              <w:rPr>
                <w:rFonts w:hint="eastAsia" w:ascii="宋体" w:hAnsi="宋体" w:cs="宋体"/>
                <w:color w:val="auto"/>
                <w:highlight w:val="none"/>
              </w:rPr>
              <w:t>（4）招标代理机构经办人和监督人员将查询网页打印与其他招标文件一并保存。</w:t>
            </w:r>
          </w:p>
          <w:p w14:paraId="4BB4114C">
            <w:pPr>
              <w:spacing w:line="380" w:lineRule="exact"/>
              <w:rPr>
                <w:rFonts w:hint="eastAsia" w:ascii="宋体" w:hAnsi="宋体" w:cs="宋体"/>
                <w:color w:val="auto"/>
                <w:highlight w:val="none"/>
              </w:rPr>
            </w:pPr>
            <w:r>
              <w:rPr>
                <w:rFonts w:hint="eastAsia" w:ascii="宋体" w:hAnsi="宋体" w:cs="宋体"/>
                <w:color w:val="auto"/>
                <w:highlight w:val="none"/>
              </w:rPr>
              <w:t>（5）投标文件提交截止日当日网站显示的信用信息将作为评审和确定中标人的依据。</w:t>
            </w:r>
          </w:p>
          <w:p w14:paraId="56086474">
            <w:pPr>
              <w:spacing w:line="380" w:lineRule="exact"/>
              <w:rPr>
                <w:rFonts w:hint="eastAsia" w:ascii="宋体" w:hAnsi="宋体" w:cs="宋体"/>
                <w:bCs/>
                <w:color w:val="auto"/>
                <w:kern w:val="0"/>
                <w:szCs w:val="21"/>
                <w:highlight w:val="none"/>
              </w:rPr>
            </w:pPr>
            <w:r>
              <w:rPr>
                <w:rFonts w:hint="eastAsia" w:ascii="宋体" w:hAnsi="宋体" w:cs="宋体"/>
                <w:color w:val="auto"/>
                <w:highlight w:val="none"/>
              </w:rPr>
              <w:t>（6）</w:t>
            </w:r>
            <w:r>
              <w:rPr>
                <w:rFonts w:hint="eastAsia" w:ascii="宋体" w:hAnsi="宋体" w:cs="宋体"/>
                <w:bCs/>
                <w:color w:val="auto"/>
                <w:kern w:val="0"/>
                <w:szCs w:val="21"/>
                <w:highlight w:val="none"/>
              </w:rPr>
              <w:t>联合体成员存在以上不良信用记录的，视同联合体存在不良信用记录。</w:t>
            </w:r>
          </w:p>
          <w:p w14:paraId="1B0299CC">
            <w:pPr>
              <w:pStyle w:val="5"/>
              <w:rPr>
                <w:rFonts w:hint="eastAsia" w:ascii="宋体" w:hAnsi="宋体" w:eastAsia="宋体" w:cs="宋体"/>
                <w:color w:val="auto"/>
                <w:highlight w:val="none"/>
              </w:rPr>
            </w:pPr>
          </w:p>
        </w:tc>
      </w:tr>
      <w:tr w14:paraId="44BDF329">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740" w:hRule="exact"/>
          <w:jc w:val="center"/>
        </w:trPr>
        <w:tc>
          <w:tcPr>
            <w:tcW w:w="712" w:type="dxa"/>
            <w:vAlign w:val="center"/>
          </w:tcPr>
          <w:p w14:paraId="307117A0">
            <w:pPr>
              <w:spacing w:line="400" w:lineRule="exact"/>
              <w:jc w:val="center"/>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24</w:t>
            </w:r>
          </w:p>
        </w:tc>
        <w:tc>
          <w:tcPr>
            <w:tcW w:w="1701" w:type="dxa"/>
            <w:vAlign w:val="center"/>
          </w:tcPr>
          <w:p w14:paraId="7DA42E1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     服务费</w:t>
            </w:r>
          </w:p>
        </w:tc>
        <w:tc>
          <w:tcPr>
            <w:tcW w:w="7329" w:type="dxa"/>
            <w:gridSpan w:val="3"/>
            <w:vAlign w:val="center"/>
          </w:tcPr>
          <w:p w14:paraId="1E880CF5">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采购代理服务费金额：由中标人支付代理服务费，费用以标项中标金额为计算基数，按下表服务招标收费标准的80%计取（不足5000元的按5000元计取），采用差额累计法计算，中标人在成交公告发布之日起5个工作日之内向采购代理机构一次性付清。</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4923"/>
            </w:tblGrid>
            <w:tr w14:paraId="51A6C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092" w:type="dxa"/>
                  <w:vAlign w:val="center"/>
                </w:tcPr>
                <w:p w14:paraId="6465D144">
                  <w:pPr>
                    <w:spacing w:line="400" w:lineRule="exact"/>
                    <w:ind w:firstLine="211"/>
                    <w:jc w:val="center"/>
                    <w:rPr>
                      <w:rFonts w:hint="eastAsia" w:ascii="宋体" w:hAnsi="宋体" w:cs="宋体"/>
                      <w:b/>
                      <w:color w:val="auto"/>
                      <w:szCs w:val="21"/>
                      <w:highlight w:val="none"/>
                    </w:rPr>
                  </w:pPr>
                  <w:r>
                    <w:rPr>
                      <w:rFonts w:hint="eastAsia" w:ascii="宋体" w:hAnsi="宋体" w:cs="宋体"/>
                      <w:b/>
                      <w:color w:val="auto"/>
                      <w:szCs w:val="21"/>
                      <w:highlight w:val="none"/>
                    </w:rPr>
                    <w:t>成交金额（万元）</w:t>
                  </w:r>
                </w:p>
              </w:tc>
              <w:tc>
                <w:tcPr>
                  <w:tcW w:w="4923" w:type="dxa"/>
                  <w:vAlign w:val="center"/>
                </w:tcPr>
                <w:p w14:paraId="311A1BBC">
                  <w:pPr>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服务招标</w:t>
                  </w:r>
                </w:p>
              </w:tc>
            </w:tr>
            <w:tr w14:paraId="6976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92" w:type="dxa"/>
                  <w:vAlign w:val="center"/>
                </w:tcPr>
                <w:p w14:paraId="05885134">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100以下</w:t>
                  </w:r>
                </w:p>
              </w:tc>
              <w:tc>
                <w:tcPr>
                  <w:tcW w:w="4923" w:type="dxa"/>
                  <w:vAlign w:val="center"/>
                </w:tcPr>
                <w:p w14:paraId="599FFB40">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1.5%</w:t>
                  </w:r>
                </w:p>
              </w:tc>
            </w:tr>
            <w:tr w14:paraId="0B88A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2" w:type="dxa"/>
                  <w:vAlign w:val="center"/>
                </w:tcPr>
                <w:p w14:paraId="089A7081">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100-500</w:t>
                  </w:r>
                </w:p>
              </w:tc>
              <w:tc>
                <w:tcPr>
                  <w:tcW w:w="4923" w:type="dxa"/>
                  <w:vAlign w:val="center"/>
                </w:tcPr>
                <w:p w14:paraId="27DAAF6D">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0.8%</w:t>
                  </w:r>
                </w:p>
              </w:tc>
            </w:tr>
            <w:tr w14:paraId="73AB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2" w:type="dxa"/>
                  <w:vAlign w:val="center"/>
                </w:tcPr>
                <w:p w14:paraId="13D54B32">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4923" w:type="dxa"/>
                  <w:vAlign w:val="center"/>
                </w:tcPr>
                <w:p w14:paraId="78B2852B">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0.45%</w:t>
                  </w:r>
                </w:p>
              </w:tc>
            </w:tr>
          </w:tbl>
          <w:p w14:paraId="1CD167AF">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采购代理服务费交纳形式：汇票/支票/电汇/现金</w:t>
            </w:r>
          </w:p>
          <w:p w14:paraId="28836670">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采购代理服务费由在收到中标通知书时以人民币方式向采购代理机构支付。汇入以下账户 ：</w:t>
            </w:r>
          </w:p>
          <w:p w14:paraId="53FDA390">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户名：浙江大兴建设项目管理咨询有限公司</w:t>
            </w:r>
          </w:p>
          <w:p w14:paraId="4478B317">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账号：33001694400050000430</w:t>
            </w:r>
          </w:p>
          <w:p w14:paraId="657B42C9">
            <w:pPr>
              <w:spacing w:line="4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开户行：丽水市建行瓯江支行 </w:t>
            </w:r>
          </w:p>
        </w:tc>
      </w:tr>
      <w:tr w14:paraId="71B5B124">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305" w:hRule="exact"/>
          <w:jc w:val="center"/>
        </w:trPr>
        <w:tc>
          <w:tcPr>
            <w:tcW w:w="712" w:type="dxa"/>
            <w:vAlign w:val="center"/>
          </w:tcPr>
          <w:p w14:paraId="46263314">
            <w:pPr>
              <w:spacing w:line="400" w:lineRule="exact"/>
              <w:jc w:val="center"/>
              <w:rPr>
                <w:rFonts w:hint="eastAsia" w:ascii="宋体" w:hAnsi="宋体" w:cs="宋体"/>
                <w:bCs/>
                <w:snapToGrid w:val="0"/>
                <w:color w:val="auto"/>
                <w:szCs w:val="21"/>
                <w:highlight w:val="none"/>
              </w:rPr>
            </w:pPr>
            <w:r>
              <w:rPr>
                <w:rFonts w:hint="eastAsia" w:ascii="宋体" w:hAnsi="宋体" w:cs="宋体"/>
                <w:b/>
                <w:bCs/>
                <w:snapToGrid w:val="0"/>
                <w:color w:val="auto"/>
                <w:szCs w:val="21"/>
                <w:highlight w:val="none"/>
              </w:rPr>
              <w:t>25</w:t>
            </w:r>
          </w:p>
        </w:tc>
        <w:tc>
          <w:tcPr>
            <w:tcW w:w="1701" w:type="dxa"/>
            <w:vAlign w:val="center"/>
          </w:tcPr>
          <w:p w14:paraId="42824F2C">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投标人</w:t>
            </w:r>
          </w:p>
          <w:p w14:paraId="1C241AB6">
            <w:pPr>
              <w:spacing w:line="400" w:lineRule="exact"/>
              <w:jc w:val="center"/>
              <w:rPr>
                <w:rFonts w:hint="eastAsia" w:ascii="宋体" w:hAnsi="宋体" w:cs="宋体"/>
                <w:bCs/>
                <w:snapToGrid w:val="0"/>
                <w:color w:val="auto"/>
                <w:szCs w:val="21"/>
                <w:highlight w:val="none"/>
              </w:rPr>
            </w:pPr>
            <w:r>
              <w:rPr>
                <w:rFonts w:hint="eastAsia" w:ascii="宋体" w:hAnsi="宋体" w:cs="宋体"/>
                <w:b/>
                <w:bCs/>
                <w:color w:val="auto"/>
                <w:szCs w:val="21"/>
                <w:highlight w:val="none"/>
              </w:rPr>
              <w:t>解密硬件准备</w:t>
            </w:r>
          </w:p>
        </w:tc>
        <w:tc>
          <w:tcPr>
            <w:tcW w:w="7329" w:type="dxa"/>
            <w:gridSpan w:val="3"/>
            <w:vAlign w:val="center"/>
          </w:tcPr>
          <w:p w14:paraId="302175C9">
            <w:pPr>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1.电脑、网络（供电子投标文件解密和澄清答疑使用）；</w:t>
            </w:r>
          </w:p>
          <w:p w14:paraId="0EB0664E">
            <w:pPr>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2.电子投标文件解密CA锁(即原编制电子投标文件加密的CA锁)；</w:t>
            </w:r>
          </w:p>
          <w:p w14:paraId="2051805A">
            <w:pPr>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3.其他配套设施：如打印机、扫描仪等。</w:t>
            </w:r>
          </w:p>
        </w:tc>
      </w:tr>
      <w:tr w14:paraId="38709C96">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516" w:hRule="exact"/>
          <w:jc w:val="center"/>
        </w:trPr>
        <w:tc>
          <w:tcPr>
            <w:tcW w:w="712" w:type="dxa"/>
            <w:vAlign w:val="center"/>
          </w:tcPr>
          <w:p w14:paraId="66F49F24">
            <w:pPr>
              <w:spacing w:line="400" w:lineRule="exact"/>
              <w:jc w:val="center"/>
              <w:rPr>
                <w:rFonts w:hint="default" w:ascii="宋体" w:hAnsi="宋体" w:eastAsia="宋体" w:cs="宋体"/>
                <w:b/>
                <w:bCs/>
                <w:snapToGrid w:val="0"/>
                <w:color w:val="auto"/>
                <w:szCs w:val="21"/>
                <w:highlight w:val="none"/>
                <w:lang w:val="en-US" w:eastAsia="zh-CN"/>
              </w:rPr>
            </w:pPr>
            <w:bookmarkStart w:id="127" w:name="_Toc55212779"/>
            <w:r>
              <w:rPr>
                <w:rFonts w:hint="eastAsia" w:ascii="宋体" w:hAnsi="宋体" w:cs="宋体"/>
                <w:b/>
                <w:bCs/>
                <w:snapToGrid w:val="0"/>
                <w:color w:val="auto"/>
                <w:szCs w:val="21"/>
                <w:highlight w:val="none"/>
                <w:lang w:val="en-US" w:eastAsia="zh-CN"/>
              </w:rPr>
              <w:t>26</w:t>
            </w:r>
          </w:p>
        </w:tc>
        <w:tc>
          <w:tcPr>
            <w:tcW w:w="1701" w:type="dxa"/>
            <w:vAlign w:val="center"/>
          </w:tcPr>
          <w:p w14:paraId="15B053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b/>
                <w:bCs/>
                <w:color w:val="auto"/>
                <w:szCs w:val="21"/>
                <w:highlight w:val="none"/>
              </w:rPr>
            </w:pPr>
            <w:r>
              <w:rPr>
                <w:rFonts w:hint="eastAsia" w:ascii="宋体" w:hAnsi="宋体" w:eastAsia="宋体" w:cs="宋体"/>
                <w:b/>
                <w:bCs/>
                <w:color w:val="auto"/>
                <w:szCs w:val="21"/>
                <w:highlight w:val="none"/>
              </w:rPr>
              <w:t>特别提</w:t>
            </w:r>
            <w:r>
              <w:rPr>
                <w:rFonts w:hint="eastAsia" w:ascii="宋体" w:hAnsi="宋体" w:eastAsia="宋体" w:cs="宋体"/>
                <w:b/>
                <w:bCs/>
                <w:color w:val="auto"/>
                <w:szCs w:val="21"/>
                <w:highlight w:val="none"/>
                <w:lang w:eastAsia="zh-CN"/>
              </w:rPr>
              <w:t>醒</w:t>
            </w:r>
          </w:p>
        </w:tc>
        <w:tc>
          <w:tcPr>
            <w:tcW w:w="7329" w:type="dxa"/>
            <w:gridSpan w:val="3"/>
            <w:vAlign w:val="center"/>
          </w:tcPr>
          <w:p w14:paraId="384334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rPr>
            </w:pP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提供与电子</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文件内容一致的纸质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r>
              <w:rPr>
                <w:rFonts w:hint="eastAsia" w:ascii="宋体" w:hAnsi="宋体" w:eastAsia="宋体" w:cs="宋体"/>
                <w:b/>
                <w:bCs/>
                <w:color w:val="auto"/>
                <w:szCs w:val="21"/>
                <w:highlight w:val="none"/>
                <w:lang w:eastAsia="zh-CN"/>
              </w:rPr>
              <w:t>副本</w:t>
            </w:r>
            <w:r>
              <w:rPr>
                <w:rFonts w:hint="eastAsia" w:ascii="宋体" w:hAnsi="宋体" w:eastAsia="宋体" w:cs="宋体"/>
                <w:b/>
                <w:bCs/>
                <w:color w:val="auto"/>
                <w:szCs w:val="21"/>
                <w:highlight w:val="none"/>
                <w:lang w:val="en-US" w:eastAsia="zh-CN"/>
              </w:rPr>
              <w:t>三份，</w:t>
            </w:r>
            <w:r>
              <w:rPr>
                <w:rFonts w:hint="eastAsia" w:ascii="宋体" w:hAnsi="宋体" w:eastAsia="宋体" w:cs="宋体"/>
                <w:b/>
                <w:bCs/>
                <w:color w:val="auto"/>
                <w:szCs w:val="21"/>
                <w:highlight w:val="none"/>
              </w:rPr>
              <w:t>装订成册，采用胶订或线订，不得采用活页夹等可随时拆换的方式装订。（胶订或线订以外装订形式视为活页装订）</w:t>
            </w:r>
            <w:r>
              <w:rPr>
                <w:rFonts w:hint="eastAsia" w:ascii="宋体" w:hAnsi="宋体" w:eastAsia="宋体" w:cs="宋体"/>
                <w:b/>
                <w:bCs/>
                <w:color w:val="auto"/>
                <w:szCs w:val="21"/>
                <w:highlight w:val="none"/>
                <w:lang w:eastAsia="zh-CN"/>
              </w:rPr>
              <w:t>中标人</w:t>
            </w:r>
            <w:r>
              <w:rPr>
                <w:rFonts w:hint="eastAsia" w:ascii="宋体" w:hAnsi="宋体" w:eastAsia="宋体" w:cs="宋体"/>
                <w:b/>
                <w:bCs/>
                <w:color w:val="auto"/>
                <w:szCs w:val="21"/>
                <w:highlight w:val="none"/>
              </w:rPr>
              <w:t>在领取</w:t>
            </w:r>
            <w:r>
              <w:rPr>
                <w:rFonts w:hint="eastAsia" w:ascii="宋体" w:hAnsi="宋体" w:eastAsia="宋体" w:cs="宋体"/>
                <w:b/>
                <w:bCs/>
                <w:color w:val="auto"/>
                <w:szCs w:val="21"/>
                <w:highlight w:val="none"/>
                <w:lang w:eastAsia="zh-CN"/>
              </w:rPr>
              <w:t>中标</w:t>
            </w:r>
            <w:r>
              <w:rPr>
                <w:rFonts w:hint="eastAsia" w:ascii="宋体" w:hAnsi="宋体" w:eastAsia="宋体" w:cs="宋体"/>
                <w:b/>
                <w:bCs/>
                <w:color w:val="auto"/>
                <w:szCs w:val="21"/>
                <w:highlight w:val="none"/>
              </w:rPr>
              <w:t>通知书时提供纸质</w:t>
            </w:r>
            <w:r>
              <w:rPr>
                <w:rFonts w:hint="eastAsia" w:ascii="宋体" w:hAnsi="宋体" w:eastAsia="宋体" w:cs="宋体"/>
                <w:b/>
                <w:bCs/>
                <w:color w:val="auto"/>
                <w:szCs w:val="21"/>
                <w:highlight w:val="none"/>
                <w:lang w:eastAsia="zh-CN"/>
              </w:rPr>
              <w:t>投标</w:t>
            </w:r>
            <w:r>
              <w:rPr>
                <w:rFonts w:hint="eastAsia" w:ascii="宋体" w:hAnsi="宋体" w:eastAsia="宋体" w:cs="宋体"/>
                <w:b/>
                <w:bCs/>
                <w:color w:val="auto"/>
                <w:szCs w:val="21"/>
                <w:highlight w:val="none"/>
              </w:rPr>
              <w:t>文件。</w:t>
            </w:r>
          </w:p>
        </w:tc>
      </w:tr>
    </w:tbl>
    <w:p w14:paraId="7C5A0C59">
      <w:pPr>
        <w:rPr>
          <w:rFonts w:hint="eastAsia" w:ascii="宋体" w:hAnsi="宋体" w:cs="宋体"/>
          <w:color w:val="auto"/>
          <w:highlight w:val="none"/>
        </w:rPr>
      </w:pPr>
    </w:p>
    <w:bookmarkEnd w:id="127"/>
    <w:p w14:paraId="2A5613CD">
      <w:pPr>
        <w:spacing w:line="360" w:lineRule="auto"/>
        <w:rPr>
          <w:rFonts w:hint="eastAsia" w:ascii="宋体" w:hAnsi="宋体" w:cs="宋体"/>
          <w:b/>
          <w:color w:val="auto"/>
          <w:sz w:val="24"/>
          <w:highlight w:val="none"/>
        </w:rPr>
      </w:pPr>
      <w:bookmarkStart w:id="128" w:name="_Toc55212794"/>
      <w:r>
        <w:rPr>
          <w:rFonts w:hint="eastAsia" w:ascii="宋体" w:hAnsi="宋体" w:cs="宋体"/>
          <w:b/>
          <w:color w:val="auto"/>
          <w:sz w:val="24"/>
          <w:highlight w:val="none"/>
        </w:rPr>
        <w:t>一 总则</w:t>
      </w:r>
    </w:p>
    <w:p w14:paraId="434275CA">
      <w:pPr>
        <w:spacing w:line="360" w:lineRule="auto"/>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1.适用范围</w:t>
      </w:r>
    </w:p>
    <w:p w14:paraId="67ADA9D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1.1本次招标工作按照《中华人民共和国政府采购法》等政府采购有关法律、法规、规章、文件的规定组织和实施。招标文件适用于本次所述项目的采购行为（法律、法规另有规定的，从其规定）。</w:t>
      </w:r>
    </w:p>
    <w:p w14:paraId="0C586BD4">
      <w:pPr>
        <w:spacing w:line="48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 定义</w:t>
      </w:r>
    </w:p>
    <w:p w14:paraId="372D60A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2.1“公开招标”是指采购人依法以招标公告的方式邀请不特定的投标人参加投标。</w:t>
      </w:r>
    </w:p>
    <w:p w14:paraId="62E0FEAA">
      <w:pPr>
        <w:spacing w:line="48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2.2“电子交易活动”是指以数据电文形式，依托政府采购项目电子交易平台进行的政府采购交易活动。</w:t>
      </w:r>
    </w:p>
    <w:p w14:paraId="6C96BB76">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2.3“招标（采购）人”系指丽水市生态环境局。</w:t>
      </w:r>
    </w:p>
    <w:p w14:paraId="6DA299C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2.4“招标（采购）代理机构”系指浙江大兴建设项目管理咨询有限公司。</w:t>
      </w:r>
    </w:p>
    <w:p w14:paraId="11F311B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2.5“投标人（投标人）”：是指参加本政府采购项目投标的投标人。</w:t>
      </w:r>
    </w:p>
    <w:p w14:paraId="34FC1F0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2.6“投标人代表”：是指参加本项目投标活动的投标人法定代表人或法定代表人授权代表。</w:t>
      </w:r>
    </w:p>
    <w:p w14:paraId="47403A0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2.7“中标人”：是指经评审获得本项目最终合同签订资格的投标人。</w:t>
      </w:r>
    </w:p>
    <w:p w14:paraId="05FFAFA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2.8“负责人”系指法人企业的法定代表人，或其他组织为法律、行政法规规定代表单位行使职权的主要负责人。</w:t>
      </w:r>
    </w:p>
    <w:p w14:paraId="3D029CF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2.9“联合体”系指两个以上投标人组成联合体，以一个投标人的身份参加投标。</w:t>
      </w:r>
    </w:p>
    <w:p w14:paraId="284BAC6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2.10“分包单位”系指与投标人签订分包意向协议的，将承担部分合同内容的其他单位。</w:t>
      </w:r>
    </w:p>
    <w:p w14:paraId="7A20F57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中小企业（含中型、小型、微型）”：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D764D44">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中小企业划分标准：《中小企业划分标准》（工信部联企业[2011]300号）。</w:t>
      </w:r>
    </w:p>
    <w:p w14:paraId="1E7F24F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在政府采购活动中，投标人提供的货物、工程或者服务符合下列情形的，享受《政府采购促进中小企业发展管理办法》（财库〔2020〕46号）规定的中小企业扶持政策：</w:t>
      </w:r>
    </w:p>
    <w:p w14:paraId="0EB9C37E">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（1）在货物采购项目中，货物由中小企业制造，即货物由中小企业生产且使用该中小企业商号或者注册商标；</w:t>
      </w:r>
    </w:p>
    <w:p w14:paraId="078D6F40">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（2）在工程采购项目中，工程由中小企业承建，即工程施工单位为中小企业；</w:t>
      </w:r>
    </w:p>
    <w:p w14:paraId="57F19FB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（3）在服务采购项目中，服务由中小企业承接，即提供服务的人员为中小企业依照《中华人民共和国劳动合同法》订立劳动合同的从业人员。</w:t>
      </w:r>
    </w:p>
    <w:p w14:paraId="6B8A56B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在货物采购项目中，投标人提供的货物既有中小企业制造货物，也有大型企业制造货物的，不享受本办法规定的中小企业扶持政策。</w:t>
      </w:r>
    </w:p>
    <w:p w14:paraId="352EE0F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14:paraId="627915B5">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组成联合体或者接受分包合同的中小企业与联合体内其他企业、分包企业之间不存在直接控股、管理关系。</w:t>
      </w:r>
    </w:p>
    <w:p w14:paraId="5A42A08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14A0AC">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2.13“残疾人福利性单位”：是指符合《财政部 民政部 中国残疾人联合会关于促进残疾人就业政府采购政策的通知》（财库〔2017〕141 号）的规定单位。</w:t>
      </w:r>
    </w:p>
    <w:p w14:paraId="3764D39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2.14“合同”系指采购人与中标人双方签署的规定双方权利与义务的协议，以及所有附件、附录、招标文件和投标文件所提到的构成合同的所有文件。</w:t>
      </w:r>
    </w:p>
    <w:p w14:paraId="3215C09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2.15“产品”系指投标人按招标文件规定，须向采购人提供的一切产品（包括：虚拟产品），以及产品相关的保险、税金、备品备件、附件、耗材、工具、手册及其它有关技术资料和材料等。</w:t>
      </w:r>
    </w:p>
    <w:p w14:paraId="078A22F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 “服务”系指投标人按招标文件规定应承担的送货上门、安装、调试、技术协助、校准、培训、技术指导以及其他类似的附随义务。</w:t>
      </w:r>
    </w:p>
    <w:p w14:paraId="596B595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 “▲” 系指实质性要求条款。投标人投标时应对所有“实质性条款（或要求）”作出实质性响应，且不得出现负偏离，否则投标无效。</w:t>
      </w:r>
    </w:p>
    <w:p w14:paraId="064EED4C">
      <w:pPr>
        <w:spacing w:line="4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2.18“招标文件/招标文件/公开招标文件”：均指本文件。</w:t>
      </w:r>
    </w:p>
    <w:p w14:paraId="1CF220C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2.19“重大偏离”或“保留”：是指将会影响到招标文件规定的服务范围、质量标准，或会给合同中规定的采购人的权利和投标人的责任造成实质性限制，而纠正这些偏离或保留将对其他提交了实质性响应的投标文件的投标人产生不公平影响的。</w:t>
      </w:r>
    </w:p>
    <w:p w14:paraId="0FE1280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2.20“细微偏离”：是指投标文件对招标文件的非实质性内容存在不完全响应或不响应。</w:t>
      </w:r>
    </w:p>
    <w:p w14:paraId="4BCA2A74">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2.21“分包”：采购需求中规定允许分包的，投标人应当在投标文件载明分包承担主体，分包承担主体应具备采购需求中规定的分包承担主体的资格要求。</w:t>
      </w:r>
    </w:p>
    <w:p w14:paraId="25CB72AB">
      <w:pPr>
        <w:spacing w:line="4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2.22本文件所指的投标人</w:t>
      </w:r>
      <w:r>
        <w:rPr>
          <w:rFonts w:hint="eastAsia" w:ascii="宋体" w:hAnsi="宋体" w:cs="宋体"/>
          <w:color w:val="auto"/>
          <w:highlight w:val="none"/>
        </w:rPr>
        <w:t>公章采用单位CA章或单位公章</w:t>
      </w:r>
      <w:r>
        <w:rPr>
          <w:rFonts w:hint="eastAsia" w:ascii="宋体" w:hAnsi="宋体" w:cs="宋体"/>
          <w:color w:val="auto"/>
          <w:szCs w:val="21"/>
          <w:highlight w:val="none"/>
        </w:rPr>
        <w:t>。</w:t>
      </w:r>
    </w:p>
    <w:p w14:paraId="08FACB63">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3.投标人基本要求</w:t>
      </w:r>
    </w:p>
    <w:p w14:paraId="1859507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3.1符合第一章第“二”条规定。</w:t>
      </w:r>
    </w:p>
    <w:p w14:paraId="35707AE3">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投标人应遵守有关的法律、法规。</w:t>
      </w:r>
    </w:p>
    <w:p w14:paraId="37271CE6">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4.联合体说明</w:t>
      </w:r>
    </w:p>
    <w:p w14:paraId="728C7380">
      <w:pPr>
        <w:spacing w:line="50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4.1本项目接受联合体。</w:t>
      </w:r>
    </w:p>
    <w:p w14:paraId="1137EE70">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以联合体形式参加本项目采购的，联合体的主办方和成员单位均应当具备采购文件规定的投标人资格要求，并在投标文件中分别提供联合体的主办方及成员单位的资格条件证明材料，在投标文件中提交联合体协议。</w:t>
      </w:r>
    </w:p>
    <w:p w14:paraId="29C2F8C2">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以联合体形式参加采购活动的，应当在投标文件中提交由所有联合体成员各方盖章的联合体协议。联合体协议应载明联合体各方承担的工作和义务；联合体协议应当指定主办方，授权其代表所有联合体各成员方，具体负责参与项目投标和合同实施阶段的主办、协调工作；联合体协议中应当载明由联合体各成员方共同与采购人签订合同，并就采购合同约定的事项对采购人承担连带责任。</w:t>
      </w:r>
    </w:p>
    <w:p w14:paraId="37CDFB8D">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4.4投标文件的报价表中应列明联合体各成员方的各自承担的内容及对应报价。</w:t>
      </w:r>
    </w:p>
    <w:p w14:paraId="7438183A">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4.5投标文件盖章事宜，按联合体协议约定由主办方盖章，也可由联合体所有成员单位盖章。</w:t>
      </w:r>
    </w:p>
    <w:p w14:paraId="27065844">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4.6联合体成交的，本项目的采购代理服务费由联合体主办方交纳，也可由联合体所有成员分摊交纳。</w:t>
      </w:r>
    </w:p>
    <w:p w14:paraId="3974F176">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4.7联合体协议中仅约定由联合体主办方或成员单位中某一方与采购人签订合同的，或联合体协议中仅约定由联合体主办方或成员单位中某一方就采购合同约定的事项对采购人承担责任的，视为联合体协议不成立，该联合体的投标文件将被作无效处理。</w:t>
      </w:r>
    </w:p>
    <w:p w14:paraId="565FFDA7">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4.8采购文件的投标文件格式中除明确说明外所列投标人为联合体协议指定的主办方。</w:t>
      </w:r>
    </w:p>
    <w:p w14:paraId="3B92DBF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4.9若为联合体参加的，联合体各方的资信、业绩及荣誉等所有涉及内容均予以认可。</w:t>
      </w:r>
    </w:p>
    <w:p w14:paraId="0C0C7216">
      <w:pPr>
        <w:spacing w:line="48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5.投标费用</w:t>
      </w:r>
    </w:p>
    <w:p w14:paraId="54817F0C">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无论招投标过程中的做法和结果如何，投标人自行承担招投标活动中所发生的全部费用。</w:t>
      </w:r>
    </w:p>
    <w:p w14:paraId="06F3CD06">
      <w:pPr>
        <w:spacing w:line="480" w:lineRule="exact"/>
        <w:ind w:firstLine="422" w:firstLineChars="200"/>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6.保密</w:t>
      </w:r>
    </w:p>
    <w:p w14:paraId="520D149A">
      <w:pPr>
        <w:spacing w:line="480" w:lineRule="exact"/>
        <w:ind w:firstLine="420" w:firstLineChars="200"/>
        <w:rPr>
          <w:rFonts w:hint="eastAsia" w:ascii="宋体" w:hAnsi="宋体" w:cs="宋体"/>
          <w:b/>
          <w:color w:val="auto"/>
          <w:szCs w:val="21"/>
          <w:highlight w:val="none"/>
        </w:rPr>
      </w:pPr>
      <w:r>
        <w:rPr>
          <w:rFonts w:hint="eastAsia" w:ascii="宋体" w:hAnsi="宋体" w:cs="宋体"/>
          <w:color w:val="auto"/>
          <w:kern w:val="0"/>
          <w:szCs w:val="21"/>
          <w:highlight w:val="none"/>
        </w:rPr>
        <w:t>6.1参与采购活动的各方应对</w:t>
      </w:r>
      <w:r>
        <w:rPr>
          <w:rFonts w:hint="eastAsia" w:ascii="宋体" w:hAnsi="宋体" w:cs="宋体"/>
          <w:color w:val="auto"/>
          <w:szCs w:val="21"/>
          <w:highlight w:val="none"/>
        </w:rPr>
        <w:t>招标文件</w:t>
      </w:r>
      <w:r>
        <w:rPr>
          <w:rFonts w:hint="eastAsia" w:ascii="宋体" w:hAnsi="宋体" w:cs="宋体"/>
          <w:color w:val="auto"/>
          <w:kern w:val="0"/>
          <w:szCs w:val="21"/>
          <w:highlight w:val="none"/>
        </w:rPr>
        <w:t>和投标文件中的商业和技术等秘密保密，违者应对此造成的后果承担法律责任。</w:t>
      </w:r>
    </w:p>
    <w:p w14:paraId="5ADC4557">
      <w:pPr>
        <w:spacing w:line="48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7.语言文字</w:t>
      </w:r>
    </w:p>
    <w:p w14:paraId="4F5CFBF0">
      <w:pPr>
        <w:spacing w:line="50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 xml:space="preserve">7.1招标投标有关的语言使用中文。 </w:t>
      </w:r>
    </w:p>
    <w:p w14:paraId="3D39FE27">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7.2外文专用术语应附有中文注释。招投标文件及相关往来文件中有外文资料的（如质疑函、进口产品厂商授权书等），资料提供方应当将其翻译为中文，注明翻译人员姓名、工作单位、联系方式等信息，并对译文的完整性、客观性、真实性负责。 </w:t>
      </w:r>
    </w:p>
    <w:p w14:paraId="74D80172">
      <w:pPr>
        <w:spacing w:line="48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8.计量单位</w:t>
      </w:r>
    </w:p>
    <w:p w14:paraId="1DBC661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招标文件有明确规定的，适用招标文件规定的计量单位；招标文件没有规定的，应采用中华人民共和国法定计量单位，否则视同未响应。</w:t>
      </w:r>
    </w:p>
    <w:p w14:paraId="5FA5DEAB">
      <w:pPr>
        <w:spacing w:line="480" w:lineRule="exact"/>
        <w:ind w:firstLine="422" w:firstLineChars="200"/>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9.特别说明</w:t>
      </w:r>
    </w:p>
    <w:p w14:paraId="795C1D2F">
      <w:pPr>
        <w:pStyle w:val="29"/>
        <w:spacing w:line="480" w:lineRule="exact"/>
        <w:ind w:firstLine="420" w:firstLineChars="200"/>
        <w:rPr>
          <w:rFonts w:hint="eastAsia" w:hAnsi="宋体" w:cs="宋体"/>
          <w:color w:val="auto"/>
          <w:kern w:val="0"/>
          <w:szCs w:val="21"/>
          <w:highlight w:val="none"/>
        </w:rPr>
      </w:pPr>
      <w:r>
        <w:rPr>
          <w:rFonts w:hint="eastAsia" w:hAnsi="宋体" w:cs="宋体"/>
          <w:color w:val="auto"/>
          <w:kern w:val="0"/>
          <w:szCs w:val="21"/>
          <w:highlight w:val="none"/>
        </w:rPr>
        <w:t>9.1除银行、保险、石油石化、电力、电信、移动、联通等行业外，法人的分支机构不能参加投标。</w:t>
      </w:r>
    </w:p>
    <w:p w14:paraId="5DD896D3">
      <w:pPr>
        <w:pStyle w:val="29"/>
        <w:spacing w:line="480" w:lineRule="exact"/>
        <w:rPr>
          <w:rFonts w:hint="eastAsia" w:hAnsi="宋体" w:cs="宋体"/>
          <w:color w:val="auto"/>
          <w:kern w:val="0"/>
          <w:szCs w:val="21"/>
          <w:highlight w:val="none"/>
        </w:rPr>
      </w:pPr>
      <w:r>
        <w:rPr>
          <w:rFonts w:hint="eastAsia" w:hAnsi="宋体" w:cs="宋体"/>
          <w:color w:val="auto"/>
          <w:kern w:val="0"/>
          <w:szCs w:val="21"/>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文件材料具有同等效力。</w:t>
      </w:r>
    </w:p>
    <w:p w14:paraId="591EF524">
      <w:pPr>
        <w:pStyle w:val="38"/>
        <w:spacing w:line="480" w:lineRule="exact"/>
        <w:ind w:firstLine="422" w:firstLineChars="200"/>
        <w:rPr>
          <w:rFonts w:hint="eastAsia" w:eastAsia="宋体" w:cs="宋体"/>
          <w:b w:val="0"/>
          <w:color w:val="auto"/>
          <w:sz w:val="21"/>
          <w:szCs w:val="21"/>
          <w:highlight w:val="none"/>
        </w:rPr>
      </w:pPr>
      <w:r>
        <w:rPr>
          <w:rFonts w:hint="eastAsia" w:eastAsia="宋体" w:cs="宋体"/>
          <w:bCs/>
          <w:color w:val="auto"/>
          <w:sz w:val="21"/>
          <w:szCs w:val="21"/>
          <w:highlight w:val="none"/>
        </w:rPr>
        <w:t>9.2投标人母公司（总机构）或者同一母公司下属的其他子公司（同一总机构下属的其他分支机构）的人员、业绩、荣誉、知识产权、项目案例等不作为投标人的资信证明文件。</w:t>
      </w:r>
      <w:r>
        <w:rPr>
          <w:rFonts w:hint="eastAsia" w:eastAsia="宋体" w:cs="宋体"/>
          <w:b w:val="0"/>
          <w:color w:val="auto"/>
          <w:sz w:val="21"/>
          <w:szCs w:val="21"/>
          <w:highlight w:val="none"/>
        </w:rPr>
        <w:t> </w:t>
      </w:r>
    </w:p>
    <w:p w14:paraId="13AF53C7">
      <w:pPr>
        <w:spacing w:line="48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9.3 采购人在项目评审直至合同签订、履约期间，有权要求投标人出具合同原件等证明材料，以确认其真实性和有效性。如出现与事实不符等情况，将根据有关规定以“提供虚假材料谋取中标”予以取消中标资格。</w:t>
      </w:r>
    </w:p>
    <w:p w14:paraId="482DA9C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9.4招标文件中如有描述歧义或前后不一致的地方，评标委员会有权按公平、合理的原则进行评判，但对同一条款的评判适用于每个投标人。</w:t>
      </w:r>
    </w:p>
    <w:p w14:paraId="1AD6D86A">
      <w:pPr>
        <w:pStyle w:val="38"/>
        <w:spacing w:line="480" w:lineRule="exact"/>
        <w:ind w:firstLine="422" w:firstLineChars="200"/>
        <w:rPr>
          <w:rFonts w:hint="eastAsia" w:eastAsia="宋体" w:cs="宋体"/>
          <w:bCs/>
          <w:color w:val="auto"/>
          <w:sz w:val="21"/>
          <w:szCs w:val="21"/>
          <w:highlight w:val="none"/>
        </w:rPr>
      </w:pPr>
      <w:r>
        <w:rPr>
          <w:rFonts w:hint="eastAsia" w:eastAsia="宋体" w:cs="宋体"/>
          <w:bCs/>
          <w:color w:val="auto"/>
          <w:sz w:val="21"/>
          <w:szCs w:val="21"/>
          <w:highlight w:val="none"/>
        </w:rPr>
        <w:t>9.5 ▲投标人对所参加标项内的采购内容必须全部进行响应。</w:t>
      </w:r>
    </w:p>
    <w:p w14:paraId="3F3918EC">
      <w:pPr>
        <w:spacing w:line="480" w:lineRule="exact"/>
        <w:ind w:firstLine="420" w:firstLineChars="200"/>
        <w:rPr>
          <w:rFonts w:hint="eastAsia" w:ascii="宋体" w:hAnsi="宋体" w:cs="宋体"/>
          <w:color w:val="auto"/>
          <w:highlight w:val="none"/>
        </w:rPr>
      </w:pPr>
      <w:r>
        <w:rPr>
          <w:rFonts w:hint="eastAsia" w:ascii="宋体" w:hAnsi="宋体" w:cs="宋体"/>
          <w:color w:val="auto"/>
          <w:highlight w:val="none"/>
        </w:rPr>
        <w:t>9.6投标文件的响应内容必须真实、明确、准确。否则，评标委员会将对其作出不利的评审。</w:t>
      </w:r>
    </w:p>
    <w:p w14:paraId="0C7DFB5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9.7中标人为履行合同引起的相关人员的差旅费、食宿费以及其它不可预知的费用由中标人承担，合同实施过程中，须与采购人积极配合。</w:t>
      </w:r>
    </w:p>
    <w:p w14:paraId="581FF7C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9.8投标人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投标人应承担相应后果，并负责赔偿。投标人为执行本项目合同而提供的技术资料等归采购人所有。</w:t>
      </w:r>
    </w:p>
    <w:p w14:paraId="5D711F20">
      <w:pPr>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9.9对采购文件提出质疑的，质疑期限自投标人获得采购文件之日起计算（采购文件公告期限届满后获取采购文件的，以采购文件公告期限届满之日为准），且应当在投标截止时间之前提出，否则，被质疑人可不予接受。</w:t>
      </w:r>
    </w:p>
    <w:p w14:paraId="57C3F14E">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9.10中标（成交）投标人放弃中标（成交）资格导致重新采购的，应当承担支付代理费和专家评审费等费用在内的赔偿责任。</w:t>
      </w:r>
    </w:p>
    <w:p w14:paraId="130D1FA5">
      <w:pPr>
        <w:pStyle w:val="5"/>
        <w:spacing w:line="520" w:lineRule="exact"/>
        <w:ind w:firstLine="482"/>
        <w:rPr>
          <w:rFonts w:hint="eastAsia" w:ascii="宋体" w:hAnsi="宋体" w:eastAsia="宋体" w:cs="宋体"/>
          <w:color w:val="auto"/>
          <w:sz w:val="24"/>
          <w:szCs w:val="24"/>
          <w:highlight w:val="none"/>
        </w:rPr>
      </w:pPr>
      <w:bookmarkStart w:id="129" w:name="_Toc55212780"/>
      <w:r>
        <w:rPr>
          <w:rFonts w:hint="eastAsia" w:ascii="宋体" w:hAnsi="宋体" w:eastAsia="宋体" w:cs="宋体"/>
          <w:color w:val="auto"/>
          <w:sz w:val="24"/>
          <w:szCs w:val="24"/>
          <w:highlight w:val="none"/>
        </w:rPr>
        <w:t>二   招标文件说明</w:t>
      </w:r>
      <w:bookmarkEnd w:id="129"/>
    </w:p>
    <w:p w14:paraId="7983BC67">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10.招标文件的构成</w:t>
      </w:r>
    </w:p>
    <w:p w14:paraId="4DDFB5D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10.1招标文件用以阐明所需货物及服务、招标、投标程序和合同条款。招标文件由下述部分组成：</w:t>
      </w:r>
    </w:p>
    <w:p w14:paraId="1A503E8B">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（1）招标公告</w:t>
      </w:r>
    </w:p>
    <w:p w14:paraId="137C25E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（2）投标人须知</w:t>
      </w:r>
    </w:p>
    <w:p w14:paraId="1CC5D1E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（3）采购需求</w:t>
      </w:r>
    </w:p>
    <w:p w14:paraId="6C114D7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（4）采购合同</w:t>
      </w:r>
    </w:p>
    <w:p w14:paraId="6ED6FA2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（5）投标相关文件格式</w:t>
      </w:r>
    </w:p>
    <w:p w14:paraId="484744C4">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（6）评标办法和细则</w:t>
      </w:r>
    </w:p>
    <w:p w14:paraId="7125FF9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（7）与本项目有关的招标文件澄清、答复、修改、补充的内容。</w:t>
      </w:r>
    </w:p>
    <w:p w14:paraId="59CC7098">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11.投标人的风险</w:t>
      </w:r>
    </w:p>
    <w:p w14:paraId="13085E8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投标人应认真阅读招标文件中的所有条款。投标人没有按照招标文件的要求提供全部资料，或者投标人没有对招标文件在各方面作出实质性响应是投标人的风险，并可能导致其投标被拒绝。</w:t>
      </w:r>
    </w:p>
    <w:p w14:paraId="431FE6D8">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12.招标文件的澄清和修改</w:t>
      </w:r>
    </w:p>
    <w:p w14:paraId="39E7B8F9">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12.1招标文件澄清、答复、修改、补充的内容为招标文件的组成部分，当招标文件与补充文件就同一内容的表述不一致时，以最后发出的书面文件为准。</w:t>
      </w:r>
    </w:p>
    <w:p w14:paraId="09AFED65">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依法获取招标文件的投标人应认真阅读招标文件，如有疑问应于招标文件规定的时间前向采购代理机构（可传真）提出澄清申请。采购代理机构对已发出的招标文件进行必要的澄清或者修改，澄清或者修改内容可能影响投标文件编制的，采购代理机构在投标截止时间15日前,在“浙江政府采购网</w:t>
      </w:r>
      <w:r>
        <w:rPr>
          <w:color w:val="auto"/>
          <w:highlight w:val="none"/>
        </w:rPr>
        <w:fldChar w:fldCharType="begin"/>
      </w:r>
      <w:r>
        <w:rPr>
          <w:color w:val="auto"/>
          <w:highlight w:val="none"/>
        </w:rPr>
        <w:instrText xml:space="preserve">HYPERLINK "http://60.190.126.3:8080/wcm/WCMV6/editor/editor/招标文件（新版）.doc"</w:instrText>
      </w:r>
      <w:r>
        <w:rPr>
          <w:color w:val="auto"/>
          <w:highlight w:val="none"/>
        </w:rPr>
        <w:fldChar w:fldCharType="separate"/>
      </w:r>
      <w:r>
        <w:rPr>
          <w:rStyle w:val="64"/>
          <w:rFonts w:hint="default" w:ascii="宋体" w:hAnsi="宋体" w:eastAsia="宋体" w:cs="宋体"/>
          <w:color w:val="auto"/>
          <w:szCs w:val="21"/>
          <w:highlight w:val="none"/>
          <w:u w:val="none"/>
        </w:rPr>
        <w:t>https://zfcg.czt.zj.gov.cn/</w:t>
      </w:r>
      <w:r>
        <w:rPr>
          <w:rStyle w:val="64"/>
          <w:rFonts w:hint="default" w:ascii="宋体" w:hAnsi="宋体" w:eastAsia="宋体" w:cs="宋体"/>
          <w:color w:val="auto"/>
          <w:szCs w:val="21"/>
          <w:highlight w:val="none"/>
          <w:u w:val="none"/>
        </w:rPr>
        <w:fldChar w:fldCharType="end"/>
      </w:r>
      <w:r>
        <w:rPr>
          <w:rFonts w:hint="eastAsia" w:ascii="宋体" w:hAnsi="宋体" w:cs="宋体"/>
          <w:color w:val="auto"/>
          <w:szCs w:val="21"/>
          <w:highlight w:val="none"/>
        </w:rPr>
        <w:t xml:space="preserve"> 、丽水市公共资源交易网https://lssggzy.lishui.gov.cn/</w:t>
      </w:r>
      <w:r>
        <w:rPr>
          <w:rStyle w:val="64"/>
          <w:rFonts w:hint="default" w:ascii="宋体" w:hAnsi="宋体" w:eastAsia="宋体" w:cs="宋体"/>
          <w:color w:val="auto"/>
          <w:szCs w:val="21"/>
          <w:highlight w:val="none"/>
          <w:u w:val="none"/>
        </w:rPr>
        <w:t>”</w:t>
      </w:r>
      <w:r>
        <w:rPr>
          <w:rFonts w:hint="eastAsia" w:ascii="宋体" w:hAnsi="宋体" w:cs="宋体"/>
          <w:color w:val="auto"/>
          <w:szCs w:val="21"/>
          <w:highlight w:val="none"/>
        </w:rPr>
        <w:t>发布更正公告，并对其具有约束力。不足15日的，采购代理机构有权顺延提交投标文件的截止时间。</w:t>
      </w:r>
    </w:p>
    <w:p w14:paraId="3D32F35D">
      <w:pPr>
        <w:pStyle w:val="5"/>
        <w:spacing w:line="520" w:lineRule="exact"/>
        <w:ind w:firstLine="200" w:firstLineChars="0"/>
        <w:rPr>
          <w:rFonts w:hint="eastAsia" w:ascii="宋体" w:hAnsi="宋体" w:eastAsia="宋体" w:cs="宋体"/>
          <w:color w:val="auto"/>
          <w:sz w:val="24"/>
          <w:szCs w:val="24"/>
          <w:highlight w:val="none"/>
        </w:rPr>
      </w:pPr>
      <w:bookmarkStart w:id="130" w:name="_Toc55212781"/>
      <w:r>
        <w:rPr>
          <w:rFonts w:hint="eastAsia" w:ascii="宋体" w:hAnsi="宋体" w:eastAsia="宋体" w:cs="宋体"/>
          <w:color w:val="auto"/>
          <w:sz w:val="24"/>
          <w:szCs w:val="24"/>
          <w:highlight w:val="none"/>
        </w:rPr>
        <w:t>三   投标文件的编写</w:t>
      </w:r>
      <w:bookmarkEnd w:id="130"/>
    </w:p>
    <w:p w14:paraId="66AF0F0C">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13.要求</w:t>
      </w:r>
    </w:p>
    <w:p w14:paraId="64E13E8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13.1投标人应仔细阅读招标文件的所有内容，按照招标文件的要求提交投标文件，并对所提供的全部资料的真实性承担法律责任。</w:t>
      </w:r>
    </w:p>
    <w:p w14:paraId="30280AC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13.2投标文件、投标人与采购有关的往来通知、函件和文件均应使用中文。如涉及非中文内容的，投标人有义务将其内容翻译成中文，一切对非中文内容的误解，都将由投标人承担。</w:t>
      </w:r>
    </w:p>
    <w:p w14:paraId="0B32FA78">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13.3投标文件的形式和效力</w:t>
      </w:r>
    </w:p>
    <w:p w14:paraId="3DBF9693">
      <w:pPr>
        <w:snapToGrid w:val="0"/>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13.3.1 投标文件的形式：投标文件分为电子投标文件、备份投标文件。</w:t>
      </w:r>
    </w:p>
    <w:p w14:paraId="7A005C17">
      <w:pPr>
        <w:snapToGrid w:val="0"/>
        <w:spacing w:line="520" w:lineRule="exact"/>
        <w:ind w:firstLine="422" w:firstLineChars="200"/>
        <w:outlineLvl w:val="3"/>
        <w:rPr>
          <w:rFonts w:hint="eastAsia" w:ascii="宋体" w:hAnsi="宋体" w:cs="宋体"/>
          <w:b/>
          <w:color w:val="auto"/>
          <w:szCs w:val="21"/>
          <w:highlight w:val="none"/>
        </w:rPr>
      </w:pPr>
      <w:r>
        <w:rPr>
          <w:rFonts w:hint="eastAsia" w:ascii="宋体" w:hAnsi="宋体" w:cs="宋体"/>
          <w:b/>
          <w:color w:val="auto"/>
          <w:szCs w:val="21"/>
          <w:highlight w:val="none"/>
        </w:rPr>
        <w:t>13.3.2 投标文件的效力</w:t>
      </w:r>
    </w:p>
    <w:p w14:paraId="7AD9E4A0">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投标文件的启用，按先后顺位分别为电子投标文件、备份投标文件。</w:t>
      </w:r>
    </w:p>
    <w:p w14:paraId="1424BB26">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 </w:t>
      </w:r>
    </w:p>
    <w:p w14:paraId="602C5F5E">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14. 投标文件的组成</w:t>
      </w:r>
    </w:p>
    <w:p w14:paraId="21538CB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14.1提交的投标文件应分为</w:t>
      </w:r>
      <w:r>
        <w:rPr>
          <w:rFonts w:hint="eastAsia" w:ascii="宋体" w:hAnsi="宋体" w:cs="宋体"/>
          <w:b/>
          <w:color w:val="auto"/>
          <w:kern w:val="0"/>
          <w:szCs w:val="21"/>
          <w:highlight w:val="none"/>
        </w:rPr>
        <w:t>资格文件、</w:t>
      </w:r>
      <w:r>
        <w:rPr>
          <w:rFonts w:hint="eastAsia" w:ascii="宋体" w:hAnsi="宋体" w:cs="宋体"/>
          <w:b/>
          <w:color w:val="auto"/>
          <w:szCs w:val="21"/>
          <w:highlight w:val="none"/>
        </w:rPr>
        <w:t>商务技术文件、报价文件三部分</w:t>
      </w:r>
      <w:r>
        <w:rPr>
          <w:rFonts w:hint="eastAsia" w:ascii="宋体" w:hAnsi="宋体" w:cs="宋体"/>
          <w:color w:val="auto"/>
          <w:szCs w:val="21"/>
          <w:highlight w:val="none"/>
        </w:rPr>
        <w:t>。</w:t>
      </w:r>
      <w:r>
        <w:rPr>
          <w:rFonts w:hint="eastAsia" w:ascii="宋体" w:hAnsi="宋体" w:cs="宋体"/>
          <w:b/>
          <w:color w:val="auto"/>
          <w:szCs w:val="21"/>
          <w:highlight w:val="none"/>
        </w:rPr>
        <w:t>资格文件、商务技术文件如有报价的内容, 其投标文件无效。</w:t>
      </w:r>
    </w:p>
    <w:p w14:paraId="1D49193A">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15. 投标文件编制内容和要求</w:t>
      </w:r>
    </w:p>
    <w:p w14:paraId="18597F05">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15.1 资格文件编制内容和要求：</w:t>
      </w:r>
      <w:r>
        <w:rPr>
          <w:rFonts w:hint="eastAsia" w:ascii="宋体" w:hAnsi="宋体" w:cs="宋体"/>
          <w:color w:val="auto"/>
          <w:szCs w:val="21"/>
          <w:highlight w:val="none"/>
        </w:rPr>
        <w:t>格式见第五章资格文件格式。</w:t>
      </w:r>
    </w:p>
    <w:p w14:paraId="3C6A981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15.2商务技术文件编制内容和要求</w:t>
      </w:r>
    </w:p>
    <w:p w14:paraId="605989D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15.2.1商务部分详见第五章格式。</w:t>
      </w:r>
    </w:p>
    <w:p w14:paraId="6608DA2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15.2.2技术部分（包含但不限于）:</w:t>
      </w:r>
    </w:p>
    <w:p w14:paraId="7CA547E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（1）按招标文件第五章投标相关文件格式所列的内容、格式的要求,及投标人认为有必要提供的其它文件；</w:t>
      </w:r>
    </w:p>
    <w:p w14:paraId="6BC55FC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（2）投标人需对照招标文件第三章招标要求所列的内容进行承诺；</w:t>
      </w:r>
    </w:p>
    <w:p w14:paraId="0DF8724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（3）投标人认为有必要提交的其他资料文件；</w:t>
      </w:r>
    </w:p>
    <w:p w14:paraId="0F44893A">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15.3报价文件内容: 详见第五章格式。</w:t>
      </w:r>
    </w:p>
    <w:p w14:paraId="53512679">
      <w:pPr>
        <w:spacing w:line="520" w:lineRule="exact"/>
        <w:ind w:firstLine="420" w:firstLineChars="200"/>
        <w:outlineLvl w:val="3"/>
        <w:rPr>
          <w:rFonts w:hint="eastAsia" w:ascii="宋体" w:hAnsi="宋体" w:cs="宋体"/>
          <w:b/>
          <w:color w:val="auto"/>
          <w:szCs w:val="21"/>
          <w:highlight w:val="none"/>
        </w:rPr>
      </w:pPr>
      <w:r>
        <w:rPr>
          <w:rFonts w:hint="eastAsia" w:ascii="宋体" w:hAnsi="宋体" w:cs="宋体"/>
          <w:color w:val="auto"/>
          <w:szCs w:val="21"/>
          <w:highlight w:val="none"/>
        </w:rPr>
        <w:t>15.3</w:t>
      </w:r>
      <w:r>
        <w:rPr>
          <w:rFonts w:hint="eastAsia" w:ascii="宋体" w:hAnsi="宋体" w:cs="宋体"/>
          <w:b/>
          <w:color w:val="auto"/>
          <w:szCs w:val="21"/>
          <w:highlight w:val="none"/>
        </w:rPr>
        <w:t>.</w:t>
      </w:r>
      <w:r>
        <w:rPr>
          <w:rFonts w:hint="eastAsia" w:ascii="宋体" w:hAnsi="宋体" w:cs="宋体"/>
          <w:color w:val="auto"/>
          <w:szCs w:val="21"/>
          <w:highlight w:val="none"/>
        </w:rPr>
        <w:t>1投标报价要求</w:t>
      </w:r>
    </w:p>
    <w:p w14:paraId="6B3DD6D5">
      <w:pPr>
        <w:spacing w:line="5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▲投标人应在招标文件所附的投标报价表上写明投标报价。投标人只允许有一个报价,采购人不接受有任何选择性的报价。投标报价高于最高限价的作无效标处理。</w:t>
      </w:r>
    </w:p>
    <w:p w14:paraId="3E67924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hint="eastAsia" w:ascii="宋体" w:hAnsi="宋体" w:cs="宋体"/>
          <w:b/>
          <w:color w:val="auto"/>
          <w:szCs w:val="21"/>
          <w:highlight w:val="none"/>
        </w:rPr>
        <w:t>.</w:t>
      </w:r>
      <w:r>
        <w:rPr>
          <w:rFonts w:hint="eastAsia" w:ascii="宋体" w:hAnsi="宋体" w:cs="宋体"/>
          <w:color w:val="auto"/>
          <w:szCs w:val="21"/>
          <w:highlight w:val="none"/>
        </w:rPr>
        <w:t>2投标相关报价明细表填写时应详细注明该表列举的费用及分项清单。</w:t>
      </w:r>
    </w:p>
    <w:p w14:paraId="26639306">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16.投标文件排版、封面</w:t>
      </w:r>
    </w:p>
    <w:p w14:paraId="550C0FDD">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16.1排版：</w:t>
      </w:r>
      <w:r>
        <w:rPr>
          <w:rFonts w:hint="eastAsia" w:ascii="宋体" w:hAnsi="宋体" w:cs="宋体"/>
          <w:color w:val="auto"/>
          <w:kern w:val="0"/>
          <w:szCs w:val="21"/>
          <w:highlight w:val="none"/>
        </w:rPr>
        <w:t>建议所有文字及表格采用黑色，正文字体采用宋体小四号字体，标题字体采用宋体小二号字体，页码应逐页连续编注。</w:t>
      </w:r>
    </w:p>
    <w:p w14:paraId="4AC98473">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16.2封面：按照招标文件第五章提供的格式制作封面。</w:t>
      </w:r>
    </w:p>
    <w:p w14:paraId="2FEB1096">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17.投标有效期</w:t>
      </w:r>
    </w:p>
    <w:p w14:paraId="67E8180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w:t>
      </w:r>
      <w:r>
        <w:rPr>
          <w:rFonts w:hint="eastAsia" w:ascii="宋体" w:hAnsi="宋体" w:cs="宋体"/>
          <w:bCs/>
          <w:snapToGrid w:val="0"/>
          <w:color w:val="auto"/>
          <w:szCs w:val="21"/>
          <w:highlight w:val="none"/>
        </w:rPr>
        <w:t>提交投标文件的截止之日起90日内有效。</w:t>
      </w:r>
    </w:p>
    <w:p w14:paraId="4DEF37C2">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18.投标文件的签署及规定</w:t>
      </w:r>
    </w:p>
    <w:p w14:paraId="6D3AFE8A">
      <w:pPr>
        <w:spacing w:line="5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18.1</w:t>
      </w:r>
      <w:r>
        <w:rPr>
          <w:rFonts w:hint="eastAsia" w:ascii="宋体" w:hAnsi="宋体" w:cs="宋体"/>
          <w:color w:val="auto"/>
          <w:kern w:val="0"/>
          <w:szCs w:val="21"/>
          <w:highlight w:val="none"/>
        </w:rPr>
        <w:t>投标人应按招标文件规定的内容和要求编制投标文件，</w:t>
      </w:r>
      <w:r>
        <w:rPr>
          <w:rFonts w:hint="eastAsia" w:ascii="宋体" w:hAnsi="宋体" w:cs="宋体"/>
          <w:bCs/>
          <w:color w:val="auto"/>
          <w:szCs w:val="21"/>
          <w:highlight w:val="none"/>
        </w:rPr>
        <w:t>投标文件</w:t>
      </w:r>
      <w:r>
        <w:rPr>
          <w:rFonts w:hint="eastAsia" w:ascii="宋体" w:hAnsi="宋体" w:cs="宋体"/>
          <w:color w:val="auto"/>
          <w:kern w:val="0"/>
          <w:szCs w:val="21"/>
          <w:highlight w:val="none"/>
        </w:rPr>
        <w:t>须清楚的标明“资格文件”、“商务技术文件”、“报价文件”。</w:t>
      </w:r>
    </w:p>
    <w:p w14:paraId="0B43F803">
      <w:pPr>
        <w:spacing w:line="5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18.2电子投标文件及备份投标文件中须盖公章部分均采用CA章或单位公章。</w:t>
      </w:r>
    </w:p>
    <w:p w14:paraId="498E3294">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18.3电报、电话、传真形式的投标概不接受。</w:t>
      </w:r>
      <w:bookmarkStart w:id="131" w:name="_Toc107820049"/>
      <w:bookmarkStart w:id="132" w:name="_Toc56928685"/>
    </w:p>
    <w:p w14:paraId="6F37270A">
      <w:pPr>
        <w:pStyle w:val="5"/>
        <w:spacing w:line="520" w:lineRule="exact"/>
        <w:ind w:firstLine="200" w:firstLineChars="0"/>
        <w:rPr>
          <w:rFonts w:hint="eastAsia" w:ascii="宋体" w:hAnsi="宋体" w:eastAsia="宋体" w:cs="宋体"/>
          <w:color w:val="auto"/>
          <w:sz w:val="24"/>
          <w:szCs w:val="24"/>
          <w:highlight w:val="none"/>
        </w:rPr>
      </w:pPr>
      <w:bookmarkStart w:id="133" w:name="_Toc17793765"/>
      <w:bookmarkStart w:id="134" w:name="_Toc55212782"/>
      <w:r>
        <w:rPr>
          <w:rFonts w:hint="eastAsia" w:ascii="宋体" w:hAnsi="宋体" w:eastAsia="宋体" w:cs="宋体"/>
          <w:color w:val="auto"/>
          <w:sz w:val="24"/>
          <w:szCs w:val="24"/>
          <w:highlight w:val="none"/>
        </w:rPr>
        <w:t>四   履约保证金</w:t>
      </w:r>
      <w:bookmarkEnd w:id="133"/>
      <w:bookmarkEnd w:id="134"/>
    </w:p>
    <w:p w14:paraId="31E18B37">
      <w:pPr>
        <w:spacing w:line="52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19.按“第四章 采购合同”规定要求。</w:t>
      </w:r>
    </w:p>
    <w:p w14:paraId="34A69C11">
      <w:pPr>
        <w:pStyle w:val="5"/>
        <w:spacing w:line="520" w:lineRule="exact"/>
        <w:ind w:firstLine="200" w:firstLineChars="0"/>
        <w:rPr>
          <w:rFonts w:hint="eastAsia" w:ascii="宋体" w:hAnsi="宋体" w:eastAsia="宋体" w:cs="宋体"/>
          <w:color w:val="auto"/>
          <w:sz w:val="24"/>
          <w:szCs w:val="24"/>
          <w:highlight w:val="none"/>
        </w:rPr>
      </w:pPr>
      <w:bookmarkStart w:id="135" w:name="_Toc55212783"/>
      <w:r>
        <w:rPr>
          <w:rFonts w:hint="eastAsia" w:ascii="宋体" w:hAnsi="宋体" w:eastAsia="宋体" w:cs="宋体"/>
          <w:color w:val="auto"/>
          <w:sz w:val="24"/>
          <w:szCs w:val="24"/>
          <w:highlight w:val="none"/>
        </w:rPr>
        <w:t>五   投标文件的</w:t>
      </w:r>
      <w:bookmarkEnd w:id="131"/>
      <w:bookmarkEnd w:id="132"/>
      <w:r>
        <w:rPr>
          <w:rFonts w:hint="eastAsia" w:ascii="宋体" w:hAnsi="宋体" w:eastAsia="宋体" w:cs="宋体"/>
          <w:color w:val="auto"/>
          <w:sz w:val="24"/>
          <w:szCs w:val="24"/>
          <w:highlight w:val="none"/>
        </w:rPr>
        <w:t>加密、提交、修改和撤回</w:t>
      </w:r>
      <w:bookmarkEnd w:id="135"/>
    </w:p>
    <w:p w14:paraId="76BDFEE8">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20.投标文件的加密</w:t>
      </w:r>
    </w:p>
    <w:p w14:paraId="71E8F61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20.1投标人应当将资格文件、商务技术文件和报价文件三部分分别导入相应位置，各文件之间不得混装；</w:t>
      </w:r>
    </w:p>
    <w:p w14:paraId="11362BF9">
      <w:pPr>
        <w:spacing w:line="5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20.2</w:t>
      </w:r>
      <w:r>
        <w:rPr>
          <w:rFonts w:hint="eastAsia" w:ascii="宋体" w:hAnsi="宋体" w:cs="宋体"/>
          <w:b/>
          <w:color w:val="auto"/>
          <w:szCs w:val="21"/>
          <w:highlight w:val="none"/>
        </w:rPr>
        <w:t>电子投标文件按政采云平台投标人项目采购-电子招投标操作指南（网址：https://help.zcygov.cn/web/site_2/2018/12-28/2573.html）进行加密；</w:t>
      </w:r>
      <w:r>
        <w:rPr>
          <w:rFonts w:hint="eastAsia" w:ascii="宋体" w:hAnsi="宋体" w:cs="宋体"/>
          <w:color w:val="auto"/>
          <w:szCs w:val="21"/>
          <w:highlight w:val="none"/>
        </w:rPr>
        <w:t>将最后生成的具有电子签章的备份投标文件进行压缩并加密。</w:t>
      </w:r>
    </w:p>
    <w:p w14:paraId="6641B1EB">
      <w:pPr>
        <w:spacing w:line="520" w:lineRule="exact"/>
        <w:ind w:firstLine="422" w:firstLineChars="200"/>
        <w:outlineLvl w:val="1"/>
        <w:rPr>
          <w:rFonts w:hint="eastAsia" w:ascii="宋体" w:hAnsi="宋体" w:cs="宋体"/>
          <w:b/>
          <w:color w:val="auto"/>
          <w:szCs w:val="21"/>
          <w:highlight w:val="none"/>
        </w:rPr>
      </w:pPr>
      <w:bookmarkStart w:id="136" w:name="_Toc107820050"/>
      <w:r>
        <w:rPr>
          <w:rFonts w:hint="eastAsia" w:ascii="宋体" w:hAnsi="宋体" w:cs="宋体"/>
          <w:b/>
          <w:color w:val="auto"/>
          <w:szCs w:val="21"/>
          <w:highlight w:val="none"/>
        </w:rPr>
        <w:t>21.投标文件的提交</w:t>
      </w:r>
    </w:p>
    <w:p w14:paraId="015362A3">
      <w:pPr>
        <w:spacing w:line="520" w:lineRule="exact"/>
        <w:ind w:firstLine="210" w:firstLineChars="100"/>
        <w:rPr>
          <w:rFonts w:hint="eastAsia"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21.1投标文件提交截止时间和提交地点详见本章前附表。</w:t>
      </w:r>
    </w:p>
    <w:p w14:paraId="76FBA7A8">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21.2不予接收的电子投标文件情形：</w:t>
      </w:r>
    </w:p>
    <w:p w14:paraId="2F5BCAD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（1）投标截止时间前未完成传输的电子投标文件；</w:t>
      </w:r>
    </w:p>
    <w:p w14:paraId="6F80CA28">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（2）未生成加密的电子投标文件；</w:t>
      </w:r>
    </w:p>
    <w:p w14:paraId="3AD841A4">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（3）在规定时间内未解密的电子投标文件或者解密不成功又未在规定时间内提交备份投标文件的。</w:t>
      </w:r>
    </w:p>
    <w:p w14:paraId="155AF3A4">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22.投标文件的修改和撤回</w:t>
      </w:r>
    </w:p>
    <w:p w14:paraId="5D41A3DB">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22.1在投标截止时间前，可以修改或撤回其投标文件：</w:t>
      </w:r>
    </w:p>
    <w:p w14:paraId="3A37FB20">
      <w:pPr>
        <w:numPr>
          <w:ilvl w:val="0"/>
          <w:numId w:val="6"/>
        </w:num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电子投标文件补充、修改或撤回的，应当先行撤回原文件，补充、修改后重新传输提交；</w:t>
      </w:r>
    </w:p>
    <w:p w14:paraId="10A9CA0D">
      <w:pPr>
        <w:numPr>
          <w:ilvl w:val="0"/>
          <w:numId w:val="6"/>
        </w:num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备份投标文件补充、修改或撤回的应以书面形式通知采购代理机构。</w:t>
      </w:r>
    </w:p>
    <w:p w14:paraId="5CB91CE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22.2修改后重新提交的投标文件应按招标文件的规定编制、标记和提交。</w:t>
      </w:r>
    </w:p>
    <w:p w14:paraId="4495BA81">
      <w:pPr>
        <w:spacing w:line="52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22.3在投标截止时间后,投标人不得修改、撤回已提交的投标文件。</w:t>
      </w:r>
    </w:p>
    <w:p w14:paraId="3F20CDBD">
      <w:pPr>
        <w:spacing w:line="52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▲22.4补充、修改后的电子投标文件、备份投标文件内容均应相同。</w:t>
      </w:r>
    </w:p>
    <w:p w14:paraId="6881B48F">
      <w:pPr>
        <w:pStyle w:val="5"/>
        <w:spacing w:line="520" w:lineRule="exact"/>
        <w:ind w:firstLine="200" w:firstLineChars="0"/>
        <w:rPr>
          <w:rFonts w:hint="eastAsia" w:ascii="宋体" w:hAnsi="宋体" w:eastAsia="宋体" w:cs="宋体"/>
          <w:color w:val="auto"/>
          <w:sz w:val="24"/>
          <w:szCs w:val="24"/>
          <w:highlight w:val="none"/>
        </w:rPr>
      </w:pPr>
      <w:bookmarkStart w:id="137" w:name="_Toc55212784"/>
      <w:r>
        <w:rPr>
          <w:rFonts w:hint="eastAsia" w:ascii="宋体" w:hAnsi="宋体" w:eastAsia="宋体" w:cs="宋体"/>
          <w:color w:val="auto"/>
          <w:sz w:val="24"/>
          <w:szCs w:val="24"/>
          <w:highlight w:val="none"/>
        </w:rPr>
        <w:t>六   开标和评</w:t>
      </w:r>
      <w:bookmarkEnd w:id="136"/>
      <w:r>
        <w:rPr>
          <w:rFonts w:hint="eastAsia" w:ascii="宋体" w:hAnsi="宋体" w:eastAsia="宋体" w:cs="宋体"/>
          <w:color w:val="auto"/>
          <w:sz w:val="24"/>
          <w:szCs w:val="24"/>
          <w:highlight w:val="none"/>
        </w:rPr>
        <w:t>审</w:t>
      </w:r>
      <w:bookmarkEnd w:id="137"/>
    </w:p>
    <w:p w14:paraId="52F8B72D">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23.开标</w:t>
      </w:r>
    </w:p>
    <w:p w14:paraId="2A982266">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23.1优先采用电子投标文件进行开标，电子投标文件未按时解密的，采用备份投标文件开标。</w:t>
      </w:r>
    </w:p>
    <w:p w14:paraId="296C6FDC">
      <w:pPr>
        <w:spacing w:line="520" w:lineRule="exact"/>
        <w:ind w:firstLine="420" w:firstLineChars="200"/>
        <w:rPr>
          <w:rFonts w:hint="eastAsia" w:ascii="宋体" w:hAnsi="宋体" w:cs="宋体"/>
          <w:color w:val="auto"/>
          <w:szCs w:val="21"/>
          <w:highlight w:val="none"/>
        </w:rPr>
      </w:pPr>
      <w:bookmarkStart w:id="138" w:name="_Toc393869892"/>
      <w:bookmarkStart w:id="139" w:name="_Toc415648536"/>
      <w:bookmarkStart w:id="140" w:name="_Toc396838136"/>
      <w:bookmarkStart w:id="141" w:name="_Toc335664280"/>
      <w:bookmarkStart w:id="142" w:name="_Toc393869894"/>
      <w:bookmarkStart w:id="143" w:name="_Toc394928032"/>
      <w:bookmarkStart w:id="144" w:name="_Toc334087238"/>
      <w:bookmarkStart w:id="145" w:name="_Toc107820051"/>
      <w:r>
        <w:rPr>
          <w:rFonts w:hint="eastAsia" w:ascii="宋体" w:hAnsi="宋体" w:cs="宋体"/>
          <w:color w:val="auto"/>
          <w:szCs w:val="21"/>
          <w:highlight w:val="none"/>
        </w:rPr>
        <w:t>23.2采购代理机构在招标文件规定的时间和地点组织开标会，建议投标人派代表参加开标会，投标人若未安排人员到场的应准时在线参加，否则产生的风险由投标人自行承担。</w:t>
      </w:r>
    </w:p>
    <w:p w14:paraId="400C055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23.3</w:t>
      </w:r>
      <w:r>
        <w:rPr>
          <w:rFonts w:hint="eastAsia" w:ascii="宋体" w:hAnsi="宋体" w:cs="宋体"/>
          <w:bCs/>
          <w:color w:val="auto"/>
          <w:szCs w:val="21"/>
          <w:highlight w:val="none"/>
        </w:rPr>
        <w:t>电子投标文件解密：由代理机构工作人员开启电子投标文件解密通道，解密时限以政采云电子交易平台为准。</w:t>
      </w:r>
    </w:p>
    <w:p w14:paraId="2836B4B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23.4</w:t>
      </w:r>
      <w:r>
        <w:rPr>
          <w:rFonts w:hint="eastAsia" w:ascii="宋体" w:hAnsi="宋体" w:cs="宋体"/>
          <w:bCs/>
          <w:color w:val="auto"/>
          <w:szCs w:val="21"/>
          <w:highlight w:val="none"/>
        </w:rPr>
        <w:t>电子投标文件无法解密的，代理机构通过电子交易平台“异常处理”通道上传备份投标文件，上传之前须由投标人代表提供备份投标文件密码进行解密。</w:t>
      </w:r>
    </w:p>
    <w:p w14:paraId="55BF10CA">
      <w:pPr>
        <w:spacing w:line="520" w:lineRule="exact"/>
        <w:ind w:firstLine="420" w:firstLineChars="200"/>
        <w:outlineLvl w:val="2"/>
        <w:rPr>
          <w:rFonts w:hint="eastAsia" w:ascii="宋体" w:hAnsi="宋体" w:cs="宋体"/>
          <w:bCs/>
          <w:color w:val="auto"/>
          <w:szCs w:val="21"/>
          <w:highlight w:val="none"/>
        </w:rPr>
      </w:pPr>
      <w:r>
        <w:rPr>
          <w:rFonts w:hint="eastAsia" w:ascii="宋体" w:hAnsi="宋体" w:cs="宋体"/>
          <w:bCs/>
          <w:color w:val="auto"/>
          <w:szCs w:val="21"/>
          <w:highlight w:val="none"/>
        </w:rPr>
        <w:t>23.5</w:t>
      </w:r>
      <w:r>
        <w:rPr>
          <w:rFonts w:hint="eastAsia" w:ascii="宋体" w:hAnsi="宋体" w:cs="宋体"/>
          <w:color w:val="auto"/>
          <w:kern w:val="0"/>
          <w:szCs w:val="21"/>
          <w:highlight w:val="none"/>
        </w:rPr>
        <w:t>解密成功的投标人不足三家的，按相关规定重新组织采购。</w:t>
      </w:r>
    </w:p>
    <w:p w14:paraId="1DF40674">
      <w:pPr>
        <w:spacing w:line="5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23.6采购代理机构做好会议记录，投标人在“开启标书信息”后可查看投标人名单。</w:t>
      </w:r>
    </w:p>
    <w:p w14:paraId="35A8474A">
      <w:pPr>
        <w:spacing w:line="5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23.7投标人认为采购人员及相关人员与其他投标人有利害关系的，可向采购代理机构提出回避申请，并说明理由，申请须由投标人代表签字或盖章。</w:t>
      </w:r>
    </w:p>
    <w:p w14:paraId="13C3AFBD">
      <w:pPr>
        <w:spacing w:line="5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23.8按规定提交《政府采购活动现场确认声明书》（详见第五章格式）。</w:t>
      </w:r>
    </w:p>
    <w:p w14:paraId="55398E9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23.9投标人对记录表有疑义的，</w:t>
      </w:r>
      <w:r>
        <w:rPr>
          <w:rFonts w:hint="eastAsia" w:ascii="宋体" w:hAnsi="宋体" w:cs="宋体"/>
          <w:color w:val="auto"/>
          <w:szCs w:val="21"/>
          <w:highlight w:val="none"/>
        </w:rPr>
        <w:t>投标人代表在开标会议结束前可以向采购代理机构通过现场或电子邮件的方式（857344410@qq.com）提出申请，并说明理由，申请须由投标人代表签字或盖章。</w:t>
      </w:r>
    </w:p>
    <w:p w14:paraId="1C1F57A0">
      <w:pPr>
        <w:spacing w:line="520" w:lineRule="exact"/>
        <w:ind w:firstLine="420" w:firstLineChars="200"/>
        <w:outlineLvl w:val="2"/>
        <w:rPr>
          <w:rFonts w:hint="eastAsia" w:ascii="宋体" w:hAnsi="宋体" w:cs="宋体"/>
          <w:color w:val="auto"/>
          <w:kern w:val="0"/>
          <w:szCs w:val="21"/>
          <w:highlight w:val="none"/>
        </w:rPr>
      </w:pPr>
      <w:r>
        <w:rPr>
          <w:rFonts w:hint="eastAsia" w:ascii="宋体" w:hAnsi="宋体" w:cs="宋体"/>
          <w:color w:val="auto"/>
          <w:kern w:val="0"/>
          <w:szCs w:val="21"/>
          <w:highlight w:val="none"/>
        </w:rPr>
        <w:t>23.10开标会议结束。</w:t>
      </w:r>
    </w:p>
    <w:p w14:paraId="79714DC5">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24. 资格审查</w:t>
      </w:r>
    </w:p>
    <w:p w14:paraId="0AC164B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采购人或采购代理机构按资格要求和资格文件要求对投标人进行资格审查及记录。</w:t>
      </w:r>
    </w:p>
    <w:p w14:paraId="3840CA52">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24.2 经资格审查后合格的投标人不足三家的，按相关规定重新组织招标。</w:t>
      </w:r>
    </w:p>
    <w:p w14:paraId="289E7479">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25. 评审流程：详见第六章。</w:t>
      </w:r>
    </w:p>
    <w:p w14:paraId="61E700C6">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26. 投标文件的澄清</w:t>
      </w:r>
    </w:p>
    <w:p w14:paraId="76159C52">
      <w:pPr>
        <w:spacing w:line="520" w:lineRule="exact"/>
        <w:ind w:firstLine="382" w:firstLineChars="182"/>
        <w:rPr>
          <w:rFonts w:hint="eastAsia" w:ascii="宋体" w:hAnsi="宋体" w:cs="宋体"/>
          <w:color w:val="auto"/>
          <w:szCs w:val="21"/>
          <w:highlight w:val="none"/>
        </w:rPr>
      </w:pPr>
      <w:r>
        <w:rPr>
          <w:rFonts w:hint="eastAsia" w:ascii="宋体" w:hAnsi="宋体" w:cs="宋体"/>
          <w:color w:val="auto"/>
          <w:szCs w:val="21"/>
          <w:highlight w:val="none"/>
        </w:rPr>
        <w:t>26.1 对</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14:paraId="361AE150">
      <w:pPr>
        <w:spacing w:line="520" w:lineRule="exact"/>
        <w:ind w:firstLine="382" w:firstLineChars="182"/>
        <w:outlineLvl w:val="2"/>
        <w:rPr>
          <w:rFonts w:hint="eastAsia" w:ascii="宋体" w:hAnsi="宋体" w:cs="宋体"/>
          <w:color w:val="auto"/>
          <w:szCs w:val="21"/>
          <w:highlight w:val="none"/>
        </w:rPr>
      </w:pPr>
      <w:r>
        <w:rPr>
          <w:rFonts w:hint="eastAsia" w:ascii="宋体" w:hAnsi="宋体" w:cs="宋体"/>
          <w:color w:val="auto"/>
          <w:szCs w:val="21"/>
          <w:highlight w:val="none"/>
        </w:rPr>
        <w:t>26.2 报价算术错误将按以下方法修正：</w:t>
      </w:r>
    </w:p>
    <w:p w14:paraId="404286B7">
      <w:pPr>
        <w:spacing w:line="520" w:lineRule="exact"/>
        <w:ind w:firstLine="382" w:firstLineChars="182"/>
        <w:rPr>
          <w:rFonts w:hint="eastAsia"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报价文件</w:t>
      </w:r>
      <w:r>
        <w:rPr>
          <w:rFonts w:hint="eastAsia" w:ascii="宋体" w:hAnsi="宋体" w:cs="宋体"/>
          <w:bCs/>
          <w:color w:val="auto"/>
          <w:szCs w:val="21"/>
          <w:highlight w:val="none"/>
        </w:rPr>
        <w:t>中开标一览表（报价表）内容与</w:t>
      </w:r>
      <w:r>
        <w:rPr>
          <w:rFonts w:hint="eastAsia" w:ascii="宋体" w:hAnsi="宋体" w:cs="宋体"/>
          <w:color w:val="auto"/>
          <w:kern w:val="0"/>
          <w:szCs w:val="21"/>
          <w:highlight w:val="none"/>
        </w:rPr>
        <w:t>报价</w:t>
      </w:r>
      <w:r>
        <w:rPr>
          <w:rFonts w:hint="eastAsia" w:ascii="宋体" w:hAnsi="宋体" w:cs="宋体"/>
          <w:bCs/>
          <w:color w:val="auto"/>
          <w:szCs w:val="21"/>
          <w:highlight w:val="none"/>
        </w:rPr>
        <w:t>明细表相应内容不一致的，以开标一览表（报价表）为准；</w:t>
      </w:r>
    </w:p>
    <w:p w14:paraId="5336ED5A">
      <w:pPr>
        <w:spacing w:line="520" w:lineRule="exact"/>
        <w:ind w:firstLine="382" w:firstLineChars="182"/>
        <w:outlineLvl w:val="3"/>
        <w:rPr>
          <w:rFonts w:hint="eastAsia" w:ascii="宋体" w:hAnsi="宋体" w:cs="宋体"/>
          <w:bCs/>
          <w:color w:val="auto"/>
          <w:szCs w:val="21"/>
          <w:highlight w:val="none"/>
        </w:rPr>
      </w:pPr>
      <w:r>
        <w:rPr>
          <w:rFonts w:hint="eastAsia" w:ascii="宋体" w:hAnsi="宋体" w:cs="宋体"/>
          <w:bCs/>
          <w:color w:val="auto"/>
          <w:szCs w:val="21"/>
          <w:highlight w:val="none"/>
        </w:rPr>
        <w:t>（2）报价文件的大写金额和小写金额不一致的，以大写金额为准；</w:t>
      </w:r>
    </w:p>
    <w:p w14:paraId="7D3C6B7C">
      <w:pPr>
        <w:spacing w:line="520" w:lineRule="exact"/>
        <w:ind w:firstLine="382" w:firstLineChars="182"/>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（3）单价金额小数点或者百分比有明显错位的，以开标一览表（报价表）的总价为准，并修改单价；</w:t>
      </w:r>
    </w:p>
    <w:p w14:paraId="11F4736E">
      <w:pPr>
        <w:spacing w:line="520" w:lineRule="exact"/>
        <w:ind w:firstLine="382" w:firstLineChars="182"/>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69FCEE58">
      <w:pPr>
        <w:spacing w:line="520" w:lineRule="exact"/>
        <w:ind w:firstLine="382" w:firstLineChars="182"/>
        <w:outlineLvl w:val="3"/>
        <w:rPr>
          <w:rFonts w:hint="eastAsia" w:ascii="宋体" w:hAnsi="宋体" w:cs="宋体"/>
          <w:bCs/>
          <w:color w:val="auto"/>
          <w:szCs w:val="21"/>
          <w:highlight w:val="none"/>
        </w:rPr>
      </w:pPr>
      <w:r>
        <w:rPr>
          <w:rFonts w:hint="eastAsia" w:ascii="宋体" w:hAnsi="宋体" w:cs="宋体"/>
          <w:bCs/>
          <w:color w:val="auto"/>
          <w:szCs w:val="21"/>
          <w:highlight w:val="none"/>
        </w:rPr>
        <w:t>（5）同时出现两种以上不一致的，按上述顺序修正；</w:t>
      </w:r>
    </w:p>
    <w:p w14:paraId="27508654">
      <w:pPr>
        <w:spacing w:line="520" w:lineRule="exact"/>
        <w:ind w:firstLine="382" w:firstLineChars="182"/>
        <w:rPr>
          <w:rFonts w:hint="eastAsia" w:ascii="宋体" w:hAnsi="宋体" w:cs="宋体"/>
          <w:color w:val="auto"/>
          <w:szCs w:val="21"/>
          <w:highlight w:val="none"/>
        </w:rPr>
      </w:pPr>
      <w:r>
        <w:rPr>
          <w:rFonts w:hint="eastAsia" w:ascii="宋体" w:hAnsi="宋体" w:cs="宋体"/>
          <w:bCs/>
          <w:color w:val="auto"/>
          <w:szCs w:val="21"/>
          <w:highlight w:val="none"/>
        </w:rPr>
        <w:t>（6）对不同文字文本</w:t>
      </w:r>
      <w:r>
        <w:rPr>
          <w:rFonts w:hint="eastAsia" w:ascii="宋体" w:hAnsi="宋体" w:cs="宋体"/>
          <w:color w:val="auto"/>
          <w:kern w:val="0"/>
          <w:szCs w:val="21"/>
          <w:highlight w:val="none"/>
        </w:rPr>
        <w:t>投标文件</w:t>
      </w:r>
      <w:r>
        <w:rPr>
          <w:rFonts w:hint="eastAsia" w:ascii="宋体" w:hAnsi="宋体" w:cs="宋体"/>
          <w:bCs/>
          <w:color w:val="auto"/>
          <w:szCs w:val="21"/>
          <w:highlight w:val="none"/>
        </w:rPr>
        <w:t>的解释发生异议的，以中文文本为准；</w:t>
      </w:r>
    </w:p>
    <w:p w14:paraId="573E0E9E">
      <w:pPr>
        <w:spacing w:line="520" w:lineRule="exact"/>
        <w:ind w:firstLine="382" w:firstLineChars="182"/>
        <w:rPr>
          <w:rFonts w:hint="eastAsia" w:ascii="宋体" w:hAnsi="宋体" w:cs="宋体"/>
          <w:color w:val="auto"/>
          <w:szCs w:val="21"/>
          <w:highlight w:val="none"/>
        </w:rPr>
      </w:pPr>
      <w:r>
        <w:rPr>
          <w:rFonts w:hint="eastAsia" w:ascii="宋体" w:hAnsi="宋体" w:cs="宋体"/>
          <w:color w:val="auto"/>
          <w:szCs w:val="21"/>
          <w:highlight w:val="none"/>
        </w:rPr>
        <w:t>（7）修正错误的的投标报价，投标人应当通过电子交易平台交换数据电文的形式提交，调整后的投标报价对投标人具有约束作用。若投标人不接受修正后的投标报价，则其投标将作为无效投标处理。</w:t>
      </w:r>
    </w:p>
    <w:p w14:paraId="02C3B5E5">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27. 对投标文件的比较和评估</w:t>
      </w:r>
    </w:p>
    <w:p w14:paraId="2925B44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评审委员会根据招标文件规定的评审办法和标准、对符合性审查合格投标人的投标文件及澄清答复内容进行商务和技术评估，综合比较与评价，并按照平等、客观、公正的原则对投标文件进行综合评审和评分。</w:t>
      </w:r>
    </w:p>
    <w:p w14:paraId="268220CD">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28. 评标报告</w:t>
      </w:r>
    </w:p>
    <w:p w14:paraId="69311F8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评审委员会根据全体评审成员签字的原始评审记录和评审结果编写评标报告，并推荐中标候选人，评审报告由评审委员会成员签字确认提交。</w:t>
      </w:r>
    </w:p>
    <w:p w14:paraId="1C927933">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29.采购过程中出现以下情形，导致电子交易平台无法正常运行，或者无法保证电子交易的公平、公正和安全时，可中止电子交易活动：</w:t>
      </w:r>
    </w:p>
    <w:p w14:paraId="3A404B21">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（1）电子交易平台发生故障而无法登录访问的； </w:t>
      </w:r>
    </w:p>
    <w:p w14:paraId="4F8F1445">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3F096865">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66F6AF8C">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（4）病毒发作导致不能进行正常操作的； </w:t>
      </w:r>
    </w:p>
    <w:p w14:paraId="20B98B4B">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09217246">
      <w:pPr>
        <w:widowControl/>
        <w:shd w:val="clear" w:color="auto" w:fill="FFFFFF"/>
        <w:spacing w:line="520" w:lineRule="exact"/>
        <w:jc w:val="left"/>
        <w:rPr>
          <w:rFonts w:hint="eastAsia" w:ascii="宋体" w:hAnsi="宋体" w:cs="宋体"/>
          <w:color w:val="auto"/>
          <w:szCs w:val="21"/>
          <w:highlight w:val="none"/>
        </w:rPr>
      </w:pPr>
      <w:r>
        <w:rPr>
          <w:rFonts w:hint="eastAsia" w:ascii="宋体" w:hAnsi="宋体" w:cs="宋体"/>
          <w:color w:val="auto"/>
          <w:szCs w:val="21"/>
          <w:highlight w:val="none"/>
        </w:rPr>
        <w:t>  出现前款规定情形，不影响采购公平、公正性的，采购代理机构可以待上述情形消除后继续组织电子交易活动；影响或可能影响采购公平、公正性的，重新组织采购。</w:t>
      </w:r>
    </w:p>
    <w:p w14:paraId="6329997B">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30. 采购代理机构或评审委员会因不可抗力（不可抗力包括但不限于自然灾害、断电、传播疫病等）原因造成电子交易活动无法正常运行的，将采取以下措施：</w:t>
      </w:r>
    </w:p>
    <w:p w14:paraId="4DF1EA69">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（1）短时间内能消除不可抗力因素的，采购代理机构或评审委员会在消除不可抗力因素后继续组织电子交易活动。</w:t>
      </w:r>
    </w:p>
    <w:p w14:paraId="54BA991B">
      <w:pPr>
        <w:widowControl/>
        <w:shd w:val="clear" w:color="auto" w:fill="FFFFFF"/>
        <w:spacing w:line="5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（2）长时间内无法消除不可抗力因素的，采购代理机构或评审委员会将中止电子交易活动。中止电子交易活动的，采购人应当重新组织政府采购活动。</w:t>
      </w:r>
    </w:p>
    <w:p w14:paraId="15908E48">
      <w:pPr>
        <w:spacing w:line="52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31. 保密和评审过程的监控</w:t>
      </w:r>
    </w:p>
    <w:p w14:paraId="65AF2217">
      <w:pPr>
        <w:spacing w:line="52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31.1 自开标时间起至中标结果公告发布时间止，凡属于审查、澄清、评估和比较投标的有关资料，且与授予合同有关的信息都不得向任何投标人或与上述评审过程无关的人员透露。</w:t>
      </w:r>
    </w:p>
    <w:p w14:paraId="0ABBC69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31.2 本项目开标、评审过程实行全程录音、录像监控，投标人在开标、评审过程中所进行的试图影响评审结果的不公正行为或授予合同决定的过程施加影响的企图和行为，可能导致和其投标被拒绝。</w:t>
      </w:r>
      <w:bookmarkStart w:id="146" w:name="EB6abbdb67ad8e4dca83235298b1f0b56f"/>
      <w:r>
        <w:rPr>
          <w:rFonts w:hint="eastAsia" w:ascii="宋体" w:hAnsi="宋体" w:cs="宋体"/>
          <w:color w:val="auto"/>
          <w:szCs w:val="21"/>
          <w:highlight w:val="none"/>
        </w:rPr>
        <w:t xml:space="preserve"> </w:t>
      </w:r>
      <w:bookmarkEnd w:id="146"/>
      <w:bookmarkStart w:id="147" w:name="EB50051ac8f4a946c091713b64242fa8f2"/>
      <w:r>
        <w:rPr>
          <w:rFonts w:hint="eastAsia" w:ascii="宋体" w:hAnsi="宋体" w:cs="宋体"/>
          <w:color w:val="auto"/>
          <w:szCs w:val="21"/>
          <w:highlight w:val="none"/>
        </w:rPr>
        <w:t xml:space="preserve"> </w:t>
      </w:r>
      <w:bookmarkEnd w:id="147"/>
    </w:p>
    <w:p w14:paraId="60BD65F7">
      <w:pPr>
        <w:pStyle w:val="5"/>
        <w:spacing w:line="520" w:lineRule="exact"/>
        <w:ind w:firstLine="200" w:firstLineChars="0"/>
        <w:rPr>
          <w:rFonts w:hint="eastAsia" w:ascii="宋体" w:hAnsi="宋体" w:eastAsia="宋体" w:cs="宋体"/>
          <w:color w:val="auto"/>
          <w:sz w:val="24"/>
          <w:szCs w:val="24"/>
          <w:highlight w:val="none"/>
        </w:rPr>
      </w:pPr>
      <w:bookmarkStart w:id="148" w:name="_Toc55212785"/>
      <w:bookmarkStart w:id="149" w:name="_Toc493956039"/>
      <w:bookmarkStart w:id="150" w:name="_Toc494555855"/>
      <w:r>
        <w:rPr>
          <w:rFonts w:hint="eastAsia" w:ascii="宋体" w:hAnsi="宋体" w:eastAsia="宋体" w:cs="宋体"/>
          <w:color w:val="auto"/>
          <w:sz w:val="24"/>
          <w:szCs w:val="24"/>
          <w:highlight w:val="none"/>
        </w:rPr>
        <w:t>七   投标无效的情形</w:t>
      </w:r>
      <w:bookmarkEnd w:id="148"/>
      <w:bookmarkEnd w:id="149"/>
      <w:bookmarkEnd w:id="150"/>
    </w:p>
    <w:p w14:paraId="5CFDA4E6">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32.实质上没有响应招标文件要求的投标将被视为无效投标。投标人不得通过修正或撤消不合要求的偏离或保留从而使其投标成为实质上响应的投标。投标人如有下列情形之一的，其投标将被拒绝，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cs="宋体"/>
          <w:b/>
          <w:color w:val="auto"/>
          <w:kern w:val="0"/>
          <w:szCs w:val="21"/>
          <w:highlight w:val="none"/>
        </w:rPr>
        <w:t>投标文件</w:t>
      </w:r>
      <w:r>
        <w:rPr>
          <w:rFonts w:hint="eastAsia" w:ascii="宋体" w:hAnsi="宋体" w:cs="宋体"/>
          <w:b/>
          <w:color w:val="auto"/>
          <w:szCs w:val="21"/>
          <w:highlight w:val="none"/>
        </w:rPr>
        <w:t>无效：</w:t>
      </w:r>
    </w:p>
    <w:p w14:paraId="09ABE22D">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（1）电报、电话、传真形式提交投标文件的；</w:t>
      </w:r>
    </w:p>
    <w:p w14:paraId="22108AED">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（2）投标人未按招标文件规定的时间和地点提交电子投标文件的；</w:t>
      </w:r>
    </w:p>
    <w:p w14:paraId="6FAE70E0">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（3）未按招标文件规定要求签署、盖章的；</w:t>
      </w:r>
    </w:p>
    <w:p w14:paraId="122D25DB">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（4）不具备投标文件规定资格要求的；</w:t>
      </w:r>
    </w:p>
    <w:p w14:paraId="69120C5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（5）投标有效期不足的；</w:t>
      </w:r>
    </w:p>
    <w:p w14:paraId="7471226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（6）评审委员会评定有实质上“▲”条款的负偏离的；</w:t>
      </w:r>
    </w:p>
    <w:p w14:paraId="3341A25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（7）投标文件含有采购人不能接受的附加条款的；</w:t>
      </w:r>
    </w:p>
    <w:p w14:paraId="77FE6E4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（8）投标报价高于招标文件中规定的预算金额或者最高限价的；</w:t>
      </w:r>
    </w:p>
    <w:p w14:paraId="76D95EE0">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kern w:val="0"/>
          <w:szCs w:val="21"/>
          <w:highlight w:val="none"/>
        </w:rPr>
        <w:t>（9）</w:t>
      </w:r>
      <w:r>
        <w:rPr>
          <w:rFonts w:hint="eastAsia" w:ascii="宋体" w:hAnsi="宋体" w:cs="宋体"/>
          <w:b/>
          <w:color w:val="auto"/>
          <w:szCs w:val="21"/>
          <w:highlight w:val="none"/>
        </w:rPr>
        <w:t>招标文件中未要求，但投标人给予赠品、回扣或与采购无关的其他商品、服务的；</w:t>
      </w:r>
    </w:p>
    <w:p w14:paraId="0C19A380">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（10）投标报价存在漏项或报价数量少于采购要求的；</w:t>
      </w:r>
    </w:p>
    <w:p w14:paraId="4EA21D2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3C45F94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中予以特别说明的；</w:t>
      </w:r>
    </w:p>
    <w:p w14:paraId="6377E50A">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（13）提供虚假材料谋取中标的；</w:t>
      </w:r>
    </w:p>
    <w:p w14:paraId="099A93D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（14）在招标过程中与采购人进行协商谈判、不按招标文件和中标人的</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订立合同，或者与采购人另行订立背离合同实质性内容的协议的；</w:t>
      </w:r>
    </w:p>
    <w:p w14:paraId="0A266577">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（15）招标文件规定的其他</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无效情形。</w:t>
      </w:r>
      <w:bookmarkStart w:id="151" w:name="EBdafef940fa674575a283c03dcfd15197"/>
      <w:r>
        <w:rPr>
          <w:rFonts w:hint="eastAsia" w:ascii="宋体" w:hAnsi="宋体" w:cs="宋体"/>
          <w:color w:val="auto"/>
          <w:szCs w:val="21"/>
          <w:highlight w:val="none"/>
        </w:rPr>
        <w:t xml:space="preserve"> </w:t>
      </w:r>
      <w:bookmarkEnd w:id="151"/>
      <w:bookmarkStart w:id="152" w:name="EB09b84f7f941446eb81ae304223ba6dc4"/>
      <w:r>
        <w:rPr>
          <w:rFonts w:hint="eastAsia" w:ascii="宋体" w:hAnsi="宋体" w:cs="宋体"/>
          <w:color w:val="auto"/>
          <w:szCs w:val="21"/>
          <w:highlight w:val="none"/>
        </w:rPr>
        <w:t xml:space="preserve"> </w:t>
      </w:r>
      <w:bookmarkEnd w:id="152"/>
    </w:p>
    <w:p w14:paraId="7E0F4F35">
      <w:pPr>
        <w:pStyle w:val="5"/>
        <w:spacing w:line="520" w:lineRule="exact"/>
        <w:ind w:firstLine="200" w:firstLineChars="0"/>
        <w:rPr>
          <w:rFonts w:hint="eastAsia" w:ascii="宋体" w:hAnsi="宋体" w:eastAsia="宋体" w:cs="宋体"/>
          <w:color w:val="auto"/>
          <w:sz w:val="24"/>
          <w:szCs w:val="24"/>
          <w:highlight w:val="none"/>
        </w:rPr>
      </w:pPr>
      <w:bookmarkStart w:id="153" w:name="_Toc493956040"/>
      <w:bookmarkStart w:id="154" w:name="_Toc55212786"/>
      <w:bookmarkStart w:id="155" w:name="_Toc494555856"/>
      <w:r>
        <w:rPr>
          <w:rFonts w:hint="eastAsia" w:ascii="宋体" w:hAnsi="宋体" w:eastAsia="宋体" w:cs="宋体"/>
          <w:color w:val="auto"/>
          <w:sz w:val="24"/>
          <w:szCs w:val="24"/>
          <w:highlight w:val="none"/>
        </w:rPr>
        <w:t>八   法律责任</w:t>
      </w:r>
      <w:bookmarkEnd w:id="153"/>
      <w:bookmarkEnd w:id="154"/>
      <w:bookmarkEnd w:id="155"/>
    </w:p>
    <w:p w14:paraId="2C5EA150">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33. 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455F33A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（1）提供虚假材料谋取中标的；</w:t>
      </w:r>
    </w:p>
    <w:p w14:paraId="704E8E3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采取不正当手段诋毁、排挤其他投标人的；</w:t>
      </w:r>
    </w:p>
    <w:p w14:paraId="10B21B4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（3）与采购人、其他投标人或者采购代理机构恶意串通的；</w:t>
      </w:r>
    </w:p>
    <w:p w14:paraId="1BCCA00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（4）向采购人、采购代理机构行贿或者提供其他不正当利益的；</w:t>
      </w:r>
    </w:p>
    <w:p w14:paraId="1422DE7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（5）在招标采购过程中与采购人进行协商谈判的；</w:t>
      </w:r>
    </w:p>
    <w:p w14:paraId="18BE4DF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（6）拒绝有关部门监督检查或者提供虚假情况的。</w:t>
      </w:r>
    </w:p>
    <w:p w14:paraId="57C2779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投标人有前款（1）至（6）项情形之一的，中标无效。</w:t>
      </w:r>
    </w:p>
    <w:p w14:paraId="5A72BACA">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34. 投标人有下列情形之一的，依照政府采购法第七十七条第一款的规定追究法律责任：</w:t>
      </w:r>
    </w:p>
    <w:p w14:paraId="7E74B68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（1）向评审委员会或者评审委员会成员行贿或者提供其他不正当利益；</w:t>
      </w:r>
    </w:p>
    <w:p w14:paraId="5E8BC03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（2）中标或者成交后无正当理由拒不与采购人签订政府采购合同；</w:t>
      </w:r>
    </w:p>
    <w:p w14:paraId="325925F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（3）未按照招标文件确定的事项签订政府采购合同；</w:t>
      </w:r>
    </w:p>
    <w:p w14:paraId="211157F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（4）将政府采购合同转包；</w:t>
      </w:r>
    </w:p>
    <w:p w14:paraId="31691253">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（5）提供假冒伪劣产品；</w:t>
      </w:r>
    </w:p>
    <w:p w14:paraId="26F0C15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（6）擅自变更、中止或者终止政府采购合同。</w:t>
      </w:r>
    </w:p>
    <w:p w14:paraId="7D35C92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13728688">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35. 投标人捏造事实、提供虚假材料或者以非法手段取得证明材料进行投诉的，由财政部门列入不良行为记录名单，禁止其1至3年内参加政府采购活动。</w:t>
      </w:r>
    </w:p>
    <w:p w14:paraId="2B9FCD13">
      <w:pPr>
        <w:spacing w:line="5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36. 有下列情形之一的，属于恶意串通，对投标人依照政府采购法第七十七条第一款的规定追究法律责任，对采购人、采购代理机构及其工作人员依照政府采购法第七十二条的规定追究法律责任：</w:t>
      </w:r>
    </w:p>
    <w:p w14:paraId="2C8B183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（1）投标人直接或者间接从采购人或者采购代理机构处获得其他投标人的相关情况并修改其</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w:t>
      </w:r>
    </w:p>
    <w:p w14:paraId="6F2BAB72">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w:t>
      </w:r>
    </w:p>
    <w:p w14:paraId="795D3596">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（3）投标人之间协商报价、技术方案等投标文件的实质性内容；</w:t>
      </w:r>
    </w:p>
    <w:p w14:paraId="07DDC165">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150E395">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（5）投标人之间事先约定由某一特定投标人中标、成交；</w:t>
      </w:r>
    </w:p>
    <w:p w14:paraId="7737A53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（6）投标人之间商定部分投标人放弃参加政府采购活动或者放弃中标、成交；</w:t>
      </w:r>
    </w:p>
    <w:p w14:paraId="2CC92F6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（7）投标人与采购人或者采购代理机构之间、投标人相互之间，为谋求特定投标人中标、成交或者排斥其他投标人的其他串通行为；</w:t>
      </w:r>
    </w:p>
    <w:p w14:paraId="3D2B6957">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（8）不同投标人的投标文件由同一单位或者个人编制；</w:t>
      </w:r>
    </w:p>
    <w:p w14:paraId="457504E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（9）不同投标人委托同一单位或者个人办理投标事宜；</w:t>
      </w:r>
    </w:p>
    <w:p w14:paraId="354AB52A">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（10）不同投标人的投标文件载明的项目管理成员或者联系人员为同一人；</w:t>
      </w:r>
    </w:p>
    <w:p w14:paraId="0E14E786">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（11）不同投标人的投标文件异常一致或者投标报价呈规律性差异；</w:t>
      </w:r>
    </w:p>
    <w:p w14:paraId="5302BC4C">
      <w:pPr>
        <w:spacing w:line="52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（12）不同投标人的投标文件相互混装。</w:t>
      </w:r>
    </w:p>
    <w:bookmarkEnd w:id="138"/>
    <w:bookmarkEnd w:id="139"/>
    <w:bookmarkEnd w:id="140"/>
    <w:p w14:paraId="2AFE876D">
      <w:pPr>
        <w:pStyle w:val="5"/>
        <w:spacing w:line="520" w:lineRule="exact"/>
        <w:ind w:firstLine="118" w:firstLineChars="49"/>
        <w:rPr>
          <w:rFonts w:hint="eastAsia" w:ascii="宋体" w:hAnsi="宋体" w:eastAsia="宋体" w:cs="宋体"/>
          <w:color w:val="auto"/>
          <w:sz w:val="24"/>
          <w:szCs w:val="24"/>
          <w:highlight w:val="none"/>
        </w:rPr>
      </w:pPr>
      <w:bookmarkStart w:id="156" w:name="_Toc17793770"/>
      <w:bookmarkStart w:id="157" w:name="_Toc55212787"/>
      <w:bookmarkStart w:id="158" w:name="_Toc396838137"/>
      <w:bookmarkStart w:id="159" w:name="_Toc334087237"/>
      <w:bookmarkStart w:id="160" w:name="_Toc415648537"/>
      <w:bookmarkStart w:id="161" w:name="_Toc335664279"/>
      <w:bookmarkStart w:id="162" w:name="_Toc176659672"/>
      <w:bookmarkStart w:id="163" w:name="_Toc393869893"/>
      <w:r>
        <w:rPr>
          <w:rFonts w:hint="eastAsia" w:ascii="宋体" w:hAnsi="宋体" w:eastAsia="宋体" w:cs="宋体"/>
          <w:color w:val="auto"/>
          <w:sz w:val="24"/>
          <w:szCs w:val="24"/>
          <w:highlight w:val="none"/>
        </w:rPr>
        <w:t>九   澄清、修改发布媒体</w:t>
      </w:r>
      <w:bookmarkEnd w:id="156"/>
      <w:bookmarkEnd w:id="157"/>
    </w:p>
    <w:p w14:paraId="019E35F2">
      <w:pPr>
        <w:snapToGrid w:val="0"/>
        <w:spacing w:line="52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37.针对潜在投标人提出的询问，采购代理机构一般在3个工作日内作出答复，如需澄清或</w:t>
      </w:r>
      <w:r>
        <w:rPr>
          <w:rFonts w:hint="eastAsia" w:ascii="宋体" w:hAnsi="宋体" w:cs="宋体"/>
          <w:bCs/>
          <w:color w:val="auto"/>
          <w:kern w:val="0"/>
          <w:szCs w:val="21"/>
          <w:highlight w:val="none"/>
        </w:rPr>
        <w:t>修改的，采购代理机构将在投标截止时间十五日前将澄清或修改内容在浙江政府采购网</w:t>
      </w:r>
      <w:r>
        <w:rPr>
          <w:color w:val="auto"/>
          <w:highlight w:val="none"/>
        </w:rPr>
        <w:fldChar w:fldCharType="begin"/>
      </w:r>
      <w:r>
        <w:rPr>
          <w:color w:val="auto"/>
          <w:highlight w:val="none"/>
        </w:rPr>
        <w:instrText xml:space="preserve"> HYPERLINK "http://60.190.126.3:8080/wcm/WCMV6/editor/editor/招标文件（新版）.doc" </w:instrText>
      </w:r>
      <w:r>
        <w:rPr>
          <w:color w:val="auto"/>
          <w:highlight w:val="none"/>
        </w:rPr>
        <w:fldChar w:fldCharType="separate"/>
      </w:r>
      <w:r>
        <w:rPr>
          <w:rFonts w:hint="eastAsia" w:ascii="宋体" w:hAnsi="宋体" w:cs="宋体"/>
          <w:bCs/>
          <w:color w:val="auto"/>
          <w:kern w:val="0"/>
          <w:szCs w:val="21"/>
          <w:highlight w:val="none"/>
        </w:rPr>
        <w:t>https://zfcg.czt.zj.gov.cn/</w:t>
      </w:r>
      <w:r>
        <w:rPr>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、丽水市公共资源交易网</w:t>
      </w:r>
      <w:r>
        <w:rPr>
          <w:rFonts w:hint="eastAsia" w:ascii="宋体" w:hAnsi="宋体" w:cs="宋体"/>
          <w:color w:val="auto"/>
          <w:szCs w:val="21"/>
          <w:highlight w:val="none"/>
        </w:rPr>
        <w:t>https://lssggzy.lishui.gov.cn/</w:t>
      </w:r>
      <w:r>
        <w:rPr>
          <w:rFonts w:hint="eastAsia" w:ascii="宋体" w:hAnsi="宋体" w:cs="宋体"/>
          <w:bCs/>
          <w:color w:val="auto"/>
          <w:kern w:val="0"/>
          <w:szCs w:val="21"/>
          <w:highlight w:val="none"/>
        </w:rPr>
        <w:t>上予以公布，潜在投标人应自行关注网站更正公告等内容，采购代理机构不再一一通知。</w:t>
      </w:r>
    </w:p>
    <w:p w14:paraId="2D88341F">
      <w:pPr>
        <w:snapToGrid w:val="0"/>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38.潜在投标人提出的询问超出采购人对采购代理机构委托授权范围的，投标人应向采购人提出。</w:t>
      </w:r>
    </w:p>
    <w:p w14:paraId="5D444D5F">
      <w:pPr>
        <w:pStyle w:val="5"/>
        <w:spacing w:line="520" w:lineRule="exact"/>
        <w:ind w:firstLine="200" w:firstLineChars="0"/>
        <w:rPr>
          <w:rFonts w:hint="eastAsia" w:ascii="宋体" w:hAnsi="宋体" w:eastAsia="宋体" w:cs="宋体"/>
          <w:color w:val="auto"/>
          <w:sz w:val="24"/>
          <w:szCs w:val="24"/>
          <w:highlight w:val="none"/>
        </w:rPr>
      </w:pPr>
      <w:bookmarkStart w:id="164" w:name="_Toc55212788"/>
      <w:r>
        <w:rPr>
          <w:rFonts w:hint="eastAsia" w:ascii="宋体" w:hAnsi="宋体" w:eastAsia="宋体" w:cs="宋体"/>
          <w:color w:val="auto"/>
          <w:sz w:val="24"/>
          <w:szCs w:val="24"/>
          <w:highlight w:val="none"/>
        </w:rPr>
        <w:t>十   质疑</w:t>
      </w:r>
      <w:bookmarkEnd w:id="158"/>
      <w:bookmarkEnd w:id="159"/>
      <w:bookmarkEnd w:id="160"/>
      <w:bookmarkEnd w:id="161"/>
      <w:bookmarkEnd w:id="162"/>
      <w:bookmarkEnd w:id="163"/>
      <w:bookmarkEnd w:id="164"/>
    </w:p>
    <w:p w14:paraId="20591F20">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39.</w:t>
      </w:r>
      <w:r>
        <w:rPr>
          <w:rFonts w:hint="eastAsia" w:hAnsi="宋体" w:cs="宋体"/>
          <w:color w:val="auto"/>
          <w:kern w:val="0"/>
          <w:szCs w:val="21"/>
          <w:highlight w:val="none"/>
        </w:rPr>
        <w:t>投标人认为招标文件、采购过程、中标或者成交结果使自己的权益受到损害的，可以在知道或者应知其权益受到损害之日起7个工作日内</w:t>
      </w:r>
      <w:r>
        <w:rPr>
          <w:rFonts w:hint="eastAsia" w:hAnsi="宋体" w:cs="宋体"/>
          <w:color w:val="auto"/>
          <w:szCs w:val="21"/>
          <w:highlight w:val="none"/>
        </w:rPr>
        <w:t>且应当在投标截止时间之前提出，否则被质疑人可以不予接受。投标人应</w:t>
      </w:r>
      <w:r>
        <w:rPr>
          <w:rFonts w:hint="eastAsia" w:hAnsi="宋体" w:cs="宋体"/>
          <w:color w:val="auto"/>
          <w:kern w:val="0"/>
          <w:szCs w:val="21"/>
          <w:highlight w:val="none"/>
        </w:rPr>
        <w:t>以书面形式向采购人、采购代理机构一次性提出各采购程序环节的质疑。</w:t>
      </w:r>
    </w:p>
    <w:p w14:paraId="160BD61C">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40.质疑的主要内容应符合</w:t>
      </w:r>
      <w:r>
        <w:rPr>
          <w:rFonts w:hint="eastAsia" w:hAnsi="宋体" w:cs="宋体"/>
          <w:color w:val="auto"/>
          <w:kern w:val="0"/>
          <w:szCs w:val="21"/>
          <w:highlight w:val="none"/>
        </w:rPr>
        <w:t>《政府采购质疑和投诉办法》（94号令）规定</w:t>
      </w:r>
      <w:r>
        <w:rPr>
          <w:rFonts w:hint="eastAsia" w:hAnsi="宋体" w:cs="宋体"/>
          <w:color w:val="auto"/>
          <w:szCs w:val="21"/>
          <w:highlight w:val="none"/>
        </w:rPr>
        <w:t>以及浙江省和丽水市相关文件的规定。质疑内容涉及保密事项，质疑投标人应提供有效的信息来源或有效证据。</w:t>
      </w:r>
    </w:p>
    <w:p w14:paraId="5F21AE96">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41.质疑投标人可直接提交或邮寄方式提交质疑书（一式三份以上）或以扫描件在线提交方式。以其他方式提出的质疑，采购代理机构可不予接受、答复。</w:t>
      </w:r>
    </w:p>
    <w:p w14:paraId="2A339619">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41.1邮寄方式送达质疑书的，以采购代理机构实际收到邮件之日作为收到质疑的日期。</w:t>
      </w:r>
    </w:p>
    <w:p w14:paraId="1811FC40">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41.2在质疑期限届满前，质疑书已经邮寄或传真成功的，质疑不视为过期。</w:t>
      </w:r>
    </w:p>
    <w:p w14:paraId="0506DB73">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42.质疑投标人提供的相关材料中有外文资料的，应将与质疑相关的外文资料完整、客观、真实地翻译为中文，并注明翻译人员姓名、工作单位、联系方式等信息。</w:t>
      </w:r>
    </w:p>
    <w:p w14:paraId="731D8718">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43.采购代理机构在收到质疑投标人的书面质疑后7个工作日内作出答复，并以书面形式答复质疑投标人。</w:t>
      </w:r>
    </w:p>
    <w:p w14:paraId="4ED48606">
      <w:pPr>
        <w:pStyle w:val="29"/>
        <w:spacing w:line="520" w:lineRule="exact"/>
        <w:ind w:firstLine="420" w:firstLineChars="200"/>
        <w:rPr>
          <w:rFonts w:hint="eastAsia" w:hAnsi="宋体" w:cs="宋体"/>
          <w:color w:val="auto"/>
          <w:szCs w:val="21"/>
          <w:highlight w:val="none"/>
        </w:rPr>
      </w:pPr>
      <w:r>
        <w:rPr>
          <w:rFonts w:hint="eastAsia" w:hAnsi="宋体" w:cs="宋体"/>
          <w:color w:val="auto"/>
          <w:szCs w:val="21"/>
          <w:highlight w:val="none"/>
        </w:rPr>
        <w:t>44.质疑投标人捏造事实、提供虚假材料进行质疑的，采购代理机构报告同级财政部门，由同级财政部门审查，情况属实的，应列入不良行为记录，并在指定的媒体上公告。</w:t>
      </w:r>
    </w:p>
    <w:p w14:paraId="4A267A02">
      <w:pPr>
        <w:pStyle w:val="29"/>
        <w:spacing w:line="480" w:lineRule="exact"/>
        <w:ind w:firstLine="420" w:firstLineChars="200"/>
        <w:rPr>
          <w:rFonts w:hint="eastAsia" w:hAnsi="宋体" w:cs="宋体"/>
          <w:color w:val="auto"/>
          <w:szCs w:val="21"/>
          <w:highlight w:val="none"/>
        </w:rPr>
      </w:pPr>
      <w:r>
        <w:rPr>
          <w:rFonts w:hint="eastAsia" w:hAnsi="宋体" w:cs="宋体"/>
          <w:color w:val="auto"/>
          <w:szCs w:val="21"/>
          <w:highlight w:val="none"/>
        </w:rPr>
        <w:t>45.如联合体参与采购活动，质疑应由组成联合体的所有投标人共同提出。</w:t>
      </w:r>
    </w:p>
    <w:p w14:paraId="412372CC">
      <w:pPr>
        <w:pStyle w:val="5"/>
        <w:spacing w:line="520" w:lineRule="exact"/>
        <w:ind w:firstLine="200" w:firstLineChars="0"/>
        <w:rPr>
          <w:rFonts w:hint="eastAsia" w:ascii="宋体" w:hAnsi="宋体" w:eastAsia="宋体" w:cs="宋体"/>
          <w:color w:val="auto"/>
          <w:sz w:val="24"/>
          <w:szCs w:val="24"/>
          <w:highlight w:val="none"/>
        </w:rPr>
      </w:pPr>
      <w:bookmarkStart w:id="165" w:name="_Toc55212789"/>
      <w:r>
        <w:rPr>
          <w:rFonts w:hint="eastAsia" w:ascii="宋体" w:hAnsi="宋体" w:eastAsia="宋体" w:cs="宋体"/>
          <w:color w:val="auto"/>
          <w:sz w:val="24"/>
          <w:szCs w:val="24"/>
          <w:highlight w:val="none"/>
        </w:rPr>
        <w:t>十一  投诉</w:t>
      </w:r>
      <w:bookmarkEnd w:id="141"/>
      <w:bookmarkEnd w:id="142"/>
      <w:bookmarkEnd w:id="143"/>
      <w:bookmarkEnd w:id="144"/>
      <w:bookmarkEnd w:id="165"/>
    </w:p>
    <w:p w14:paraId="07F7CE4F">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46.质疑投标人对采购代理机构的答复不满意或者采购代理机构未在规定时间内答复的，可以在答复期满后十五个工作日内按有关规定，书面向同级政府采购管理办公室投诉。</w:t>
      </w:r>
    </w:p>
    <w:p w14:paraId="48B26A24">
      <w:pPr>
        <w:pStyle w:val="5"/>
        <w:spacing w:line="520" w:lineRule="exact"/>
        <w:ind w:firstLine="200" w:firstLineChars="0"/>
        <w:rPr>
          <w:rFonts w:hint="eastAsia" w:ascii="宋体" w:hAnsi="宋体" w:eastAsia="宋体" w:cs="宋体"/>
          <w:color w:val="auto"/>
          <w:sz w:val="24"/>
          <w:szCs w:val="24"/>
          <w:highlight w:val="none"/>
        </w:rPr>
      </w:pPr>
      <w:bookmarkStart w:id="166" w:name="_Toc55212790"/>
      <w:r>
        <w:rPr>
          <w:rFonts w:hint="eastAsia" w:ascii="宋体" w:hAnsi="宋体" w:eastAsia="宋体" w:cs="宋体"/>
          <w:color w:val="auto"/>
          <w:sz w:val="24"/>
          <w:szCs w:val="24"/>
          <w:highlight w:val="none"/>
        </w:rPr>
        <w:t>十二  授予合同</w:t>
      </w:r>
      <w:bookmarkEnd w:id="145"/>
      <w:bookmarkEnd w:id="166"/>
    </w:p>
    <w:p w14:paraId="7F9EBED1">
      <w:pPr>
        <w:spacing w:line="52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47. 中标结果公告及中标通知书</w:t>
      </w:r>
    </w:p>
    <w:p w14:paraId="080B4CAB">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47.1 采购代理机构将在浙江政府采购网</w:t>
      </w:r>
      <w:r>
        <w:rPr>
          <w:color w:val="auto"/>
          <w:highlight w:val="none"/>
        </w:rPr>
        <w:fldChar w:fldCharType="begin"/>
      </w:r>
      <w:r>
        <w:rPr>
          <w:color w:val="auto"/>
          <w:highlight w:val="none"/>
        </w:rPr>
        <w:instrText xml:space="preserve">HYPERLINK "http://60.190.126.3:8080/wcm/WCMV6/editor/editor/招标文件（新版）.doc"</w:instrText>
      </w:r>
      <w:r>
        <w:rPr>
          <w:color w:val="auto"/>
          <w:highlight w:val="none"/>
        </w:rPr>
        <w:fldChar w:fldCharType="separate"/>
      </w:r>
      <w:r>
        <w:rPr>
          <w:rFonts w:hint="eastAsia" w:ascii="宋体" w:hAnsi="宋体" w:cs="宋体"/>
          <w:color w:val="auto"/>
          <w:szCs w:val="21"/>
          <w:highlight w:val="none"/>
        </w:rPr>
        <w:t>https://zfcg.czt.zj.gov.cn/</w:t>
      </w:r>
      <w:r>
        <w:rPr>
          <w:rFonts w:ascii="宋体" w:hAnsi="宋体" w:cs="宋体"/>
          <w:color w:val="auto"/>
          <w:szCs w:val="21"/>
          <w:highlight w:val="none"/>
        </w:rPr>
        <w:fldChar w:fldCharType="end"/>
      </w:r>
      <w:r>
        <w:rPr>
          <w:rFonts w:hint="eastAsia" w:ascii="宋体" w:hAnsi="宋体" w:cs="宋体"/>
          <w:color w:val="auto"/>
          <w:szCs w:val="21"/>
          <w:highlight w:val="none"/>
        </w:rPr>
        <w:t xml:space="preserve"> 、丽水市公共资源交易网https://lssggzy.lishui.gov.cn/上发布中标结果公告。中标结果公告内容不包括国家秘密、商业秘密。</w:t>
      </w:r>
    </w:p>
    <w:p w14:paraId="3488EF9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47.2发布中标公告的同时，采购代理机构向中标人发出中标通知书。</w:t>
      </w:r>
    </w:p>
    <w:p w14:paraId="045C9242">
      <w:pPr>
        <w:spacing w:line="52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48.授予合同时变更数量的权力</w:t>
      </w:r>
    </w:p>
    <w:p w14:paraId="6E63A10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48.1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14:paraId="7F247196">
      <w:pPr>
        <w:spacing w:line="52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49.签订合同</w:t>
      </w:r>
    </w:p>
    <w:p w14:paraId="3426799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49.1中标人自中标通知书发出之日起30日内与采购人签订合同。</w:t>
      </w:r>
    </w:p>
    <w:p w14:paraId="431421B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49.2招标文件、中标人的投标文件及其澄清文件等,均为签订合同的依据。</w:t>
      </w:r>
    </w:p>
    <w:p w14:paraId="765E9E0E">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49.3中标人不遵守招标文件和投标文件的要约条款及所作的承诺,擅自修改报价或在中标通知书发出之日起30日内,借故拖延、拒签合同者,采购人有权取消该投标人的中标资格。</w:t>
      </w:r>
    </w:p>
    <w:p w14:paraId="26E275D9">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按有关法律法规中标人拒绝与采购人签订合同的，采购人可以按照评审报告推荐的中标候选人名单排序，确定下一候选人为中标人，也可以重新开展政府采购活动。</w:t>
      </w:r>
    </w:p>
    <w:p w14:paraId="58CFDBEC">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49.4质疑事项可能影响中标结果的，采购人应当暂停签订合同，已经签订合同的，应当中止履行合同。（中标结果的质疑期为中标结果公告期限届满之日起七个工作日）。</w:t>
      </w:r>
    </w:p>
    <w:p w14:paraId="3934E1A0">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49.5采购人应当自政府采购合同签订之日起2个工作日内，将政府采购合同在省级以上人民政府财政部门指定的媒体上公告，但政府采购合同中涉及国家秘密、商业秘密的内容除外。</w:t>
      </w:r>
    </w:p>
    <w:p w14:paraId="3CC07863">
      <w:pPr>
        <w:pStyle w:val="5"/>
        <w:spacing w:line="520" w:lineRule="exact"/>
        <w:ind w:firstLine="200" w:firstLineChars="0"/>
        <w:rPr>
          <w:rFonts w:hint="eastAsia" w:ascii="宋体" w:hAnsi="宋体" w:eastAsia="宋体" w:cs="宋体"/>
          <w:color w:val="auto"/>
          <w:sz w:val="24"/>
          <w:szCs w:val="24"/>
          <w:highlight w:val="none"/>
        </w:rPr>
      </w:pPr>
      <w:bookmarkStart w:id="167" w:name="_Toc55212791"/>
      <w:r>
        <w:rPr>
          <w:rFonts w:hint="eastAsia" w:ascii="宋体" w:hAnsi="宋体" w:eastAsia="宋体" w:cs="宋体"/>
          <w:color w:val="auto"/>
          <w:sz w:val="24"/>
          <w:szCs w:val="24"/>
          <w:highlight w:val="none"/>
        </w:rPr>
        <w:t>十三  验收</w:t>
      </w:r>
      <w:bookmarkEnd w:id="167"/>
    </w:p>
    <w:p w14:paraId="3ED74FD2">
      <w:pPr>
        <w:spacing w:line="520" w:lineRule="exact"/>
        <w:ind w:firstLine="420" w:firstLineChars="200"/>
        <w:rPr>
          <w:rFonts w:hint="eastAsia" w:ascii="宋体" w:hAnsi="宋体" w:cs="宋体"/>
          <w:color w:val="auto"/>
          <w:szCs w:val="21"/>
          <w:highlight w:val="none"/>
        </w:rPr>
      </w:pPr>
      <w:bookmarkStart w:id="168" w:name="_Toc45506731"/>
      <w:bookmarkStart w:id="169" w:name="_Toc107820052"/>
      <w:bookmarkStart w:id="170" w:name="_Toc47756031"/>
      <w:bookmarkStart w:id="171" w:name="_Toc15805937"/>
      <w:bookmarkStart w:id="172" w:name="_Toc15813254"/>
      <w:r>
        <w:rPr>
          <w:rFonts w:hint="eastAsia" w:ascii="宋体" w:hAnsi="宋体" w:cs="宋体"/>
          <w:color w:val="auto"/>
          <w:szCs w:val="21"/>
          <w:highlight w:val="none"/>
        </w:rPr>
        <w:t>50.采购人应当按照政府采购合同规定的技术、服务、安全标准组织对投标人履约情况进行验收，验收合格后出具验收书，验收时如发现投标人所提供的产品规格和技术参数或产品的实际性能与招标文件中的技术参数要求不符，采购人有权终止合同，并追究投标人的违约责任。</w:t>
      </w:r>
    </w:p>
    <w:p w14:paraId="651E0DAB">
      <w:pPr>
        <w:pStyle w:val="48"/>
        <w:snapToGrid w:val="0"/>
        <w:spacing w:line="520" w:lineRule="exact"/>
        <w:ind w:firstLine="420" w:firstLineChars="200"/>
        <w:jc w:val="both"/>
        <w:rPr>
          <w:rFonts w:hint="eastAsia" w:cs="宋体"/>
          <w:color w:val="auto"/>
          <w:kern w:val="2"/>
          <w:sz w:val="21"/>
          <w:szCs w:val="21"/>
          <w:highlight w:val="none"/>
        </w:rPr>
      </w:pPr>
      <w:r>
        <w:rPr>
          <w:rFonts w:hint="eastAsia" w:cs="宋体"/>
          <w:color w:val="auto"/>
          <w:kern w:val="2"/>
          <w:sz w:val="21"/>
          <w:szCs w:val="21"/>
          <w:highlight w:val="none"/>
        </w:rPr>
        <w:t>51.本项目采购人可以邀请其他投标人或者第三方机构参与验收、核对。</w:t>
      </w:r>
    </w:p>
    <w:p w14:paraId="4CFF45EB">
      <w:pPr>
        <w:pStyle w:val="48"/>
        <w:snapToGrid w:val="0"/>
        <w:spacing w:line="520" w:lineRule="exact"/>
        <w:ind w:firstLine="420" w:firstLineChars="200"/>
        <w:jc w:val="both"/>
        <w:rPr>
          <w:rFonts w:hint="eastAsia" w:cs="宋体"/>
          <w:color w:val="auto"/>
          <w:kern w:val="2"/>
          <w:sz w:val="21"/>
          <w:szCs w:val="21"/>
          <w:highlight w:val="none"/>
        </w:rPr>
      </w:pPr>
      <w:r>
        <w:rPr>
          <w:rFonts w:hint="eastAsia" w:cs="宋体"/>
          <w:color w:val="auto"/>
          <w:kern w:val="2"/>
          <w:sz w:val="21"/>
          <w:szCs w:val="21"/>
          <w:highlight w:val="none"/>
        </w:rPr>
        <w:t>52.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782A1851">
      <w:pPr>
        <w:spacing w:line="5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53.其他投标人应遵守诚实信用、实事求是的原则，在验收期间积极配合采购人组织的验收工作，不得影响或阻扰验收工作的正常进行。参与验收的一切费用，原则上由投标人自行承担。</w:t>
      </w:r>
      <w:bookmarkStart w:id="173" w:name="EBd2522df597074a4482c1669877a67a9b"/>
      <w:r>
        <w:rPr>
          <w:rFonts w:hint="eastAsia" w:ascii="宋体" w:hAnsi="宋体" w:cs="宋体"/>
          <w:color w:val="auto"/>
          <w:szCs w:val="21"/>
          <w:highlight w:val="none"/>
        </w:rPr>
        <w:t xml:space="preserve"> </w:t>
      </w:r>
      <w:bookmarkEnd w:id="173"/>
      <w:bookmarkStart w:id="174" w:name="EB2f50be56a5df4291a19f1a40e16bfb61"/>
      <w:r>
        <w:rPr>
          <w:rFonts w:hint="eastAsia" w:ascii="宋体" w:hAnsi="宋体" w:cs="宋体"/>
          <w:color w:val="auto"/>
          <w:szCs w:val="21"/>
          <w:highlight w:val="none"/>
        </w:rPr>
        <w:t xml:space="preserve"> </w:t>
      </w:r>
      <w:bookmarkEnd w:id="174"/>
    </w:p>
    <w:p w14:paraId="01F3D45D">
      <w:pPr>
        <w:pStyle w:val="5"/>
        <w:spacing w:line="560" w:lineRule="exact"/>
        <w:ind w:firstLine="0" w:firstLineChars="0"/>
        <w:rPr>
          <w:rFonts w:hint="eastAsia" w:ascii="宋体" w:hAnsi="宋体" w:eastAsia="宋体" w:cs="宋体"/>
          <w:color w:val="auto"/>
          <w:highlight w:val="none"/>
        </w:rPr>
      </w:pPr>
      <w:bookmarkStart w:id="175" w:name="_Toc493956047"/>
      <w:bookmarkStart w:id="176" w:name="_Toc55212792"/>
      <w:bookmarkStart w:id="177" w:name="_Toc530987054"/>
      <w:r>
        <w:rPr>
          <w:rFonts w:hint="eastAsia" w:ascii="宋体" w:hAnsi="宋体" w:eastAsia="宋体" w:cs="宋体"/>
          <w:color w:val="auto"/>
          <w:sz w:val="24"/>
          <w:szCs w:val="24"/>
          <w:highlight w:val="none"/>
        </w:rPr>
        <w:t xml:space="preserve">十四  </w:t>
      </w:r>
      <w:bookmarkEnd w:id="175"/>
      <w:bookmarkEnd w:id="176"/>
      <w:bookmarkEnd w:id="177"/>
      <w:bookmarkStart w:id="178" w:name="_Toc4368"/>
      <w:bookmarkStart w:id="179" w:name="_Toc29775"/>
      <w:bookmarkStart w:id="180" w:name="_Toc19691"/>
      <w:bookmarkStart w:id="181" w:name="_Toc20088"/>
      <w:bookmarkStart w:id="182" w:name="_Toc17796"/>
      <w:bookmarkStart w:id="183" w:name="_Toc55212793"/>
      <w:r>
        <w:rPr>
          <w:rFonts w:hint="eastAsia" w:ascii="宋体" w:hAnsi="宋体" w:eastAsia="宋体" w:cs="宋体"/>
          <w:color w:val="auto"/>
          <w:sz w:val="24"/>
          <w:szCs w:val="24"/>
          <w:highlight w:val="none"/>
        </w:rPr>
        <w:t>采购代理服务费</w:t>
      </w:r>
      <w:bookmarkEnd w:id="178"/>
      <w:bookmarkEnd w:id="179"/>
      <w:bookmarkEnd w:id="180"/>
      <w:bookmarkEnd w:id="181"/>
      <w:bookmarkEnd w:id="182"/>
    </w:p>
    <w:p w14:paraId="0226ADDC">
      <w:pPr>
        <w:spacing w:line="480" w:lineRule="exact"/>
        <w:ind w:firstLine="420" w:firstLineChars="200"/>
        <w:outlineLvl w:val="1"/>
        <w:rPr>
          <w:rFonts w:hint="eastAsia" w:ascii="宋体" w:hAnsi="宋体" w:cs="宋体"/>
          <w:color w:val="auto"/>
          <w:sz w:val="24"/>
          <w:highlight w:val="none"/>
        </w:rPr>
      </w:pPr>
      <w:r>
        <w:rPr>
          <w:rFonts w:hint="eastAsia" w:ascii="宋体" w:hAnsi="宋体" w:cs="宋体"/>
          <w:color w:val="auto"/>
          <w:szCs w:val="21"/>
          <w:highlight w:val="none"/>
        </w:rPr>
        <w:t>54.本次采购代理服务费按“投标人须知前附表”规定收取。</w:t>
      </w:r>
    </w:p>
    <w:p w14:paraId="20E87BA3">
      <w:pPr>
        <w:pStyle w:val="5"/>
        <w:spacing w:line="520" w:lineRule="exact"/>
        <w:ind w:firstLine="20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 其他事项</w:t>
      </w:r>
      <w:bookmarkEnd w:id="168"/>
      <w:bookmarkEnd w:id="169"/>
      <w:bookmarkEnd w:id="170"/>
      <w:bookmarkEnd w:id="171"/>
      <w:bookmarkEnd w:id="172"/>
      <w:bookmarkEnd w:id="183"/>
    </w:p>
    <w:p w14:paraId="11DBD4DC">
      <w:pPr>
        <w:spacing w:line="480" w:lineRule="exact"/>
        <w:ind w:firstLine="420" w:firstLineChars="200"/>
        <w:outlineLvl w:val="1"/>
        <w:rPr>
          <w:rFonts w:hint="eastAsia" w:ascii="宋体" w:hAnsi="宋体" w:cs="宋体"/>
          <w:color w:val="auto"/>
          <w:szCs w:val="21"/>
          <w:highlight w:val="none"/>
        </w:rPr>
      </w:pPr>
      <w:r>
        <w:rPr>
          <w:rFonts w:hint="eastAsia" w:ascii="宋体" w:hAnsi="宋体" w:cs="宋体"/>
          <w:bCs/>
          <w:color w:val="auto"/>
          <w:szCs w:val="21"/>
          <w:highlight w:val="none"/>
        </w:rPr>
        <w:t>55.</w:t>
      </w:r>
      <w:r>
        <w:rPr>
          <w:rFonts w:hint="eastAsia" w:ascii="宋体" w:hAnsi="宋体" w:cs="宋体"/>
          <w:color w:val="auto"/>
          <w:szCs w:val="21"/>
          <w:highlight w:val="none"/>
        </w:rPr>
        <w:t xml:space="preserve"> 解释权 </w:t>
      </w:r>
    </w:p>
    <w:p w14:paraId="3981B40B">
      <w:pPr>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55.1本招标文件是根据国家有关法律、法规、规章和有关规定编制的，解释权属采购代理机构。</w:t>
      </w:r>
    </w:p>
    <w:p w14:paraId="3FE4E5B5">
      <w:pPr>
        <w:spacing w:line="480" w:lineRule="exact"/>
        <w:ind w:firstLine="420" w:firstLineChars="200"/>
        <w:outlineLvl w:val="2"/>
        <w:rPr>
          <w:rFonts w:hint="eastAsia" w:ascii="宋体" w:hAnsi="宋体" w:cs="宋体"/>
          <w:color w:val="auto"/>
          <w:szCs w:val="21"/>
          <w:highlight w:val="none"/>
        </w:rPr>
      </w:pPr>
      <w:r>
        <w:rPr>
          <w:rFonts w:hint="eastAsia" w:ascii="宋体" w:hAnsi="宋体" w:cs="宋体"/>
          <w:bCs/>
          <w:color w:val="auto"/>
          <w:szCs w:val="21"/>
          <w:highlight w:val="none"/>
        </w:rPr>
        <w:t>55.2采购代理机构</w:t>
      </w:r>
      <w:r>
        <w:rPr>
          <w:rFonts w:hint="eastAsia" w:ascii="宋体" w:hAnsi="宋体" w:cs="宋体"/>
          <w:color w:val="auto"/>
          <w:szCs w:val="21"/>
          <w:highlight w:val="none"/>
        </w:rPr>
        <w:t>对决标结果不负责解释。</w:t>
      </w:r>
    </w:p>
    <w:p w14:paraId="4B4D372E">
      <w:pPr>
        <w:pStyle w:val="236"/>
        <w:rPr>
          <w:rFonts w:hint="eastAsia" w:ascii="宋体" w:hAnsi="宋体" w:cs="宋体"/>
          <w:color w:val="auto"/>
          <w:szCs w:val="21"/>
          <w:highlight w:val="none"/>
        </w:rPr>
      </w:pPr>
    </w:p>
    <w:p w14:paraId="6C4AC529">
      <w:pPr>
        <w:rPr>
          <w:rFonts w:hint="eastAsia" w:ascii="宋体" w:hAnsi="宋体" w:cs="宋体"/>
          <w:color w:val="auto"/>
          <w:szCs w:val="21"/>
          <w:highlight w:val="none"/>
        </w:rPr>
      </w:pPr>
    </w:p>
    <w:p w14:paraId="0B7AB3DA">
      <w:pPr>
        <w:pStyle w:val="22"/>
        <w:rPr>
          <w:rFonts w:hint="eastAsia" w:ascii="宋体" w:hAnsi="宋体" w:eastAsia="宋体" w:cs="宋体"/>
          <w:color w:val="auto"/>
          <w:highlight w:val="none"/>
        </w:rPr>
      </w:pPr>
    </w:p>
    <w:p w14:paraId="7D5272B5">
      <w:pPr>
        <w:pStyle w:val="236"/>
        <w:rPr>
          <w:rFonts w:hint="eastAsia" w:ascii="宋体" w:hAnsi="宋体" w:cs="宋体"/>
          <w:color w:val="auto"/>
          <w:szCs w:val="21"/>
          <w:highlight w:val="none"/>
        </w:rPr>
      </w:pPr>
    </w:p>
    <w:p w14:paraId="5F0772A7">
      <w:pPr>
        <w:rPr>
          <w:rFonts w:hint="eastAsia" w:ascii="宋体" w:hAnsi="宋体" w:cs="宋体"/>
          <w:color w:val="auto"/>
          <w:szCs w:val="21"/>
          <w:highlight w:val="none"/>
        </w:rPr>
      </w:pPr>
    </w:p>
    <w:p w14:paraId="3BC655E6">
      <w:pPr>
        <w:pStyle w:val="22"/>
        <w:rPr>
          <w:rFonts w:hint="eastAsia" w:ascii="宋体" w:hAnsi="宋体" w:eastAsia="宋体" w:cs="宋体"/>
          <w:color w:val="auto"/>
          <w:highlight w:val="none"/>
        </w:rPr>
      </w:pPr>
    </w:p>
    <w:p w14:paraId="42DA1B3E">
      <w:pPr>
        <w:pStyle w:val="22"/>
        <w:rPr>
          <w:rFonts w:hint="eastAsia" w:ascii="宋体" w:hAnsi="宋体" w:eastAsia="宋体" w:cs="宋体"/>
          <w:color w:val="auto"/>
          <w:highlight w:val="none"/>
        </w:rPr>
      </w:pPr>
    </w:p>
    <w:p w14:paraId="4453E653">
      <w:pPr>
        <w:pStyle w:val="22"/>
        <w:rPr>
          <w:rFonts w:hint="eastAsia" w:ascii="宋体" w:hAnsi="宋体" w:eastAsia="宋体" w:cs="宋体"/>
          <w:color w:val="auto"/>
          <w:highlight w:val="none"/>
        </w:rPr>
      </w:pPr>
    </w:p>
    <w:p w14:paraId="61B7DEF5">
      <w:pPr>
        <w:pStyle w:val="22"/>
        <w:rPr>
          <w:rFonts w:hint="eastAsia" w:ascii="宋体" w:hAnsi="宋体" w:eastAsia="宋体" w:cs="宋体"/>
          <w:color w:val="auto"/>
          <w:highlight w:val="none"/>
        </w:rPr>
      </w:pPr>
    </w:p>
    <w:p w14:paraId="65F150EA">
      <w:pPr>
        <w:rPr>
          <w:rFonts w:hint="eastAsia" w:ascii="宋体" w:hAnsi="宋体" w:cs="宋体"/>
          <w:color w:val="auto"/>
          <w:highlight w:val="none"/>
        </w:rPr>
      </w:pPr>
    </w:p>
    <w:p w14:paraId="0096066C">
      <w:pPr>
        <w:pStyle w:val="97"/>
        <w:rPr>
          <w:rFonts w:hint="eastAsia" w:ascii="宋体" w:hAnsi="宋体" w:eastAsia="宋体" w:cs="宋体"/>
          <w:color w:val="auto"/>
          <w:highlight w:val="none"/>
        </w:rPr>
      </w:pPr>
    </w:p>
    <w:p w14:paraId="16811476">
      <w:pPr>
        <w:pStyle w:val="3"/>
        <w:keepNext w:val="0"/>
        <w:numPr>
          <w:ilvl w:val="0"/>
          <w:numId w:val="3"/>
        </w:numPr>
        <w:ind w:left="2936" w:leftChars="1398" w:firstLine="305" w:firstLineChars="69"/>
        <w:jc w:val="both"/>
        <w:rPr>
          <w:rFonts w:hint="eastAsia" w:ascii="宋体" w:hAnsi="宋体" w:eastAsia="宋体" w:cs="宋体"/>
          <w:bCs/>
          <w:color w:val="auto"/>
          <w:sz w:val="32"/>
          <w:szCs w:val="36"/>
          <w:highlight w:val="none"/>
        </w:rPr>
      </w:pPr>
      <w:r>
        <w:rPr>
          <w:rFonts w:hint="eastAsia" w:ascii="宋体" w:hAnsi="宋体" w:eastAsia="宋体" w:cs="宋体"/>
          <w:color w:val="auto"/>
          <w:highlight w:val="none"/>
        </w:rPr>
        <w:t xml:space="preserve"> </w:t>
      </w:r>
      <w:bookmarkStart w:id="184" w:name="_Toc19269"/>
      <w:bookmarkStart w:id="185" w:name="_Toc29838"/>
      <w:bookmarkStart w:id="186" w:name="_Toc29122"/>
      <w:r>
        <w:rPr>
          <w:rFonts w:hint="eastAsia" w:ascii="宋体" w:hAnsi="宋体" w:eastAsia="宋体" w:cs="宋体"/>
          <w:bCs/>
          <w:color w:val="auto"/>
          <w:sz w:val="32"/>
          <w:szCs w:val="36"/>
          <w:highlight w:val="none"/>
        </w:rPr>
        <w:t>采购需求</w:t>
      </w:r>
      <w:bookmarkEnd w:id="128"/>
      <w:bookmarkEnd w:id="184"/>
      <w:bookmarkEnd w:id="185"/>
      <w:bookmarkEnd w:id="186"/>
    </w:p>
    <w:p w14:paraId="70FAA152">
      <w:pPr>
        <w:spacing w:line="440" w:lineRule="exact"/>
        <w:outlineLvl w:val="1"/>
        <w:rPr>
          <w:rFonts w:hint="eastAsia" w:ascii="宋体" w:hAnsi="宋体" w:cs="宋体"/>
          <w:b/>
          <w:bCs/>
          <w:color w:val="auto"/>
          <w:szCs w:val="21"/>
          <w:highlight w:val="none"/>
        </w:rPr>
      </w:pPr>
      <w:bookmarkStart w:id="187" w:name="_Toc32365"/>
      <w:bookmarkStart w:id="188" w:name="_Toc452397288"/>
      <w:bookmarkStart w:id="189" w:name="_Toc25210"/>
      <w:r>
        <w:rPr>
          <w:rFonts w:hint="eastAsia" w:ascii="宋体" w:hAnsi="宋体" w:cs="宋体"/>
          <w:b/>
          <w:bCs/>
          <w:color w:val="auto"/>
          <w:szCs w:val="21"/>
          <w:highlight w:val="none"/>
        </w:rPr>
        <w:t>第一部分  采购项目总体要求</w:t>
      </w:r>
    </w:p>
    <w:p w14:paraId="5A0BC3CE">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一、技术标准、规范（不限于以下）</w:t>
      </w:r>
    </w:p>
    <w:p w14:paraId="1063A58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（一）国家规定的标准及规范，按最新的标准及规范执行；</w:t>
      </w:r>
    </w:p>
    <w:p w14:paraId="59D30BC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（二）行业标准及规范，按最新的标准及规范执行；</w:t>
      </w:r>
    </w:p>
    <w:p w14:paraId="1076DCC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（三）与服务有关的材料设备质量应符合中华人民共和国及产品品牌所在国的有关质量标准，上述标准如有不一致，执行两者中更严格的标准；</w:t>
      </w:r>
    </w:p>
    <w:p w14:paraId="3B00AD30">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（四）其它相关标准及规范，按最新的标准及规范执行。</w:t>
      </w:r>
    </w:p>
    <w:p w14:paraId="2400DDAF">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二、采购内容及需求</w:t>
      </w:r>
    </w:p>
    <w:p w14:paraId="504554D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具体要求详见本章“第二部分 采购内容及需求”。</w:t>
      </w:r>
    </w:p>
    <w:p w14:paraId="0ED4CD3F">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三、工作范围</w:t>
      </w:r>
    </w:p>
    <w:p w14:paraId="14D2972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各投标人须按国家有关标准及规范完成采购文件规定的所有工作内容：</w:t>
      </w:r>
    </w:p>
    <w:p w14:paraId="6DFD353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（一）履行所有规定服务；</w:t>
      </w:r>
    </w:p>
    <w:p w14:paraId="25EE6EF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（二）服务须达到采购文件规定的质量标准及使用要求；</w:t>
      </w:r>
    </w:p>
    <w:p w14:paraId="4723F5BD">
      <w:pPr>
        <w:tabs>
          <w:tab w:val="left" w:pos="419"/>
        </w:tabs>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（三）具体要求详见本章“第二部分 采购内容及需求”。</w:t>
      </w:r>
    </w:p>
    <w:p w14:paraId="49971EBD">
      <w:pPr>
        <w:spacing w:line="440" w:lineRule="exact"/>
        <w:outlineLvl w:val="1"/>
        <w:rPr>
          <w:rFonts w:hint="eastAsia" w:ascii="宋体" w:hAnsi="宋体" w:cs="宋体"/>
          <w:b/>
          <w:bCs/>
          <w:color w:val="auto"/>
          <w:szCs w:val="21"/>
          <w:highlight w:val="none"/>
        </w:rPr>
      </w:pPr>
      <w:bookmarkStart w:id="190" w:name="_Toc25009"/>
      <w:bookmarkStart w:id="191" w:name="_Toc10883"/>
      <w:r>
        <w:rPr>
          <w:rFonts w:hint="eastAsia" w:ascii="宋体" w:hAnsi="宋体" w:cs="宋体"/>
          <w:b/>
          <w:bCs/>
          <w:color w:val="auto"/>
          <w:szCs w:val="21"/>
          <w:highlight w:val="none"/>
        </w:rPr>
        <w:t>第二部分  采购内容及需求</w:t>
      </w:r>
    </w:p>
    <w:p w14:paraId="458312A6">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一、标的</w:t>
      </w:r>
    </w:p>
    <w:p w14:paraId="506F49E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（一）采购内容一览表</w:t>
      </w:r>
    </w:p>
    <w:tbl>
      <w:tblPr>
        <w:tblStyle w:val="5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502"/>
        <w:gridCol w:w="1545"/>
        <w:gridCol w:w="2505"/>
        <w:gridCol w:w="1672"/>
      </w:tblGrid>
      <w:tr w14:paraId="5685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dxa"/>
            <w:tcBorders>
              <w:top w:val="single" w:color="auto" w:sz="4" w:space="0"/>
              <w:left w:val="single" w:color="auto" w:sz="4" w:space="0"/>
              <w:bottom w:val="single" w:color="auto" w:sz="4" w:space="0"/>
              <w:right w:val="single" w:color="auto" w:sz="4" w:space="0"/>
            </w:tcBorders>
            <w:vAlign w:val="center"/>
          </w:tcPr>
          <w:p w14:paraId="5873672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502" w:type="dxa"/>
            <w:tcBorders>
              <w:top w:val="single" w:color="auto" w:sz="4" w:space="0"/>
              <w:left w:val="single" w:color="auto" w:sz="4" w:space="0"/>
              <w:bottom w:val="single" w:color="auto" w:sz="4" w:space="0"/>
              <w:right w:val="single" w:color="auto" w:sz="4" w:space="0"/>
            </w:tcBorders>
            <w:vAlign w:val="center"/>
          </w:tcPr>
          <w:p w14:paraId="5E493881">
            <w:pPr>
              <w:spacing w:line="44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标项名称</w:t>
            </w:r>
          </w:p>
        </w:tc>
        <w:tc>
          <w:tcPr>
            <w:tcW w:w="1545" w:type="dxa"/>
            <w:tcBorders>
              <w:top w:val="single" w:color="auto" w:sz="4" w:space="0"/>
              <w:left w:val="single" w:color="auto" w:sz="4" w:space="0"/>
              <w:bottom w:val="single" w:color="auto" w:sz="4" w:space="0"/>
              <w:right w:val="single" w:color="auto" w:sz="4" w:space="0"/>
            </w:tcBorders>
            <w:vAlign w:val="center"/>
          </w:tcPr>
          <w:p w14:paraId="3A0997F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预算金额（元）</w:t>
            </w:r>
          </w:p>
        </w:tc>
        <w:tc>
          <w:tcPr>
            <w:tcW w:w="2505" w:type="dxa"/>
            <w:tcBorders>
              <w:top w:val="single" w:color="auto" w:sz="4" w:space="0"/>
              <w:left w:val="single" w:color="auto" w:sz="4" w:space="0"/>
              <w:bottom w:val="single" w:color="auto" w:sz="4" w:space="0"/>
              <w:right w:val="single" w:color="auto" w:sz="4" w:space="0"/>
            </w:tcBorders>
            <w:vAlign w:val="center"/>
          </w:tcPr>
          <w:p w14:paraId="1D169B52">
            <w:pPr>
              <w:spacing w:line="44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技术要求、用途</w:t>
            </w:r>
          </w:p>
        </w:tc>
        <w:tc>
          <w:tcPr>
            <w:tcW w:w="1672" w:type="dxa"/>
            <w:tcBorders>
              <w:top w:val="single" w:color="auto" w:sz="4" w:space="0"/>
              <w:left w:val="single" w:color="auto" w:sz="4" w:space="0"/>
              <w:bottom w:val="single" w:color="auto" w:sz="4" w:space="0"/>
              <w:right w:val="single" w:color="auto" w:sz="4" w:space="0"/>
            </w:tcBorders>
            <w:vAlign w:val="center"/>
          </w:tcPr>
          <w:p w14:paraId="0751570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F5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43" w:type="dxa"/>
            <w:tcBorders>
              <w:top w:val="single" w:color="auto" w:sz="4" w:space="0"/>
              <w:left w:val="single" w:color="auto" w:sz="4" w:space="0"/>
              <w:bottom w:val="single" w:color="auto" w:sz="4" w:space="0"/>
              <w:right w:val="single" w:color="auto" w:sz="4" w:space="0"/>
            </w:tcBorders>
            <w:vAlign w:val="center"/>
          </w:tcPr>
          <w:p w14:paraId="5C4F3285">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502" w:type="dxa"/>
            <w:tcBorders>
              <w:top w:val="single" w:color="auto" w:sz="4" w:space="0"/>
              <w:left w:val="single" w:color="auto" w:sz="4" w:space="0"/>
              <w:bottom w:val="single" w:color="auto" w:sz="4" w:space="0"/>
              <w:right w:val="single" w:color="auto" w:sz="4" w:space="0"/>
            </w:tcBorders>
            <w:vAlign w:val="center"/>
          </w:tcPr>
          <w:p w14:paraId="6551F620">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丽水市新污染物试点监测项目</w:t>
            </w:r>
          </w:p>
        </w:tc>
        <w:tc>
          <w:tcPr>
            <w:tcW w:w="1545" w:type="dxa"/>
            <w:tcBorders>
              <w:top w:val="single" w:color="auto" w:sz="4" w:space="0"/>
              <w:left w:val="single" w:color="auto" w:sz="4" w:space="0"/>
              <w:bottom w:val="single" w:color="auto" w:sz="4" w:space="0"/>
              <w:right w:val="single" w:color="auto" w:sz="4" w:space="0"/>
            </w:tcBorders>
            <w:vAlign w:val="center"/>
          </w:tcPr>
          <w:p w14:paraId="145C135A">
            <w:pPr>
              <w:snapToGrid w:val="0"/>
              <w:spacing w:line="480" w:lineRule="exact"/>
              <w:ind w:right="42" w:rightChars="20"/>
              <w:jc w:val="center"/>
              <w:rPr>
                <w:rFonts w:hint="eastAsia" w:ascii="宋体" w:hAnsi="宋体" w:cs="宋体"/>
                <w:color w:val="auto"/>
                <w:szCs w:val="21"/>
                <w:highlight w:val="none"/>
              </w:rPr>
            </w:pPr>
            <w:r>
              <w:rPr>
                <w:rFonts w:hint="eastAsia" w:ascii="宋体" w:hAnsi="宋体" w:cs="宋体"/>
                <w:color w:val="auto"/>
                <w:szCs w:val="21"/>
                <w:highlight w:val="none"/>
              </w:rPr>
              <w:t>200000.00</w:t>
            </w:r>
          </w:p>
        </w:tc>
        <w:tc>
          <w:tcPr>
            <w:tcW w:w="2505" w:type="dxa"/>
            <w:tcBorders>
              <w:top w:val="single" w:color="auto" w:sz="4" w:space="0"/>
              <w:left w:val="single" w:color="auto" w:sz="4" w:space="0"/>
              <w:bottom w:val="single" w:color="auto" w:sz="4" w:space="0"/>
              <w:right w:val="single" w:color="auto" w:sz="4" w:space="0"/>
            </w:tcBorders>
            <w:vAlign w:val="center"/>
          </w:tcPr>
          <w:p w14:paraId="2B5F227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详见“二、 技术要求”</w:t>
            </w:r>
          </w:p>
        </w:tc>
        <w:tc>
          <w:tcPr>
            <w:tcW w:w="1672" w:type="dxa"/>
            <w:tcBorders>
              <w:top w:val="single" w:color="auto" w:sz="4" w:space="0"/>
              <w:left w:val="single" w:color="auto" w:sz="4" w:space="0"/>
              <w:bottom w:val="single" w:color="auto" w:sz="4" w:space="0"/>
              <w:right w:val="single" w:color="auto" w:sz="4" w:space="0"/>
            </w:tcBorders>
            <w:vAlign w:val="center"/>
          </w:tcPr>
          <w:p w14:paraId="7BBAD120">
            <w:pPr>
              <w:spacing w:line="440" w:lineRule="exact"/>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项目属性：服务</w:t>
            </w:r>
          </w:p>
        </w:tc>
      </w:tr>
    </w:tbl>
    <w:p w14:paraId="146A5E1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（二）采购清单</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016"/>
        <w:gridCol w:w="1260"/>
        <w:gridCol w:w="1958"/>
      </w:tblGrid>
      <w:tr w14:paraId="317D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vAlign w:val="center"/>
          </w:tcPr>
          <w:p w14:paraId="4FA7F65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6016" w:type="dxa"/>
            <w:tcBorders>
              <w:top w:val="single" w:color="auto" w:sz="4" w:space="0"/>
              <w:left w:val="single" w:color="auto" w:sz="4" w:space="0"/>
              <w:bottom w:val="single" w:color="auto" w:sz="4" w:space="0"/>
              <w:right w:val="single" w:color="auto" w:sz="4" w:space="0"/>
            </w:tcBorders>
            <w:vAlign w:val="center"/>
          </w:tcPr>
          <w:p w14:paraId="79A22F9C">
            <w:pPr>
              <w:spacing w:line="440" w:lineRule="exact"/>
              <w:ind w:firstLine="420" w:firstLineChars="200"/>
              <w:jc w:val="center"/>
              <w:rPr>
                <w:rFonts w:hint="eastAsia" w:ascii="宋体" w:hAnsi="宋体" w:cs="宋体"/>
                <w:color w:val="auto"/>
                <w:szCs w:val="21"/>
                <w:highlight w:val="none"/>
              </w:rPr>
            </w:pPr>
            <w:r>
              <w:rPr>
                <w:rFonts w:hint="eastAsia" w:ascii="宋体" w:hAnsi="宋体" w:cs="宋体"/>
                <w:color w:val="auto"/>
                <w:szCs w:val="21"/>
                <w:highlight w:val="none"/>
              </w:rPr>
              <w:t>内容名称</w:t>
            </w:r>
          </w:p>
        </w:tc>
        <w:tc>
          <w:tcPr>
            <w:tcW w:w="1260" w:type="dxa"/>
            <w:tcBorders>
              <w:top w:val="single" w:color="auto" w:sz="4" w:space="0"/>
              <w:left w:val="single" w:color="auto" w:sz="4" w:space="0"/>
              <w:bottom w:val="single" w:color="auto" w:sz="4" w:space="0"/>
              <w:right w:val="single" w:color="auto" w:sz="4" w:space="0"/>
            </w:tcBorders>
            <w:vAlign w:val="center"/>
          </w:tcPr>
          <w:p w14:paraId="5E0962DD">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958" w:type="dxa"/>
            <w:tcBorders>
              <w:top w:val="single" w:color="auto" w:sz="4" w:space="0"/>
              <w:left w:val="single" w:color="auto" w:sz="4" w:space="0"/>
              <w:bottom w:val="single" w:color="auto" w:sz="4" w:space="0"/>
              <w:right w:val="single" w:color="auto" w:sz="4" w:space="0"/>
            </w:tcBorders>
            <w:vAlign w:val="center"/>
          </w:tcPr>
          <w:p w14:paraId="2922A768">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单位</w:t>
            </w:r>
          </w:p>
        </w:tc>
      </w:tr>
      <w:tr w14:paraId="3C92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 w:type="dxa"/>
            <w:tcBorders>
              <w:top w:val="single" w:color="auto" w:sz="4" w:space="0"/>
              <w:left w:val="single" w:color="auto" w:sz="4" w:space="0"/>
              <w:bottom w:val="single" w:color="auto" w:sz="4" w:space="0"/>
              <w:right w:val="single" w:color="auto" w:sz="4" w:space="0"/>
            </w:tcBorders>
            <w:vAlign w:val="center"/>
          </w:tcPr>
          <w:p w14:paraId="23D860F3">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1</w:t>
            </w:r>
          </w:p>
        </w:tc>
        <w:tc>
          <w:tcPr>
            <w:tcW w:w="6016" w:type="dxa"/>
            <w:tcBorders>
              <w:top w:val="single" w:color="auto" w:sz="4" w:space="0"/>
              <w:left w:val="single" w:color="auto" w:sz="4" w:space="0"/>
              <w:bottom w:val="single" w:color="auto" w:sz="4" w:space="0"/>
              <w:right w:val="single" w:color="auto" w:sz="4" w:space="0"/>
            </w:tcBorders>
            <w:vAlign w:val="center"/>
          </w:tcPr>
          <w:p w14:paraId="3F0C0FD0">
            <w:pPr>
              <w:jc w:val="center"/>
              <w:rPr>
                <w:rFonts w:hint="eastAsia" w:ascii="宋体" w:hAnsi="宋体" w:cs="宋体"/>
                <w:color w:val="auto"/>
                <w:highlight w:val="none"/>
              </w:rPr>
            </w:pPr>
            <w:r>
              <w:rPr>
                <w:rFonts w:hint="eastAsia" w:ascii="宋体" w:hAnsi="宋体" w:cs="宋体"/>
                <w:color w:val="auto"/>
                <w:szCs w:val="21"/>
                <w:highlight w:val="none"/>
              </w:rPr>
              <w:t>丽水市新污染物试点监测项目</w:t>
            </w:r>
          </w:p>
        </w:tc>
        <w:tc>
          <w:tcPr>
            <w:tcW w:w="1260" w:type="dxa"/>
            <w:tcBorders>
              <w:top w:val="single" w:color="auto" w:sz="4" w:space="0"/>
              <w:left w:val="single" w:color="auto" w:sz="4" w:space="0"/>
              <w:bottom w:val="single" w:color="auto" w:sz="4" w:space="0"/>
              <w:right w:val="single" w:color="auto" w:sz="4" w:space="0"/>
            </w:tcBorders>
            <w:vAlign w:val="center"/>
          </w:tcPr>
          <w:p w14:paraId="4CC7679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p>
        </w:tc>
        <w:tc>
          <w:tcPr>
            <w:tcW w:w="1958" w:type="dxa"/>
            <w:tcBorders>
              <w:top w:val="single" w:color="auto" w:sz="4" w:space="0"/>
              <w:left w:val="single" w:color="auto" w:sz="4" w:space="0"/>
              <w:bottom w:val="single" w:color="auto" w:sz="4" w:space="0"/>
              <w:right w:val="single" w:color="auto" w:sz="4" w:space="0"/>
            </w:tcBorders>
            <w:vAlign w:val="center"/>
          </w:tcPr>
          <w:p w14:paraId="18DEF610">
            <w:pPr>
              <w:spacing w:line="440" w:lineRule="exact"/>
              <w:ind w:left="0" w:leftChars="0" w:firstLine="638" w:firstLineChars="304"/>
              <w:rPr>
                <w:rFonts w:hint="eastAsia" w:ascii="宋体" w:hAnsi="宋体" w:cs="宋体"/>
                <w:color w:val="auto"/>
                <w:szCs w:val="21"/>
                <w:highlight w:val="none"/>
              </w:rPr>
            </w:pPr>
            <w:r>
              <w:rPr>
                <w:rFonts w:hint="eastAsia" w:ascii="宋体" w:hAnsi="宋体" w:cs="宋体"/>
                <w:color w:val="auto"/>
                <w:szCs w:val="21"/>
                <w:highlight w:val="none"/>
              </w:rPr>
              <w:t>项</w:t>
            </w:r>
          </w:p>
        </w:tc>
      </w:tr>
    </w:tbl>
    <w:p w14:paraId="5A41E031">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二、技术要求</w:t>
      </w:r>
    </w:p>
    <w:p w14:paraId="2C429922">
      <w:pPr>
        <w:spacing w:line="480" w:lineRule="exact"/>
        <w:rPr>
          <w:rFonts w:hint="eastAsia" w:ascii="宋体" w:hAnsi="宋体" w:cs="宋体"/>
          <w:b/>
          <w:bCs/>
          <w:color w:val="auto"/>
          <w:szCs w:val="21"/>
          <w:highlight w:val="none"/>
        </w:rPr>
      </w:pP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一</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rPr>
        <w:t>项目内容</w:t>
      </w:r>
    </w:p>
    <w:p w14:paraId="11F9855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丽水市新污染物调查监测项目。具体监测内容如下：</w:t>
      </w:r>
    </w:p>
    <w:p w14:paraId="2C7C57B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1.调查监测范围</w:t>
      </w:r>
    </w:p>
    <w:p w14:paraId="393D8815">
      <w:pPr>
        <w:widowControl/>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根据《浙江省新污染物试点监测工作方案》，在丽水市重点行业开展废水中新污染物排放、相关地表水体</w:t>
      </w:r>
      <w:r>
        <w:rPr>
          <w:rFonts w:hint="eastAsia" w:ascii="宋体" w:hAnsi="宋体" w:cs="宋体"/>
          <w:color w:val="auto"/>
          <w:kern w:val="0"/>
          <w:szCs w:val="21"/>
          <w:highlight w:val="none"/>
          <w:lang w:bidi="ar"/>
        </w:rPr>
        <w:t>以</w:t>
      </w:r>
      <w:r>
        <w:rPr>
          <w:rFonts w:hint="eastAsia" w:ascii="宋体" w:hAnsi="宋体" w:cs="宋体"/>
          <w:color w:val="auto"/>
          <w:szCs w:val="21"/>
          <w:highlight w:val="none"/>
        </w:rPr>
        <w:t>及县级以上水源地中新污染物等调查监测。同时对列入重点源清单的企业水体中新污染物监测。</w:t>
      </w:r>
    </w:p>
    <w:p w14:paraId="089A527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2.调查监测要求</w:t>
      </w:r>
    </w:p>
    <w:p w14:paraId="235B5C7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（1）监测指标：</w:t>
      </w:r>
    </w:p>
    <w:p w14:paraId="02F790B6">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行业相关污染物、14类重点管控新污染物、2023 年优先评估化学物质、其他需关注的污染物（详见附表2）。</w:t>
      </w:r>
    </w:p>
    <w:p w14:paraId="6E77482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（2）采样点位</w:t>
      </w:r>
    </w:p>
    <w:p w14:paraId="71188059">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污水处理厂污水排放：</w:t>
      </w:r>
      <w:r>
        <w:rPr>
          <w:rFonts w:hint="eastAsia" w:ascii="宋体" w:hAnsi="宋体" w:cs="宋体"/>
          <w:color w:val="auto"/>
          <w:szCs w:val="21"/>
          <w:highlight w:val="none"/>
        </w:rPr>
        <w:t>选择</w:t>
      </w:r>
      <w:r>
        <w:rPr>
          <w:rFonts w:hint="eastAsia" w:ascii="宋体" w:hAnsi="宋体" w:cs="宋体"/>
          <w:color w:val="auto"/>
          <w:szCs w:val="21"/>
          <w:highlight w:val="none"/>
          <w:lang w:eastAsia="zh-CN"/>
        </w:rPr>
        <w:t>1家城镇和工业污水处理厂</w:t>
      </w:r>
      <w:r>
        <w:rPr>
          <w:rFonts w:ascii="宋体" w:hAnsi="宋体" w:cs="宋体"/>
          <w:color w:val="auto"/>
          <w:szCs w:val="21"/>
          <w:highlight w:val="none"/>
        </w:rPr>
        <w:t>，</w:t>
      </w:r>
      <w:r>
        <w:rPr>
          <w:rFonts w:hint="eastAsia" w:ascii="宋体" w:hAnsi="宋体" w:cs="宋体"/>
          <w:color w:val="auto"/>
          <w:szCs w:val="21"/>
          <w:highlight w:val="none"/>
        </w:rPr>
        <w:t>分别</w:t>
      </w:r>
      <w:r>
        <w:rPr>
          <w:rFonts w:ascii="宋体" w:hAnsi="宋体" w:cs="宋体"/>
          <w:color w:val="auto"/>
          <w:szCs w:val="21"/>
          <w:highlight w:val="none"/>
        </w:rPr>
        <w:t>在</w:t>
      </w:r>
      <w:r>
        <w:rPr>
          <w:rFonts w:hint="eastAsia" w:ascii="宋体" w:hAnsi="宋体" w:cs="宋体"/>
          <w:color w:val="auto"/>
          <w:szCs w:val="21"/>
          <w:highlight w:val="none"/>
        </w:rPr>
        <w:t>生活污水进口、工业废水进口和</w:t>
      </w:r>
      <w:r>
        <w:rPr>
          <w:rFonts w:ascii="宋体" w:hAnsi="宋体" w:cs="宋体"/>
          <w:color w:val="auto"/>
          <w:szCs w:val="21"/>
          <w:highlight w:val="none"/>
        </w:rPr>
        <w:t>排放口布置采样点。</w:t>
      </w:r>
    </w:p>
    <w:p w14:paraId="5400C84C">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行业污水排放：</w:t>
      </w:r>
      <w:r>
        <w:rPr>
          <w:rFonts w:hint="eastAsia" w:ascii="宋体" w:hAnsi="宋体" w:cs="宋体"/>
          <w:color w:val="auto"/>
          <w:szCs w:val="21"/>
          <w:highlight w:val="none"/>
        </w:rPr>
        <w:t>在试点企业</w:t>
      </w:r>
      <w:r>
        <w:rPr>
          <w:rFonts w:ascii="宋体" w:hAnsi="宋体" w:cs="宋体"/>
          <w:color w:val="auto"/>
          <w:szCs w:val="21"/>
          <w:highlight w:val="none"/>
        </w:rPr>
        <w:t>总排口设置采样点。</w:t>
      </w:r>
      <w:r>
        <w:rPr>
          <w:rFonts w:hint="eastAsia" w:ascii="宋体" w:hAnsi="宋体" w:cs="宋体"/>
          <w:color w:val="auto"/>
          <w:szCs w:val="21"/>
          <w:highlight w:val="none"/>
        </w:rPr>
        <w:t>针对重点源清单，完成一轮监测废水或废气中特征新污染物监督性监测。</w:t>
      </w:r>
    </w:p>
    <w:p w14:paraId="3D10F017">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地表水断面：按规范在</w:t>
      </w:r>
      <w:r>
        <w:rPr>
          <w:rFonts w:hint="eastAsia" w:ascii="宋体" w:hAnsi="宋体" w:cs="宋体"/>
          <w:color w:val="auto"/>
          <w:szCs w:val="21"/>
          <w:highlight w:val="none"/>
          <w:lang w:eastAsia="zh-CN"/>
        </w:rPr>
        <w:t>1家城镇和工业污水处理厂</w:t>
      </w:r>
      <w:r>
        <w:rPr>
          <w:rFonts w:ascii="宋体" w:hAnsi="宋体" w:cs="宋体"/>
          <w:color w:val="auto"/>
          <w:szCs w:val="21"/>
          <w:highlight w:val="none"/>
        </w:rPr>
        <w:t>排放口受纳水体上游设对照断面、下游设控制断面</w:t>
      </w:r>
      <w:r>
        <w:rPr>
          <w:rFonts w:hint="eastAsia" w:ascii="宋体" w:hAnsi="宋体" w:cs="宋体"/>
          <w:color w:val="auto"/>
          <w:szCs w:val="21"/>
          <w:highlight w:val="none"/>
        </w:rPr>
        <w:t>和消减断面</w:t>
      </w:r>
      <w:r>
        <w:rPr>
          <w:rFonts w:ascii="宋体" w:hAnsi="宋体" w:cs="宋体"/>
          <w:color w:val="auto"/>
          <w:szCs w:val="21"/>
          <w:highlight w:val="none"/>
        </w:rPr>
        <w:t>。在辖区</w:t>
      </w:r>
      <w:r>
        <w:rPr>
          <w:rFonts w:hint="eastAsia" w:ascii="宋体" w:hAnsi="宋体" w:cs="宋体"/>
          <w:color w:val="auto"/>
          <w:szCs w:val="21"/>
          <w:highlight w:val="none"/>
        </w:rPr>
        <w:t>选择黄村</w:t>
      </w:r>
      <w:r>
        <w:rPr>
          <w:rFonts w:ascii="宋体" w:hAnsi="宋体" w:cs="宋体"/>
          <w:color w:val="auto"/>
          <w:szCs w:val="21"/>
          <w:highlight w:val="none"/>
        </w:rPr>
        <w:t>饮用水源地设置采样点。</w:t>
      </w:r>
    </w:p>
    <w:p w14:paraId="4DD76C16">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重点源清单的企业和监测指标（水和气）：</w:t>
      </w:r>
    </w:p>
    <w:p w14:paraId="048BEFD7">
      <w:pPr>
        <w:widowControl/>
        <w:spacing w:line="480" w:lineRule="exact"/>
        <w:ind w:firstLine="420" w:firstLineChars="200"/>
        <w:jc w:val="left"/>
        <w:rPr>
          <w:rFonts w:hint="eastAsia" w:ascii="宋体" w:hAnsi="宋体" w:eastAsia="宋体" w:cs="宋体"/>
          <w:color w:val="auto"/>
          <w:szCs w:val="21"/>
          <w:highlight w:val="none"/>
          <w:lang w:val="en-US" w:eastAsia="zh-CN"/>
        </w:rPr>
      </w:pPr>
      <w:r>
        <w:rPr>
          <w:rFonts w:hint="default" w:ascii="宋体" w:hAnsi="宋体" w:eastAsia="宋体" w:cs="宋体"/>
          <w:color w:val="auto"/>
          <w:sz w:val="21"/>
          <w:szCs w:val="21"/>
          <w:highlight w:val="none"/>
          <w:lang w:eastAsia="zh-CN"/>
        </w:rPr>
        <w:t>《</w:t>
      </w:r>
      <w:r>
        <w:rPr>
          <w:rFonts w:ascii="宋体" w:hAnsi="宋体" w:eastAsia="宋体" w:cs="宋体"/>
          <w:color w:val="auto"/>
          <w:kern w:val="2"/>
          <w:sz w:val="21"/>
          <w:szCs w:val="21"/>
          <w:highlight w:val="none"/>
        </w:rPr>
        <w:t>2024年新污染物治理工作要点</w:t>
      </w:r>
      <w:r>
        <w:rPr>
          <w:rFonts w:hint="default"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浙江省重点管控新污染物排放源清单</w:t>
      </w:r>
      <w:r>
        <w:rPr>
          <w:rFonts w:hint="eastAsia" w:ascii="宋体" w:hAnsi="宋体" w:cs="宋体"/>
          <w:color w:val="auto"/>
          <w:sz w:val="21"/>
          <w:szCs w:val="21"/>
          <w:highlight w:val="none"/>
          <w:lang w:val="en-US" w:eastAsia="zh-CN"/>
        </w:rPr>
        <w:t>7家污水总排口和排气筒中抗生素、二氯甲烷、三氯甲烷（根据实际生产情况开展监测）。</w:t>
      </w:r>
    </w:p>
    <w:p w14:paraId="47003B7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（3）监测频次：</w:t>
      </w:r>
    </w:p>
    <w:p w14:paraId="6EF71136">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1家城镇和工业污水处理厂</w:t>
      </w:r>
      <w:r>
        <w:rPr>
          <w:rFonts w:hint="eastAsia" w:ascii="宋体" w:hAnsi="宋体" w:cs="宋体"/>
          <w:color w:val="auto"/>
          <w:szCs w:val="21"/>
          <w:highlight w:val="none"/>
        </w:rPr>
        <w:t>：1年2次，在11月底分别完成试点监测，监测与受纳水体同步。地表水（对照断面和控制断面）：1年2次，在11月底分别完成试点监测。地表水（饮用水源）：1年1次，在11月底完成试点监测。重点源清单的企业：1年1次，在11月底月完成监测。</w:t>
      </w:r>
    </w:p>
    <w:p w14:paraId="175C268D">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要求于2024年11月底完成新污染物环境调查监测工作和数据上报。</w:t>
      </w:r>
    </w:p>
    <w:p w14:paraId="453FB249">
      <w:pPr>
        <w:spacing w:line="48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（二）项目绩效</w:t>
      </w:r>
    </w:p>
    <w:p w14:paraId="37A763CD">
      <w:pPr>
        <w:widowControl/>
        <w:spacing w:line="4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初步掌握丽水市新污染物的产生及排放情况。</w:t>
      </w:r>
    </w:p>
    <w:p w14:paraId="2BAC7BAD">
      <w:pPr>
        <w:numPr>
          <w:ilvl w:val="0"/>
          <w:numId w:val="7"/>
        </w:numPr>
        <w:spacing w:line="440" w:lineRule="exact"/>
        <w:rPr>
          <w:rFonts w:hint="eastAsia" w:ascii="宋体" w:hAnsi="宋体" w:cs="宋体"/>
          <w:b/>
          <w:bCs/>
          <w:color w:val="auto"/>
          <w:szCs w:val="21"/>
          <w:highlight w:val="none"/>
          <w:lang w:val="zh-TW" w:eastAsia="zh-TW"/>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val="zh-TW" w:eastAsia="zh-TW"/>
        </w:rPr>
        <w:t>商务要求</w:t>
      </w:r>
    </w:p>
    <w:tbl>
      <w:tblPr>
        <w:tblStyle w:val="52"/>
        <w:tblW w:w="0" w:type="auto"/>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8169"/>
      </w:tblGrid>
      <w:tr w14:paraId="1081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549" w:type="dxa"/>
            <w:tcBorders>
              <w:top w:val="single" w:color="auto" w:sz="4" w:space="0"/>
              <w:left w:val="single" w:color="auto" w:sz="4" w:space="0"/>
              <w:right w:val="single" w:color="auto" w:sz="4" w:space="0"/>
            </w:tcBorders>
            <w:vAlign w:val="center"/>
          </w:tcPr>
          <w:p w14:paraId="13116B46">
            <w:pPr>
              <w:widowControl/>
              <w:spacing w:line="440" w:lineRule="exact"/>
              <w:jc w:val="center"/>
              <w:textAlignment w:val="center"/>
              <w:rPr>
                <w:rFonts w:hint="eastAsia" w:ascii="宋体" w:hAnsi="宋体" w:cs="宋体"/>
                <w:color w:val="auto"/>
                <w:szCs w:val="21"/>
                <w:highlight w:val="none"/>
              </w:rPr>
            </w:pPr>
            <w:bookmarkStart w:id="192" w:name="_Hlk47304926"/>
            <w:r>
              <w:rPr>
                <w:rFonts w:hint="eastAsia" w:ascii="宋体" w:hAnsi="宋体" w:cs="宋体"/>
                <w:color w:val="auto"/>
                <w:szCs w:val="21"/>
                <w:highlight w:val="none"/>
              </w:rPr>
              <w:t>服务期限</w:t>
            </w:r>
          </w:p>
        </w:tc>
        <w:tc>
          <w:tcPr>
            <w:tcW w:w="8169" w:type="dxa"/>
            <w:tcBorders>
              <w:top w:val="single" w:color="auto" w:sz="4" w:space="0"/>
              <w:left w:val="single" w:color="auto" w:sz="4" w:space="0"/>
              <w:bottom w:val="single" w:color="auto" w:sz="4" w:space="0"/>
              <w:right w:val="single" w:color="auto" w:sz="4" w:space="0"/>
            </w:tcBorders>
            <w:vAlign w:val="center"/>
          </w:tcPr>
          <w:p w14:paraId="1E4D2497">
            <w:pPr>
              <w:adjustRightInd w:val="0"/>
              <w:snapToGrid w:val="0"/>
              <w:spacing w:line="500" w:lineRule="atLeast"/>
              <w:rPr>
                <w:rFonts w:eastAsia="仿宋_GB2312"/>
                <w:color w:val="auto"/>
                <w:highlight w:val="none"/>
              </w:rPr>
            </w:pPr>
            <w:r>
              <w:rPr>
                <w:rFonts w:hint="eastAsia" w:ascii="宋体" w:hAnsi="宋体" w:cs="宋体"/>
                <w:color w:val="auto"/>
                <w:szCs w:val="21"/>
                <w:highlight w:val="none"/>
              </w:rPr>
              <w:t>2024年11月30日前完成所有技术咨询服务内容并通过验收。具体节点服务期根据招标人需求可能予以调整补充，中标人须满足调整的服务期要求。</w:t>
            </w:r>
          </w:p>
        </w:tc>
      </w:tr>
      <w:tr w14:paraId="350C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49" w:type="dxa"/>
            <w:tcBorders>
              <w:top w:val="single" w:color="auto" w:sz="4" w:space="0"/>
              <w:left w:val="single" w:color="auto" w:sz="4" w:space="0"/>
              <w:right w:val="single" w:color="auto" w:sz="4" w:space="0"/>
            </w:tcBorders>
            <w:vAlign w:val="center"/>
          </w:tcPr>
          <w:p w14:paraId="4F167BDA">
            <w:pPr>
              <w:widowControl/>
              <w:spacing w:line="48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rPr>
              <w:t>项目服务地点</w:t>
            </w:r>
          </w:p>
        </w:tc>
        <w:tc>
          <w:tcPr>
            <w:tcW w:w="8169" w:type="dxa"/>
            <w:tcBorders>
              <w:top w:val="single" w:color="auto" w:sz="4" w:space="0"/>
              <w:left w:val="single" w:color="auto" w:sz="4" w:space="0"/>
              <w:bottom w:val="single" w:color="auto" w:sz="4" w:space="0"/>
              <w:right w:val="single" w:color="auto" w:sz="4" w:space="0"/>
            </w:tcBorders>
            <w:vAlign w:val="center"/>
          </w:tcPr>
          <w:p w14:paraId="2C9A4319">
            <w:pPr>
              <w:widowControl/>
              <w:spacing w:line="48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rPr>
              <w:t>满足采购需求。</w:t>
            </w:r>
          </w:p>
        </w:tc>
      </w:tr>
      <w:tr w14:paraId="2711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49" w:type="dxa"/>
            <w:tcBorders>
              <w:top w:val="single" w:color="auto" w:sz="4" w:space="0"/>
              <w:left w:val="single" w:color="auto" w:sz="4" w:space="0"/>
              <w:right w:val="single" w:color="auto" w:sz="4" w:space="0"/>
            </w:tcBorders>
            <w:vAlign w:val="center"/>
          </w:tcPr>
          <w:p w14:paraId="485230F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服务质量</w:t>
            </w:r>
          </w:p>
        </w:tc>
        <w:tc>
          <w:tcPr>
            <w:tcW w:w="8169" w:type="dxa"/>
            <w:tcBorders>
              <w:top w:val="single" w:color="auto" w:sz="4" w:space="0"/>
              <w:left w:val="single" w:color="auto" w:sz="4" w:space="0"/>
              <w:bottom w:val="single" w:color="auto" w:sz="4" w:space="0"/>
              <w:right w:val="single" w:color="auto" w:sz="4" w:space="0"/>
            </w:tcBorders>
            <w:vAlign w:val="center"/>
          </w:tcPr>
          <w:p w14:paraId="142D4089">
            <w:pPr>
              <w:snapToGrid w:val="0"/>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符合省市相关规定标准及规范要求。</w:t>
            </w:r>
          </w:p>
        </w:tc>
      </w:tr>
      <w:tr w14:paraId="65FE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49" w:type="dxa"/>
            <w:tcBorders>
              <w:top w:val="single" w:color="auto" w:sz="4" w:space="0"/>
              <w:left w:val="single" w:color="auto" w:sz="4" w:space="0"/>
              <w:bottom w:val="single" w:color="auto" w:sz="4" w:space="0"/>
              <w:right w:val="single" w:color="auto" w:sz="4" w:space="0"/>
            </w:tcBorders>
            <w:vAlign w:val="center"/>
          </w:tcPr>
          <w:p w14:paraId="65BD458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8169" w:type="dxa"/>
            <w:tcBorders>
              <w:top w:val="single" w:color="auto" w:sz="4" w:space="0"/>
              <w:left w:val="single" w:color="auto" w:sz="4" w:space="0"/>
              <w:bottom w:val="single" w:color="auto" w:sz="4" w:space="0"/>
              <w:right w:val="single" w:color="auto" w:sz="4" w:space="0"/>
            </w:tcBorders>
            <w:vAlign w:val="center"/>
          </w:tcPr>
          <w:p w14:paraId="29214C2C">
            <w:pPr>
              <w:widowControl/>
              <w:spacing w:line="44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1、报价应包括完成本项目服务工作所需的人力物力成本、管理费、其他费用、利润、税金等完成本项目的所有费用。报价应当包含采购代理服务费。</w:t>
            </w:r>
          </w:p>
          <w:p w14:paraId="7D73FEAF">
            <w:pPr>
              <w:widowControl/>
              <w:spacing w:line="44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2、▲本次报价币种为人民币。</w:t>
            </w:r>
          </w:p>
        </w:tc>
      </w:tr>
      <w:tr w14:paraId="13B2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49" w:type="dxa"/>
            <w:tcBorders>
              <w:top w:val="single" w:color="auto" w:sz="4" w:space="0"/>
              <w:left w:val="single" w:color="auto" w:sz="4" w:space="0"/>
              <w:bottom w:val="single" w:color="auto" w:sz="4" w:space="0"/>
              <w:right w:val="single" w:color="auto" w:sz="4" w:space="0"/>
            </w:tcBorders>
            <w:vAlign w:val="center"/>
          </w:tcPr>
          <w:p w14:paraId="7005A0A0">
            <w:pPr>
              <w:jc w:val="center"/>
              <w:rPr>
                <w:rFonts w:hint="eastAsia" w:ascii="宋体" w:hAnsi="宋体" w:cs="宋体"/>
                <w:color w:val="auto"/>
                <w:szCs w:val="21"/>
                <w:highlight w:val="none"/>
              </w:rPr>
            </w:pPr>
            <w:r>
              <w:rPr>
                <w:rFonts w:hint="eastAsia" w:ascii="宋体" w:hAnsi="宋体" w:cs="宋体"/>
                <w:color w:val="auto"/>
                <w:highlight w:val="none"/>
              </w:rPr>
              <w:t>签订合同</w:t>
            </w:r>
          </w:p>
        </w:tc>
        <w:tc>
          <w:tcPr>
            <w:tcW w:w="8169" w:type="dxa"/>
            <w:tcBorders>
              <w:top w:val="single" w:color="auto" w:sz="4" w:space="0"/>
              <w:left w:val="single" w:color="auto" w:sz="4" w:space="0"/>
              <w:bottom w:val="single" w:color="auto" w:sz="4" w:space="0"/>
              <w:right w:val="single" w:color="auto" w:sz="4" w:space="0"/>
            </w:tcBorders>
            <w:vAlign w:val="center"/>
          </w:tcPr>
          <w:p w14:paraId="22F00FC4">
            <w:pPr>
              <w:widowControl/>
              <w:spacing w:line="44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1、本项目合同甲方为丽水市生态环境局，乙方为中标人。</w:t>
            </w:r>
          </w:p>
          <w:p w14:paraId="6E998C92">
            <w:pPr>
              <w:widowControl/>
              <w:spacing w:line="44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2、合同款由甲方支付给乙方。</w:t>
            </w:r>
          </w:p>
        </w:tc>
      </w:tr>
      <w:tr w14:paraId="198E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49" w:type="dxa"/>
            <w:tcBorders>
              <w:top w:val="single" w:color="auto" w:sz="4" w:space="0"/>
              <w:left w:val="single" w:color="auto" w:sz="4" w:space="0"/>
              <w:bottom w:val="single" w:color="auto" w:sz="4" w:space="0"/>
              <w:right w:val="single" w:color="auto" w:sz="4" w:space="0"/>
            </w:tcBorders>
            <w:vAlign w:val="center"/>
          </w:tcPr>
          <w:p w14:paraId="48300695">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p w14:paraId="75795A64">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（分期付款）</w:t>
            </w:r>
          </w:p>
        </w:tc>
        <w:tc>
          <w:tcPr>
            <w:tcW w:w="8169" w:type="dxa"/>
            <w:tcBorders>
              <w:top w:val="single" w:color="auto" w:sz="4" w:space="0"/>
              <w:left w:val="single" w:color="auto" w:sz="4" w:space="0"/>
              <w:bottom w:val="single" w:color="auto" w:sz="4" w:space="0"/>
              <w:right w:val="single" w:color="auto" w:sz="4" w:space="0"/>
            </w:tcBorders>
            <w:vAlign w:val="center"/>
          </w:tcPr>
          <w:p w14:paraId="4B8DAD7B">
            <w:pPr>
              <w:widowControl/>
              <w:numPr>
                <w:ilvl w:val="0"/>
                <w:numId w:val="8"/>
              </w:numPr>
              <w:spacing w:line="440" w:lineRule="exact"/>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合同生效且收到合同乙方出具的增值税普通发票后7个工作日内支付合同金额的50%作为预付款；</w:t>
            </w:r>
          </w:p>
          <w:p w14:paraId="15452AF7">
            <w:pPr>
              <w:widowControl/>
              <w:numPr>
                <w:ilvl w:val="0"/>
                <w:numId w:val="8"/>
              </w:numPr>
              <w:spacing w:line="440" w:lineRule="exact"/>
              <w:jc w:val="left"/>
              <w:textAlignment w:val="center"/>
              <w:rPr>
                <w:rFonts w:hint="eastAsia" w:ascii="宋体" w:hAnsi="宋体" w:cs="宋体"/>
                <w:color w:val="auto"/>
                <w:highlight w:val="none"/>
              </w:rPr>
            </w:pPr>
            <w:r>
              <w:rPr>
                <w:rFonts w:hint="eastAsia" w:ascii="宋体" w:hAnsi="宋体" w:cs="宋体"/>
                <w:color w:val="auto"/>
                <w:szCs w:val="21"/>
                <w:highlight w:val="none"/>
              </w:rPr>
              <w:t>项目完成并验收通过在收到合同乙方出具的增值税普通发票后7个工作日内后支付尾款。</w:t>
            </w:r>
          </w:p>
        </w:tc>
      </w:tr>
      <w:tr w14:paraId="1F44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49" w:type="dxa"/>
            <w:tcBorders>
              <w:top w:val="single" w:color="auto" w:sz="4" w:space="0"/>
              <w:left w:val="single" w:color="auto" w:sz="4" w:space="0"/>
              <w:bottom w:val="single" w:color="auto" w:sz="4" w:space="0"/>
              <w:right w:val="single" w:color="auto" w:sz="4" w:space="0"/>
            </w:tcBorders>
            <w:vAlign w:val="center"/>
          </w:tcPr>
          <w:p w14:paraId="7A7DEB4E">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服务人员</w:t>
            </w:r>
          </w:p>
          <w:p w14:paraId="4BB90CC4">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要求</w:t>
            </w:r>
          </w:p>
        </w:tc>
        <w:tc>
          <w:tcPr>
            <w:tcW w:w="8169" w:type="dxa"/>
            <w:tcBorders>
              <w:top w:val="single" w:color="auto" w:sz="4" w:space="0"/>
              <w:left w:val="single" w:color="auto" w:sz="4" w:space="0"/>
              <w:bottom w:val="single" w:color="auto" w:sz="4" w:space="0"/>
              <w:right w:val="single" w:color="auto" w:sz="4" w:space="0"/>
            </w:tcBorders>
            <w:vAlign w:val="center"/>
          </w:tcPr>
          <w:p w14:paraId="152B97BE">
            <w:pPr>
              <w:numPr>
                <w:ilvl w:val="0"/>
                <w:numId w:val="9"/>
              </w:num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应具有较强的服务能力，配有较强的技术队伍，能提供快速的售后服务响应，具有较强的项目管理、技术服务和组织实施能力，具有相关项目服务的经验，能够独立承担本项目实施，并有良好的工作业绩和履约记录。</w:t>
            </w:r>
          </w:p>
          <w:p w14:paraId="0E319594">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2、项目完成并验收通过且要求第三方出具的绩效评价良好以上在收到合同乙方出具的增值税普通发票后7个工作日内后支付尾款。</w:t>
            </w:r>
          </w:p>
        </w:tc>
      </w:tr>
      <w:tr w14:paraId="2515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49" w:type="dxa"/>
            <w:tcBorders>
              <w:top w:val="single" w:color="auto" w:sz="4" w:space="0"/>
              <w:left w:val="single" w:color="auto" w:sz="4" w:space="0"/>
              <w:bottom w:val="single" w:color="auto" w:sz="4" w:space="0"/>
              <w:right w:val="single" w:color="auto" w:sz="4" w:space="0"/>
            </w:tcBorders>
            <w:vAlign w:val="center"/>
          </w:tcPr>
          <w:p w14:paraId="0F5EB2F7">
            <w:pPr>
              <w:snapToGrid w:val="0"/>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▲转包和分包</w:t>
            </w:r>
          </w:p>
        </w:tc>
        <w:tc>
          <w:tcPr>
            <w:tcW w:w="8169" w:type="dxa"/>
            <w:tcBorders>
              <w:top w:val="single" w:color="auto" w:sz="4" w:space="0"/>
              <w:left w:val="single" w:color="auto" w:sz="4" w:space="0"/>
              <w:bottom w:val="single" w:color="auto" w:sz="4" w:space="0"/>
              <w:right w:val="single" w:color="auto" w:sz="4" w:space="0"/>
            </w:tcBorders>
            <w:vAlign w:val="center"/>
          </w:tcPr>
          <w:p w14:paraId="3F046CD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1.本项目不得转包：合同乙方不得将本合同标的转包由其他单位承担；</w:t>
            </w:r>
          </w:p>
          <w:p w14:paraId="27CF8BE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2.本项目部分内容允许分包，但在分包前需经采购人同意，具体要求如下：</w:t>
            </w:r>
          </w:p>
          <w:p w14:paraId="60361D8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（1）分包内容为本项目的非主体、非关键性工作；</w:t>
            </w:r>
          </w:p>
          <w:p w14:paraId="1718191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（2）分包内容的金额不超过合同金额的30%；</w:t>
            </w:r>
          </w:p>
          <w:p w14:paraId="1286642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（3）分包投标人应具有完成项目内容的相应能力；</w:t>
            </w:r>
          </w:p>
          <w:p w14:paraId="48BD6192">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（4）除采购文件约定允许分包的内容外，合同乙方不得擅自将其他合同标的分包给其他单位承担。</w:t>
            </w:r>
          </w:p>
          <w:p w14:paraId="2454EE5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说明：如有分包，投标人应在响应文件中明确分包内容，并提供分包意向协议。未提供，视为不分包。</w:t>
            </w:r>
          </w:p>
          <w:p w14:paraId="694934D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3.享受《政府采购促进中小企业发展管理办法》的通知（财库〔2020〕46号）的规定扶持政策获得政府采购合同的，小微企业不得将合同分包给大中型企业，中型企业不得将合同分包给大型企业。</w:t>
            </w:r>
          </w:p>
          <w:p w14:paraId="387CC16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4.如有违反以上情形，合同甲方有权解除合同，并追究合同乙方的违约责任。</w:t>
            </w:r>
          </w:p>
        </w:tc>
      </w:tr>
      <w:tr w14:paraId="4EC3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549" w:type="dxa"/>
            <w:tcBorders>
              <w:top w:val="single" w:color="auto" w:sz="4" w:space="0"/>
              <w:left w:val="single" w:color="auto" w:sz="4" w:space="0"/>
              <w:bottom w:val="single" w:color="auto" w:sz="4" w:space="0"/>
              <w:right w:val="single" w:color="auto" w:sz="4" w:space="0"/>
            </w:tcBorders>
            <w:vAlign w:val="center"/>
          </w:tcPr>
          <w:p w14:paraId="34435C87">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w:t>
            </w:r>
          </w:p>
        </w:tc>
        <w:tc>
          <w:tcPr>
            <w:tcW w:w="8169" w:type="dxa"/>
            <w:tcBorders>
              <w:top w:val="single" w:color="auto" w:sz="4" w:space="0"/>
              <w:left w:val="single" w:color="auto" w:sz="4" w:space="0"/>
              <w:bottom w:val="single" w:color="auto" w:sz="4" w:space="0"/>
              <w:right w:val="single" w:color="auto" w:sz="4" w:space="0"/>
            </w:tcBorders>
            <w:vAlign w:val="center"/>
          </w:tcPr>
          <w:p w14:paraId="17417B31">
            <w:pPr>
              <w:pStyle w:val="98"/>
              <w:spacing w:line="440" w:lineRule="exact"/>
              <w:ind w:left="0"/>
              <w:rPr>
                <w:rFonts w:hint="eastAsia" w:ascii="宋体" w:hAnsi="宋体" w:cs="宋体"/>
                <w:color w:val="auto"/>
                <w:szCs w:val="21"/>
                <w:highlight w:val="none"/>
              </w:rPr>
            </w:pPr>
            <w:r>
              <w:rPr>
                <w:rFonts w:hint="eastAsia" w:ascii="宋体" w:hAnsi="宋体" w:cs="宋体"/>
                <w:color w:val="auto"/>
                <w:szCs w:val="21"/>
                <w:highlight w:val="none"/>
              </w:rPr>
              <w:t>1.采购人按相关规定组织验收，验收资料由中标人准备；</w:t>
            </w:r>
          </w:p>
          <w:p w14:paraId="461FB99A">
            <w:pPr>
              <w:pStyle w:val="98"/>
              <w:spacing w:line="440" w:lineRule="exact"/>
              <w:ind w:left="0"/>
              <w:rPr>
                <w:rFonts w:hint="eastAsia" w:ascii="宋体" w:hAnsi="宋体" w:cs="宋体"/>
                <w:color w:val="auto"/>
                <w:szCs w:val="21"/>
                <w:highlight w:val="none"/>
              </w:rPr>
            </w:pPr>
            <w:r>
              <w:rPr>
                <w:rFonts w:hint="eastAsia" w:ascii="宋体" w:hAnsi="宋体" w:cs="宋体"/>
                <w:color w:val="auto"/>
                <w:szCs w:val="21"/>
                <w:highlight w:val="none"/>
              </w:rPr>
              <w:t>2.验收过程中，中标人应派专业的技术人员协助采购人进行验收；</w:t>
            </w:r>
          </w:p>
          <w:p w14:paraId="4A2028A1">
            <w:pPr>
              <w:spacing w:line="440" w:lineRule="exact"/>
              <w:rPr>
                <w:rFonts w:hint="eastAsia" w:ascii="宋体" w:hAnsi="宋体" w:cs="宋体"/>
                <w:color w:val="auto"/>
                <w:highlight w:val="none"/>
                <w:lang w:val="zh-CN"/>
              </w:rPr>
            </w:pPr>
            <w:r>
              <w:rPr>
                <w:rFonts w:hint="eastAsia" w:ascii="宋体" w:hAnsi="宋体" w:cs="宋体"/>
                <w:color w:val="auto"/>
                <w:szCs w:val="21"/>
                <w:highlight w:val="none"/>
              </w:rPr>
              <w:t>3.验收合格标准：符合采购文件约定的服务质量要求、完成合同全部约定且绩效评价良好以上。</w:t>
            </w:r>
          </w:p>
        </w:tc>
      </w:tr>
      <w:tr w14:paraId="7BAB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49" w:type="dxa"/>
            <w:tcBorders>
              <w:top w:val="single" w:color="auto" w:sz="4" w:space="0"/>
              <w:left w:val="single" w:color="auto" w:sz="4" w:space="0"/>
              <w:right w:val="single" w:color="auto" w:sz="4" w:space="0"/>
            </w:tcBorders>
            <w:vAlign w:val="center"/>
          </w:tcPr>
          <w:p w14:paraId="3D29852A">
            <w:pPr>
              <w:spacing w:line="480" w:lineRule="exact"/>
              <w:jc w:val="center"/>
              <w:rPr>
                <w:rFonts w:hint="eastAsia" w:ascii="宋体" w:hAnsi="宋体" w:cs="宋体"/>
                <w:color w:val="auto"/>
                <w:szCs w:val="21"/>
                <w:highlight w:val="none"/>
              </w:rPr>
            </w:pPr>
          </w:p>
          <w:p w14:paraId="7CE66157">
            <w:pPr>
              <w:spacing w:line="480" w:lineRule="exact"/>
              <w:jc w:val="center"/>
              <w:rPr>
                <w:rFonts w:hint="eastAsia" w:ascii="宋体" w:hAnsi="宋体" w:cs="宋体"/>
                <w:color w:val="auto"/>
                <w:szCs w:val="21"/>
                <w:highlight w:val="none"/>
              </w:rPr>
            </w:pPr>
          </w:p>
          <w:p w14:paraId="2D313294">
            <w:pPr>
              <w:spacing w:line="480" w:lineRule="exact"/>
              <w:jc w:val="center"/>
              <w:rPr>
                <w:rFonts w:hint="eastAsia" w:ascii="宋体" w:hAnsi="宋体" w:cs="宋体"/>
                <w:color w:val="auto"/>
                <w:szCs w:val="21"/>
                <w:highlight w:val="none"/>
              </w:rPr>
            </w:pPr>
          </w:p>
          <w:p w14:paraId="536E27DD">
            <w:pPr>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其它要求</w:t>
            </w:r>
          </w:p>
        </w:tc>
        <w:tc>
          <w:tcPr>
            <w:tcW w:w="8169" w:type="dxa"/>
            <w:tcBorders>
              <w:top w:val="single" w:color="auto" w:sz="4" w:space="0"/>
              <w:left w:val="single" w:color="auto" w:sz="4" w:space="0"/>
              <w:bottom w:val="single" w:color="auto" w:sz="4" w:space="0"/>
              <w:right w:val="single" w:color="auto" w:sz="4" w:space="0"/>
            </w:tcBorders>
            <w:vAlign w:val="center"/>
          </w:tcPr>
          <w:p w14:paraId="43FC29CB">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1.知识产权</w:t>
            </w:r>
          </w:p>
          <w:p w14:paraId="3BDC28CA">
            <w:pPr>
              <w:pStyle w:val="98"/>
              <w:spacing w:line="440" w:lineRule="exact"/>
              <w:ind w:left="0"/>
              <w:rPr>
                <w:rFonts w:hint="eastAsia" w:ascii="宋体" w:hAnsi="宋体" w:cs="宋体"/>
                <w:color w:val="auto"/>
                <w:kern w:val="2"/>
                <w:szCs w:val="21"/>
                <w:highlight w:val="none"/>
              </w:rPr>
            </w:pPr>
            <w:r>
              <w:rPr>
                <w:rFonts w:hint="eastAsia" w:ascii="宋体" w:hAnsi="宋体" w:cs="宋体"/>
                <w:color w:val="auto"/>
                <w:szCs w:val="21"/>
                <w:highlight w:val="none"/>
              </w:rPr>
              <w:t>（</w:t>
            </w:r>
            <w:r>
              <w:rPr>
                <w:rFonts w:hint="eastAsia" w:ascii="宋体" w:hAnsi="宋体" w:cs="宋体"/>
                <w:color w:val="auto"/>
                <w:kern w:val="2"/>
                <w:szCs w:val="21"/>
                <w:highlight w:val="none"/>
              </w:rPr>
              <w:t>1）投标人应保证所提供的服务、货物或其任何一部分均不会侵犯任何第三方的知识产权。</w:t>
            </w:r>
          </w:p>
          <w:p w14:paraId="08159146">
            <w:pPr>
              <w:pStyle w:val="98"/>
              <w:spacing w:line="440" w:lineRule="exact"/>
              <w:ind w:left="0"/>
              <w:rPr>
                <w:rFonts w:hint="eastAsia" w:ascii="宋体" w:hAnsi="宋体" w:cs="宋体"/>
                <w:color w:val="auto"/>
                <w:kern w:val="2"/>
                <w:szCs w:val="21"/>
                <w:highlight w:val="none"/>
              </w:rPr>
            </w:pPr>
            <w:r>
              <w:rPr>
                <w:rFonts w:hint="eastAsia" w:ascii="宋体" w:hAnsi="宋体" w:cs="宋体"/>
                <w:color w:val="auto"/>
                <w:kern w:val="2"/>
                <w:szCs w:val="21"/>
                <w:highlight w:val="none"/>
              </w:rPr>
              <w:t>（2）本项目实施所产生的所有数据、分析结果等成果所有权、使用权和知识产权以及由此衍生的一切权利均归采购人所有。未经采购人书面同意，投标人不得擅自扩散或提供给第三方使用。</w:t>
            </w:r>
          </w:p>
          <w:p w14:paraId="3E72CD46">
            <w:pPr>
              <w:pStyle w:val="98"/>
              <w:spacing w:line="440" w:lineRule="exact"/>
              <w:ind w:left="0"/>
              <w:rPr>
                <w:rFonts w:hint="eastAsia" w:ascii="宋体" w:hAnsi="宋体" w:cs="宋体"/>
                <w:color w:val="auto"/>
                <w:kern w:val="2"/>
                <w:szCs w:val="21"/>
                <w:highlight w:val="none"/>
              </w:rPr>
            </w:pPr>
            <w:r>
              <w:rPr>
                <w:rFonts w:hint="eastAsia" w:ascii="宋体" w:hAnsi="宋体" w:cs="宋体"/>
                <w:color w:val="auto"/>
                <w:kern w:val="2"/>
                <w:szCs w:val="21"/>
                <w:highlight w:val="none"/>
              </w:rPr>
              <w:t>2.保密要求</w:t>
            </w:r>
          </w:p>
          <w:p w14:paraId="5539BBAA">
            <w:pPr>
              <w:pStyle w:val="98"/>
              <w:spacing w:line="440" w:lineRule="exact"/>
              <w:ind w:left="0"/>
              <w:rPr>
                <w:rFonts w:hint="eastAsia" w:ascii="宋体" w:hAnsi="宋体" w:cs="宋体"/>
                <w:color w:val="auto"/>
                <w:szCs w:val="21"/>
                <w:highlight w:val="none"/>
              </w:rPr>
            </w:pPr>
            <w:r>
              <w:rPr>
                <w:rFonts w:hint="eastAsia" w:ascii="宋体" w:hAnsi="宋体" w:cs="宋体"/>
                <w:color w:val="auto"/>
                <w:szCs w:val="21"/>
                <w:highlight w:val="none"/>
              </w:rPr>
              <w:t>投标人在项目实施过程中，遵循采购人的保密要求，项目涉及的业务资料、技术资料、数据等应严格保密，不得扩散。建立严格的保密制度，中标人应加强对工作人员的保密管理及保密知识教育。中标人须承担与此有关的技术情报和数据资料的保密责任。与本项目有关的资料及数据成果中涉及国家秘密的内容，均要求按照《国家保密法》及相关法律法规执行。</w:t>
            </w:r>
          </w:p>
          <w:p w14:paraId="22E13C4E">
            <w:pPr>
              <w:pStyle w:val="98"/>
              <w:spacing w:line="440" w:lineRule="exact"/>
              <w:ind w:left="0"/>
              <w:rPr>
                <w:rFonts w:hint="eastAsia" w:ascii="宋体" w:hAnsi="宋体" w:cs="宋体"/>
                <w:color w:val="auto"/>
                <w:kern w:val="2"/>
                <w:szCs w:val="21"/>
                <w:highlight w:val="none"/>
              </w:rPr>
            </w:pPr>
            <w:r>
              <w:rPr>
                <w:rFonts w:hint="eastAsia" w:ascii="宋体" w:hAnsi="宋体" w:cs="宋体"/>
                <w:color w:val="auto"/>
                <w:kern w:val="2"/>
                <w:szCs w:val="21"/>
                <w:highlight w:val="none"/>
              </w:rPr>
              <w:t>3.安全责任</w:t>
            </w:r>
          </w:p>
          <w:p w14:paraId="35D3441E">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投标人在项目实施过程中发生的一切人身意外事故由其自行负责，与采购人无关，由中标人承担赔偿义务。合同期内发生责任事故或中标人过错或疏忽造成的第三方损害，由中标人负责处理并承担相应责任。</w:t>
            </w:r>
          </w:p>
          <w:p w14:paraId="04E90D31">
            <w:pPr>
              <w:pStyle w:val="98"/>
              <w:spacing w:line="480" w:lineRule="exact"/>
              <w:ind w:left="0"/>
              <w:rPr>
                <w:rFonts w:hint="eastAsia" w:ascii="宋体" w:hAnsi="宋体" w:cs="宋体"/>
                <w:color w:val="auto"/>
                <w:szCs w:val="21"/>
                <w:highlight w:val="none"/>
              </w:rPr>
            </w:pPr>
            <w:r>
              <w:rPr>
                <w:rFonts w:hint="eastAsia" w:ascii="宋体" w:hAnsi="宋体" w:cs="宋体"/>
                <w:color w:val="auto"/>
                <w:kern w:val="2"/>
                <w:szCs w:val="21"/>
                <w:highlight w:val="none"/>
              </w:rPr>
              <w:t>4.投标人在履行合同过程中，应自觉遵守国家法律、法规及相关规定，加强自身安全管理，如发生任</w:t>
            </w:r>
            <w:r>
              <w:rPr>
                <w:rFonts w:hint="eastAsia" w:ascii="宋体" w:hAnsi="宋体" w:cs="宋体"/>
                <w:color w:val="auto"/>
                <w:szCs w:val="21"/>
                <w:highlight w:val="none"/>
              </w:rPr>
              <w:t>何违、法违规事件或安全事故，均由投标人负全部责任，采购人不承担任何责任。</w:t>
            </w:r>
          </w:p>
        </w:tc>
      </w:tr>
      <w:bookmarkEnd w:id="192"/>
    </w:tbl>
    <w:p w14:paraId="06E0919E">
      <w:pPr>
        <w:pStyle w:val="15"/>
        <w:ind w:firstLine="0"/>
        <w:rPr>
          <w:color w:val="auto"/>
          <w:highlight w:val="none"/>
          <w:lang w:val="zh-TW" w:eastAsia="zh-TW"/>
        </w:rPr>
      </w:pPr>
    </w:p>
    <w:p w14:paraId="703F0495">
      <w:pPr>
        <w:spacing w:line="440" w:lineRule="exact"/>
        <w:outlineLvl w:val="3"/>
        <w:rPr>
          <w:rFonts w:hint="eastAsia" w:ascii="宋体" w:hAnsi="宋体" w:cs="宋体"/>
          <w:b/>
          <w:bCs/>
          <w:color w:val="auto"/>
          <w:szCs w:val="21"/>
          <w:highlight w:val="none"/>
        </w:rPr>
      </w:pPr>
      <w:r>
        <w:rPr>
          <w:rFonts w:hint="eastAsia" w:ascii="宋体" w:hAnsi="宋体" w:cs="宋体"/>
          <w:b/>
          <w:bCs/>
          <w:color w:val="auto"/>
          <w:szCs w:val="21"/>
          <w:highlight w:val="none"/>
        </w:rPr>
        <w:t>第四部分  现场勘察</w:t>
      </w:r>
    </w:p>
    <w:p w14:paraId="3C9FAC1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为保障项目顺利实施，投标人可自行至项目现场勘察，现场勘察所产生的费用及风险由投标人自行承担。如投标人未勘察现场造成投标响应偏离，投标人自行承担后果。</w:t>
      </w:r>
    </w:p>
    <w:p w14:paraId="54998775">
      <w:pPr>
        <w:spacing w:line="440" w:lineRule="exact"/>
        <w:outlineLvl w:val="3"/>
        <w:rPr>
          <w:rFonts w:hint="eastAsia" w:ascii="宋体" w:hAnsi="宋体" w:cs="宋体"/>
          <w:b/>
          <w:bCs/>
          <w:color w:val="auto"/>
          <w:szCs w:val="21"/>
          <w:highlight w:val="none"/>
        </w:rPr>
      </w:pPr>
      <w:r>
        <w:rPr>
          <w:rFonts w:hint="eastAsia" w:ascii="宋体" w:hAnsi="宋体" w:cs="宋体"/>
          <w:b/>
          <w:bCs/>
          <w:color w:val="auto"/>
          <w:szCs w:val="21"/>
          <w:highlight w:val="none"/>
        </w:rPr>
        <w:t>第五部分  其他内容</w:t>
      </w:r>
    </w:p>
    <w:p w14:paraId="20EE6793">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详见招标文件的“第四章 采购合同”，投标人应对合同内容进行审核，如有偏离，请在投标文件的“偏离表”中反映。</w:t>
      </w:r>
    </w:p>
    <w:p w14:paraId="75084499">
      <w:pPr>
        <w:spacing w:line="440" w:lineRule="exac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第六部分 ▲政府采购政策要求（支持中小企业发展）</w:t>
      </w:r>
    </w:p>
    <w:p w14:paraId="593C856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（一）根据财政部工业和信息化部关于印发《政府采购促进中小企业发展管理办法》的通知（财库〔2020〕46 号）的规定，本项目不属于预留份额专门面向中小企业采购项目，但对小型、微型企业报价价格进行扣除，扣除比例见《第六章 评标办法和细则》；</w:t>
      </w:r>
    </w:p>
    <w:p w14:paraId="01D5FEB6">
      <w:pPr>
        <w:pStyle w:val="97"/>
        <w:spacing w:line="440" w:lineRule="exact"/>
        <w:ind w:firstLine="630" w:firstLineChars="3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1.采购标的对应的中小企业划型标准规定所属行业：</w:t>
      </w:r>
      <w:r>
        <w:rPr>
          <w:rFonts w:hint="eastAsia" w:ascii="宋体" w:hAnsi="宋体" w:eastAsia="宋体" w:cs="宋体"/>
          <w:b/>
          <w:bCs/>
          <w:color w:val="auto"/>
          <w:sz w:val="21"/>
          <w:szCs w:val="21"/>
          <w:highlight w:val="none"/>
        </w:rPr>
        <w:t>【</w:t>
      </w:r>
      <w:r>
        <w:rPr>
          <w:rFonts w:hint="eastAsia" w:hAnsi="宋体" w:eastAsia="宋体" w:cs="宋体"/>
          <w:b/>
          <w:bCs/>
          <w:color w:val="auto"/>
          <w:sz w:val="21"/>
          <w:szCs w:val="21"/>
          <w:highlight w:val="none"/>
        </w:rPr>
        <w:t>其他未列明行业</w:t>
      </w:r>
      <w:r>
        <w:rPr>
          <w:rFonts w:hint="eastAsia" w:ascii="宋体" w:hAnsi="宋体" w:eastAsia="宋体" w:cs="宋体"/>
          <w:b/>
          <w:bCs/>
          <w:color w:val="auto"/>
          <w:sz w:val="21"/>
          <w:szCs w:val="21"/>
          <w:highlight w:val="none"/>
        </w:rPr>
        <w:t>】；</w:t>
      </w:r>
    </w:p>
    <w:p w14:paraId="09993422">
      <w:pPr>
        <w:pStyle w:val="97"/>
        <w:spacing w:line="440" w:lineRule="exact"/>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2.中小企业划型标准规定：《中小企业划型标准规定》（工信部联企业[2011]300 号）。</w:t>
      </w:r>
    </w:p>
    <w:p w14:paraId="5571AFAE">
      <w:pPr>
        <w:pStyle w:val="9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（二）根据财政部司法部关于政府采购支持监狱企业发展有关问题的通知（财库〔2014〕68 号）的规定，监狱企业视同小型、微型企业。</w:t>
      </w:r>
    </w:p>
    <w:p w14:paraId="056D80F2">
      <w:pPr>
        <w:pStyle w:val="9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（三）根据财政部 民政部 中国残疾人联合会关于促进残疾人就业政府采购政策的通知（财库〔2017〕141 号）的规定，残疾人福利性单位视同小型、微型企业。</w:t>
      </w:r>
    </w:p>
    <w:p w14:paraId="54F866D4">
      <w:pPr>
        <w:pStyle w:val="97"/>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w:t>
      </w: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部分 实质性内容</w:t>
      </w:r>
    </w:p>
    <w:p w14:paraId="588DC594">
      <w:pPr>
        <w:pStyle w:val="97"/>
        <w:spacing w:line="44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本章中所有带▲的内容是采购人提出的实质性内容，投标文件响应内容若不满足实质性内容要求，该投标文件将被评标委员会认定为无效。</w:t>
      </w:r>
      <w:r>
        <w:rPr>
          <w:rFonts w:hint="eastAsia" w:ascii="宋体" w:hAnsi="宋体" w:eastAsia="宋体" w:cs="宋体"/>
          <w:bCs/>
          <w:color w:val="auto"/>
          <w:sz w:val="21"/>
          <w:szCs w:val="21"/>
          <w:highlight w:val="none"/>
        </w:rPr>
        <w:t xml:space="preserve">  </w:t>
      </w:r>
    </w:p>
    <w:p w14:paraId="51E1B48D">
      <w:pPr>
        <w:pStyle w:val="4"/>
        <w:tabs>
          <w:tab w:val="left" w:pos="420"/>
        </w:tabs>
        <w:spacing w:line="440" w:lineRule="exact"/>
        <w:jc w:val="both"/>
        <w:rPr>
          <w:rFonts w:hint="eastAsia" w:ascii="宋体" w:hAnsi="宋体" w:eastAsia="宋体" w:cs="宋体"/>
          <w:bCs/>
          <w:color w:val="auto"/>
          <w:sz w:val="21"/>
          <w:szCs w:val="21"/>
          <w:highlight w:val="none"/>
        </w:rPr>
      </w:pPr>
      <w:bookmarkStart w:id="193" w:name="_Toc19017"/>
      <w:r>
        <w:rPr>
          <w:rFonts w:hint="eastAsia" w:ascii="宋体" w:hAnsi="宋体" w:eastAsia="宋体" w:cs="宋体"/>
          <w:bCs/>
          <w:color w:val="auto"/>
          <w:sz w:val="21"/>
          <w:szCs w:val="21"/>
          <w:highlight w:val="none"/>
        </w:rPr>
        <w:t>第</w:t>
      </w:r>
      <w:r>
        <w:rPr>
          <w:rFonts w:hint="eastAsia" w:ascii="宋体" w:hAnsi="宋体" w:eastAsia="宋体" w:cs="宋体"/>
          <w:bCs/>
          <w:color w:val="auto"/>
          <w:sz w:val="21"/>
          <w:szCs w:val="21"/>
          <w:highlight w:val="none"/>
          <w:lang w:val="en-US" w:eastAsia="zh-CN"/>
        </w:rPr>
        <w:t>八</w:t>
      </w:r>
      <w:r>
        <w:rPr>
          <w:rFonts w:hint="eastAsia" w:ascii="宋体" w:hAnsi="宋体" w:eastAsia="宋体" w:cs="宋体"/>
          <w:bCs/>
          <w:color w:val="auto"/>
          <w:sz w:val="21"/>
          <w:szCs w:val="21"/>
          <w:highlight w:val="none"/>
        </w:rPr>
        <w:t>部分 特别说明</w:t>
      </w:r>
      <w:bookmarkEnd w:id="193"/>
    </w:p>
    <w:p w14:paraId="5AD873BE">
      <w:pPr>
        <w:spacing w:line="440" w:lineRule="exact"/>
        <w:ind w:firstLine="371" w:firstLineChars="176"/>
        <w:rPr>
          <w:rFonts w:hint="eastAsia" w:ascii="宋体" w:hAnsi="宋体" w:cs="宋体"/>
          <w:color w:val="auto"/>
          <w:szCs w:val="21"/>
          <w:highlight w:val="none"/>
        </w:rPr>
      </w:pPr>
      <w:r>
        <w:rPr>
          <w:rFonts w:hint="eastAsia" w:ascii="宋体" w:hAnsi="宋体" w:cs="宋体"/>
          <w:b/>
          <w:color w:val="auto"/>
          <w:szCs w:val="21"/>
          <w:highlight w:val="none"/>
        </w:rPr>
        <w:t>本章内容均为采购人基本要求，如投标人无法响应，须在《关于对招标文件中有关条款的拒绝声明》中详细说明，未说明的，视为完全响应并接受所有条款。</w:t>
      </w:r>
    </w:p>
    <w:p w14:paraId="3CDD16CA">
      <w:pPr>
        <w:spacing w:line="440" w:lineRule="exact"/>
        <w:ind w:firstLine="369" w:firstLineChars="175"/>
        <w:rPr>
          <w:rFonts w:hint="eastAsia" w:ascii="宋体" w:hAnsi="宋体" w:cs="宋体"/>
          <w:b/>
          <w:color w:val="auto"/>
          <w:szCs w:val="21"/>
          <w:highlight w:val="none"/>
        </w:rPr>
      </w:pPr>
      <w:r>
        <w:rPr>
          <w:rFonts w:hint="eastAsia" w:ascii="宋体" w:hAnsi="宋体" w:cs="宋体"/>
          <w:b/>
          <w:color w:val="auto"/>
          <w:szCs w:val="21"/>
          <w:highlight w:val="none"/>
        </w:rPr>
        <w:t>1.本项目为一个标项，标项是最小投标单位，投标人必须对标项内的所有内容发起投标响应。</w:t>
      </w:r>
      <w:r>
        <w:rPr>
          <w:rFonts w:hint="eastAsia" w:ascii="宋体" w:hAnsi="宋体" w:cs="宋体"/>
          <w:b/>
          <w:color w:val="auto"/>
          <w:szCs w:val="21"/>
          <w:highlight w:val="none"/>
          <w:u w:val="single"/>
        </w:rPr>
        <w:t>投标人在投标时出现遗漏的内容视为“已包含在投标总价内”，投标人如不接受将作无效标处理</w:t>
      </w:r>
      <w:r>
        <w:rPr>
          <w:rFonts w:hint="eastAsia" w:ascii="宋体" w:hAnsi="宋体" w:cs="宋体"/>
          <w:b/>
          <w:color w:val="auto"/>
          <w:szCs w:val="21"/>
          <w:highlight w:val="none"/>
        </w:rPr>
        <w:t>。采购人不接受除招标文件要求外的投标人给予的任何“赠品”或者与采购无关的其他商品、服务。</w:t>
      </w:r>
    </w:p>
    <w:p w14:paraId="08C02A43">
      <w:pPr>
        <w:spacing w:line="440" w:lineRule="exact"/>
        <w:ind w:firstLine="369" w:firstLineChars="175"/>
        <w:rPr>
          <w:rFonts w:hint="eastAsia" w:ascii="宋体" w:hAnsi="宋体" w:cs="宋体"/>
          <w:b/>
          <w:color w:val="auto"/>
          <w:szCs w:val="21"/>
          <w:highlight w:val="none"/>
        </w:rPr>
      </w:pPr>
      <w:r>
        <w:rPr>
          <w:rFonts w:hint="eastAsia" w:ascii="宋体" w:hAnsi="宋体" w:cs="宋体"/>
          <w:b/>
          <w:color w:val="auto"/>
          <w:szCs w:val="21"/>
          <w:highlight w:val="none"/>
        </w:rPr>
        <w:t>2.采购需求中未要求但实施时必须具备的内容由投标人自行补齐，所需费用计入投标总价中，不再另行支付。</w:t>
      </w:r>
    </w:p>
    <w:p w14:paraId="4F220EE0">
      <w:pPr>
        <w:spacing w:line="440" w:lineRule="exact"/>
        <w:ind w:firstLine="373" w:firstLineChars="177"/>
        <w:rPr>
          <w:rFonts w:hint="eastAsia" w:ascii="宋体" w:hAnsi="宋体" w:cs="宋体"/>
          <w:b/>
          <w:color w:val="auto"/>
          <w:szCs w:val="21"/>
          <w:highlight w:val="none"/>
        </w:rPr>
      </w:pPr>
      <w:r>
        <w:rPr>
          <w:rFonts w:hint="eastAsia" w:ascii="宋体" w:hAnsi="宋体" w:cs="宋体"/>
          <w:b/>
          <w:color w:val="auto"/>
          <w:szCs w:val="21"/>
          <w:highlight w:val="none"/>
        </w:rPr>
        <w:t>3.投标人须对采购中涉及到的专利负责，并保证不伤害采购人的利益。在法律范围内，所有文字、商标和技术侵权造成的相关费用，采购人概不负责。</w:t>
      </w:r>
    </w:p>
    <w:p w14:paraId="68A18C9A">
      <w:pPr>
        <w:spacing w:line="440" w:lineRule="exact"/>
        <w:ind w:firstLine="369" w:firstLineChars="175"/>
        <w:rPr>
          <w:rFonts w:hint="eastAsia" w:ascii="宋体" w:hAnsi="宋体" w:cs="宋体"/>
          <w:b/>
          <w:color w:val="auto"/>
          <w:szCs w:val="21"/>
          <w:highlight w:val="none"/>
        </w:rPr>
      </w:pPr>
      <w:r>
        <w:rPr>
          <w:rFonts w:hint="eastAsia" w:ascii="宋体" w:hAnsi="宋体" w:cs="宋体"/>
          <w:b/>
          <w:color w:val="auto"/>
          <w:szCs w:val="21"/>
          <w:highlight w:val="none"/>
        </w:rPr>
        <w:t>4.中标人项目实施过程中应严格做好安全防范措施，如中标人项目实施人员在实施中违反操作规定造成人员伤亡事故或实施现场防范措施设置不明造成人员伤害事故，一切责任均由中标人负责。中标人应承担项目实施过程中的所有安全责任及各类损失赔偿。</w:t>
      </w:r>
    </w:p>
    <w:p w14:paraId="189BD8FF">
      <w:pPr>
        <w:spacing w:line="440" w:lineRule="exact"/>
        <w:ind w:firstLine="369" w:firstLineChars="175"/>
        <w:rPr>
          <w:rFonts w:hint="eastAsia" w:ascii="宋体" w:hAnsi="宋体" w:cs="宋体"/>
          <w:b/>
          <w:color w:val="auto"/>
          <w:szCs w:val="21"/>
          <w:highlight w:val="none"/>
        </w:rPr>
      </w:pPr>
      <w:r>
        <w:rPr>
          <w:rFonts w:hint="eastAsia" w:ascii="宋体" w:hAnsi="宋体" w:cs="宋体"/>
          <w:b/>
          <w:color w:val="auto"/>
          <w:szCs w:val="21"/>
          <w:highlight w:val="none"/>
        </w:rPr>
        <w:t>5.采购人保留在合同实施过程中增减或调整部分需求的权力。</w:t>
      </w:r>
    </w:p>
    <w:p w14:paraId="2DE07B71">
      <w:pPr>
        <w:spacing w:line="440" w:lineRule="exact"/>
        <w:ind w:firstLine="369" w:firstLineChars="175"/>
        <w:rPr>
          <w:rFonts w:hint="eastAsia" w:ascii="宋体" w:hAnsi="宋体" w:cs="宋体"/>
          <w:color w:val="auto"/>
          <w:szCs w:val="21"/>
          <w:highlight w:val="none"/>
        </w:rPr>
      </w:pPr>
      <w:r>
        <w:rPr>
          <w:rFonts w:hint="eastAsia" w:ascii="宋体" w:hAnsi="宋体" w:cs="宋体"/>
          <w:b/>
          <w:color w:val="auto"/>
          <w:szCs w:val="21"/>
          <w:highlight w:val="none"/>
        </w:rPr>
        <w:t>6.投标人在投标活动中提供任何虚假材料,其投标无效，并报监管部门查处。</w:t>
      </w:r>
    </w:p>
    <w:p w14:paraId="17EC587F">
      <w:pPr>
        <w:rPr>
          <w:rFonts w:hint="eastAsia" w:ascii="宋体" w:hAnsi="宋体" w:cs="宋体"/>
          <w:b/>
          <w:bCs/>
          <w:color w:val="auto"/>
          <w:szCs w:val="21"/>
          <w:highlight w:val="none"/>
        </w:rPr>
      </w:pPr>
    </w:p>
    <w:p w14:paraId="610BCDB0">
      <w:pPr>
        <w:pStyle w:val="22"/>
        <w:rPr>
          <w:rFonts w:hint="eastAsia" w:ascii="宋体" w:hAnsi="宋体" w:eastAsia="宋体" w:cs="宋体"/>
          <w:b/>
          <w:bCs/>
          <w:color w:val="auto"/>
          <w:sz w:val="21"/>
          <w:szCs w:val="21"/>
          <w:highlight w:val="none"/>
          <w:lang w:val="en-US"/>
        </w:rPr>
      </w:pPr>
    </w:p>
    <w:p w14:paraId="1CDEB2B4">
      <w:pPr>
        <w:rPr>
          <w:rFonts w:hint="eastAsia" w:ascii="宋体" w:hAnsi="宋体" w:cs="宋体"/>
          <w:b/>
          <w:bCs/>
          <w:color w:val="auto"/>
          <w:szCs w:val="21"/>
          <w:highlight w:val="none"/>
        </w:rPr>
      </w:pPr>
    </w:p>
    <w:p w14:paraId="267A6E19">
      <w:pPr>
        <w:pStyle w:val="22"/>
        <w:rPr>
          <w:rFonts w:hint="eastAsia" w:ascii="宋体" w:hAnsi="宋体" w:eastAsia="宋体" w:cs="宋体"/>
          <w:b/>
          <w:bCs/>
          <w:color w:val="auto"/>
          <w:sz w:val="21"/>
          <w:szCs w:val="21"/>
          <w:highlight w:val="none"/>
          <w:lang w:val="en-US"/>
        </w:rPr>
      </w:pPr>
      <w:r>
        <w:rPr>
          <w:rFonts w:hint="eastAsia" w:ascii="宋体" w:hAnsi="宋体" w:eastAsia="宋体" w:cs="宋体"/>
          <w:b/>
          <w:bCs/>
          <w:color w:val="auto"/>
          <w:sz w:val="21"/>
          <w:szCs w:val="21"/>
          <w:highlight w:val="none"/>
          <w:lang w:val="en-US"/>
        </w:rPr>
        <w:t>后附：表1《丽水地区新污染物监测点位及项目》、表2《新污染物监测项目清单及方法》</w:t>
      </w:r>
    </w:p>
    <w:p w14:paraId="41DE6C3B">
      <w:pPr>
        <w:rPr>
          <w:rFonts w:hint="eastAsia" w:ascii="宋体" w:hAnsi="宋体" w:cs="宋体"/>
          <w:b/>
          <w:bCs/>
          <w:color w:val="auto"/>
          <w:szCs w:val="21"/>
          <w:highlight w:val="none"/>
        </w:rPr>
      </w:pPr>
    </w:p>
    <w:p w14:paraId="0CEAE14A">
      <w:pPr>
        <w:spacing w:line="480" w:lineRule="exact"/>
        <w:ind w:firstLine="422" w:firstLineChars="200"/>
        <w:rPr>
          <w:rFonts w:hint="eastAsia" w:ascii="宋体" w:hAnsi="宋体" w:cs="宋体"/>
          <w:b/>
          <w:bCs/>
          <w:color w:val="auto"/>
          <w:szCs w:val="21"/>
          <w:highlight w:val="none"/>
        </w:rPr>
      </w:pPr>
    </w:p>
    <w:p w14:paraId="29D17CCC">
      <w:pPr>
        <w:pStyle w:val="97"/>
        <w:rPr>
          <w:rFonts w:hint="eastAsia" w:ascii="宋体" w:hAnsi="宋体" w:eastAsia="宋体" w:cs="宋体"/>
          <w:b/>
          <w:bCs/>
          <w:color w:val="auto"/>
          <w:szCs w:val="21"/>
          <w:highlight w:val="none"/>
        </w:rPr>
      </w:pPr>
    </w:p>
    <w:p w14:paraId="64AD5854">
      <w:pPr>
        <w:pStyle w:val="34"/>
        <w:rPr>
          <w:rFonts w:hint="eastAsia" w:ascii="宋体" w:hAnsi="宋体" w:cs="宋体"/>
          <w:b/>
          <w:bCs/>
          <w:color w:val="auto"/>
          <w:szCs w:val="21"/>
          <w:highlight w:val="none"/>
        </w:rPr>
      </w:pPr>
    </w:p>
    <w:p w14:paraId="69226D86">
      <w:pPr>
        <w:pStyle w:val="34"/>
        <w:rPr>
          <w:rFonts w:hint="eastAsia" w:ascii="宋体" w:hAnsi="宋体" w:cs="宋体"/>
          <w:b/>
          <w:bCs/>
          <w:color w:val="auto"/>
          <w:szCs w:val="21"/>
          <w:highlight w:val="none"/>
        </w:rPr>
      </w:pPr>
    </w:p>
    <w:p w14:paraId="68D093CE">
      <w:pPr>
        <w:pStyle w:val="34"/>
        <w:rPr>
          <w:rFonts w:hint="eastAsia" w:ascii="宋体" w:hAnsi="宋体" w:cs="宋体"/>
          <w:b/>
          <w:bCs/>
          <w:color w:val="auto"/>
          <w:szCs w:val="21"/>
          <w:highlight w:val="none"/>
        </w:rPr>
      </w:pPr>
    </w:p>
    <w:p w14:paraId="24C335C8">
      <w:pPr>
        <w:pStyle w:val="34"/>
        <w:rPr>
          <w:rFonts w:hint="eastAsia" w:ascii="宋体" w:hAnsi="宋体" w:cs="宋体"/>
          <w:b/>
          <w:bCs/>
          <w:color w:val="auto"/>
          <w:szCs w:val="21"/>
          <w:highlight w:val="none"/>
        </w:rPr>
      </w:pPr>
    </w:p>
    <w:p w14:paraId="6FF2FB5E">
      <w:pPr>
        <w:pStyle w:val="34"/>
        <w:rPr>
          <w:rFonts w:hint="eastAsia" w:ascii="宋体" w:hAnsi="宋体" w:cs="宋体"/>
          <w:b/>
          <w:bCs/>
          <w:color w:val="auto"/>
          <w:szCs w:val="21"/>
          <w:highlight w:val="none"/>
        </w:rPr>
      </w:pPr>
    </w:p>
    <w:p w14:paraId="57A22A73">
      <w:pPr>
        <w:pStyle w:val="34"/>
        <w:rPr>
          <w:rFonts w:hint="eastAsia" w:ascii="宋体" w:hAnsi="宋体" w:cs="宋体"/>
          <w:b/>
          <w:bCs/>
          <w:color w:val="auto"/>
          <w:szCs w:val="21"/>
          <w:highlight w:val="none"/>
        </w:rPr>
      </w:pPr>
    </w:p>
    <w:p w14:paraId="03436DCD">
      <w:pPr>
        <w:pStyle w:val="34"/>
        <w:rPr>
          <w:rFonts w:hint="eastAsia" w:ascii="宋体" w:hAnsi="宋体" w:cs="宋体"/>
          <w:b/>
          <w:bCs/>
          <w:color w:val="auto"/>
          <w:szCs w:val="21"/>
          <w:highlight w:val="none"/>
        </w:rPr>
      </w:pPr>
    </w:p>
    <w:p w14:paraId="4CD7F3CA">
      <w:pPr>
        <w:pStyle w:val="34"/>
        <w:rPr>
          <w:rFonts w:hint="eastAsia" w:ascii="宋体" w:hAnsi="宋体" w:cs="宋体"/>
          <w:b/>
          <w:bCs/>
          <w:color w:val="auto"/>
          <w:szCs w:val="21"/>
          <w:highlight w:val="none"/>
        </w:rPr>
      </w:pPr>
    </w:p>
    <w:p w14:paraId="13B06D92">
      <w:pPr>
        <w:pStyle w:val="34"/>
        <w:rPr>
          <w:rFonts w:hint="eastAsia" w:ascii="宋体" w:hAnsi="宋体" w:cs="宋体"/>
          <w:b/>
          <w:bCs/>
          <w:color w:val="auto"/>
          <w:szCs w:val="21"/>
          <w:highlight w:val="none"/>
        </w:rPr>
      </w:pPr>
    </w:p>
    <w:p w14:paraId="73CFF3BE">
      <w:pPr>
        <w:pStyle w:val="34"/>
        <w:spacing w:line="360" w:lineRule="auto"/>
        <w:rPr>
          <w:rFonts w:hint="eastAsia" w:ascii="宋体" w:hAnsi="宋体" w:cs="宋体"/>
          <w:b/>
          <w:color w:val="auto"/>
          <w:sz w:val="21"/>
          <w:szCs w:val="21"/>
          <w:highlight w:val="none"/>
        </w:rPr>
        <w:sectPr>
          <w:footerReference r:id="rId7" w:type="first"/>
          <w:headerReference r:id="rId5" w:type="default"/>
          <w:footerReference r:id="rId6" w:type="default"/>
          <w:pgSz w:w="11906" w:h="16838"/>
          <w:pgMar w:top="1276" w:right="1020" w:bottom="1276" w:left="1134" w:header="851" w:footer="992" w:gutter="0"/>
          <w:cols w:space="720" w:num="1"/>
          <w:docGrid w:linePitch="312" w:charSpace="0"/>
        </w:sectPr>
      </w:pPr>
    </w:p>
    <w:p w14:paraId="726834B5">
      <w:pPr>
        <w:pStyle w:val="34"/>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附表1  丽水地区新污染物监测点位及项目</w:t>
      </w:r>
    </w:p>
    <w:p w14:paraId="22BAE636">
      <w:pPr>
        <w:pStyle w:val="34"/>
        <w:spacing w:line="480" w:lineRule="exact"/>
        <w:ind w:firstLine="422" w:firstLineChars="200"/>
        <w:rPr>
          <w:rFonts w:hint="eastAsia" w:ascii="宋体" w:hAnsi="宋体" w:cs="宋体"/>
          <w:b/>
          <w:bCs/>
          <w:color w:val="auto"/>
          <w:sz w:val="21"/>
          <w:szCs w:val="21"/>
          <w:highlight w:val="none"/>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16"/>
        <w:gridCol w:w="3060"/>
        <w:gridCol w:w="2130"/>
        <w:gridCol w:w="2445"/>
      </w:tblGrid>
      <w:tr w14:paraId="05CD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04" w:type="dxa"/>
            <w:vAlign w:val="center"/>
          </w:tcPr>
          <w:p w14:paraId="771E732A">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516" w:type="dxa"/>
            <w:vAlign w:val="center"/>
          </w:tcPr>
          <w:p w14:paraId="6635126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样品类型</w:t>
            </w:r>
          </w:p>
        </w:tc>
        <w:tc>
          <w:tcPr>
            <w:tcW w:w="3060" w:type="dxa"/>
            <w:vAlign w:val="center"/>
          </w:tcPr>
          <w:p w14:paraId="1D0F2AD2">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企业/流域名称</w:t>
            </w:r>
          </w:p>
        </w:tc>
        <w:tc>
          <w:tcPr>
            <w:tcW w:w="2130" w:type="dxa"/>
            <w:vAlign w:val="center"/>
          </w:tcPr>
          <w:p w14:paraId="69EA7F5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点位</w:t>
            </w:r>
          </w:p>
        </w:tc>
        <w:tc>
          <w:tcPr>
            <w:tcW w:w="2445" w:type="dxa"/>
            <w:vAlign w:val="center"/>
          </w:tcPr>
          <w:p w14:paraId="64254B7B">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监测项目及频次</w:t>
            </w:r>
          </w:p>
        </w:tc>
      </w:tr>
      <w:tr w14:paraId="07C88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04" w:type="dxa"/>
            <w:vAlign w:val="center"/>
          </w:tcPr>
          <w:p w14:paraId="3D1C2014">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16" w:type="dxa"/>
            <w:vAlign w:val="center"/>
          </w:tcPr>
          <w:p w14:paraId="7B077B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企业废水</w:t>
            </w:r>
          </w:p>
        </w:tc>
        <w:tc>
          <w:tcPr>
            <w:tcW w:w="3060" w:type="dxa"/>
            <w:vAlign w:val="center"/>
          </w:tcPr>
          <w:p w14:paraId="6916EE7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试点企业</w:t>
            </w:r>
          </w:p>
        </w:tc>
        <w:tc>
          <w:tcPr>
            <w:tcW w:w="2130" w:type="dxa"/>
            <w:vAlign w:val="center"/>
          </w:tcPr>
          <w:p w14:paraId="2FC764C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总排口</w:t>
            </w:r>
          </w:p>
        </w:tc>
        <w:tc>
          <w:tcPr>
            <w:tcW w:w="2445" w:type="dxa"/>
            <w:vAlign w:val="center"/>
          </w:tcPr>
          <w:p w14:paraId="0F7147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附注2，2次/年（11月底前），3个样品/次</w:t>
            </w:r>
          </w:p>
        </w:tc>
      </w:tr>
      <w:tr w14:paraId="7748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4" w:type="dxa"/>
            <w:vAlign w:val="center"/>
          </w:tcPr>
          <w:p w14:paraId="333F514E">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516" w:type="dxa"/>
            <w:vAlign w:val="center"/>
          </w:tcPr>
          <w:p w14:paraId="1F1EE80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城镇/工业污水处理厂废水</w:t>
            </w:r>
          </w:p>
        </w:tc>
        <w:tc>
          <w:tcPr>
            <w:tcW w:w="3060" w:type="dxa"/>
            <w:vAlign w:val="center"/>
          </w:tcPr>
          <w:p w14:paraId="7FB8A524">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1家城镇和工业污水处理厂</w:t>
            </w:r>
          </w:p>
        </w:tc>
        <w:tc>
          <w:tcPr>
            <w:tcW w:w="2130" w:type="dxa"/>
            <w:vAlign w:val="center"/>
          </w:tcPr>
          <w:p w14:paraId="69A44A4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总排口、生活污水进口、工业废水进口</w:t>
            </w:r>
          </w:p>
        </w:tc>
        <w:tc>
          <w:tcPr>
            <w:tcW w:w="2445" w:type="dxa"/>
            <w:vAlign w:val="center"/>
          </w:tcPr>
          <w:p w14:paraId="5EC2EE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附注1，2次/年（11月底前），3个样品/次</w:t>
            </w:r>
          </w:p>
        </w:tc>
      </w:tr>
      <w:tr w14:paraId="4112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B77475">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516" w:type="dxa"/>
            <w:vMerge w:val="restart"/>
            <w:vAlign w:val="center"/>
          </w:tcPr>
          <w:p w14:paraId="09FB6CB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地表水</w:t>
            </w:r>
          </w:p>
        </w:tc>
        <w:tc>
          <w:tcPr>
            <w:tcW w:w="3060" w:type="dxa"/>
            <w:vMerge w:val="restart"/>
            <w:vAlign w:val="center"/>
          </w:tcPr>
          <w:p w14:paraId="0D869BE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城镇/工业污水厂影响水域</w:t>
            </w:r>
          </w:p>
          <w:p w14:paraId="0016895D">
            <w:pPr>
              <w:pStyle w:val="21"/>
              <w:jc w:val="center"/>
              <w:rPr>
                <w:rFonts w:eastAsia="宋体"/>
                <w:color w:val="auto"/>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1家城镇和工业污水处理厂</w:t>
            </w:r>
            <w:r>
              <w:rPr>
                <w:rFonts w:hint="eastAsia" w:ascii="宋体" w:hAnsi="宋体" w:eastAsia="宋体" w:cs="宋体"/>
                <w:color w:val="auto"/>
                <w:sz w:val="21"/>
                <w:szCs w:val="21"/>
                <w:highlight w:val="none"/>
              </w:rPr>
              <w:t>影响水域）</w:t>
            </w:r>
          </w:p>
        </w:tc>
        <w:tc>
          <w:tcPr>
            <w:tcW w:w="2130" w:type="dxa"/>
            <w:vAlign w:val="center"/>
          </w:tcPr>
          <w:p w14:paraId="7BA075F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排放口上游约500m（对照断面）</w:t>
            </w:r>
          </w:p>
        </w:tc>
        <w:tc>
          <w:tcPr>
            <w:tcW w:w="2445" w:type="dxa"/>
            <w:vMerge w:val="restart"/>
            <w:vAlign w:val="center"/>
          </w:tcPr>
          <w:p w14:paraId="55DAAC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附注1，2次/年（11月底前），1个样品/次</w:t>
            </w:r>
          </w:p>
        </w:tc>
      </w:tr>
      <w:tr w14:paraId="06DE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97FA5A">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516" w:type="dxa"/>
            <w:vMerge w:val="continue"/>
            <w:vAlign w:val="center"/>
          </w:tcPr>
          <w:p w14:paraId="1B6C08EB">
            <w:pPr>
              <w:spacing w:line="360" w:lineRule="auto"/>
              <w:jc w:val="center"/>
              <w:rPr>
                <w:rFonts w:hint="eastAsia" w:ascii="宋体" w:hAnsi="宋体" w:cs="宋体"/>
                <w:color w:val="auto"/>
                <w:szCs w:val="21"/>
                <w:highlight w:val="none"/>
              </w:rPr>
            </w:pPr>
          </w:p>
        </w:tc>
        <w:tc>
          <w:tcPr>
            <w:tcW w:w="3060" w:type="dxa"/>
            <w:vMerge w:val="continue"/>
            <w:vAlign w:val="center"/>
          </w:tcPr>
          <w:p w14:paraId="1A9ED806">
            <w:pPr>
              <w:spacing w:line="360" w:lineRule="auto"/>
              <w:jc w:val="center"/>
              <w:rPr>
                <w:rFonts w:hint="eastAsia" w:ascii="宋体" w:hAnsi="宋体" w:cs="宋体"/>
                <w:color w:val="auto"/>
                <w:szCs w:val="21"/>
                <w:highlight w:val="none"/>
              </w:rPr>
            </w:pPr>
          </w:p>
        </w:tc>
        <w:tc>
          <w:tcPr>
            <w:tcW w:w="2130" w:type="dxa"/>
            <w:vAlign w:val="center"/>
          </w:tcPr>
          <w:p w14:paraId="5AD20E9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排放口下游约1000m（控制断面）</w:t>
            </w:r>
          </w:p>
        </w:tc>
        <w:tc>
          <w:tcPr>
            <w:tcW w:w="2445" w:type="dxa"/>
            <w:vMerge w:val="continue"/>
            <w:vAlign w:val="center"/>
          </w:tcPr>
          <w:p w14:paraId="47865101">
            <w:pPr>
              <w:spacing w:line="360" w:lineRule="auto"/>
              <w:jc w:val="center"/>
              <w:rPr>
                <w:rFonts w:hint="eastAsia" w:ascii="宋体" w:hAnsi="宋体" w:cs="宋体"/>
                <w:color w:val="auto"/>
                <w:szCs w:val="21"/>
                <w:highlight w:val="none"/>
              </w:rPr>
            </w:pPr>
          </w:p>
        </w:tc>
      </w:tr>
      <w:tr w14:paraId="5F94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04" w:type="dxa"/>
            <w:vAlign w:val="center"/>
          </w:tcPr>
          <w:p w14:paraId="2051FB92">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516" w:type="dxa"/>
            <w:vMerge w:val="continue"/>
            <w:vAlign w:val="center"/>
          </w:tcPr>
          <w:p w14:paraId="042CD2BB">
            <w:pPr>
              <w:spacing w:line="360" w:lineRule="auto"/>
              <w:jc w:val="center"/>
              <w:rPr>
                <w:rFonts w:hint="eastAsia" w:ascii="宋体" w:hAnsi="宋体" w:cs="宋体"/>
                <w:color w:val="auto"/>
                <w:szCs w:val="21"/>
                <w:highlight w:val="none"/>
              </w:rPr>
            </w:pPr>
          </w:p>
        </w:tc>
        <w:tc>
          <w:tcPr>
            <w:tcW w:w="3060" w:type="dxa"/>
            <w:vMerge w:val="continue"/>
            <w:vAlign w:val="center"/>
          </w:tcPr>
          <w:p w14:paraId="469CF65F">
            <w:pPr>
              <w:spacing w:line="360" w:lineRule="auto"/>
              <w:jc w:val="center"/>
              <w:rPr>
                <w:rFonts w:hint="eastAsia" w:ascii="宋体" w:hAnsi="宋体" w:cs="宋体"/>
                <w:color w:val="auto"/>
                <w:szCs w:val="21"/>
                <w:highlight w:val="none"/>
              </w:rPr>
            </w:pPr>
          </w:p>
        </w:tc>
        <w:tc>
          <w:tcPr>
            <w:tcW w:w="2130" w:type="dxa"/>
            <w:vAlign w:val="center"/>
          </w:tcPr>
          <w:p w14:paraId="0EA47B5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排放口下游约2000m（消减断面）</w:t>
            </w:r>
          </w:p>
        </w:tc>
        <w:tc>
          <w:tcPr>
            <w:tcW w:w="2445" w:type="dxa"/>
            <w:vMerge w:val="continue"/>
            <w:vAlign w:val="center"/>
          </w:tcPr>
          <w:p w14:paraId="571BC657">
            <w:pPr>
              <w:spacing w:line="360" w:lineRule="auto"/>
              <w:jc w:val="center"/>
              <w:rPr>
                <w:rFonts w:hint="eastAsia" w:ascii="宋体" w:hAnsi="宋体" w:cs="宋体"/>
                <w:color w:val="auto"/>
                <w:szCs w:val="21"/>
                <w:highlight w:val="none"/>
              </w:rPr>
            </w:pPr>
          </w:p>
        </w:tc>
      </w:tr>
      <w:tr w14:paraId="0E6C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14:paraId="12AC7689">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516" w:type="dxa"/>
            <w:shd w:val="clear" w:color="auto" w:fill="auto"/>
            <w:vAlign w:val="center"/>
          </w:tcPr>
          <w:p w14:paraId="7D4C119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地表水</w:t>
            </w:r>
          </w:p>
          <w:p w14:paraId="6A4C24B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（饮用水源）</w:t>
            </w:r>
          </w:p>
        </w:tc>
        <w:tc>
          <w:tcPr>
            <w:tcW w:w="3060" w:type="dxa"/>
            <w:shd w:val="clear" w:color="auto" w:fill="FFFFFF"/>
            <w:vAlign w:val="center"/>
          </w:tcPr>
          <w:p w14:paraId="062AB17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黄村水库</w:t>
            </w:r>
          </w:p>
        </w:tc>
        <w:tc>
          <w:tcPr>
            <w:tcW w:w="2130" w:type="dxa"/>
            <w:vAlign w:val="center"/>
          </w:tcPr>
          <w:p w14:paraId="2EE7FD2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445" w:type="dxa"/>
            <w:vAlign w:val="center"/>
          </w:tcPr>
          <w:p w14:paraId="14E7747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附注1，1次/年（11月底前），1个样品/次</w:t>
            </w:r>
          </w:p>
        </w:tc>
      </w:tr>
      <w:tr w14:paraId="1592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vAlign w:val="center"/>
          </w:tcPr>
          <w:p w14:paraId="043B1FA6">
            <w:pPr>
              <w:pStyle w:val="138"/>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516" w:type="dxa"/>
            <w:shd w:val="clear" w:color="auto" w:fill="auto"/>
            <w:vAlign w:val="center"/>
          </w:tcPr>
          <w:p w14:paraId="6B39CA6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重点源清单的企业</w:t>
            </w:r>
          </w:p>
        </w:tc>
        <w:tc>
          <w:tcPr>
            <w:tcW w:w="3060" w:type="dxa"/>
            <w:shd w:val="clear" w:color="auto" w:fill="FFFFFF"/>
            <w:vAlign w:val="center"/>
          </w:tcPr>
          <w:p w14:paraId="23173DA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重点源清单企业</w:t>
            </w:r>
            <w:r>
              <w:rPr>
                <w:rFonts w:hint="eastAsia" w:ascii="宋体" w:hAnsi="宋体" w:cs="宋体"/>
                <w:color w:val="auto"/>
                <w:szCs w:val="21"/>
                <w:highlight w:val="none"/>
                <w:lang w:val="en-US" w:eastAsia="zh-CN"/>
              </w:rPr>
              <w:t>7家（根据实际生产排放情况）</w:t>
            </w:r>
          </w:p>
        </w:tc>
        <w:tc>
          <w:tcPr>
            <w:tcW w:w="2130" w:type="dxa"/>
            <w:vAlign w:val="center"/>
          </w:tcPr>
          <w:p w14:paraId="4DA59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污水总排口或排气筒排口</w:t>
            </w:r>
          </w:p>
        </w:tc>
        <w:tc>
          <w:tcPr>
            <w:tcW w:w="2445" w:type="dxa"/>
            <w:vAlign w:val="center"/>
          </w:tcPr>
          <w:p w14:paraId="64C5DBE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抗生素、二氯甲烷、三氯甲烷、2次/年（11月底前），3个样品/次</w:t>
            </w:r>
          </w:p>
        </w:tc>
      </w:tr>
    </w:tbl>
    <w:p w14:paraId="4B247FA9">
      <w:pPr>
        <w:pStyle w:val="34"/>
        <w:spacing w:line="480" w:lineRule="exact"/>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附注1：</w:t>
      </w:r>
      <w:r>
        <w:rPr>
          <w:rFonts w:hint="eastAsia" w:ascii="宋体" w:hAnsi="宋体" w:cs="宋体"/>
          <w:color w:val="auto"/>
          <w:sz w:val="21"/>
          <w:szCs w:val="21"/>
          <w:highlight w:val="none"/>
        </w:rPr>
        <w:t>39种全氟化合物、十溴二苯醚、短链氯化石蜡、六氯丁二烯、五氯苯酚及其盐类和酯类、三氯杀螨醇、得克隆及其顺式异构体和反式异构体、二氯甲烷、三氯甲烷、壬基酚、抗生素（喹诺酮类、磺胺类、大环内酯类、四环素类、氯霉素类）、已淘汰物质（六溴环十二烷、氯丹、灭蚁灵、六氯苯、滴滴涕、α-六氯环己烷、β-六氯环己烷、林 丹、硫丹原药及其相关异构体、多氯联苯）、1,2-二氯乙烷、1,4-二氯苯、1,1,2,2-四氯乙烷、邻苯二甲酸二辛酯（DNOP）、邻苯二甲酸二异癸酯（DIDP）、邻苯二甲酸二异壬酯（DINP）、邻苯二甲酸二（a-乙基己基）酯（DEHP）、邻苯二甲酸二丁酯（DBP）、邻苯二甲酸丁苄酯（BBP）、邻苯二甲酸二异丁酯（DIBP）、双酚A、4-叔辛基苯酚、萘、1,2-二氯丙烷、1,3-丁二烯、1-溴丙烷、邻甲苯胺、邻苯二甲酸二正辛酯、邻苯二甲酸二(α-乙基己酯)、邻苯二甲酸苄丁酯。</w:t>
      </w:r>
    </w:p>
    <w:p w14:paraId="52425268">
      <w:pPr>
        <w:pStyle w:val="34"/>
        <w:spacing w:line="480" w:lineRule="exact"/>
        <w:ind w:firstLine="422" w:firstLineChars="200"/>
        <w:rPr>
          <w:rFonts w:hint="eastAsia" w:ascii="宋体" w:hAnsi="宋体" w:cs="宋体"/>
          <w:color w:val="auto"/>
          <w:sz w:val="21"/>
          <w:szCs w:val="21"/>
          <w:highlight w:val="none"/>
        </w:rPr>
      </w:pPr>
      <w:r>
        <w:rPr>
          <w:rFonts w:hint="eastAsia" w:ascii="宋体" w:hAnsi="宋体" w:cs="宋体"/>
          <w:b/>
          <w:bCs/>
          <w:color w:val="auto"/>
          <w:sz w:val="21"/>
          <w:szCs w:val="21"/>
          <w:highlight w:val="none"/>
        </w:rPr>
        <w:t>附注2</w:t>
      </w:r>
      <w:r>
        <w:rPr>
          <w:rFonts w:hint="eastAsia" w:ascii="宋体" w:hAnsi="宋体" w:cs="宋体"/>
          <w:color w:val="auto"/>
          <w:sz w:val="21"/>
          <w:szCs w:val="21"/>
          <w:highlight w:val="none"/>
        </w:rPr>
        <w:t>：二氯甲烷、三氯甲烷、1,2-二氯乙烷、1,4-二氯苯、1,1,2,2-四氯乙烷、1,2-二氯丙烷、1,3-丁二烯、39种全氟化合物。</w:t>
      </w:r>
    </w:p>
    <w:p w14:paraId="55603BB8">
      <w:pPr>
        <w:pStyle w:val="34"/>
        <w:spacing w:line="360" w:lineRule="auto"/>
        <w:rPr>
          <w:rFonts w:hint="eastAsia" w:ascii="宋体" w:hAnsi="宋体" w:cs="宋体"/>
          <w:b/>
          <w:color w:val="auto"/>
          <w:sz w:val="21"/>
          <w:szCs w:val="21"/>
          <w:highlight w:val="none"/>
        </w:rPr>
      </w:pPr>
    </w:p>
    <w:p w14:paraId="11429EE9">
      <w:pPr>
        <w:pStyle w:val="34"/>
        <w:spacing w:line="360" w:lineRule="auto"/>
        <w:rPr>
          <w:rFonts w:hint="eastAsia" w:ascii="宋体" w:hAnsi="宋体" w:cs="宋体"/>
          <w:b/>
          <w:color w:val="auto"/>
          <w:sz w:val="21"/>
          <w:szCs w:val="21"/>
          <w:highlight w:val="none"/>
        </w:rPr>
        <w:sectPr>
          <w:pgSz w:w="11906" w:h="16838"/>
          <w:pgMar w:top="1276" w:right="1020" w:bottom="1276" w:left="1134" w:header="851" w:footer="992" w:gutter="0"/>
          <w:cols w:space="720" w:num="1"/>
          <w:docGrid w:linePitch="312" w:charSpace="0"/>
        </w:sectPr>
      </w:pPr>
    </w:p>
    <w:p w14:paraId="1140C2A8">
      <w:pPr>
        <w:pStyle w:val="34"/>
        <w:spacing w:line="360" w:lineRule="auto"/>
        <w:rPr>
          <w:rFonts w:hint="eastAsia" w:ascii="宋体" w:hAnsi="宋体" w:cs="宋体"/>
          <w:b/>
          <w:color w:val="auto"/>
          <w:sz w:val="21"/>
          <w:szCs w:val="21"/>
          <w:highlight w:val="none"/>
        </w:rPr>
      </w:pPr>
      <w:r>
        <w:rPr>
          <w:rFonts w:ascii="宋体" w:hAnsi="宋体" w:cs="宋体"/>
          <w:b/>
          <w:color w:val="auto"/>
          <w:sz w:val="21"/>
          <w:szCs w:val="21"/>
          <w:highlight w:val="none"/>
        </w:rPr>
        <w:t>附表2  新污染物监测项目清单及方法</w:t>
      </w:r>
    </w:p>
    <w:tbl>
      <w:tblPr>
        <w:tblStyle w:val="53"/>
        <w:tblW w:w="4924" w:type="pct"/>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178"/>
        <w:gridCol w:w="4119"/>
        <w:gridCol w:w="38"/>
        <w:gridCol w:w="1785"/>
      </w:tblGrid>
      <w:tr w14:paraId="771A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blHeader/>
        </w:trPr>
        <w:tc>
          <w:tcPr>
            <w:tcW w:w="354" w:type="pct"/>
            <w:vAlign w:val="center"/>
          </w:tcPr>
          <w:p w14:paraId="7C785961">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编号</w:t>
            </w:r>
          </w:p>
        </w:tc>
        <w:tc>
          <w:tcPr>
            <w:tcW w:w="1618" w:type="pct"/>
            <w:vAlign w:val="center"/>
          </w:tcPr>
          <w:p w14:paraId="3009E0D7">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污染物</w:t>
            </w:r>
          </w:p>
        </w:tc>
        <w:tc>
          <w:tcPr>
            <w:tcW w:w="2117" w:type="pct"/>
            <w:gridSpan w:val="2"/>
            <w:vAlign w:val="center"/>
          </w:tcPr>
          <w:p w14:paraId="060362AA">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分析方法</w:t>
            </w:r>
          </w:p>
        </w:tc>
        <w:tc>
          <w:tcPr>
            <w:tcW w:w="909" w:type="pct"/>
            <w:vAlign w:val="center"/>
          </w:tcPr>
          <w:p w14:paraId="4AECBCF8">
            <w:pPr>
              <w:widowControl/>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检出限</w:t>
            </w:r>
          </w:p>
        </w:tc>
      </w:tr>
      <w:tr w14:paraId="52E4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46E99BF6">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p>
        </w:tc>
        <w:tc>
          <w:tcPr>
            <w:tcW w:w="1618" w:type="pct"/>
            <w:vAlign w:val="center"/>
          </w:tcPr>
          <w:p w14:paraId="0B1113F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全氟辛基磺酸及其盐类和全氟辛基磺酰氟（PFOS类）</w:t>
            </w:r>
          </w:p>
        </w:tc>
        <w:tc>
          <w:tcPr>
            <w:tcW w:w="2117" w:type="pct"/>
            <w:gridSpan w:val="2"/>
            <w:vAlign w:val="center"/>
          </w:tcPr>
          <w:p w14:paraId="2938D92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 液相色谱串联质谱法 检测饮用水中的全氟烷基酸类 US EPA537.1-2020</w:t>
            </w:r>
          </w:p>
        </w:tc>
        <w:tc>
          <w:tcPr>
            <w:tcW w:w="909" w:type="pct"/>
            <w:vAlign w:val="center"/>
          </w:tcPr>
          <w:p w14:paraId="04EEA96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0.02 ng/L</w:t>
            </w:r>
          </w:p>
        </w:tc>
      </w:tr>
      <w:tr w14:paraId="572E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F747EDD">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p>
        </w:tc>
        <w:tc>
          <w:tcPr>
            <w:tcW w:w="1618" w:type="pct"/>
            <w:vAlign w:val="center"/>
          </w:tcPr>
          <w:p w14:paraId="5333B6D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全氟辛酸及其盐类和相关化合物（PFOA类）</w:t>
            </w:r>
          </w:p>
        </w:tc>
        <w:tc>
          <w:tcPr>
            <w:tcW w:w="2117" w:type="pct"/>
            <w:gridSpan w:val="2"/>
            <w:vAlign w:val="center"/>
          </w:tcPr>
          <w:p w14:paraId="01FACFD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 液相色谱串联质谱法 检测饮用水中的全氟烷基酸类 US EPA537.1-2020</w:t>
            </w:r>
          </w:p>
        </w:tc>
        <w:tc>
          <w:tcPr>
            <w:tcW w:w="909" w:type="pct"/>
            <w:vAlign w:val="center"/>
          </w:tcPr>
          <w:p w14:paraId="0E04549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0.02 ng/L</w:t>
            </w:r>
          </w:p>
        </w:tc>
      </w:tr>
      <w:tr w14:paraId="1ACF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01FE309">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p>
        </w:tc>
        <w:tc>
          <w:tcPr>
            <w:tcW w:w="1618" w:type="pct"/>
            <w:vAlign w:val="center"/>
          </w:tcPr>
          <w:p w14:paraId="5255970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十溴二苯醚</w:t>
            </w:r>
          </w:p>
        </w:tc>
        <w:tc>
          <w:tcPr>
            <w:tcW w:w="2117" w:type="pct"/>
            <w:gridSpan w:val="2"/>
            <w:vAlign w:val="center"/>
          </w:tcPr>
          <w:p w14:paraId="388EC6D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多溴二苯醚的测定 气相色谱-质谱法 HJ 909-2017</w:t>
            </w:r>
          </w:p>
        </w:tc>
        <w:tc>
          <w:tcPr>
            <w:tcW w:w="909" w:type="pct"/>
            <w:vAlign w:val="center"/>
          </w:tcPr>
          <w:p w14:paraId="586E4EB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 ng/L</w:t>
            </w:r>
          </w:p>
        </w:tc>
      </w:tr>
      <w:tr w14:paraId="40A5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6FEEC77">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w:t>
            </w:r>
          </w:p>
        </w:tc>
        <w:tc>
          <w:tcPr>
            <w:tcW w:w="1618" w:type="pct"/>
            <w:vAlign w:val="center"/>
          </w:tcPr>
          <w:p w14:paraId="1CC25BC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短链氯化石蜡</w:t>
            </w:r>
          </w:p>
        </w:tc>
        <w:tc>
          <w:tcPr>
            <w:tcW w:w="2117" w:type="pct"/>
            <w:gridSpan w:val="2"/>
            <w:vAlign w:val="center"/>
          </w:tcPr>
          <w:p w14:paraId="6747FD9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液液萃取-液相色谱高分辨质谱法</w:t>
            </w:r>
          </w:p>
        </w:tc>
        <w:tc>
          <w:tcPr>
            <w:tcW w:w="909" w:type="pct"/>
            <w:vAlign w:val="center"/>
          </w:tcPr>
          <w:p w14:paraId="4FD8865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ng/L</w:t>
            </w:r>
          </w:p>
        </w:tc>
      </w:tr>
      <w:tr w14:paraId="0BE2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736571F">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w:t>
            </w:r>
          </w:p>
        </w:tc>
        <w:tc>
          <w:tcPr>
            <w:tcW w:w="1618" w:type="pct"/>
            <w:vAlign w:val="center"/>
          </w:tcPr>
          <w:p w14:paraId="6AB8FBC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六氯丁二烯</w:t>
            </w:r>
          </w:p>
        </w:tc>
        <w:tc>
          <w:tcPr>
            <w:tcW w:w="2117" w:type="pct"/>
            <w:gridSpan w:val="2"/>
            <w:vAlign w:val="center"/>
          </w:tcPr>
          <w:p w14:paraId="559EFD7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液液萃取-气相色谱质谱法</w:t>
            </w:r>
          </w:p>
        </w:tc>
        <w:tc>
          <w:tcPr>
            <w:tcW w:w="909" w:type="pct"/>
            <w:vAlign w:val="center"/>
          </w:tcPr>
          <w:p w14:paraId="4F6FB79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ng/L</w:t>
            </w:r>
          </w:p>
        </w:tc>
      </w:tr>
      <w:tr w14:paraId="56D2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EBE5B7A">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w:t>
            </w:r>
          </w:p>
        </w:tc>
        <w:tc>
          <w:tcPr>
            <w:tcW w:w="1618" w:type="pct"/>
            <w:vAlign w:val="center"/>
          </w:tcPr>
          <w:p w14:paraId="67C85DF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五氯苯酚及其盐类和酯类</w:t>
            </w:r>
          </w:p>
        </w:tc>
        <w:tc>
          <w:tcPr>
            <w:tcW w:w="2117" w:type="pct"/>
            <w:gridSpan w:val="2"/>
            <w:vAlign w:val="center"/>
          </w:tcPr>
          <w:p w14:paraId="0CC9B64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固相萃取-液相色谱三重四极杆质谱法</w:t>
            </w:r>
          </w:p>
        </w:tc>
        <w:tc>
          <w:tcPr>
            <w:tcW w:w="909" w:type="pct"/>
            <w:vAlign w:val="center"/>
          </w:tcPr>
          <w:p w14:paraId="3163A58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ng/L</w:t>
            </w:r>
          </w:p>
        </w:tc>
      </w:tr>
      <w:tr w14:paraId="4D07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72F5708">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p>
        </w:tc>
        <w:tc>
          <w:tcPr>
            <w:tcW w:w="1618" w:type="pct"/>
            <w:vAlign w:val="center"/>
          </w:tcPr>
          <w:p w14:paraId="6E2AB56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三氯杀螨醇</w:t>
            </w:r>
          </w:p>
        </w:tc>
        <w:tc>
          <w:tcPr>
            <w:tcW w:w="2117" w:type="pct"/>
            <w:gridSpan w:val="2"/>
            <w:vAlign w:val="center"/>
          </w:tcPr>
          <w:p w14:paraId="777D449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1BBD6CE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0.031 µg/L</w:t>
            </w:r>
          </w:p>
        </w:tc>
      </w:tr>
      <w:tr w14:paraId="07647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1F3D1C1">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w:t>
            </w:r>
          </w:p>
        </w:tc>
        <w:tc>
          <w:tcPr>
            <w:tcW w:w="1618" w:type="pct"/>
            <w:vAlign w:val="center"/>
          </w:tcPr>
          <w:p w14:paraId="21C2A74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全氟己基磺酸及其盐类和其相关化合物（PFHxS类）</w:t>
            </w:r>
          </w:p>
        </w:tc>
        <w:tc>
          <w:tcPr>
            <w:tcW w:w="2117" w:type="pct"/>
            <w:gridSpan w:val="2"/>
            <w:vAlign w:val="center"/>
          </w:tcPr>
          <w:p w14:paraId="4397A07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 液相色谱串联质谱法 检测饮用水中的全氟烷基酸类 US EPA537.1-2020</w:t>
            </w:r>
          </w:p>
        </w:tc>
        <w:tc>
          <w:tcPr>
            <w:tcW w:w="909" w:type="pct"/>
            <w:vAlign w:val="center"/>
          </w:tcPr>
          <w:p w14:paraId="2AF4AB8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0.02 ng/L</w:t>
            </w:r>
          </w:p>
        </w:tc>
      </w:tr>
      <w:tr w14:paraId="5AB3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4C55657">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9</w:t>
            </w:r>
          </w:p>
        </w:tc>
        <w:tc>
          <w:tcPr>
            <w:tcW w:w="1618" w:type="pct"/>
            <w:vAlign w:val="center"/>
          </w:tcPr>
          <w:p w14:paraId="118E0B7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得克隆及其顺式异构体和反式异构体</w:t>
            </w:r>
          </w:p>
        </w:tc>
        <w:tc>
          <w:tcPr>
            <w:tcW w:w="2117" w:type="pct"/>
            <w:gridSpan w:val="2"/>
            <w:vAlign w:val="center"/>
          </w:tcPr>
          <w:p w14:paraId="115BA9F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气相色谱-质谱法</w:t>
            </w:r>
          </w:p>
        </w:tc>
        <w:tc>
          <w:tcPr>
            <w:tcW w:w="909" w:type="pct"/>
            <w:vAlign w:val="center"/>
          </w:tcPr>
          <w:p w14:paraId="0494C76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 ng/L</w:t>
            </w:r>
          </w:p>
        </w:tc>
      </w:tr>
      <w:tr w14:paraId="0135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5FBFBA8">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10</w:t>
            </w:r>
          </w:p>
        </w:tc>
        <w:tc>
          <w:tcPr>
            <w:tcW w:w="1618" w:type="pct"/>
            <w:vAlign w:val="center"/>
          </w:tcPr>
          <w:p w14:paraId="4EF20FF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二氯甲烷</w:t>
            </w:r>
          </w:p>
        </w:tc>
        <w:tc>
          <w:tcPr>
            <w:tcW w:w="2117" w:type="pct"/>
            <w:gridSpan w:val="2"/>
            <w:vAlign w:val="center"/>
          </w:tcPr>
          <w:p w14:paraId="375AFF2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w:t>
            </w:r>
          </w:p>
          <w:p w14:paraId="38FA2F4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HJ 639-2012</w:t>
            </w:r>
          </w:p>
        </w:tc>
        <w:tc>
          <w:tcPr>
            <w:tcW w:w="909" w:type="pct"/>
            <w:vAlign w:val="center"/>
          </w:tcPr>
          <w:p w14:paraId="70F4FA5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0.2μg/L</w:t>
            </w:r>
          </w:p>
        </w:tc>
      </w:tr>
      <w:tr w14:paraId="5556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59959DE">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11</w:t>
            </w:r>
          </w:p>
        </w:tc>
        <w:tc>
          <w:tcPr>
            <w:tcW w:w="1618" w:type="pct"/>
            <w:vAlign w:val="center"/>
          </w:tcPr>
          <w:p w14:paraId="17198CB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三氯甲烷</w:t>
            </w:r>
          </w:p>
        </w:tc>
        <w:tc>
          <w:tcPr>
            <w:tcW w:w="2117" w:type="pct"/>
            <w:gridSpan w:val="2"/>
            <w:vAlign w:val="center"/>
          </w:tcPr>
          <w:p w14:paraId="4A39140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w:t>
            </w:r>
          </w:p>
          <w:p w14:paraId="0AC2944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HJ 639-2012</w:t>
            </w:r>
          </w:p>
        </w:tc>
        <w:tc>
          <w:tcPr>
            <w:tcW w:w="909" w:type="pct"/>
            <w:vAlign w:val="center"/>
          </w:tcPr>
          <w:p w14:paraId="65BE6C8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0.2μg /L</w:t>
            </w:r>
          </w:p>
        </w:tc>
      </w:tr>
      <w:tr w14:paraId="5777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8114E05">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12</w:t>
            </w:r>
          </w:p>
        </w:tc>
        <w:tc>
          <w:tcPr>
            <w:tcW w:w="1618" w:type="pct"/>
            <w:vAlign w:val="center"/>
          </w:tcPr>
          <w:p w14:paraId="4AEB131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壬基酚</w:t>
            </w:r>
          </w:p>
        </w:tc>
        <w:tc>
          <w:tcPr>
            <w:tcW w:w="2117" w:type="pct"/>
            <w:gridSpan w:val="2"/>
            <w:vAlign w:val="center"/>
          </w:tcPr>
          <w:p w14:paraId="3748748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固相萃取-液相色谱三重四极杆质谱法</w:t>
            </w:r>
          </w:p>
        </w:tc>
        <w:tc>
          <w:tcPr>
            <w:tcW w:w="909" w:type="pct"/>
            <w:vAlign w:val="center"/>
          </w:tcPr>
          <w:p w14:paraId="71AB661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3-30 ng/L</w:t>
            </w:r>
          </w:p>
        </w:tc>
      </w:tr>
      <w:tr w14:paraId="79AE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restart"/>
            <w:vAlign w:val="center"/>
          </w:tcPr>
          <w:p w14:paraId="18BC7C77">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13（抗生素类）</w:t>
            </w:r>
          </w:p>
        </w:tc>
        <w:tc>
          <w:tcPr>
            <w:tcW w:w="1618" w:type="pct"/>
            <w:vAlign w:val="center"/>
          </w:tcPr>
          <w:p w14:paraId="11FFB22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喹诺酮类</w:t>
            </w:r>
          </w:p>
        </w:tc>
        <w:tc>
          <w:tcPr>
            <w:tcW w:w="2117" w:type="pct"/>
            <w:gridSpan w:val="2"/>
            <w:vAlign w:val="center"/>
          </w:tcPr>
          <w:p w14:paraId="1962629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液相色谱三重四极杆质谱法</w:t>
            </w:r>
          </w:p>
        </w:tc>
        <w:tc>
          <w:tcPr>
            <w:tcW w:w="909" w:type="pct"/>
            <w:vAlign w:val="center"/>
          </w:tcPr>
          <w:p w14:paraId="6E6D7F0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0.1-170 ng/L</w:t>
            </w:r>
          </w:p>
        </w:tc>
      </w:tr>
      <w:tr w14:paraId="73B6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3CDC298F">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653322B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磺胺类</w:t>
            </w:r>
          </w:p>
        </w:tc>
        <w:tc>
          <w:tcPr>
            <w:tcW w:w="2117" w:type="pct"/>
            <w:gridSpan w:val="2"/>
            <w:vAlign w:val="center"/>
          </w:tcPr>
          <w:p w14:paraId="75C8E46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液相色谱三重四极杆质谱法</w:t>
            </w:r>
          </w:p>
        </w:tc>
        <w:tc>
          <w:tcPr>
            <w:tcW w:w="909" w:type="pct"/>
            <w:vAlign w:val="center"/>
          </w:tcPr>
          <w:p w14:paraId="36EE6C2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0.6-1.7 ng/L</w:t>
            </w:r>
          </w:p>
        </w:tc>
      </w:tr>
      <w:tr w14:paraId="579C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4C334A09">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66AC289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大环内酯类</w:t>
            </w:r>
          </w:p>
        </w:tc>
        <w:tc>
          <w:tcPr>
            <w:tcW w:w="2117" w:type="pct"/>
            <w:gridSpan w:val="2"/>
            <w:vAlign w:val="center"/>
          </w:tcPr>
          <w:p w14:paraId="759E033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液相色谱三重四极杆质谱法</w:t>
            </w:r>
          </w:p>
        </w:tc>
        <w:tc>
          <w:tcPr>
            <w:tcW w:w="909" w:type="pct"/>
            <w:vAlign w:val="center"/>
          </w:tcPr>
          <w:p w14:paraId="49EE576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0.5-13 ng/L</w:t>
            </w:r>
          </w:p>
        </w:tc>
      </w:tr>
      <w:tr w14:paraId="738F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3C2D6A5E">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35566D7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四环素类</w:t>
            </w:r>
          </w:p>
        </w:tc>
        <w:tc>
          <w:tcPr>
            <w:tcW w:w="2117" w:type="pct"/>
            <w:gridSpan w:val="2"/>
            <w:vAlign w:val="center"/>
          </w:tcPr>
          <w:p w14:paraId="4FB3505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液相色谱三重四极杆质谱法</w:t>
            </w:r>
          </w:p>
        </w:tc>
        <w:tc>
          <w:tcPr>
            <w:tcW w:w="909" w:type="pct"/>
            <w:vAlign w:val="center"/>
          </w:tcPr>
          <w:p w14:paraId="2D1E041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0.5-51 ng/L</w:t>
            </w:r>
          </w:p>
        </w:tc>
      </w:tr>
      <w:tr w14:paraId="7B17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5C31AF1C">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791799E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氯霉素类</w:t>
            </w:r>
          </w:p>
        </w:tc>
        <w:tc>
          <w:tcPr>
            <w:tcW w:w="2117" w:type="pct"/>
            <w:gridSpan w:val="2"/>
            <w:vAlign w:val="center"/>
          </w:tcPr>
          <w:p w14:paraId="1978908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液相色谱三重四极杆质谱法</w:t>
            </w:r>
          </w:p>
        </w:tc>
        <w:tc>
          <w:tcPr>
            <w:tcW w:w="909" w:type="pct"/>
            <w:vAlign w:val="center"/>
          </w:tcPr>
          <w:p w14:paraId="414E7CD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0.3-1.6 ng/L</w:t>
            </w:r>
          </w:p>
        </w:tc>
      </w:tr>
      <w:tr w14:paraId="29E4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restart"/>
            <w:vAlign w:val="center"/>
          </w:tcPr>
          <w:p w14:paraId="414AF3D6">
            <w:pPr>
              <w:pStyle w:val="97"/>
              <w:spacing w:line="36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14（已淘汰类）</w:t>
            </w:r>
          </w:p>
        </w:tc>
        <w:tc>
          <w:tcPr>
            <w:tcW w:w="1618" w:type="pct"/>
            <w:vAlign w:val="center"/>
          </w:tcPr>
          <w:p w14:paraId="7379399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六溴环十二烷</w:t>
            </w:r>
          </w:p>
        </w:tc>
        <w:tc>
          <w:tcPr>
            <w:tcW w:w="2117" w:type="pct"/>
            <w:gridSpan w:val="2"/>
            <w:vAlign w:val="center"/>
          </w:tcPr>
          <w:p w14:paraId="0CA483A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固相萃取-液相色谱三重四极杆质谱法</w:t>
            </w:r>
          </w:p>
        </w:tc>
        <w:tc>
          <w:tcPr>
            <w:tcW w:w="909" w:type="pct"/>
            <w:vAlign w:val="center"/>
          </w:tcPr>
          <w:p w14:paraId="1E5B269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0.6-0.7 ng/L</w:t>
            </w:r>
          </w:p>
        </w:tc>
      </w:tr>
      <w:tr w14:paraId="62DA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2DCFA208">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1187C62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氯 丹</w:t>
            </w:r>
          </w:p>
        </w:tc>
        <w:tc>
          <w:tcPr>
            <w:tcW w:w="2117" w:type="pct"/>
            <w:gridSpan w:val="2"/>
            <w:vAlign w:val="center"/>
          </w:tcPr>
          <w:p w14:paraId="20C9975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70BECD6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0.055μg /L</w:t>
            </w:r>
          </w:p>
        </w:tc>
      </w:tr>
      <w:tr w14:paraId="19616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7A309431">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34B2076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灭蚁灵</w:t>
            </w:r>
          </w:p>
        </w:tc>
        <w:tc>
          <w:tcPr>
            <w:tcW w:w="2117" w:type="pct"/>
            <w:gridSpan w:val="2"/>
            <w:vAlign w:val="center"/>
          </w:tcPr>
          <w:p w14:paraId="2CD2A79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微萃取气相色谱法测定水中有机氯农药和多氯联苯 US EPA 505-1995</w:t>
            </w:r>
          </w:p>
        </w:tc>
        <w:tc>
          <w:tcPr>
            <w:tcW w:w="909" w:type="pct"/>
            <w:vAlign w:val="center"/>
          </w:tcPr>
          <w:p w14:paraId="287486B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0.001μg /L</w:t>
            </w:r>
          </w:p>
        </w:tc>
      </w:tr>
      <w:tr w14:paraId="0943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48DA380A">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76A4BEA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六氯苯</w:t>
            </w:r>
          </w:p>
        </w:tc>
        <w:tc>
          <w:tcPr>
            <w:tcW w:w="2117" w:type="pct"/>
            <w:gridSpan w:val="2"/>
            <w:vAlign w:val="center"/>
          </w:tcPr>
          <w:p w14:paraId="293329D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2ADA06C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0.043μg /L</w:t>
            </w:r>
          </w:p>
        </w:tc>
      </w:tr>
      <w:tr w14:paraId="1174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54" w:type="pct"/>
            <w:vMerge w:val="continue"/>
            <w:vAlign w:val="center"/>
          </w:tcPr>
          <w:p w14:paraId="6EF1C634">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4C4DBDF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滴滴涕</w:t>
            </w:r>
          </w:p>
        </w:tc>
        <w:tc>
          <w:tcPr>
            <w:tcW w:w="2117" w:type="pct"/>
            <w:gridSpan w:val="2"/>
            <w:vAlign w:val="center"/>
          </w:tcPr>
          <w:p w14:paraId="5D7D76F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314A7B9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0.048μg /L</w:t>
            </w:r>
          </w:p>
        </w:tc>
      </w:tr>
      <w:tr w14:paraId="7006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4F17C247">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5D84ED2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α-六氯环己烷</w:t>
            </w:r>
          </w:p>
        </w:tc>
        <w:tc>
          <w:tcPr>
            <w:tcW w:w="2117" w:type="pct"/>
            <w:gridSpan w:val="2"/>
            <w:vAlign w:val="center"/>
          </w:tcPr>
          <w:p w14:paraId="4F8A65A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0B69AC6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0.056μg /L</w:t>
            </w:r>
          </w:p>
        </w:tc>
      </w:tr>
      <w:tr w14:paraId="5571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4ECEE04C">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717F972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β-六氯环己烷</w:t>
            </w:r>
          </w:p>
        </w:tc>
        <w:tc>
          <w:tcPr>
            <w:tcW w:w="2117" w:type="pct"/>
            <w:gridSpan w:val="2"/>
            <w:vAlign w:val="center"/>
          </w:tcPr>
          <w:p w14:paraId="46D6A15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32F7548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0.037μg /L</w:t>
            </w:r>
          </w:p>
        </w:tc>
      </w:tr>
      <w:tr w14:paraId="1F88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01834760">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2455D8B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林 丹</w:t>
            </w:r>
          </w:p>
        </w:tc>
        <w:tc>
          <w:tcPr>
            <w:tcW w:w="2117" w:type="pct"/>
            <w:gridSpan w:val="2"/>
            <w:vAlign w:val="center"/>
          </w:tcPr>
          <w:p w14:paraId="0C687A3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1F26689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0.025μg /L</w:t>
            </w:r>
          </w:p>
        </w:tc>
      </w:tr>
      <w:tr w14:paraId="0E0B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45543DF5">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4BD9B63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硫丹原药及</w:t>
            </w:r>
          </w:p>
          <w:p w14:paraId="7A2FFB7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其相关异构体</w:t>
            </w:r>
          </w:p>
        </w:tc>
        <w:tc>
          <w:tcPr>
            <w:tcW w:w="2117" w:type="pct"/>
            <w:gridSpan w:val="2"/>
            <w:vAlign w:val="center"/>
          </w:tcPr>
          <w:p w14:paraId="1DCE4FB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有机氯农药和氯苯类化合物的测定 气相色谱-质谱法HJ 699-2014</w:t>
            </w:r>
          </w:p>
        </w:tc>
        <w:tc>
          <w:tcPr>
            <w:tcW w:w="909" w:type="pct"/>
            <w:vAlign w:val="center"/>
          </w:tcPr>
          <w:p w14:paraId="0ED4A00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0.044μg /L</w:t>
            </w:r>
          </w:p>
        </w:tc>
      </w:tr>
      <w:tr w14:paraId="7030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Merge w:val="continue"/>
            <w:vAlign w:val="center"/>
          </w:tcPr>
          <w:p w14:paraId="5D6ECA96">
            <w:pPr>
              <w:pStyle w:val="97"/>
              <w:numPr>
                <w:ilvl w:val="0"/>
                <w:numId w:val="10"/>
              </w:numPr>
              <w:spacing w:line="360" w:lineRule="auto"/>
              <w:ind w:left="0" w:firstLine="0"/>
              <w:jc w:val="center"/>
              <w:rPr>
                <w:rFonts w:hint="eastAsia" w:ascii="宋体" w:hAnsi="宋体" w:eastAsia="宋体" w:cs="宋体"/>
                <w:color w:val="auto"/>
                <w:kern w:val="2"/>
                <w:sz w:val="21"/>
                <w:szCs w:val="21"/>
                <w:highlight w:val="none"/>
              </w:rPr>
            </w:pPr>
          </w:p>
        </w:tc>
        <w:tc>
          <w:tcPr>
            <w:tcW w:w="1618" w:type="pct"/>
            <w:vAlign w:val="center"/>
          </w:tcPr>
          <w:p w14:paraId="7E5EB88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多氯联苯</w:t>
            </w:r>
          </w:p>
        </w:tc>
        <w:tc>
          <w:tcPr>
            <w:tcW w:w="2117" w:type="pct"/>
            <w:gridSpan w:val="2"/>
            <w:vAlign w:val="center"/>
          </w:tcPr>
          <w:p w14:paraId="12D908C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多氯联苯的测定 气相色谱-质谱法HJ 715-2014</w:t>
            </w:r>
          </w:p>
        </w:tc>
        <w:tc>
          <w:tcPr>
            <w:tcW w:w="909" w:type="pct"/>
            <w:vAlign w:val="center"/>
          </w:tcPr>
          <w:p w14:paraId="2B33758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ng/L</w:t>
            </w:r>
          </w:p>
        </w:tc>
      </w:tr>
      <w:tr w14:paraId="410E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2A22CB0">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18" w:type="pct"/>
            <w:vAlign w:val="center"/>
          </w:tcPr>
          <w:p w14:paraId="2299124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1,2-二氯乙烷</w:t>
            </w:r>
          </w:p>
        </w:tc>
        <w:tc>
          <w:tcPr>
            <w:tcW w:w="2098" w:type="pct"/>
            <w:vAlign w:val="center"/>
          </w:tcPr>
          <w:p w14:paraId="655E624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w:t>
            </w:r>
          </w:p>
          <w:p w14:paraId="70ECB7F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HJ 639-2012</w:t>
            </w:r>
          </w:p>
        </w:tc>
        <w:tc>
          <w:tcPr>
            <w:tcW w:w="928" w:type="pct"/>
            <w:gridSpan w:val="2"/>
            <w:vAlign w:val="center"/>
          </w:tcPr>
          <w:p w14:paraId="4459B8A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0.4μg/L</w:t>
            </w:r>
          </w:p>
        </w:tc>
      </w:tr>
      <w:tr w14:paraId="481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4220EB3">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18" w:type="pct"/>
            <w:vAlign w:val="center"/>
          </w:tcPr>
          <w:p w14:paraId="099ADFA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1,4-二氯苯</w:t>
            </w:r>
          </w:p>
        </w:tc>
        <w:tc>
          <w:tcPr>
            <w:tcW w:w="2098" w:type="pct"/>
            <w:vAlign w:val="center"/>
          </w:tcPr>
          <w:p w14:paraId="15825EA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w:t>
            </w:r>
          </w:p>
          <w:p w14:paraId="4576493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HJ 639-2012</w:t>
            </w:r>
          </w:p>
        </w:tc>
        <w:tc>
          <w:tcPr>
            <w:tcW w:w="928" w:type="pct"/>
            <w:gridSpan w:val="2"/>
            <w:vAlign w:val="center"/>
          </w:tcPr>
          <w:p w14:paraId="65E2C7C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0.4μg/L</w:t>
            </w:r>
          </w:p>
        </w:tc>
      </w:tr>
      <w:tr w14:paraId="66EE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305C09A">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18" w:type="pct"/>
            <w:vAlign w:val="center"/>
          </w:tcPr>
          <w:p w14:paraId="1EBAAB3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1,1,2,2-四氯乙烷</w:t>
            </w:r>
          </w:p>
        </w:tc>
        <w:tc>
          <w:tcPr>
            <w:tcW w:w="2098" w:type="pct"/>
            <w:vAlign w:val="center"/>
          </w:tcPr>
          <w:p w14:paraId="7A480E1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w:t>
            </w:r>
          </w:p>
          <w:p w14:paraId="3951546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HJ 639-2012</w:t>
            </w:r>
          </w:p>
        </w:tc>
        <w:tc>
          <w:tcPr>
            <w:tcW w:w="928" w:type="pct"/>
            <w:gridSpan w:val="2"/>
            <w:vAlign w:val="center"/>
          </w:tcPr>
          <w:p w14:paraId="002001B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0.4μg/L</w:t>
            </w:r>
          </w:p>
        </w:tc>
      </w:tr>
      <w:tr w14:paraId="46FA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01DFB28">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618" w:type="pct"/>
            <w:vAlign w:val="center"/>
          </w:tcPr>
          <w:p w14:paraId="79392A3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邻苯二甲酸二辛酯（DNOP）</w:t>
            </w:r>
          </w:p>
        </w:tc>
        <w:tc>
          <w:tcPr>
            <w:tcW w:w="2098" w:type="pct"/>
            <w:vAlign w:val="center"/>
          </w:tcPr>
          <w:p w14:paraId="21153D0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半挥发性有机物 气相色谱-质谱法 《水和废水监测分 析方法》 （第四 版）国家环境保护 总局 （2002年 ）4.3.2</w:t>
            </w:r>
          </w:p>
        </w:tc>
        <w:tc>
          <w:tcPr>
            <w:tcW w:w="928" w:type="pct"/>
            <w:gridSpan w:val="2"/>
            <w:vAlign w:val="center"/>
          </w:tcPr>
          <w:p w14:paraId="46D3D0B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15F9B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05A828BC">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618" w:type="pct"/>
            <w:vAlign w:val="center"/>
          </w:tcPr>
          <w:p w14:paraId="1F2F63A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邻苯二甲酸二异癸酯（DIDP）</w:t>
            </w:r>
          </w:p>
        </w:tc>
        <w:tc>
          <w:tcPr>
            <w:tcW w:w="2098" w:type="pct"/>
            <w:vAlign w:val="center"/>
          </w:tcPr>
          <w:p w14:paraId="780ECFB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液液萃取/气相色谱-质谱法</w:t>
            </w:r>
          </w:p>
        </w:tc>
        <w:tc>
          <w:tcPr>
            <w:tcW w:w="928" w:type="pct"/>
            <w:gridSpan w:val="2"/>
            <w:vAlign w:val="center"/>
          </w:tcPr>
          <w:p w14:paraId="6B43755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73B8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8002BDF">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618" w:type="pct"/>
            <w:vAlign w:val="center"/>
          </w:tcPr>
          <w:p w14:paraId="299FC31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邻苯二甲酸二异壬酯（DINP）</w:t>
            </w:r>
          </w:p>
        </w:tc>
        <w:tc>
          <w:tcPr>
            <w:tcW w:w="2098" w:type="pct"/>
            <w:vAlign w:val="center"/>
          </w:tcPr>
          <w:p w14:paraId="710CCC6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液液萃取/气相色谱-质谱法</w:t>
            </w:r>
          </w:p>
        </w:tc>
        <w:tc>
          <w:tcPr>
            <w:tcW w:w="928" w:type="pct"/>
            <w:gridSpan w:val="2"/>
            <w:vAlign w:val="center"/>
          </w:tcPr>
          <w:p w14:paraId="1309A2D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7EF0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83A656C">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618" w:type="pct"/>
            <w:vAlign w:val="center"/>
          </w:tcPr>
          <w:p w14:paraId="7351C7D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邻苯二甲酸二（a-乙基己基）酯（DEHP）</w:t>
            </w:r>
          </w:p>
        </w:tc>
        <w:tc>
          <w:tcPr>
            <w:tcW w:w="2098" w:type="pct"/>
            <w:vAlign w:val="center"/>
          </w:tcPr>
          <w:p w14:paraId="236D24D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半挥发性有机物 气相色谱-质谱法 《水和废水监测分 析方法》 （第四 版）国家环境保护 总局 （2002年 ）4.3.2</w:t>
            </w:r>
          </w:p>
        </w:tc>
        <w:tc>
          <w:tcPr>
            <w:tcW w:w="928" w:type="pct"/>
            <w:gridSpan w:val="2"/>
            <w:vAlign w:val="center"/>
          </w:tcPr>
          <w:p w14:paraId="2D2BA89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2188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0F86332">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618" w:type="pct"/>
            <w:vAlign w:val="center"/>
          </w:tcPr>
          <w:p w14:paraId="04026B0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邻苯二甲酸二丁酯（DBP）</w:t>
            </w:r>
          </w:p>
        </w:tc>
        <w:tc>
          <w:tcPr>
            <w:tcW w:w="2098" w:type="pct"/>
            <w:vAlign w:val="center"/>
          </w:tcPr>
          <w:p w14:paraId="6BD0BAB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半挥发性有机物 气相色谱-质谱法 《水和废水监测分 析方法》 （第四 版）国家环境保护 总局 （2002年 ）4.3.2</w:t>
            </w:r>
          </w:p>
        </w:tc>
        <w:tc>
          <w:tcPr>
            <w:tcW w:w="928" w:type="pct"/>
            <w:gridSpan w:val="2"/>
            <w:vAlign w:val="center"/>
          </w:tcPr>
          <w:p w14:paraId="4198E4A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4D8E1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7EE729B8">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618" w:type="pct"/>
            <w:vAlign w:val="center"/>
          </w:tcPr>
          <w:p w14:paraId="05386B5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邻苯二甲酸丁苄酯（BBP）</w:t>
            </w:r>
          </w:p>
        </w:tc>
        <w:tc>
          <w:tcPr>
            <w:tcW w:w="2098" w:type="pct"/>
            <w:vAlign w:val="center"/>
          </w:tcPr>
          <w:p w14:paraId="60798C1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半挥发性有机物 气相色谱-质谱法 《水和废水监测分 析方法》 （第四 版）国家环境保护 总局 （2002年 ）4.3.2</w:t>
            </w:r>
          </w:p>
        </w:tc>
        <w:tc>
          <w:tcPr>
            <w:tcW w:w="928" w:type="pct"/>
            <w:gridSpan w:val="2"/>
            <w:vAlign w:val="center"/>
          </w:tcPr>
          <w:p w14:paraId="320038C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2963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FB86FF7">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618" w:type="pct"/>
            <w:vAlign w:val="center"/>
          </w:tcPr>
          <w:p w14:paraId="41AC516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邻苯二甲酸二异丁酯（DIBP）</w:t>
            </w:r>
          </w:p>
        </w:tc>
        <w:tc>
          <w:tcPr>
            <w:tcW w:w="2098" w:type="pct"/>
            <w:vAlign w:val="center"/>
          </w:tcPr>
          <w:p w14:paraId="0ABB2A1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液液萃取/气相色谱-质谱法</w:t>
            </w:r>
          </w:p>
        </w:tc>
        <w:tc>
          <w:tcPr>
            <w:tcW w:w="928" w:type="pct"/>
            <w:gridSpan w:val="2"/>
            <w:vAlign w:val="center"/>
          </w:tcPr>
          <w:p w14:paraId="4949A59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4403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7E32F83">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c>
          <w:tcPr>
            <w:tcW w:w="1618" w:type="pct"/>
            <w:vAlign w:val="center"/>
          </w:tcPr>
          <w:p w14:paraId="11A29D3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双酚A</w:t>
            </w:r>
          </w:p>
        </w:tc>
        <w:tc>
          <w:tcPr>
            <w:tcW w:w="2098" w:type="pct"/>
            <w:vAlign w:val="center"/>
          </w:tcPr>
          <w:p w14:paraId="26752A28">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固相萃取-液相色谱三重四极杆质谱法</w:t>
            </w:r>
          </w:p>
        </w:tc>
        <w:tc>
          <w:tcPr>
            <w:tcW w:w="928" w:type="pct"/>
            <w:gridSpan w:val="2"/>
            <w:vAlign w:val="center"/>
          </w:tcPr>
          <w:p w14:paraId="77DF13B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ng/L</w:t>
            </w:r>
          </w:p>
        </w:tc>
      </w:tr>
      <w:tr w14:paraId="49C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BDE9445">
            <w:pPr>
              <w:pStyle w:val="138"/>
              <w:widowControl/>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w:t>
            </w:r>
          </w:p>
        </w:tc>
        <w:tc>
          <w:tcPr>
            <w:tcW w:w="1618" w:type="pct"/>
            <w:vAlign w:val="center"/>
          </w:tcPr>
          <w:p w14:paraId="04EAF54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4-叔辛基苯酚</w:t>
            </w:r>
          </w:p>
        </w:tc>
        <w:tc>
          <w:tcPr>
            <w:tcW w:w="2098" w:type="pct"/>
            <w:vAlign w:val="center"/>
          </w:tcPr>
          <w:p w14:paraId="44D0994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固相萃取-液相色谱三重四极杆质谱法</w:t>
            </w:r>
          </w:p>
        </w:tc>
        <w:tc>
          <w:tcPr>
            <w:tcW w:w="928" w:type="pct"/>
            <w:gridSpan w:val="2"/>
            <w:vAlign w:val="center"/>
          </w:tcPr>
          <w:p w14:paraId="1196307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ng/L</w:t>
            </w:r>
          </w:p>
        </w:tc>
      </w:tr>
      <w:tr w14:paraId="7AEB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1ED3CCF4">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w:t>
            </w:r>
          </w:p>
        </w:tc>
        <w:tc>
          <w:tcPr>
            <w:tcW w:w="1618" w:type="pct"/>
            <w:vAlign w:val="center"/>
          </w:tcPr>
          <w:p w14:paraId="3E6A5E5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萘</w:t>
            </w:r>
          </w:p>
        </w:tc>
        <w:tc>
          <w:tcPr>
            <w:tcW w:w="2098" w:type="pct"/>
            <w:vAlign w:val="center"/>
          </w:tcPr>
          <w:p w14:paraId="11B133A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吹扫捕集气相色谱-质谱法(HJ 639-2012)</w:t>
            </w:r>
          </w:p>
        </w:tc>
        <w:tc>
          <w:tcPr>
            <w:tcW w:w="928" w:type="pct"/>
            <w:gridSpan w:val="2"/>
            <w:vAlign w:val="center"/>
          </w:tcPr>
          <w:p w14:paraId="56183D0D">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0.4μg/L</w:t>
            </w:r>
          </w:p>
        </w:tc>
      </w:tr>
      <w:tr w14:paraId="3715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584A856">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618" w:type="pct"/>
            <w:vAlign w:val="center"/>
          </w:tcPr>
          <w:p w14:paraId="6D3AB319">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1,2-二氯丙烷</w:t>
            </w:r>
          </w:p>
        </w:tc>
        <w:tc>
          <w:tcPr>
            <w:tcW w:w="2098" w:type="pct"/>
            <w:vAlign w:val="center"/>
          </w:tcPr>
          <w:p w14:paraId="7FF5A75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挥发性有机物的测定 吹扫捕集气相色谱-质谱法(HJ 639-2012)</w:t>
            </w:r>
          </w:p>
        </w:tc>
        <w:tc>
          <w:tcPr>
            <w:tcW w:w="928" w:type="pct"/>
            <w:gridSpan w:val="2"/>
            <w:vAlign w:val="center"/>
          </w:tcPr>
          <w:p w14:paraId="0E2185C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0.4μg/L</w:t>
            </w:r>
          </w:p>
        </w:tc>
      </w:tr>
      <w:tr w14:paraId="2D0FC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D8072F0">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w:t>
            </w:r>
          </w:p>
        </w:tc>
        <w:tc>
          <w:tcPr>
            <w:tcW w:w="1618" w:type="pct"/>
            <w:vAlign w:val="center"/>
          </w:tcPr>
          <w:p w14:paraId="03C6263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1,3-丁二烯</w:t>
            </w:r>
          </w:p>
        </w:tc>
        <w:tc>
          <w:tcPr>
            <w:tcW w:w="2098" w:type="pct"/>
            <w:vAlign w:val="center"/>
          </w:tcPr>
          <w:p w14:paraId="63B4312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吹扫捕集/气相色谱-质谱法</w:t>
            </w:r>
          </w:p>
        </w:tc>
        <w:tc>
          <w:tcPr>
            <w:tcW w:w="928" w:type="pct"/>
            <w:gridSpan w:val="2"/>
            <w:vAlign w:val="center"/>
          </w:tcPr>
          <w:p w14:paraId="12CF12C5">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7911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0A06FD5">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30</w:t>
            </w:r>
          </w:p>
        </w:tc>
        <w:tc>
          <w:tcPr>
            <w:tcW w:w="1618" w:type="pct"/>
            <w:vAlign w:val="center"/>
          </w:tcPr>
          <w:p w14:paraId="35EF167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1-溴丙烷</w:t>
            </w:r>
          </w:p>
        </w:tc>
        <w:tc>
          <w:tcPr>
            <w:tcW w:w="2098" w:type="pct"/>
            <w:vAlign w:val="center"/>
          </w:tcPr>
          <w:p w14:paraId="303ED0FE">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吹扫捕集/气相色谱-质谱法</w:t>
            </w:r>
          </w:p>
        </w:tc>
        <w:tc>
          <w:tcPr>
            <w:tcW w:w="928" w:type="pct"/>
            <w:gridSpan w:val="2"/>
            <w:vAlign w:val="center"/>
          </w:tcPr>
          <w:p w14:paraId="74E4655B">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0.5μg/L</w:t>
            </w:r>
          </w:p>
        </w:tc>
      </w:tr>
      <w:tr w14:paraId="22E4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25D24302">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618" w:type="pct"/>
            <w:vAlign w:val="center"/>
          </w:tcPr>
          <w:p w14:paraId="0E615DF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邻甲苯胺</w:t>
            </w:r>
          </w:p>
        </w:tc>
        <w:tc>
          <w:tcPr>
            <w:tcW w:w="2098" w:type="pct"/>
            <w:vAlign w:val="center"/>
          </w:tcPr>
          <w:p w14:paraId="485DEBE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17 种苯胺类化合物的测定 液相色谱-三重四极杆质谱法（HJ 1048-2019）</w:t>
            </w:r>
          </w:p>
        </w:tc>
        <w:tc>
          <w:tcPr>
            <w:tcW w:w="928" w:type="pct"/>
            <w:gridSpan w:val="2"/>
            <w:vAlign w:val="center"/>
          </w:tcPr>
          <w:p w14:paraId="5630A2D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0.007 μg/L</w:t>
            </w:r>
          </w:p>
        </w:tc>
      </w:tr>
      <w:tr w14:paraId="4893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CEE235C">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1618" w:type="pct"/>
            <w:vAlign w:val="center"/>
          </w:tcPr>
          <w:p w14:paraId="16CF65B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全氟壬酸</w:t>
            </w:r>
          </w:p>
        </w:tc>
        <w:tc>
          <w:tcPr>
            <w:tcW w:w="2098" w:type="pct"/>
            <w:vAlign w:val="center"/>
          </w:tcPr>
          <w:p w14:paraId="2D7E5A3A">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17种全氟化合物的测定 高效液相色谱串联质谱法（DB32T 4004-2021）</w:t>
            </w:r>
          </w:p>
        </w:tc>
        <w:tc>
          <w:tcPr>
            <w:tcW w:w="928" w:type="pct"/>
            <w:gridSpan w:val="2"/>
            <w:vAlign w:val="center"/>
          </w:tcPr>
          <w:p w14:paraId="63582BC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0.02 ng/L</w:t>
            </w:r>
          </w:p>
        </w:tc>
      </w:tr>
      <w:tr w14:paraId="486B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4EEABDA">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618" w:type="pct"/>
            <w:vAlign w:val="center"/>
          </w:tcPr>
          <w:p w14:paraId="6343B5B7">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邻苯二甲酸二正辛酯</w:t>
            </w:r>
          </w:p>
        </w:tc>
        <w:tc>
          <w:tcPr>
            <w:tcW w:w="2098" w:type="pct"/>
            <w:vAlign w:val="center"/>
          </w:tcPr>
          <w:p w14:paraId="379F206C">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6 种邻苯二甲酸酯类化合物的测定 液相色谱-三重四极杆质谱法（HJ 1242—2022）</w:t>
            </w:r>
          </w:p>
        </w:tc>
        <w:tc>
          <w:tcPr>
            <w:tcW w:w="928" w:type="pct"/>
            <w:gridSpan w:val="2"/>
            <w:vAlign w:val="center"/>
          </w:tcPr>
          <w:p w14:paraId="6EAB9B22">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0.9 μg/L</w:t>
            </w:r>
          </w:p>
        </w:tc>
      </w:tr>
      <w:tr w14:paraId="01C4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5B736421">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1618" w:type="pct"/>
            <w:vAlign w:val="center"/>
          </w:tcPr>
          <w:p w14:paraId="74D51B41">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邻苯二甲酸二(α-乙基己酯)</w:t>
            </w:r>
          </w:p>
        </w:tc>
        <w:tc>
          <w:tcPr>
            <w:tcW w:w="2098" w:type="pct"/>
            <w:vAlign w:val="center"/>
          </w:tcPr>
          <w:p w14:paraId="2E83819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6 种邻苯二甲酸酯类化合物的测定 液相色谱-三重四极杆质谱法（HJ 1242—2022）</w:t>
            </w:r>
          </w:p>
        </w:tc>
        <w:tc>
          <w:tcPr>
            <w:tcW w:w="928" w:type="pct"/>
            <w:gridSpan w:val="2"/>
            <w:vAlign w:val="center"/>
          </w:tcPr>
          <w:p w14:paraId="060ED313">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 μg/L</w:t>
            </w:r>
          </w:p>
        </w:tc>
      </w:tr>
      <w:tr w14:paraId="6305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6094AF28">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p>
        </w:tc>
        <w:tc>
          <w:tcPr>
            <w:tcW w:w="1618" w:type="pct"/>
            <w:vAlign w:val="center"/>
          </w:tcPr>
          <w:p w14:paraId="43107B2F">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邻苯二甲酸苄丁酯</w:t>
            </w:r>
          </w:p>
        </w:tc>
        <w:tc>
          <w:tcPr>
            <w:tcW w:w="2098" w:type="pct"/>
            <w:vAlign w:val="center"/>
          </w:tcPr>
          <w:p w14:paraId="6A5288E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水质 6 种邻苯二甲酸酯类化合物的测定 液相色谱-三重四极杆质谱法（HJ 1242—2022）</w:t>
            </w:r>
          </w:p>
        </w:tc>
        <w:tc>
          <w:tcPr>
            <w:tcW w:w="928" w:type="pct"/>
            <w:gridSpan w:val="2"/>
            <w:vAlign w:val="center"/>
          </w:tcPr>
          <w:p w14:paraId="7B5ABCB0">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0.8 μg/L</w:t>
            </w:r>
          </w:p>
        </w:tc>
      </w:tr>
      <w:tr w14:paraId="0FCD7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A12F602">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36</w:t>
            </w:r>
          </w:p>
        </w:tc>
        <w:tc>
          <w:tcPr>
            <w:tcW w:w="1618" w:type="pct"/>
            <w:vAlign w:val="center"/>
          </w:tcPr>
          <w:p w14:paraId="593F3CC2">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二氯甲烷</w:t>
            </w:r>
          </w:p>
        </w:tc>
        <w:tc>
          <w:tcPr>
            <w:tcW w:w="2098" w:type="pct"/>
            <w:vAlign w:val="center"/>
          </w:tcPr>
          <w:p w14:paraId="16C3D1F4">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FFFFF"/>
              </w:rPr>
              <w:t>HJ 759-2023 环境空气 挥发性有机物的测定罐采样气相色谱-质谱法</w:t>
            </w:r>
          </w:p>
        </w:tc>
        <w:tc>
          <w:tcPr>
            <w:tcW w:w="928" w:type="pct"/>
            <w:gridSpan w:val="2"/>
            <w:vAlign w:val="center"/>
          </w:tcPr>
          <w:p w14:paraId="23BA52EF">
            <w:pPr>
              <w:widowControl/>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μg</w:t>
            </w:r>
            <w:r>
              <w:rPr>
                <w:rFonts w:hint="eastAsia" w:ascii="宋体" w:hAnsi="宋体" w:eastAsia="宋体" w:cs="宋体"/>
                <w:color w:val="auto"/>
                <w:szCs w:val="21"/>
                <w:highlight w:val="none"/>
                <w:lang w:val="en-US" w:eastAsia="zh-CN"/>
              </w:rPr>
              <w:t>/m³</w:t>
            </w:r>
          </w:p>
        </w:tc>
      </w:tr>
      <w:tr w14:paraId="44A7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 w:type="pct"/>
            <w:vAlign w:val="center"/>
          </w:tcPr>
          <w:p w14:paraId="31C7BB59">
            <w:pPr>
              <w:pStyle w:val="138"/>
              <w:widowControl/>
              <w:adjustRightInd w:val="0"/>
              <w:snapToGrid w:val="0"/>
              <w:spacing w:line="360" w:lineRule="auto"/>
              <w:ind w:firstLine="0"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37</w:t>
            </w:r>
          </w:p>
        </w:tc>
        <w:tc>
          <w:tcPr>
            <w:tcW w:w="1618" w:type="pct"/>
            <w:vAlign w:val="center"/>
          </w:tcPr>
          <w:p w14:paraId="0F6AB7B1">
            <w:pPr>
              <w:widowControl/>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三氯甲烷</w:t>
            </w:r>
          </w:p>
        </w:tc>
        <w:tc>
          <w:tcPr>
            <w:tcW w:w="2098" w:type="pct"/>
            <w:vAlign w:val="center"/>
          </w:tcPr>
          <w:p w14:paraId="41C118A6">
            <w:pPr>
              <w:widowControl/>
              <w:spacing w:line="360" w:lineRule="auto"/>
              <w:jc w:val="center"/>
              <w:rPr>
                <w:rFonts w:hint="eastAsia" w:ascii="宋体" w:hAnsi="宋体" w:eastAsia="宋体" w:cs="宋体"/>
                <w:color w:val="auto"/>
                <w:szCs w:val="21"/>
                <w:highlight w:val="none"/>
              </w:rPr>
            </w:pPr>
            <w:r>
              <w:rPr>
                <w:rFonts w:hint="eastAsia" w:ascii="宋体" w:hAnsi="宋体" w:eastAsia="宋体" w:cs="宋体"/>
                <w:i w:val="0"/>
                <w:iCs w:val="0"/>
                <w:caps w:val="0"/>
                <w:color w:val="auto"/>
                <w:spacing w:val="0"/>
                <w:sz w:val="21"/>
                <w:szCs w:val="21"/>
                <w:highlight w:val="none"/>
                <w:shd w:val="clear" w:fill="FFFFFF"/>
              </w:rPr>
              <w:t>HJ 759-2023 环境空气 挥发性有机物的测定罐采样气相色谱-质谱法</w:t>
            </w:r>
          </w:p>
        </w:tc>
        <w:tc>
          <w:tcPr>
            <w:tcW w:w="928" w:type="pct"/>
            <w:gridSpan w:val="2"/>
            <w:vAlign w:val="center"/>
          </w:tcPr>
          <w:p w14:paraId="1143FFDA">
            <w:pPr>
              <w:widowControl/>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rPr>
              <w:t>μg</w:t>
            </w:r>
            <w:r>
              <w:rPr>
                <w:rFonts w:hint="eastAsia" w:ascii="宋体" w:hAnsi="宋体" w:eastAsia="宋体" w:cs="宋体"/>
                <w:color w:val="auto"/>
                <w:szCs w:val="21"/>
                <w:highlight w:val="none"/>
                <w:lang w:val="en-US" w:eastAsia="zh-CN"/>
              </w:rPr>
              <w:t>/m³</w:t>
            </w:r>
          </w:p>
        </w:tc>
      </w:tr>
    </w:tbl>
    <w:p w14:paraId="73047479">
      <w:pPr>
        <w:pStyle w:val="34"/>
        <w:rPr>
          <w:rFonts w:hint="eastAsia" w:ascii="宋体" w:hAnsi="宋体" w:cs="宋体"/>
          <w:b/>
          <w:bCs/>
          <w:color w:val="auto"/>
          <w:szCs w:val="21"/>
          <w:highlight w:val="none"/>
        </w:rPr>
      </w:pPr>
    </w:p>
    <w:p w14:paraId="73078C94">
      <w:pPr>
        <w:pStyle w:val="34"/>
        <w:rPr>
          <w:rFonts w:hint="eastAsia" w:ascii="宋体" w:hAnsi="宋体" w:cs="宋体"/>
          <w:b/>
          <w:bCs/>
          <w:color w:val="auto"/>
          <w:szCs w:val="21"/>
          <w:highlight w:val="none"/>
        </w:rPr>
      </w:pPr>
    </w:p>
    <w:p w14:paraId="0409C25A">
      <w:pPr>
        <w:pStyle w:val="34"/>
        <w:rPr>
          <w:rFonts w:hint="eastAsia" w:ascii="宋体" w:hAnsi="宋体" w:cs="宋体"/>
          <w:b/>
          <w:bCs/>
          <w:color w:val="auto"/>
          <w:szCs w:val="21"/>
          <w:highlight w:val="none"/>
        </w:rPr>
      </w:pPr>
    </w:p>
    <w:p w14:paraId="47345C74">
      <w:pPr>
        <w:pStyle w:val="15"/>
        <w:rPr>
          <w:rFonts w:hint="eastAsia" w:ascii="宋体" w:hAnsi="宋体" w:cs="宋体"/>
          <w:b/>
          <w:bCs/>
          <w:color w:val="auto"/>
          <w:szCs w:val="21"/>
          <w:highlight w:val="none"/>
        </w:rPr>
      </w:pPr>
    </w:p>
    <w:bookmarkEnd w:id="187"/>
    <w:bookmarkEnd w:id="188"/>
    <w:bookmarkEnd w:id="189"/>
    <w:bookmarkEnd w:id="190"/>
    <w:bookmarkEnd w:id="191"/>
    <w:p w14:paraId="3ECBA44F">
      <w:pPr>
        <w:pStyle w:val="3"/>
        <w:keepNext w:val="0"/>
        <w:numPr>
          <w:ilvl w:val="0"/>
          <w:numId w:val="3"/>
        </w:numPr>
        <w:ind w:left="2936" w:leftChars="1398" w:firstLine="222" w:firstLineChars="69"/>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bookmarkStart w:id="194" w:name="_Toc20841"/>
      <w:bookmarkStart w:id="195" w:name="_Toc5285"/>
      <w:r>
        <w:rPr>
          <w:rFonts w:hint="eastAsia" w:ascii="宋体" w:hAnsi="宋体" w:eastAsia="宋体" w:cs="宋体"/>
          <w:color w:val="auto"/>
          <w:sz w:val="32"/>
          <w:szCs w:val="32"/>
          <w:highlight w:val="none"/>
        </w:rPr>
        <w:t>采 购 合 同</w:t>
      </w:r>
      <w:bookmarkEnd w:id="194"/>
      <w:bookmarkEnd w:id="195"/>
    </w:p>
    <w:p w14:paraId="256B4032">
      <w:pPr>
        <w:rPr>
          <w:rFonts w:hint="eastAsia" w:ascii="宋体" w:hAnsi="宋体" w:cs="宋体"/>
          <w:b/>
          <w:color w:val="auto"/>
          <w:sz w:val="32"/>
          <w:szCs w:val="32"/>
          <w:highlight w:val="none"/>
        </w:rPr>
      </w:pPr>
      <w:r>
        <w:rPr>
          <w:rFonts w:hint="eastAsia" w:ascii="宋体" w:hAnsi="宋体" w:cs="宋体"/>
          <w:b/>
          <w:bCs/>
          <w:color w:val="auto"/>
          <w:sz w:val="32"/>
          <w:highlight w:val="none"/>
        </w:rPr>
        <w:t xml:space="preserve">   </w:t>
      </w:r>
      <w:r>
        <w:rPr>
          <w:rFonts w:hint="eastAsia" w:ascii="宋体" w:hAnsi="宋体" w:cs="宋体"/>
          <w:b/>
          <w:color w:val="auto"/>
          <w:sz w:val="32"/>
          <w:szCs w:val="32"/>
          <w:highlight w:val="none"/>
        </w:rPr>
        <w:t xml:space="preserve">                </w:t>
      </w:r>
    </w:p>
    <w:p w14:paraId="1E8A7B4F">
      <w:pPr>
        <w:rPr>
          <w:rFonts w:hint="eastAsia" w:ascii="宋体" w:hAnsi="宋体" w:cs="宋体"/>
          <w:b/>
          <w:color w:val="auto"/>
          <w:sz w:val="32"/>
          <w:szCs w:val="32"/>
          <w:highlight w:val="none"/>
        </w:rPr>
      </w:pPr>
    </w:p>
    <w:p w14:paraId="41A94191">
      <w:pPr>
        <w:tabs>
          <w:tab w:val="left" w:pos="2592"/>
          <w:tab w:val="center" w:pos="4465"/>
        </w:tabs>
        <w:spacing w:line="360" w:lineRule="auto"/>
        <w:jc w:val="right"/>
        <w:rPr>
          <w:rFonts w:hint="eastAsia" w:ascii="宋体" w:hAnsi="宋体" w:cs="宋体"/>
          <w:b/>
          <w:color w:val="auto"/>
          <w:kern w:val="0"/>
          <w:sz w:val="22"/>
          <w:szCs w:val="22"/>
          <w:highlight w:val="none"/>
        </w:rPr>
      </w:pPr>
      <w:r>
        <w:rPr>
          <w:rFonts w:hint="eastAsia" w:ascii="宋体" w:hAnsi="宋体" w:cs="宋体"/>
          <w:b/>
          <w:color w:val="auto"/>
          <w:sz w:val="24"/>
          <w:highlight w:val="none"/>
        </w:rPr>
        <w:t xml:space="preserve">                </w:t>
      </w:r>
      <w:r>
        <w:rPr>
          <w:rFonts w:hint="eastAsia" w:ascii="宋体" w:hAnsi="宋体" w:cs="宋体"/>
          <w:b/>
          <w:color w:val="auto"/>
          <w:kern w:val="0"/>
          <w:sz w:val="24"/>
          <w:szCs w:val="22"/>
          <w:highlight w:val="none"/>
        </w:rPr>
        <w:t>（合同编号：</w:t>
      </w:r>
      <w:r>
        <w:rPr>
          <w:rFonts w:hint="eastAsia" w:ascii="宋体" w:hAnsi="宋体" w:cs="宋体"/>
          <w:b/>
          <w:color w:val="auto"/>
          <w:kern w:val="0"/>
          <w:sz w:val="24"/>
          <w:szCs w:val="22"/>
          <w:highlight w:val="none"/>
          <w:u w:val="single"/>
        </w:rPr>
        <w:t xml:space="preserve">           </w:t>
      </w:r>
      <w:r>
        <w:rPr>
          <w:rFonts w:hint="eastAsia" w:ascii="宋体" w:hAnsi="宋体" w:cs="宋体"/>
          <w:b/>
          <w:color w:val="auto"/>
          <w:kern w:val="0"/>
          <w:sz w:val="24"/>
          <w:szCs w:val="22"/>
          <w:highlight w:val="none"/>
        </w:rPr>
        <w:t>）</w:t>
      </w:r>
    </w:p>
    <w:p w14:paraId="1545368A">
      <w:pPr>
        <w:rPr>
          <w:rFonts w:hint="eastAsia" w:ascii="宋体" w:hAnsi="宋体" w:cs="宋体"/>
          <w:color w:val="auto"/>
          <w:sz w:val="24"/>
          <w:szCs w:val="21"/>
          <w:highlight w:val="none"/>
        </w:rPr>
      </w:pPr>
      <w:r>
        <w:rPr>
          <w:rFonts w:hint="eastAsia" w:ascii="宋体" w:hAnsi="宋体" w:cs="宋体"/>
          <w:b/>
          <w:color w:val="auto"/>
          <w:sz w:val="24"/>
          <w:szCs w:val="21"/>
          <w:highlight w:val="none"/>
        </w:rPr>
        <w:t xml:space="preserve">                   </w:t>
      </w:r>
    </w:p>
    <w:p w14:paraId="1B49FDF6">
      <w:pPr>
        <w:autoSpaceDE w:val="0"/>
        <w:autoSpaceDN w:val="0"/>
        <w:spacing w:line="360" w:lineRule="auto"/>
        <w:ind w:firstLine="960" w:firstLineChars="400"/>
        <w:textAlignment w:val="bottom"/>
        <w:rPr>
          <w:rFonts w:hint="eastAsia" w:ascii="宋体" w:hAnsi="宋体" w:cs="宋体"/>
          <w:color w:val="auto"/>
          <w:sz w:val="24"/>
          <w:szCs w:val="21"/>
          <w:highlight w:val="none"/>
        </w:rPr>
      </w:pPr>
    </w:p>
    <w:p w14:paraId="00A09831">
      <w:pPr>
        <w:autoSpaceDE w:val="0"/>
        <w:autoSpaceDN w:val="0"/>
        <w:spacing w:line="360" w:lineRule="auto"/>
        <w:ind w:firstLine="960" w:firstLineChars="400"/>
        <w:textAlignment w:val="bottom"/>
        <w:rPr>
          <w:rFonts w:hint="eastAsia" w:ascii="宋体" w:hAnsi="宋体" w:cs="宋体"/>
          <w:color w:val="auto"/>
          <w:sz w:val="24"/>
          <w:szCs w:val="21"/>
          <w:highlight w:val="none"/>
          <w:u w:val="single"/>
        </w:rPr>
      </w:pPr>
      <w:r>
        <w:rPr>
          <w:rFonts w:hint="eastAsia" w:ascii="宋体" w:hAnsi="宋体" w:cs="宋体"/>
          <w:color w:val="auto"/>
          <w:sz w:val="24"/>
          <w:szCs w:val="21"/>
          <w:highlight w:val="none"/>
        </w:rPr>
        <w:t>项目名称：</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u w:val="single"/>
        </w:rPr>
        <w:fldChar w:fldCharType="begin"/>
      </w:r>
      <w:r>
        <w:rPr>
          <w:rFonts w:hint="eastAsia" w:ascii="宋体" w:hAnsi="宋体" w:cs="宋体"/>
          <w:color w:val="auto"/>
          <w:sz w:val="24"/>
          <w:szCs w:val="21"/>
          <w:highlight w:val="none"/>
          <w:u w:val="single"/>
        </w:rPr>
        <w:instrText xml:space="preserve"> HYPERLINK "https://bidding.zcygov.cn/xmgl/projectQuery/queryDetail?projectUuid=5c859e260a927c18" \l "/purchaseFileMake/_blank" \t "https://www.zcygov.cn/bidding-entrust/" </w:instrText>
      </w:r>
      <w:r>
        <w:rPr>
          <w:rFonts w:hint="eastAsia" w:ascii="宋体" w:hAnsi="宋体" w:cs="宋体"/>
          <w:color w:val="auto"/>
          <w:sz w:val="24"/>
          <w:szCs w:val="21"/>
          <w:highlight w:val="none"/>
          <w:u w:val="single"/>
        </w:rPr>
        <w:fldChar w:fldCharType="separate"/>
      </w:r>
      <w:r>
        <w:rPr>
          <w:rFonts w:hint="eastAsia" w:ascii="宋体" w:hAnsi="宋体" w:cs="宋体"/>
          <w:color w:val="auto"/>
          <w:sz w:val="24"/>
          <w:szCs w:val="21"/>
          <w:highlight w:val="none"/>
          <w:u w:val="single"/>
        </w:rPr>
        <w:t xml:space="preserve">丽水市新污染物试点监测项目             </w:t>
      </w:r>
    </w:p>
    <w:p w14:paraId="2BFB50C4">
      <w:pPr>
        <w:autoSpaceDE w:val="0"/>
        <w:autoSpaceDN w:val="0"/>
        <w:spacing w:line="360" w:lineRule="auto"/>
        <w:ind w:left="1559" w:leftChars="171" w:hanging="1200" w:hangingChars="500"/>
        <w:jc w:val="left"/>
        <w:textAlignment w:val="bottom"/>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r>
        <w:rPr>
          <w:rFonts w:hint="eastAsia" w:ascii="宋体" w:hAnsi="宋体" w:cs="宋体"/>
          <w:color w:val="auto"/>
          <w:sz w:val="24"/>
          <w:szCs w:val="21"/>
          <w:highlight w:val="none"/>
          <w:u w:val="single"/>
        </w:rPr>
        <w:fldChar w:fldCharType="end"/>
      </w:r>
    </w:p>
    <w:p w14:paraId="6356352F">
      <w:pPr>
        <w:snapToGrid w:val="0"/>
        <w:spacing w:before="119" w:line="600" w:lineRule="exact"/>
        <w:ind w:left="958"/>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甲　　方：</w:t>
      </w:r>
      <w:r>
        <w:rPr>
          <w:rFonts w:hint="eastAsia" w:ascii="宋体" w:hAnsi="宋体" w:cs="宋体"/>
          <w:color w:val="auto"/>
          <w:sz w:val="24"/>
          <w:szCs w:val="21"/>
          <w:highlight w:val="none"/>
          <w:u w:val="single"/>
        </w:rPr>
        <w:t xml:space="preserve">                                                     </w:t>
      </w:r>
    </w:p>
    <w:p w14:paraId="7D434A70">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198BA4AC">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乙　　方：</w:t>
      </w:r>
      <w:r>
        <w:rPr>
          <w:rFonts w:hint="eastAsia" w:ascii="宋体" w:hAnsi="宋体" w:cs="宋体"/>
          <w:color w:val="auto"/>
          <w:sz w:val="24"/>
          <w:szCs w:val="21"/>
          <w:highlight w:val="none"/>
          <w:u w:val="single"/>
        </w:rPr>
        <w:t xml:space="preserve">                                                     </w:t>
      </w:r>
      <w:r>
        <w:rPr>
          <w:rFonts w:hint="eastAsia" w:ascii="宋体" w:hAnsi="宋体" w:cs="宋体"/>
          <w:color w:val="auto"/>
          <w:sz w:val="24"/>
          <w:szCs w:val="21"/>
          <w:highlight w:val="none"/>
        </w:rPr>
        <w:t xml:space="preserve"> </w:t>
      </w:r>
    </w:p>
    <w:p w14:paraId="1D39293D">
      <w:pPr>
        <w:snapToGrid w:val="0"/>
        <w:spacing w:before="119" w:line="600" w:lineRule="exact"/>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34EFB8F7">
      <w:pPr>
        <w:snapToGrid w:val="0"/>
        <w:spacing w:before="119" w:line="600" w:lineRule="exact"/>
        <w:ind w:left="958"/>
        <w:jc w:val="center"/>
        <w:rPr>
          <w:rFonts w:hint="eastAsia" w:ascii="宋体" w:hAnsi="宋体" w:cs="宋体"/>
          <w:color w:val="auto"/>
          <w:sz w:val="24"/>
          <w:szCs w:val="21"/>
          <w:highlight w:val="none"/>
        </w:rPr>
      </w:pPr>
    </w:p>
    <w:p w14:paraId="6B97B139">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签署地点：</w:t>
      </w:r>
      <w:r>
        <w:rPr>
          <w:rFonts w:hint="eastAsia" w:ascii="宋体" w:hAnsi="宋体" w:cs="宋体"/>
          <w:color w:val="auto"/>
          <w:sz w:val="24"/>
          <w:szCs w:val="21"/>
          <w:highlight w:val="none"/>
          <w:u w:val="single"/>
        </w:rPr>
        <w:t xml:space="preserve">                                                       </w:t>
      </w:r>
    </w:p>
    <w:p w14:paraId="3576BB36">
      <w:pPr>
        <w:snapToGrid w:val="0"/>
        <w:spacing w:before="119" w:line="600" w:lineRule="exact"/>
        <w:ind w:left="958"/>
        <w:rPr>
          <w:rFonts w:hint="eastAsia" w:ascii="宋体" w:hAnsi="宋体" w:cs="宋体"/>
          <w:color w:val="auto"/>
          <w:sz w:val="24"/>
          <w:szCs w:val="21"/>
          <w:highlight w:val="none"/>
        </w:rPr>
      </w:pPr>
    </w:p>
    <w:p w14:paraId="26F8E8DA">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签署日期：</w:t>
      </w:r>
      <w:r>
        <w:rPr>
          <w:rFonts w:hint="eastAsia" w:ascii="宋体" w:hAnsi="宋体" w:cs="宋体"/>
          <w:color w:val="auto"/>
          <w:sz w:val="24"/>
          <w:szCs w:val="21"/>
          <w:highlight w:val="none"/>
          <w:u w:val="single"/>
        </w:rPr>
        <w:t xml:space="preserve">                                                        </w:t>
      </w:r>
    </w:p>
    <w:p w14:paraId="3609ABB1">
      <w:pPr>
        <w:snapToGrid w:val="0"/>
        <w:spacing w:before="119" w:line="600" w:lineRule="exact"/>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2C0C7D7E">
      <w:pPr>
        <w:snapToGrid w:val="0"/>
        <w:spacing w:before="119" w:line="272" w:lineRule="atLeast"/>
        <w:ind w:left="958"/>
        <w:rPr>
          <w:rFonts w:hint="eastAsia" w:ascii="宋体" w:hAnsi="宋体" w:cs="宋体"/>
          <w:color w:val="auto"/>
          <w:sz w:val="24"/>
          <w:szCs w:val="21"/>
          <w:highlight w:val="none"/>
        </w:rPr>
      </w:pPr>
    </w:p>
    <w:p w14:paraId="76371C98">
      <w:pPr>
        <w:pStyle w:val="97"/>
        <w:rPr>
          <w:color w:val="auto"/>
          <w:highlight w:val="none"/>
        </w:rPr>
      </w:pPr>
    </w:p>
    <w:p w14:paraId="3B50DA8C">
      <w:pPr>
        <w:pStyle w:val="23"/>
        <w:rPr>
          <w:rFonts w:hint="eastAsia" w:ascii="宋体" w:hAnsi="宋体" w:cs="宋体"/>
          <w:color w:val="auto"/>
          <w:highlight w:val="none"/>
        </w:rPr>
      </w:pPr>
    </w:p>
    <w:p w14:paraId="27DCF2EB">
      <w:pPr>
        <w:pStyle w:val="23"/>
        <w:rPr>
          <w:rFonts w:hint="eastAsia" w:ascii="宋体" w:hAnsi="宋体" w:cs="宋体"/>
          <w:color w:val="auto"/>
          <w:highlight w:val="none"/>
        </w:rPr>
      </w:pPr>
    </w:p>
    <w:p w14:paraId="625FF4D7">
      <w:pPr>
        <w:snapToGrid w:val="0"/>
        <w:spacing w:before="119" w:line="360" w:lineRule="auto"/>
        <w:ind w:left="958"/>
        <w:rPr>
          <w:rFonts w:hint="eastAsia" w:ascii="宋体" w:hAnsi="宋体" w:cs="宋体"/>
          <w:color w:val="auto"/>
          <w:sz w:val="24"/>
          <w:szCs w:val="21"/>
          <w:highlight w:val="none"/>
        </w:rPr>
      </w:pPr>
      <w:r>
        <w:rPr>
          <w:rFonts w:hint="eastAsia" w:ascii="宋体" w:hAnsi="宋体" w:cs="宋体"/>
          <w:color w:val="auto"/>
          <w:sz w:val="24"/>
          <w:szCs w:val="21"/>
          <w:highlight w:val="none"/>
        </w:rPr>
        <w:t xml:space="preserve"> </w:t>
      </w:r>
    </w:p>
    <w:p w14:paraId="1640C349">
      <w:pPr>
        <w:spacing w:line="360" w:lineRule="auto"/>
        <w:ind w:firstLine="562" w:firstLineChars="200"/>
        <w:rPr>
          <w:rFonts w:hint="eastAsia" w:ascii="宋体" w:hAnsi="宋体" w:cs="宋体"/>
          <w:b/>
          <w:color w:val="auto"/>
          <w:sz w:val="32"/>
          <w:szCs w:val="32"/>
          <w:highlight w:val="none"/>
        </w:rPr>
      </w:pPr>
      <w:r>
        <w:rPr>
          <w:rFonts w:hint="eastAsia" w:ascii="宋体" w:hAnsi="宋体" w:cs="宋体"/>
          <w:b/>
          <w:bCs/>
          <w:color w:val="auto"/>
          <w:sz w:val="28"/>
          <w:szCs w:val="28"/>
          <w:highlight w:val="none"/>
        </w:rPr>
        <w:t>注：本合同仅作示范文本，具体以双方签订的正式合同为准，合同内容不得违背本招标文件实质性要求。</w:t>
      </w:r>
    </w:p>
    <w:p w14:paraId="4D907F91">
      <w:pPr>
        <w:pStyle w:val="22"/>
        <w:rPr>
          <w:rFonts w:hint="eastAsia" w:ascii="宋体" w:hAnsi="宋体" w:eastAsia="宋体" w:cs="宋体"/>
          <w:b/>
          <w:color w:val="auto"/>
          <w:sz w:val="32"/>
          <w:szCs w:val="32"/>
          <w:highlight w:val="none"/>
          <w:lang w:val="en-US"/>
        </w:rPr>
      </w:pPr>
    </w:p>
    <w:p w14:paraId="3B7AB26C">
      <w:pPr>
        <w:pStyle w:val="48"/>
        <w:spacing w:line="440" w:lineRule="exact"/>
        <w:rPr>
          <w:rFonts w:hint="eastAsia" w:cs="宋体"/>
          <w:color w:val="auto"/>
          <w:sz w:val="21"/>
          <w:szCs w:val="21"/>
          <w:highlight w:val="none"/>
        </w:rPr>
      </w:pPr>
      <w:r>
        <w:rPr>
          <w:rFonts w:hint="eastAsia" w:cs="宋体"/>
          <w:color w:val="auto"/>
          <w:sz w:val="21"/>
          <w:szCs w:val="21"/>
          <w:highlight w:val="none"/>
        </w:rPr>
        <w:t>采购人：（以下称甲方）</w:t>
      </w:r>
      <w:r>
        <w:rPr>
          <w:rFonts w:hint="eastAsia" w:cs="宋体"/>
          <w:color w:val="auto"/>
          <w:sz w:val="21"/>
          <w:szCs w:val="21"/>
          <w:highlight w:val="none"/>
          <w:u w:val="single"/>
        </w:rPr>
        <w:t xml:space="preserve">                     </w:t>
      </w:r>
    </w:p>
    <w:p w14:paraId="6D1B9D6B">
      <w:pPr>
        <w:pStyle w:val="48"/>
        <w:spacing w:line="440" w:lineRule="exact"/>
        <w:rPr>
          <w:rFonts w:hint="eastAsia" w:cs="宋体"/>
          <w:color w:val="auto"/>
          <w:sz w:val="21"/>
          <w:szCs w:val="21"/>
          <w:highlight w:val="none"/>
        </w:rPr>
      </w:pPr>
      <w:r>
        <w:rPr>
          <w:rFonts w:hint="eastAsia" w:cs="宋体"/>
          <w:color w:val="auto"/>
          <w:sz w:val="21"/>
          <w:szCs w:val="21"/>
          <w:highlight w:val="none"/>
        </w:rPr>
        <w:t>中标人：（以下称乙方）</w:t>
      </w:r>
      <w:r>
        <w:rPr>
          <w:rFonts w:hint="eastAsia" w:cs="宋体"/>
          <w:color w:val="auto"/>
          <w:sz w:val="21"/>
          <w:szCs w:val="21"/>
          <w:highlight w:val="none"/>
          <w:u w:val="single"/>
        </w:rPr>
        <w:t xml:space="preserve">                     </w:t>
      </w:r>
    </w:p>
    <w:p w14:paraId="5772F6F3">
      <w:pPr>
        <w:pStyle w:val="48"/>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根据招标文件项目</w:t>
      </w:r>
      <w:r>
        <w:rPr>
          <w:rFonts w:hint="eastAsia" w:cs="宋体"/>
          <w:color w:val="auto"/>
          <w:sz w:val="21"/>
          <w:szCs w:val="21"/>
          <w:highlight w:val="none"/>
          <w:u w:val="single"/>
        </w:rPr>
        <w:t xml:space="preserve">       </w:t>
      </w:r>
      <w:r>
        <w:rPr>
          <w:rFonts w:hint="eastAsia" w:cs="宋体"/>
          <w:color w:val="auto"/>
          <w:sz w:val="21"/>
          <w:szCs w:val="21"/>
          <w:highlight w:val="none"/>
        </w:rPr>
        <w:t>编号（</w:t>
      </w:r>
      <w:r>
        <w:rPr>
          <w:rFonts w:hint="eastAsia" w:cs="宋体"/>
          <w:color w:val="auto"/>
          <w:sz w:val="21"/>
          <w:szCs w:val="21"/>
          <w:highlight w:val="none"/>
          <w:u w:val="single"/>
        </w:rPr>
        <w:t xml:space="preserve">               </w:t>
      </w:r>
      <w:r>
        <w:rPr>
          <w:rFonts w:hint="eastAsia" w:cs="宋体"/>
          <w:color w:val="auto"/>
          <w:sz w:val="21"/>
          <w:szCs w:val="21"/>
          <w:highlight w:val="none"/>
        </w:rPr>
        <w:t>）在</w:t>
      </w:r>
      <w:r>
        <w:rPr>
          <w:rFonts w:hint="eastAsia" w:cs="宋体"/>
          <w:color w:val="auto"/>
          <w:sz w:val="21"/>
          <w:szCs w:val="21"/>
          <w:highlight w:val="none"/>
          <w:u w:val="single"/>
        </w:rPr>
        <w:t xml:space="preserve">    </w:t>
      </w:r>
      <w:r>
        <w:rPr>
          <w:rFonts w:hint="eastAsia" w:cs="宋体"/>
          <w:color w:val="auto"/>
          <w:sz w:val="21"/>
          <w:szCs w:val="21"/>
          <w:highlight w:val="none"/>
        </w:rPr>
        <w:t>年</w:t>
      </w:r>
      <w:r>
        <w:rPr>
          <w:rFonts w:hint="eastAsia" w:cs="宋体"/>
          <w:color w:val="auto"/>
          <w:sz w:val="21"/>
          <w:szCs w:val="21"/>
          <w:highlight w:val="none"/>
          <w:u w:val="single"/>
        </w:rPr>
        <w:t xml:space="preserve">   </w:t>
      </w:r>
      <w:r>
        <w:rPr>
          <w:rFonts w:hint="eastAsia" w:cs="宋体"/>
          <w:color w:val="auto"/>
          <w:sz w:val="21"/>
          <w:szCs w:val="21"/>
          <w:highlight w:val="none"/>
        </w:rPr>
        <w:t>月</w:t>
      </w:r>
      <w:r>
        <w:rPr>
          <w:rFonts w:hint="eastAsia" w:cs="宋体"/>
          <w:color w:val="auto"/>
          <w:sz w:val="21"/>
          <w:szCs w:val="21"/>
          <w:highlight w:val="none"/>
          <w:u w:val="single"/>
        </w:rPr>
        <w:t xml:space="preserve">   </w:t>
      </w:r>
      <w:r>
        <w:rPr>
          <w:rFonts w:hint="eastAsia" w:cs="宋体"/>
          <w:color w:val="auto"/>
          <w:sz w:val="21"/>
          <w:szCs w:val="21"/>
          <w:highlight w:val="none"/>
        </w:rPr>
        <w:t>日开标会上，经评审委员会评定</w:t>
      </w:r>
      <w:r>
        <w:rPr>
          <w:rFonts w:hint="eastAsia" w:cs="宋体"/>
          <w:color w:val="auto"/>
          <w:sz w:val="21"/>
          <w:szCs w:val="21"/>
          <w:highlight w:val="none"/>
          <w:u w:val="single"/>
        </w:rPr>
        <w:t xml:space="preserve"> 　　  　　  　  </w:t>
      </w:r>
      <w:r>
        <w:rPr>
          <w:rFonts w:hint="eastAsia" w:cs="宋体"/>
          <w:color w:val="auto"/>
          <w:sz w:val="21"/>
          <w:szCs w:val="21"/>
          <w:highlight w:val="none"/>
        </w:rPr>
        <w:t>(乙方)为中标人。甲乙双方依据《中华人民共和国政府采购法》《中华人民共和国民法典》等相关法律法规和招标文件的要求，在平等自愿的基础上，同意按照下面的条款和条件，签署本合同。</w:t>
      </w:r>
    </w:p>
    <w:p w14:paraId="7078A376">
      <w:pPr>
        <w:spacing w:line="440" w:lineRule="exact"/>
        <w:ind w:firstLine="422" w:firstLineChars="200"/>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第一条 项目采购依据</w:t>
      </w:r>
    </w:p>
    <w:p w14:paraId="5F23E83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政府采购预算执行确认书：</w:t>
      </w:r>
      <w:r>
        <w:rPr>
          <w:rFonts w:hint="eastAsia" w:ascii="宋体" w:hAnsi="宋体" w:cs="宋体"/>
          <w:color w:val="auto"/>
          <w:szCs w:val="21"/>
          <w:highlight w:val="none"/>
          <w:u w:val="single"/>
        </w:rPr>
        <w:t xml:space="preserve">                          </w:t>
      </w:r>
    </w:p>
    <w:p w14:paraId="7F916E75">
      <w:pPr>
        <w:adjustRightInd w:val="0"/>
        <w:snapToGrid w:val="0"/>
        <w:spacing w:line="440" w:lineRule="exact"/>
        <w:ind w:firstLine="422" w:firstLineChars="200"/>
        <w:outlineLvl w:val="1"/>
        <w:rPr>
          <w:rFonts w:hint="eastAsia" w:ascii="宋体" w:hAnsi="宋体" w:cs="宋体"/>
          <w:b/>
          <w:color w:val="auto"/>
          <w:szCs w:val="21"/>
          <w:highlight w:val="none"/>
        </w:rPr>
      </w:pPr>
      <w:bookmarkStart w:id="196" w:name="_Toc8"/>
      <w:bookmarkStart w:id="197" w:name="_Toc14652"/>
      <w:bookmarkStart w:id="198" w:name="_Toc710"/>
      <w:bookmarkStart w:id="199" w:name="_Toc14212"/>
      <w:bookmarkStart w:id="200" w:name="_Toc15072"/>
      <w:bookmarkStart w:id="201" w:name="_Toc16866408"/>
      <w:bookmarkStart w:id="202" w:name="_Toc26972"/>
      <w:bookmarkStart w:id="203" w:name="_Toc6273"/>
      <w:bookmarkStart w:id="204" w:name="_Toc19730"/>
      <w:bookmarkStart w:id="205" w:name="_Toc27682"/>
      <w:r>
        <w:rPr>
          <w:rFonts w:hint="eastAsia" w:ascii="宋体" w:hAnsi="宋体" w:cs="宋体"/>
          <w:b/>
          <w:color w:val="auto"/>
          <w:szCs w:val="21"/>
          <w:highlight w:val="none"/>
        </w:rPr>
        <w:t>第二条　组成本合同的有关文件</w:t>
      </w:r>
      <w:bookmarkEnd w:id="196"/>
      <w:bookmarkEnd w:id="197"/>
      <w:bookmarkEnd w:id="198"/>
      <w:bookmarkEnd w:id="199"/>
      <w:bookmarkEnd w:id="200"/>
      <w:bookmarkEnd w:id="201"/>
      <w:bookmarkEnd w:id="202"/>
      <w:bookmarkEnd w:id="203"/>
      <w:bookmarkEnd w:id="204"/>
      <w:bookmarkEnd w:id="205"/>
    </w:p>
    <w:p w14:paraId="094779D7">
      <w:pPr>
        <w:pStyle w:val="48"/>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下列文件构成本合同的组成部分，应该认为是一个整体，彼此相互解释，相互补充。组成合同的多个文件的优先支配地位的次序如下：</w:t>
      </w:r>
    </w:p>
    <w:p w14:paraId="1619DFFC">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（1）本合同书　</w:t>
      </w:r>
    </w:p>
    <w:p w14:paraId="79B286D5">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（2）中标通知书</w:t>
      </w:r>
      <w:r>
        <w:rPr>
          <w:rFonts w:hint="eastAsia" w:cs="宋体"/>
          <w:color w:val="auto"/>
          <w:sz w:val="21"/>
          <w:szCs w:val="21"/>
          <w:highlight w:val="none"/>
        </w:rPr>
        <w:tab/>
      </w:r>
    </w:p>
    <w:p w14:paraId="50EB93BC">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（3）中标人澄清修改文件</w:t>
      </w:r>
    </w:p>
    <w:p w14:paraId="788F84F6">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（4）中标人投标文件</w:t>
      </w:r>
    </w:p>
    <w:p w14:paraId="34ECC043">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（5）招标文件澄清修改文件</w:t>
      </w:r>
    </w:p>
    <w:p w14:paraId="79989D95">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（6）招标文件</w:t>
      </w:r>
    </w:p>
    <w:p w14:paraId="6EE255C3">
      <w:pPr>
        <w:pStyle w:val="48"/>
        <w:adjustRightInd w:val="0"/>
        <w:snapToGrid w:val="0"/>
        <w:spacing w:line="440" w:lineRule="exact"/>
        <w:ind w:firstLine="422" w:firstLineChars="200"/>
        <w:outlineLvl w:val="1"/>
        <w:rPr>
          <w:rFonts w:hint="eastAsia" w:cs="宋体"/>
          <w:b/>
          <w:bCs/>
          <w:color w:val="auto"/>
          <w:kern w:val="2"/>
          <w:sz w:val="21"/>
          <w:szCs w:val="21"/>
          <w:highlight w:val="none"/>
        </w:rPr>
      </w:pPr>
      <w:r>
        <w:rPr>
          <w:rFonts w:hint="eastAsia" w:cs="宋体"/>
          <w:b/>
          <w:bCs/>
          <w:color w:val="auto"/>
          <w:kern w:val="2"/>
          <w:sz w:val="21"/>
          <w:szCs w:val="21"/>
          <w:highlight w:val="none"/>
        </w:rPr>
        <w:t>第三条  服务内容</w:t>
      </w:r>
    </w:p>
    <w:p w14:paraId="7C0104C2">
      <w:pPr>
        <w:spacing w:line="480" w:lineRule="exact"/>
        <w:ind w:firstLine="420" w:firstLineChars="200"/>
        <w:rPr>
          <w:rFonts w:cs="宋体"/>
          <w:color w:val="auto"/>
          <w:szCs w:val="21"/>
          <w:highlight w:val="none"/>
        </w:rPr>
      </w:pPr>
      <w:r>
        <w:rPr>
          <w:rFonts w:hint="eastAsia" w:cs="宋体"/>
          <w:color w:val="auto"/>
          <w:szCs w:val="21"/>
          <w:highlight w:val="none"/>
        </w:rPr>
        <w:t>丽水市新污染物试点监测项目</w:t>
      </w:r>
      <w:r>
        <w:rPr>
          <w:rFonts w:hint="eastAsia" w:ascii="宋体" w:hAnsi="宋体" w:cs="宋体"/>
          <w:color w:val="auto"/>
          <w:szCs w:val="21"/>
          <w:highlight w:val="none"/>
        </w:rPr>
        <w:t>全部服务内容及相关配套服</w:t>
      </w:r>
      <w:r>
        <w:rPr>
          <w:rFonts w:hint="eastAsia" w:cs="宋体"/>
          <w:color w:val="auto"/>
          <w:szCs w:val="21"/>
          <w:highlight w:val="none"/>
        </w:rPr>
        <w:t>务。本合同总价内包含的服务内容</w:t>
      </w:r>
    </w:p>
    <w:p w14:paraId="203F122B">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（1）监测指标：</w:t>
      </w:r>
    </w:p>
    <w:p w14:paraId="3BABCA79">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行业相关污染物、14类重点管控新污染物、2023 年优先评估化学物质、其他需关注的污染物（详见附表2）。</w:t>
      </w:r>
    </w:p>
    <w:p w14:paraId="1E112712">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（2）采样点位</w:t>
      </w:r>
    </w:p>
    <w:p w14:paraId="370290D6">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污水处理厂污水排放：</w:t>
      </w:r>
      <w:r>
        <w:rPr>
          <w:rFonts w:hint="eastAsia" w:ascii="宋体" w:hAnsi="宋体" w:cs="宋体"/>
          <w:color w:val="auto"/>
          <w:szCs w:val="21"/>
          <w:highlight w:val="none"/>
        </w:rPr>
        <w:t>选择</w:t>
      </w:r>
      <w:r>
        <w:rPr>
          <w:rFonts w:hint="eastAsia" w:ascii="宋体" w:hAnsi="宋体" w:cs="宋体"/>
          <w:color w:val="auto"/>
          <w:szCs w:val="21"/>
          <w:highlight w:val="none"/>
          <w:lang w:eastAsia="zh-CN"/>
        </w:rPr>
        <w:t>1家城镇和工业污水处理厂</w:t>
      </w:r>
      <w:r>
        <w:rPr>
          <w:rFonts w:ascii="宋体" w:hAnsi="宋体" w:cs="宋体"/>
          <w:color w:val="auto"/>
          <w:szCs w:val="21"/>
          <w:highlight w:val="none"/>
        </w:rPr>
        <w:t>，</w:t>
      </w:r>
      <w:r>
        <w:rPr>
          <w:rFonts w:hint="eastAsia" w:ascii="宋体" w:hAnsi="宋体" w:cs="宋体"/>
          <w:color w:val="auto"/>
          <w:szCs w:val="21"/>
          <w:highlight w:val="none"/>
        </w:rPr>
        <w:t>分别</w:t>
      </w:r>
      <w:r>
        <w:rPr>
          <w:rFonts w:ascii="宋体" w:hAnsi="宋体" w:cs="宋体"/>
          <w:color w:val="auto"/>
          <w:szCs w:val="21"/>
          <w:highlight w:val="none"/>
        </w:rPr>
        <w:t>在</w:t>
      </w:r>
      <w:r>
        <w:rPr>
          <w:rFonts w:hint="eastAsia" w:ascii="宋体" w:hAnsi="宋体" w:cs="宋体"/>
          <w:color w:val="auto"/>
          <w:szCs w:val="21"/>
          <w:highlight w:val="none"/>
        </w:rPr>
        <w:t>生活污水进口、工业废水进口和</w:t>
      </w:r>
      <w:r>
        <w:rPr>
          <w:rFonts w:ascii="宋体" w:hAnsi="宋体" w:cs="宋体"/>
          <w:color w:val="auto"/>
          <w:szCs w:val="21"/>
          <w:highlight w:val="none"/>
        </w:rPr>
        <w:t>排放口布置采样点。</w:t>
      </w:r>
    </w:p>
    <w:p w14:paraId="6233B8A8">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行业污水排放：</w:t>
      </w:r>
      <w:r>
        <w:rPr>
          <w:rFonts w:hint="eastAsia" w:ascii="宋体" w:hAnsi="宋体" w:cs="宋体"/>
          <w:color w:val="auto"/>
          <w:szCs w:val="21"/>
          <w:highlight w:val="none"/>
        </w:rPr>
        <w:t>在试点企业</w:t>
      </w:r>
      <w:r>
        <w:rPr>
          <w:rFonts w:ascii="宋体" w:hAnsi="宋体" w:cs="宋体"/>
          <w:color w:val="auto"/>
          <w:szCs w:val="21"/>
          <w:highlight w:val="none"/>
        </w:rPr>
        <w:t>总排口设置采样点。</w:t>
      </w:r>
      <w:r>
        <w:rPr>
          <w:rFonts w:hint="eastAsia" w:ascii="宋体" w:hAnsi="宋体" w:cs="宋体"/>
          <w:color w:val="auto"/>
          <w:szCs w:val="21"/>
          <w:highlight w:val="none"/>
        </w:rPr>
        <w:t>针对重点源清单，完成一轮监测废水或废气中特征新污染物监督性监测。</w:t>
      </w:r>
    </w:p>
    <w:p w14:paraId="220CB3B5">
      <w:pPr>
        <w:widowControl/>
        <w:spacing w:line="480" w:lineRule="exact"/>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地表水断面：按规范在</w:t>
      </w:r>
      <w:r>
        <w:rPr>
          <w:rFonts w:hint="eastAsia" w:ascii="宋体" w:hAnsi="宋体" w:cs="宋体"/>
          <w:color w:val="auto"/>
          <w:szCs w:val="21"/>
          <w:highlight w:val="none"/>
          <w:lang w:eastAsia="zh-CN"/>
        </w:rPr>
        <w:t>1家城镇和工业污水处理厂</w:t>
      </w:r>
      <w:r>
        <w:rPr>
          <w:rFonts w:ascii="宋体" w:hAnsi="宋体" w:cs="宋体"/>
          <w:color w:val="auto"/>
          <w:szCs w:val="21"/>
          <w:highlight w:val="none"/>
        </w:rPr>
        <w:t>排放口受纳水体上游设对照断面、下游设控制断面</w:t>
      </w:r>
      <w:r>
        <w:rPr>
          <w:rFonts w:hint="eastAsia" w:ascii="宋体" w:hAnsi="宋体" w:cs="宋体"/>
          <w:color w:val="auto"/>
          <w:szCs w:val="21"/>
          <w:highlight w:val="none"/>
        </w:rPr>
        <w:t>和消减断面</w:t>
      </w:r>
      <w:r>
        <w:rPr>
          <w:rFonts w:ascii="宋体" w:hAnsi="宋体" w:cs="宋体"/>
          <w:color w:val="auto"/>
          <w:szCs w:val="21"/>
          <w:highlight w:val="none"/>
        </w:rPr>
        <w:t>。在辖区</w:t>
      </w:r>
      <w:r>
        <w:rPr>
          <w:rFonts w:hint="eastAsia" w:ascii="宋体" w:hAnsi="宋体" w:cs="宋体"/>
          <w:color w:val="auto"/>
          <w:szCs w:val="21"/>
          <w:highlight w:val="none"/>
        </w:rPr>
        <w:t>选择黄村</w:t>
      </w:r>
      <w:r>
        <w:rPr>
          <w:rFonts w:ascii="宋体" w:hAnsi="宋体" w:cs="宋体"/>
          <w:color w:val="auto"/>
          <w:szCs w:val="21"/>
          <w:highlight w:val="none"/>
        </w:rPr>
        <w:t>饮用水源地设置采样点。</w:t>
      </w:r>
    </w:p>
    <w:p w14:paraId="67C9BEF3">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重点源清单的企业和监测指标（水和气）：</w:t>
      </w:r>
    </w:p>
    <w:p w14:paraId="08A687FE">
      <w:pPr>
        <w:widowControl/>
        <w:spacing w:line="480" w:lineRule="exact"/>
        <w:ind w:firstLine="420" w:firstLineChars="200"/>
        <w:jc w:val="left"/>
        <w:rPr>
          <w:rFonts w:hint="default" w:ascii="宋体" w:hAnsi="宋体" w:cs="宋体"/>
          <w:color w:val="auto"/>
          <w:szCs w:val="21"/>
          <w:highlight w:val="none"/>
        </w:rPr>
      </w:pPr>
      <w:r>
        <w:rPr>
          <w:rFonts w:hint="default" w:ascii="宋体" w:hAnsi="宋体" w:eastAsia="宋体" w:cs="宋体"/>
          <w:color w:val="auto"/>
          <w:sz w:val="21"/>
          <w:szCs w:val="21"/>
          <w:highlight w:val="none"/>
          <w:lang w:eastAsia="zh-CN"/>
        </w:rPr>
        <w:t>《</w:t>
      </w:r>
      <w:r>
        <w:rPr>
          <w:rFonts w:ascii="宋体" w:hAnsi="宋体" w:eastAsia="宋体" w:cs="宋体"/>
          <w:color w:val="auto"/>
          <w:kern w:val="2"/>
          <w:sz w:val="21"/>
          <w:szCs w:val="21"/>
          <w:highlight w:val="none"/>
        </w:rPr>
        <w:t>2024年新污染物治理工作要点</w:t>
      </w:r>
      <w:r>
        <w:rPr>
          <w:rFonts w:hint="default" w:ascii="宋体" w:hAnsi="宋体" w:eastAsia="宋体" w:cs="宋体"/>
          <w:color w:val="auto"/>
          <w:sz w:val="21"/>
          <w:szCs w:val="21"/>
          <w:highlight w:val="none"/>
          <w:lang w:eastAsia="zh-CN"/>
        </w:rPr>
        <w:t>》</w:t>
      </w:r>
      <w:r>
        <w:rPr>
          <w:rFonts w:ascii="宋体" w:hAnsi="宋体" w:eastAsia="宋体" w:cs="宋体"/>
          <w:color w:val="auto"/>
          <w:sz w:val="21"/>
          <w:szCs w:val="21"/>
          <w:highlight w:val="none"/>
        </w:rPr>
        <w:t>浙江省重点管控新污染物排放源清单</w:t>
      </w:r>
    </w:p>
    <w:p w14:paraId="7633AED5">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（3）监测频次：</w:t>
      </w:r>
    </w:p>
    <w:p w14:paraId="4DCE4549">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eastAsia="zh-CN"/>
        </w:rPr>
        <w:t>1家城镇和工业污水处理厂</w:t>
      </w:r>
      <w:r>
        <w:rPr>
          <w:rFonts w:hint="eastAsia" w:ascii="宋体" w:hAnsi="宋体" w:cs="宋体"/>
          <w:color w:val="auto"/>
          <w:szCs w:val="21"/>
          <w:highlight w:val="none"/>
        </w:rPr>
        <w:t>：1年2次，在11月底分别完成试点监测，监测与受纳水体同步。地表水（对照断面和控制断面）：1年2次，在11月底分别完成试点监测。地表水（饮用水源）：1年1次，在11月底完成试点监测。重点源清单的企业：1年1次，在11月底月完成监测。</w:t>
      </w:r>
    </w:p>
    <w:p w14:paraId="57A70C27">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要求于2024年11月底完成新污染物环境调查监测工作和数据上报。</w:t>
      </w:r>
    </w:p>
    <w:p w14:paraId="3E8A27DC">
      <w:pPr>
        <w:pStyle w:val="22"/>
        <w:numPr>
          <w:ilvl w:val="0"/>
          <w:numId w:val="11"/>
        </w:numPr>
        <w:spacing w:line="440" w:lineRule="exact"/>
        <w:ind w:firstLine="422" w:firstLineChars="200"/>
        <w:rPr>
          <w:rFonts w:hint="eastAsia" w:ascii="宋体" w:hAnsi="宋体" w:eastAsia="宋体" w:cs="宋体"/>
          <w:b/>
          <w:color w:val="auto"/>
          <w:sz w:val="21"/>
          <w:szCs w:val="21"/>
          <w:highlight w:val="none"/>
          <w:lang w:val="en-US"/>
        </w:rPr>
      </w:pPr>
      <w:bookmarkStart w:id="206" w:name="_Toc19495"/>
      <w:r>
        <w:rPr>
          <w:rFonts w:hint="eastAsia" w:ascii="宋体" w:hAnsi="宋体" w:eastAsia="宋体" w:cs="宋体"/>
          <w:b/>
          <w:color w:val="auto"/>
          <w:sz w:val="21"/>
          <w:szCs w:val="21"/>
          <w:highlight w:val="none"/>
          <w:lang w:val="en-US"/>
        </w:rPr>
        <w:t xml:space="preserve"> 进度要求及实施地点</w:t>
      </w:r>
    </w:p>
    <w:p w14:paraId="5527E7C8">
      <w:pPr>
        <w:ind w:firstLine="420" w:firstLineChars="200"/>
        <w:rPr>
          <w:color w:val="auto"/>
          <w:highlight w:val="none"/>
        </w:rPr>
      </w:pPr>
      <w:r>
        <w:rPr>
          <w:rFonts w:hint="eastAsia" w:ascii="宋体" w:hAnsi="宋体" w:cs="宋体"/>
          <w:color w:val="auto"/>
          <w:highlight w:val="none"/>
        </w:rPr>
        <w:t>（一）进度要求：</w:t>
      </w:r>
      <w:r>
        <w:rPr>
          <w:rFonts w:hint="eastAsia" w:cs="宋体"/>
          <w:color w:val="auto"/>
          <w:szCs w:val="21"/>
          <w:highlight w:val="none"/>
        </w:rPr>
        <w:t>__________</w:t>
      </w:r>
    </w:p>
    <w:p w14:paraId="76F3BAB8">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1"/>
          <w:highlight w:val="none"/>
        </w:rPr>
        <w:t>实施地点：满足采购需求的要求。</w:t>
      </w:r>
    </w:p>
    <w:bookmarkEnd w:id="206"/>
    <w:p w14:paraId="7F4F2797">
      <w:pPr>
        <w:numPr>
          <w:ilvl w:val="0"/>
          <w:numId w:val="12"/>
        </w:numPr>
        <w:spacing w:line="440" w:lineRule="exact"/>
        <w:ind w:firstLine="422" w:firstLineChars="200"/>
        <w:outlineLvl w:val="1"/>
        <w:rPr>
          <w:rFonts w:hint="eastAsia" w:ascii="宋体" w:hAnsi="宋体" w:cs="宋体"/>
          <w:b/>
          <w:bCs/>
          <w:color w:val="auto"/>
          <w:szCs w:val="21"/>
          <w:highlight w:val="none"/>
        </w:rPr>
      </w:pPr>
      <w:r>
        <w:rPr>
          <w:rFonts w:hint="eastAsia" w:ascii="宋体" w:hAnsi="宋体" w:cs="宋体"/>
          <w:b/>
          <w:color w:val="auto"/>
          <w:szCs w:val="21"/>
          <w:highlight w:val="none"/>
        </w:rPr>
        <w:t>合同</w:t>
      </w:r>
      <w:r>
        <w:rPr>
          <w:rFonts w:hint="eastAsia" w:ascii="宋体" w:hAnsi="宋体" w:cs="宋体"/>
          <w:b/>
          <w:bCs/>
          <w:color w:val="auto"/>
          <w:szCs w:val="21"/>
          <w:highlight w:val="none"/>
        </w:rPr>
        <w:t>价及付款方式</w:t>
      </w:r>
    </w:p>
    <w:p w14:paraId="1AAECAB6">
      <w:pPr>
        <w:snapToGrid w:val="0"/>
        <w:spacing w:before="120" w:beforeLines="50" w:after="120" w:afterLines="50" w:line="419" w:lineRule="atLeast"/>
        <w:ind w:firstLine="453"/>
        <w:rPr>
          <w:rFonts w:hint="eastAsia" w:ascii="宋体" w:hAnsi="宋体"/>
          <w:color w:val="auto"/>
          <w:szCs w:val="21"/>
          <w:highlight w:val="none"/>
        </w:rPr>
      </w:pPr>
      <w:r>
        <w:rPr>
          <w:rFonts w:hint="eastAsia" w:ascii="宋体" w:hAnsi="宋体" w:cs="宋体"/>
          <w:color w:val="auto"/>
          <w:szCs w:val="21"/>
          <w:highlight w:val="none"/>
        </w:rPr>
        <w:t>（一）</w:t>
      </w:r>
      <w:r>
        <w:rPr>
          <w:rFonts w:hint="eastAsia" w:ascii="宋体" w:hAnsi="宋体"/>
          <w:color w:val="auto"/>
          <w:szCs w:val="21"/>
          <w:highlight w:val="none"/>
        </w:rPr>
        <w:t>本合同总价为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元人民币。</w:t>
      </w:r>
    </w:p>
    <w:p w14:paraId="3EA36F86">
      <w:pPr>
        <w:snapToGrid w:val="0"/>
        <w:spacing w:before="120" w:beforeLines="50" w:after="120" w:afterLines="50" w:line="419" w:lineRule="atLeast"/>
        <w:ind w:firstLine="453"/>
        <w:rPr>
          <w:rFonts w:hint="eastAsia" w:ascii="宋体" w:hAnsi="宋体"/>
          <w:color w:val="auto"/>
          <w:szCs w:val="21"/>
          <w:highlight w:val="none"/>
        </w:rPr>
      </w:pPr>
      <w:r>
        <w:rPr>
          <w:rFonts w:hint="eastAsia" w:ascii="宋体" w:hAnsi="宋体"/>
          <w:color w:val="auto"/>
          <w:szCs w:val="21"/>
          <w:highlight w:val="none"/>
        </w:rPr>
        <w:t>分项价格：</w:t>
      </w:r>
      <w:r>
        <w:rPr>
          <w:rFonts w:hint="eastAsia" w:ascii="宋体" w:hAnsi="宋体"/>
          <w:color w:val="auto"/>
          <w:szCs w:val="21"/>
          <w:highlight w:val="none"/>
          <w:u w:val="single"/>
        </w:rPr>
        <w:t>　　　　　　　       　　　　　</w:t>
      </w:r>
    </w:p>
    <w:p w14:paraId="1EFA457E">
      <w:pPr>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（二）本项目合同价款由甲方支付给乙方，具体支付方式和时间如下：</w:t>
      </w:r>
    </w:p>
    <w:p w14:paraId="0248B623">
      <w:pPr>
        <w:widowControl/>
        <w:spacing w:line="480" w:lineRule="exact"/>
        <w:ind w:firstLine="420" w:firstLineChars="200"/>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1、合同生效且收到合同乙方出具的增值税普通发票后7个工作日内支付合同金额的50%作为预付款；</w:t>
      </w:r>
    </w:p>
    <w:p w14:paraId="3A801B81">
      <w:pPr>
        <w:spacing w:line="48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2、项目完成并验收通过在收到合同乙方出具的增值税普通发票后7个工作日内后支付尾款。</w:t>
      </w:r>
    </w:p>
    <w:p w14:paraId="656CFCD6">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（三）甲方应付合同款至以下乙方指定的银行账户：</w:t>
      </w:r>
    </w:p>
    <w:p w14:paraId="212C9B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1.开户名称：</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w:t>
      </w:r>
    </w:p>
    <w:p w14:paraId="475542D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2.开户银行：</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w:t>
      </w:r>
    </w:p>
    <w:p w14:paraId="2CF2937E">
      <w:pPr>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3.账    号：</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w:t>
      </w:r>
    </w:p>
    <w:p w14:paraId="71110AA2">
      <w:pPr>
        <w:spacing w:line="44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第六条  履约保证金：无</w:t>
      </w:r>
    </w:p>
    <w:p w14:paraId="35D1DC18">
      <w:pPr>
        <w:pStyle w:val="23"/>
        <w:spacing w:line="440" w:lineRule="exact"/>
        <w:ind w:firstLine="422" w:firstLineChars="200"/>
        <w:outlineLvl w:val="1"/>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第七条  服务人员</w:t>
      </w:r>
    </w:p>
    <w:p w14:paraId="4EF5464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（一）乙方应派遣一名具有专业知识的资深管理人员负责与甲方对接，负责本项目的项目管理，并根据实际状况调整乙方人员安排，以保证项目的正常高效运作。</w:t>
      </w:r>
    </w:p>
    <w:p w14:paraId="32960F8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应派出投标文件中指定资历和经验的专业服务人员提供服务，甲方有权要求撤换不合格的服务人员。若乙方原因，未经甲方书面同意，乙方不得擅自更换指定的服务人员，否则甲方有权解除合同，另行安排服务商，由此造成的损失由乙方承担。</w:t>
      </w:r>
    </w:p>
    <w:p w14:paraId="41DE5994">
      <w:pPr>
        <w:spacing w:line="440" w:lineRule="exact"/>
        <w:ind w:firstLine="422" w:firstLineChars="200"/>
        <w:rPr>
          <w:rFonts w:hint="eastAsia" w:ascii="宋体" w:hAnsi="宋体" w:cs="宋体"/>
          <w:b/>
          <w:bCs/>
          <w:color w:val="auto"/>
          <w:szCs w:val="21"/>
          <w:highlight w:val="none"/>
          <w:lang w:val="zh-CN"/>
        </w:rPr>
      </w:pPr>
      <w:r>
        <w:rPr>
          <w:rFonts w:hint="eastAsia" w:ascii="宋体" w:hAnsi="宋体" w:cs="宋体"/>
          <w:b/>
          <w:bCs/>
          <w:color w:val="auto"/>
          <w:szCs w:val="21"/>
          <w:highlight w:val="none"/>
        </w:rPr>
        <w:t xml:space="preserve">第八条 </w:t>
      </w:r>
      <w:r>
        <w:rPr>
          <w:rFonts w:hint="eastAsia" w:ascii="宋体" w:hAnsi="宋体" w:cs="宋体"/>
          <w:b/>
          <w:bCs/>
          <w:color w:val="auto"/>
          <w:szCs w:val="21"/>
          <w:highlight w:val="none"/>
          <w:lang w:val="zh-CN"/>
        </w:rPr>
        <w:t>质量保证及后续服务</w:t>
      </w:r>
    </w:p>
    <w:p w14:paraId="0A1F4A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（一）乙方应按招标文件规定向甲方提供服务。</w:t>
      </w:r>
    </w:p>
    <w:p w14:paraId="6D8176E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（二）乙方提供的服务成果在服务期内出现问题，乙方应负责免费提供后续服务。对达不到要求者，根据实际情况，经双方协商，可按以下办法处理：</w:t>
      </w:r>
    </w:p>
    <w:p w14:paraId="1ABAD5B5">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⑴重做：由乙方承担所发生的全部费用。</w:t>
      </w:r>
    </w:p>
    <w:p w14:paraId="0CA54252">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⑵贬值处理：由甲乙双方合议定价。</w:t>
      </w:r>
    </w:p>
    <w:p w14:paraId="3AEDF4CB">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⑶解除合同。</w:t>
      </w:r>
    </w:p>
    <w:p w14:paraId="55D4E1A4">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三</w:t>
      </w:r>
      <w:r>
        <w:rPr>
          <w:rFonts w:hint="eastAsia" w:ascii="宋体" w:hAnsi="宋体" w:cs="宋体"/>
          <w:color w:val="auto"/>
          <w:szCs w:val="21"/>
          <w:highlight w:val="none"/>
          <w:lang w:val="zh-CN"/>
        </w:rPr>
        <w:t>）如在</w:t>
      </w:r>
      <w:r>
        <w:rPr>
          <w:rFonts w:hint="eastAsia" w:ascii="宋体" w:hAnsi="宋体" w:cs="宋体"/>
          <w:color w:val="auto"/>
          <w:szCs w:val="21"/>
          <w:highlight w:val="none"/>
        </w:rPr>
        <w:t>服务</w:t>
      </w:r>
      <w:r>
        <w:rPr>
          <w:rFonts w:hint="eastAsia" w:ascii="宋体" w:hAnsi="宋体" w:cs="宋体"/>
          <w:color w:val="auto"/>
          <w:szCs w:val="21"/>
          <w:highlight w:val="none"/>
          <w:lang w:val="zh-CN"/>
        </w:rPr>
        <w:t>过程中发生问题，乙方在接到甲方通知后在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小时内到达甲方现场。</w:t>
      </w:r>
    </w:p>
    <w:p w14:paraId="62E13EDF">
      <w:pPr>
        <w:spacing w:line="4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四</w:t>
      </w:r>
      <w:r>
        <w:rPr>
          <w:rFonts w:hint="eastAsia" w:ascii="宋体" w:hAnsi="宋体" w:cs="宋体"/>
          <w:color w:val="auto"/>
          <w:szCs w:val="21"/>
          <w:highlight w:val="none"/>
          <w:lang w:val="zh-CN"/>
        </w:rPr>
        <w:t>）在服务期内，乙方应对出现的质量及安全问题负责处理解决并承担一切费用。</w:t>
      </w:r>
    </w:p>
    <w:p w14:paraId="7635D93C">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第九条  项目验收</w:t>
      </w:r>
    </w:p>
    <w:p w14:paraId="0ADBC60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（一）验收标准：由甲方根据招标文件要求进行验收。</w:t>
      </w:r>
    </w:p>
    <w:p w14:paraId="2C492F32">
      <w:pPr>
        <w:pStyle w:val="23"/>
        <w:spacing w:line="440" w:lineRule="exact"/>
        <w:ind w:firstLine="420" w:firstLineChars="200"/>
        <w:rPr>
          <w:rFonts w:hint="eastAsia" w:ascii="宋体" w:hAnsi="宋体" w:cs="宋体"/>
          <w:b/>
          <w:bCs/>
          <w:color w:val="auto"/>
          <w:sz w:val="21"/>
          <w:szCs w:val="21"/>
          <w:highlight w:val="none"/>
        </w:rPr>
      </w:pPr>
      <w:r>
        <w:rPr>
          <w:rFonts w:hint="eastAsia" w:ascii="宋体" w:hAnsi="宋体" w:cs="宋体"/>
          <w:color w:val="auto"/>
          <w:sz w:val="21"/>
          <w:szCs w:val="21"/>
          <w:highlight w:val="none"/>
        </w:rPr>
        <w:t>（二）验收文档：项目验收时，由乙方负责提供相关验收文档等。</w:t>
      </w:r>
    </w:p>
    <w:p w14:paraId="0EA46889">
      <w:pPr>
        <w:pStyle w:val="39"/>
        <w:spacing w:line="440" w:lineRule="exact"/>
        <w:ind w:left="0" w:leftChars="0" w:firstLine="411" w:firstLineChars="195"/>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第十条  税费</w:t>
      </w:r>
    </w:p>
    <w:p w14:paraId="544AFB4D">
      <w:pPr>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本合同执行中相关的一切税费均由乙方负担。 </w:t>
      </w:r>
    </w:p>
    <w:p w14:paraId="5B97A744">
      <w:pPr>
        <w:pStyle w:val="39"/>
        <w:spacing w:line="440" w:lineRule="exact"/>
        <w:ind w:left="0" w:leftChars="0" w:firstLine="411" w:firstLineChars="195"/>
        <w:jc w:val="left"/>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第十一条 </w:t>
      </w:r>
      <w:r>
        <w:rPr>
          <w:rFonts w:hint="eastAsia" w:ascii="宋体" w:hAnsi="宋体"/>
          <w:b/>
          <w:color w:val="auto"/>
          <w:sz w:val="24"/>
          <w:szCs w:val="21"/>
          <w:highlight w:val="none"/>
        </w:rPr>
        <w:t>使用合同文件和资料</w:t>
      </w:r>
    </w:p>
    <w:p w14:paraId="63F8C3E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 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14:paraId="59814E5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 没有甲方事先书面同意，除了履行本合同之外，乙方不应使用第十条款（一）所列举的任何文件和资料。</w:t>
      </w:r>
    </w:p>
    <w:p w14:paraId="50A7210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（三）除了合同本身外，第十条款（一）所列举的任何文件是甲方的财产。如果甲方有要求，乙方应在完成合同后将这些文件及全部复制件归还给甲方。</w:t>
      </w:r>
    </w:p>
    <w:p w14:paraId="36AA863F">
      <w:pPr>
        <w:snapToGrid w:val="0"/>
        <w:spacing w:line="44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第十二条 经营制约</w:t>
      </w:r>
    </w:p>
    <w:p w14:paraId="46ECF90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乙方不得以甲方的名义从事任何经济活动，且由此发生的一切债权、债务与甲方无关。</w:t>
      </w:r>
    </w:p>
    <w:p w14:paraId="0C1A48BA">
      <w:pPr>
        <w:snapToGrid w:val="0"/>
        <w:spacing w:line="440" w:lineRule="exact"/>
        <w:ind w:firstLine="422" w:firstLineChars="200"/>
        <w:jc w:val="left"/>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第十三条 违约金或者损失赔偿的计算方法</w:t>
      </w:r>
    </w:p>
    <w:p w14:paraId="6764D079">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（一）甲方无正当理由拒收接受服务的，甲方向乙方偿付合同款项百分之五作为违约金。</w:t>
      </w:r>
    </w:p>
    <w:p w14:paraId="219EA80C">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二）乙方未能如期提供服务的，每日向甲方支付合同款项的千分之六作为违约金。乙方超过约定日期10个工作日仍不能提供服务的，甲方可解除本合同。乙方因未能如期提供服务或因其他违约行为导致甲方解除合同的，乙方除退还甲方已支付的款项外，还应向甲方支付合同总值10%的违约金，如造成甲方损失超过违约金的，超出部分由乙方继续承担赔偿责任。</w:t>
      </w:r>
    </w:p>
    <w:p w14:paraId="5EA19206">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三）本合同服务须由乙方直接供应，不得转让、转包他人供应；否则，甲方有权解除合同、拒付（或要求退还）合同价款并要求乙方支付合同总价款10%的违约金，并要求乙方对其违约行为给甲方造成的损失进行赔偿。</w:t>
      </w:r>
    </w:p>
    <w:p w14:paraId="776BDCD3">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（四）乙方所供服务侵犯第三方知识产权的，乙方应承担由此造成的所有损失（包括但不限于侵权赔偿款、诉讼费、律师费、向甲方退还已收全款并按合同总价款的10%支付违约金等）。</w:t>
      </w:r>
    </w:p>
    <w:p w14:paraId="00037308">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如上述违约金不足以弥补实际损失的,则须赔偿全部实际损失。</w:t>
      </w:r>
    </w:p>
    <w:p w14:paraId="1F60AE6F">
      <w:pPr>
        <w:snapToGrid w:val="0"/>
        <w:spacing w:line="440" w:lineRule="exact"/>
        <w:ind w:firstLine="422" w:firstLineChars="200"/>
        <w:jc w:val="left"/>
        <w:textAlignment w:val="baseline"/>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第十四条  违约终止合同</w:t>
      </w:r>
    </w:p>
    <w:p w14:paraId="5B109877">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（一）如果乙方有下述违约行为或招标文件中规定的其它违约行为的情况，甲方可以向乙方发出书面违约通知，全部或部分地终止合同，在这些情况下，并不影响甲方向乙方提出的索赔：</w:t>
      </w:r>
    </w:p>
    <w:p w14:paraId="26B5E11D">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（1）乙方未能在合同规定的限期或甲方同意延长的最终限期内提供全部或部分服务项目、技术文件；</w:t>
      </w:r>
    </w:p>
    <w:p w14:paraId="2A89E975">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（2）乙方未能使合同的服务项目达到合同附件规定的最低技术要求；</w:t>
      </w:r>
    </w:p>
    <w:p w14:paraId="07CDF1C4">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（3）乙方未能履行合同规定的其它义务（细微义务除外），且乙方在收到甲方发出的违约通知后30天内或经甲方书面认可延长的时间内未能纠正其违约行为。 </w:t>
      </w:r>
    </w:p>
    <w:p w14:paraId="02C0B1E4">
      <w:pPr>
        <w:snapToGrid w:val="0"/>
        <w:spacing w:line="440" w:lineRule="exact"/>
        <w:ind w:firstLine="420" w:firstLineChars="200"/>
        <w:jc w:val="left"/>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二）在甲方根据第十七条款（一）的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14:paraId="35752875">
      <w:pPr>
        <w:snapToGrid w:val="0"/>
        <w:spacing w:before="120" w:beforeLines="50" w:after="120" w:afterLines="50" w:line="440" w:lineRule="exact"/>
        <w:ind w:firstLine="422" w:firstLineChars="200"/>
        <w:rPr>
          <w:rFonts w:hint="eastAsia" w:ascii="宋体" w:hAnsi="宋体" w:cs="宋体"/>
          <w:b/>
          <w:color w:val="auto"/>
          <w:sz w:val="24"/>
          <w:szCs w:val="21"/>
          <w:highlight w:val="none"/>
        </w:rPr>
      </w:pPr>
      <w:r>
        <w:rPr>
          <w:rFonts w:hint="eastAsia" w:ascii="宋体" w:hAnsi="宋体" w:cs="宋体"/>
          <w:b/>
          <w:bCs/>
          <w:color w:val="auto"/>
          <w:kern w:val="0"/>
          <w:szCs w:val="21"/>
          <w:highlight w:val="none"/>
        </w:rPr>
        <w:t xml:space="preserve">第十五条  </w:t>
      </w:r>
      <w:r>
        <w:rPr>
          <w:rFonts w:hint="eastAsia" w:ascii="宋体" w:hAnsi="宋体" w:cs="宋体"/>
          <w:b/>
          <w:color w:val="auto"/>
          <w:sz w:val="24"/>
          <w:szCs w:val="21"/>
          <w:highlight w:val="none"/>
        </w:rPr>
        <w:t>其他情况终止合同</w:t>
      </w:r>
    </w:p>
    <w:p w14:paraId="6A9DE5E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（一）如果乙方破产或发生资不抵债的情况，甲方可在任何时候以书面通知终止合同，而不给对方补偿。该终止合同将不损害或影响甲方已经采取或将要采取的补救措施的权利。</w:t>
      </w:r>
    </w:p>
    <w:p w14:paraId="468A82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（二）如果甲方认定乙方在竞标、采购和合同执行等过程中有腐败或欺诈行为，甲方有权在任何时候发出书面通知终止合同。</w:t>
      </w:r>
    </w:p>
    <w:p w14:paraId="4AB494B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（三）如果合同履行过程中出现危害国家利益和社会公众利益的，甲方有权在任何时候发出书面通知终止合同。</w:t>
      </w:r>
    </w:p>
    <w:p w14:paraId="0CBA0FCB">
      <w:pPr>
        <w:snapToGrid w:val="0"/>
        <w:spacing w:line="440" w:lineRule="exact"/>
        <w:ind w:firstLine="422" w:firstLineChars="200"/>
        <w:jc w:val="left"/>
        <w:textAlignment w:val="baseline"/>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第十六条  不可抗力事件处理</w:t>
      </w:r>
    </w:p>
    <w:p w14:paraId="58FC940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14:paraId="6CC7634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14:paraId="38385E01">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第十七条  风险承担</w:t>
      </w:r>
    </w:p>
    <w:p w14:paraId="657B23A7">
      <w:pPr>
        <w:spacing w:line="44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在合同执行期限内，乙方应对可能出现的风险自行承担一切责任。</w:t>
      </w:r>
    </w:p>
    <w:p w14:paraId="4013AEF6">
      <w:pPr>
        <w:pStyle w:val="39"/>
        <w:spacing w:line="440" w:lineRule="exact"/>
        <w:ind w:left="0" w:leftChars="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第十八条  转包或分包</w:t>
      </w:r>
    </w:p>
    <w:p w14:paraId="4E2BDF6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（一）合同转让 </w:t>
      </w:r>
    </w:p>
    <w:p w14:paraId="0426F3B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采购合同不能转让。 </w:t>
      </w:r>
    </w:p>
    <w:p w14:paraId="6560D0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（二）合同分包 </w:t>
      </w:r>
    </w:p>
    <w:p w14:paraId="4E2FA05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4267E1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分包金额：【</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3BF644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接受分包的人：【</w:t>
      </w:r>
      <w:r>
        <w:rPr>
          <w:rFonts w:hint="eastAsia" w:ascii="宋体" w:hAnsi="宋体" w:cs="宋体"/>
          <w:color w:val="auto"/>
          <w:szCs w:val="21"/>
          <w:highlight w:val="none"/>
          <w:u w:val="single"/>
        </w:rPr>
        <w:t xml:space="preserve">  </w:t>
      </w:r>
      <w:r>
        <w:rPr>
          <w:rFonts w:hint="eastAsia" w:ascii="宋体" w:hAnsi="宋体" w:cs="宋体"/>
          <w:i/>
          <w:iCs/>
          <w:color w:val="auto"/>
          <w:szCs w:val="21"/>
          <w:highlight w:val="none"/>
          <w:u w:val="single"/>
        </w:rPr>
        <w:t>签订合同时填写相应内容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077260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接受分包的人不得再次分包。分包后不能解除乙方履行本合同的责任和义务，接受分包的人与乙方共同对甲方连带承担合同的责任和义务。</w:t>
      </w:r>
    </w:p>
    <w:p w14:paraId="75F9B3E6">
      <w:pPr>
        <w:pStyle w:val="39"/>
        <w:spacing w:line="440" w:lineRule="exact"/>
        <w:ind w:left="420" w:left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第十九条 其他要求</w:t>
      </w:r>
    </w:p>
    <w:p w14:paraId="07777FF6">
      <w:pPr>
        <w:spacing w:line="440" w:lineRule="exact"/>
        <w:ind w:left="210" w:firstLine="210" w:firstLineChars="100"/>
        <w:rPr>
          <w:rFonts w:hint="eastAsia" w:ascii="宋体" w:hAnsi="宋体" w:cs="宋体"/>
          <w:color w:val="auto"/>
          <w:szCs w:val="21"/>
          <w:highlight w:val="none"/>
        </w:rPr>
      </w:pPr>
      <w:r>
        <w:rPr>
          <w:rFonts w:hint="eastAsia" w:ascii="宋体" w:hAnsi="宋体" w:cs="宋体"/>
          <w:color w:val="auto"/>
          <w:szCs w:val="21"/>
          <w:highlight w:val="none"/>
        </w:rPr>
        <w:t>（一）知识产权</w:t>
      </w:r>
    </w:p>
    <w:p w14:paraId="0E74B3B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乙方在使用非乙方的设计成果时，应征得非乙方同意。若发生由此造成的任何纠纷，一切法律责任及给甲方造成的损失由乙方承担。</w:t>
      </w:r>
    </w:p>
    <w:p w14:paraId="2E1E776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（二）信息隐私安全保护</w:t>
      </w:r>
    </w:p>
    <w:p w14:paraId="61D765A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乙方在提供交付的活动中，需保证服务过程涉及单位、个人的数据隐私和信息安全。</w:t>
      </w:r>
    </w:p>
    <w:p w14:paraId="1F64DE6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（三）保密要求</w:t>
      </w:r>
    </w:p>
    <w:p w14:paraId="7BB55B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乙方在项目实施过程中，遵循甲方的保密要求，项目涉及的业务资料、技术资料、数据等应严格保密，不得扩散。</w:t>
      </w:r>
    </w:p>
    <w:p w14:paraId="777C8E2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（四）安全责任</w:t>
      </w:r>
    </w:p>
    <w:p w14:paraId="0066980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在项目实施过程中发生的一切人身意外事故由其自行负责，与甲方无关，由乙方承担赔偿义务。合同期内发生责任事故或乙方在质保期内因安装、材质等过错或疏忽造成的第三方损害，由乙方负责处理并承担相应责任，甲方不承担任何责任。</w:t>
      </w:r>
    </w:p>
    <w:p w14:paraId="7AE33C5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（五）乙方在履行合同过程中，应自觉遵守国家法律、法规及相关规定，加强自身安全管理，如发生任何违法、违规事件或安全事故，均由乙方负全部责任，甲方不承担任何责任。</w:t>
      </w:r>
    </w:p>
    <w:p w14:paraId="7A8F338B">
      <w:pPr>
        <w:pStyle w:val="39"/>
        <w:spacing w:line="440" w:lineRule="exact"/>
        <w:ind w:left="0" w:leftChars="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第二十条  争端的解决</w:t>
      </w:r>
    </w:p>
    <w:p w14:paraId="62B94478">
      <w:pPr>
        <w:pStyle w:val="39"/>
        <w:spacing w:line="440" w:lineRule="exact"/>
        <w:ind w:left="0" w:leftChars="0"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（一）因履行本合同引起的或与本合同有关的争议，甲、乙双方应首先通过友好协商解决，如果协商不能解决争议，则采取以下第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种方式解决争议：</w:t>
      </w:r>
    </w:p>
    <w:p w14:paraId="78849BDD">
      <w:pPr>
        <w:pStyle w:val="39"/>
        <w:spacing w:line="440" w:lineRule="exact"/>
        <w:ind w:left="0" w:leftChars="0"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（1）向甲方所在地有管辖权的人民法院提起诉讼；</w:t>
      </w:r>
    </w:p>
    <w:p w14:paraId="125C592F">
      <w:pPr>
        <w:pStyle w:val="39"/>
        <w:spacing w:line="440" w:lineRule="exact"/>
        <w:ind w:left="0" w:leftChars="0"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（2）向</w:t>
      </w:r>
      <w:r>
        <w:rPr>
          <w:rFonts w:hint="eastAsia" w:ascii="宋体" w:hAnsi="宋体" w:cs="宋体"/>
          <w:color w:val="auto"/>
          <w:szCs w:val="21"/>
          <w:highlight w:val="none"/>
          <w:u w:val="single"/>
        </w:rPr>
        <w:t xml:space="preserve"> 丽水 </w:t>
      </w:r>
      <w:r>
        <w:rPr>
          <w:rFonts w:hint="eastAsia" w:ascii="宋体" w:hAnsi="宋体" w:cs="宋体"/>
          <w:color w:val="auto"/>
          <w:szCs w:val="21"/>
          <w:highlight w:val="none"/>
        </w:rPr>
        <w:t>仲裁委员会按其仲裁规则申请仲裁。</w:t>
      </w:r>
    </w:p>
    <w:p w14:paraId="7BD62920">
      <w:pPr>
        <w:pStyle w:val="39"/>
        <w:spacing w:line="440" w:lineRule="exact"/>
        <w:ind w:left="0" w:leftChars="0" w:firstLine="409" w:firstLineChars="195"/>
        <w:jc w:val="left"/>
        <w:outlineLvl w:val="2"/>
        <w:rPr>
          <w:rFonts w:hint="eastAsia" w:ascii="宋体" w:hAnsi="宋体" w:cs="宋体"/>
          <w:color w:val="auto"/>
          <w:szCs w:val="21"/>
          <w:highlight w:val="none"/>
        </w:rPr>
      </w:pPr>
      <w:r>
        <w:rPr>
          <w:rFonts w:hint="eastAsia" w:ascii="宋体" w:hAnsi="宋体" w:cs="宋体"/>
          <w:color w:val="auto"/>
          <w:szCs w:val="21"/>
          <w:highlight w:val="none"/>
        </w:rPr>
        <w:t>（二）在仲裁期间，本合同应继续履行。</w:t>
      </w:r>
    </w:p>
    <w:p w14:paraId="61F4B4A6">
      <w:pPr>
        <w:snapToGrid w:val="0"/>
        <w:spacing w:before="120" w:beforeLines="50" w:after="120" w:afterLines="50" w:line="440" w:lineRule="exact"/>
        <w:ind w:firstLine="422" w:firstLineChars="200"/>
        <w:rPr>
          <w:rFonts w:hint="eastAsia" w:ascii="宋体" w:hAnsi="宋体" w:cs="宋体"/>
          <w:b/>
          <w:color w:val="auto"/>
          <w:sz w:val="24"/>
          <w:szCs w:val="21"/>
          <w:highlight w:val="none"/>
        </w:rPr>
      </w:pPr>
      <w:r>
        <w:rPr>
          <w:rFonts w:hint="eastAsia" w:ascii="宋体" w:hAnsi="宋体" w:cs="宋体"/>
          <w:b/>
          <w:bCs/>
          <w:color w:val="auto"/>
          <w:szCs w:val="21"/>
          <w:highlight w:val="none"/>
        </w:rPr>
        <w:t>第二十一条 通知</w:t>
      </w:r>
    </w:p>
    <w:p w14:paraId="03C3203F">
      <w:pPr>
        <w:snapToGrid w:val="0"/>
        <w:spacing w:before="120" w:beforeLines="50" w:after="120"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（一）本合同任何一方给另一方的通知，都应以书面或传真的形式发送，而另一方应以书面或传真形式确认，回复对方。</w:t>
      </w:r>
    </w:p>
    <w:p w14:paraId="6FB8BF7D">
      <w:pPr>
        <w:snapToGrid w:val="0"/>
        <w:spacing w:before="120" w:beforeLines="50" w:after="120" w:afterLines="50"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（二）通知以送到日期或通知书的生效日起为生效日期，两者中以较晚的一个日期为准。</w:t>
      </w:r>
    </w:p>
    <w:p w14:paraId="1D971DD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（三）鉴于甲方将按照本合同向乙方支付款项，乙方在此保证全部按照合同的规定向甲方提供服务并修补缺陷。</w:t>
      </w:r>
    </w:p>
    <w:p w14:paraId="4961801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（四）鉴于乙方将按本合同规定提供服务并修补缺陷，甲方在此保证按照合同规定的时间和方式向乙方支付合同价或其它按合同应支付的金额。</w:t>
      </w:r>
    </w:p>
    <w:p w14:paraId="3C7B3C1C">
      <w:pPr>
        <w:snapToGrid w:val="0"/>
        <w:spacing w:before="120" w:beforeLines="50" w:after="120" w:afterLines="50" w:line="419" w:lineRule="atLeast"/>
        <w:ind w:firstLine="422" w:firstLineChars="200"/>
        <w:rPr>
          <w:rFonts w:ascii="宋体"/>
          <w:b/>
          <w:color w:val="auto"/>
          <w:sz w:val="24"/>
          <w:highlight w:val="none"/>
        </w:rPr>
      </w:pPr>
      <w:r>
        <w:rPr>
          <w:rFonts w:hint="eastAsia" w:ascii="宋体" w:hAnsi="宋体" w:cs="宋体"/>
          <w:b/>
          <w:bCs/>
          <w:color w:val="auto"/>
          <w:szCs w:val="21"/>
          <w:highlight w:val="none"/>
        </w:rPr>
        <w:t xml:space="preserve">第二十二条 </w:t>
      </w:r>
      <w:r>
        <w:rPr>
          <w:rFonts w:hint="eastAsia" w:ascii="宋体" w:hAnsi="宋体" w:cs="宋体"/>
          <w:b/>
          <w:bCs/>
          <w:color w:val="auto"/>
          <w:szCs w:val="21"/>
          <w:highlight w:val="none"/>
          <w:lang w:val="en-US" w:eastAsia="zh-CN"/>
        </w:rPr>
        <w:t xml:space="preserve"> </w:t>
      </w:r>
      <w:r>
        <w:rPr>
          <w:rFonts w:hint="eastAsia" w:ascii="宋体"/>
          <w:b/>
          <w:color w:val="auto"/>
          <w:sz w:val="22"/>
          <w:szCs w:val="22"/>
          <w:highlight w:val="none"/>
        </w:rPr>
        <w:t>其他约定事项</w:t>
      </w:r>
      <w:r>
        <w:rPr>
          <w:rFonts w:hint="eastAsia" w:cs="宋体"/>
          <w:color w:val="auto"/>
          <w:szCs w:val="21"/>
          <w:highlight w:val="none"/>
        </w:rPr>
        <w:t>________________________________</w:t>
      </w:r>
    </w:p>
    <w:p w14:paraId="5EBDC487">
      <w:pPr>
        <w:pStyle w:val="39"/>
        <w:spacing w:line="440" w:lineRule="exact"/>
        <w:ind w:left="0" w:leftChars="0" w:firstLine="422" w:firstLineChars="200"/>
        <w:jc w:val="left"/>
        <w:outlineLvl w:val="1"/>
        <w:rPr>
          <w:rFonts w:hint="eastAsia" w:ascii="宋体" w:hAnsi="宋体" w:cs="宋体"/>
          <w:b/>
          <w:bCs/>
          <w:color w:val="auto"/>
          <w:szCs w:val="21"/>
          <w:highlight w:val="none"/>
        </w:rPr>
      </w:pPr>
      <w:r>
        <w:rPr>
          <w:rFonts w:hint="eastAsia" w:ascii="宋体" w:hAnsi="宋体" w:cs="宋体"/>
          <w:b/>
          <w:bCs/>
          <w:color w:val="auto"/>
          <w:szCs w:val="21"/>
          <w:highlight w:val="none"/>
        </w:rPr>
        <w:t>第二十三条  合同生效</w:t>
      </w:r>
    </w:p>
    <w:p w14:paraId="31295E63">
      <w:pPr>
        <w:pStyle w:val="39"/>
        <w:spacing w:line="440" w:lineRule="exact"/>
        <w:ind w:left="0" w:leftChars="0"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（一）合同经双方法定代表人或委托代理人签字并加盖单位公章后生效。</w:t>
      </w:r>
    </w:p>
    <w:p w14:paraId="1B16D2A9">
      <w:pPr>
        <w:pStyle w:val="39"/>
        <w:spacing w:line="440" w:lineRule="exact"/>
        <w:ind w:left="0" w:leftChars="0" w:firstLine="409" w:firstLineChars="195"/>
        <w:jc w:val="left"/>
        <w:rPr>
          <w:rFonts w:hint="eastAsia" w:ascii="宋体" w:hAnsi="宋体" w:cs="宋体"/>
          <w:color w:val="auto"/>
          <w:szCs w:val="21"/>
          <w:highlight w:val="none"/>
        </w:rPr>
      </w:pPr>
      <w:r>
        <w:rPr>
          <w:rFonts w:hint="eastAsia" w:ascii="宋体" w:hAnsi="宋体" w:cs="宋体"/>
          <w:color w:val="auto"/>
          <w:szCs w:val="21"/>
          <w:highlight w:val="none"/>
        </w:rPr>
        <w:t>（二）合同执行中涉及采购资金和采购内容修改或补充的，须经财政部门审批，并签书面补充协议报政府采购监督管理部门备案，方可作为主合同不可分割的一部分。</w:t>
      </w:r>
    </w:p>
    <w:p w14:paraId="559C56F0">
      <w:pPr>
        <w:spacing w:line="440" w:lineRule="exact"/>
        <w:ind w:firstLine="420" w:firstLineChars="200"/>
        <w:rPr>
          <w:rFonts w:hint="eastAsia" w:ascii="宋体" w:hAnsi="宋体" w:cs="宋体"/>
          <w:color w:val="auto"/>
          <w:szCs w:val="21"/>
          <w:highlight w:val="none"/>
        </w:rPr>
      </w:pPr>
      <w:bookmarkStart w:id="207" w:name="_Toc1471"/>
      <w:r>
        <w:rPr>
          <w:rFonts w:hint="eastAsia" w:ascii="宋体" w:hAnsi="宋体" w:cs="宋体"/>
          <w:color w:val="auto"/>
          <w:szCs w:val="21"/>
          <w:highlight w:val="none"/>
        </w:rPr>
        <w:t>（三）本合同未尽事宜，遵照《中华人民共和国民法典》有关条文执行。</w:t>
      </w:r>
    </w:p>
    <w:p w14:paraId="69C0223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（四）本合同一式四份，具有同等法律效力，甲乙双方各执二份。</w:t>
      </w:r>
    </w:p>
    <w:bookmarkEnd w:id="207"/>
    <w:p w14:paraId="0AED301C">
      <w:pPr>
        <w:snapToGrid w:val="0"/>
        <w:spacing w:before="119" w:line="440" w:lineRule="exact"/>
        <w:ind w:firstLine="420" w:firstLineChars="200"/>
        <w:rPr>
          <w:rFonts w:hint="eastAsia" w:ascii="宋体" w:hAnsi="宋体" w:cs="宋体"/>
          <w:color w:val="auto"/>
          <w:szCs w:val="21"/>
          <w:highlight w:val="none"/>
        </w:rPr>
      </w:pPr>
    </w:p>
    <w:p w14:paraId="485B6861">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　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乙　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5C032A4">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名　称：(印章)　　　       </w:t>
      </w:r>
      <w:r>
        <w:rPr>
          <w:rFonts w:hint="eastAsia" w:ascii="宋体" w:hAnsi="宋体" w:cs="宋体"/>
          <w:color w:val="auto"/>
          <w:szCs w:val="21"/>
          <w:highlight w:val="none"/>
        </w:rPr>
        <w:tab/>
      </w:r>
      <w:r>
        <w:rPr>
          <w:rFonts w:hint="eastAsia" w:ascii="宋体" w:hAnsi="宋体" w:cs="宋体"/>
          <w:color w:val="auto"/>
          <w:szCs w:val="21"/>
          <w:highlight w:val="none"/>
        </w:rPr>
        <w:t xml:space="preserve">             名　称：(印章)            </w:t>
      </w:r>
    </w:p>
    <w:p w14:paraId="6963C2E0">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年　月　日　　　　　　　                 年　月　日               </w:t>
      </w:r>
    </w:p>
    <w:p w14:paraId="3337EA9C">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授权代表(签字或盖章)：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03303758">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6BC7E82F">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6F233C46">
      <w:pPr>
        <w:snapToGrid w:val="0"/>
        <w:spacing w:before="119"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35CC3B3F">
      <w:pPr>
        <w:snapToGrid w:val="0"/>
        <w:spacing w:line="44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ab/>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p>
    <w:p w14:paraId="7709B66D">
      <w:pPr>
        <w:pStyle w:val="48"/>
        <w:adjustRightInd w:val="0"/>
        <w:snapToGrid w:val="0"/>
        <w:spacing w:line="440" w:lineRule="exact"/>
        <w:ind w:firstLine="420" w:firstLineChars="200"/>
        <w:rPr>
          <w:rFonts w:hint="eastAsia" w:cs="宋体"/>
          <w:color w:val="auto"/>
          <w:sz w:val="21"/>
          <w:szCs w:val="21"/>
          <w:highlight w:val="none"/>
        </w:rPr>
      </w:pPr>
    </w:p>
    <w:p w14:paraId="4AA86BEF">
      <w:pPr>
        <w:pStyle w:val="48"/>
        <w:adjustRightInd w:val="0"/>
        <w:snapToGrid w:val="0"/>
        <w:spacing w:line="440" w:lineRule="exact"/>
        <w:ind w:firstLine="420" w:firstLineChars="200"/>
        <w:rPr>
          <w:rFonts w:hint="eastAsia" w:cs="宋体"/>
          <w:color w:val="auto"/>
          <w:sz w:val="21"/>
          <w:szCs w:val="21"/>
          <w:highlight w:val="none"/>
        </w:rPr>
      </w:pPr>
      <w:r>
        <w:rPr>
          <w:rFonts w:hint="eastAsia" w:cs="宋体"/>
          <w:color w:val="auto"/>
          <w:sz w:val="21"/>
          <w:szCs w:val="21"/>
          <w:highlight w:val="none"/>
        </w:rPr>
        <w:t>签 约 地：丽水                           签约日期：   年  月   日</w:t>
      </w:r>
    </w:p>
    <w:p w14:paraId="3A417EE0">
      <w:pPr>
        <w:pStyle w:val="48"/>
        <w:adjustRightInd w:val="0"/>
        <w:snapToGrid w:val="0"/>
        <w:spacing w:line="440" w:lineRule="exact"/>
        <w:rPr>
          <w:rFonts w:hint="eastAsia" w:cs="宋体"/>
          <w:color w:val="auto"/>
          <w:sz w:val="21"/>
          <w:szCs w:val="21"/>
          <w:highlight w:val="none"/>
        </w:rPr>
      </w:pPr>
    </w:p>
    <w:p w14:paraId="7DAD230D">
      <w:pPr>
        <w:pStyle w:val="48"/>
        <w:adjustRightInd w:val="0"/>
        <w:snapToGrid w:val="0"/>
        <w:spacing w:line="440" w:lineRule="exact"/>
        <w:ind w:firstLine="422" w:firstLineChars="200"/>
        <w:rPr>
          <w:rFonts w:hint="eastAsia" w:cs="宋体"/>
          <w:b/>
          <w:bCs/>
          <w:color w:val="auto"/>
          <w:sz w:val="21"/>
          <w:szCs w:val="21"/>
          <w:highlight w:val="none"/>
        </w:rPr>
      </w:pPr>
    </w:p>
    <w:p w14:paraId="76269518">
      <w:pPr>
        <w:pStyle w:val="48"/>
        <w:adjustRightInd w:val="0"/>
        <w:snapToGrid w:val="0"/>
        <w:spacing w:line="520" w:lineRule="exact"/>
        <w:ind w:firstLine="422" w:firstLineChars="200"/>
        <w:rPr>
          <w:rFonts w:hint="eastAsia" w:cs="宋体"/>
          <w:b/>
          <w:bCs/>
          <w:color w:val="auto"/>
          <w:sz w:val="21"/>
          <w:szCs w:val="21"/>
          <w:highlight w:val="none"/>
        </w:rPr>
      </w:pPr>
    </w:p>
    <w:p w14:paraId="41329ECC">
      <w:pPr>
        <w:pStyle w:val="48"/>
        <w:adjustRightInd w:val="0"/>
        <w:snapToGrid w:val="0"/>
        <w:spacing w:line="520" w:lineRule="exact"/>
        <w:ind w:firstLine="422" w:firstLineChars="200"/>
        <w:rPr>
          <w:rFonts w:hint="eastAsia" w:cs="宋体"/>
          <w:b/>
          <w:bCs/>
          <w:color w:val="auto"/>
          <w:sz w:val="21"/>
          <w:szCs w:val="21"/>
          <w:highlight w:val="none"/>
        </w:rPr>
      </w:pPr>
    </w:p>
    <w:p w14:paraId="509ED560">
      <w:pPr>
        <w:pStyle w:val="48"/>
        <w:adjustRightInd w:val="0"/>
        <w:snapToGrid w:val="0"/>
        <w:spacing w:line="520" w:lineRule="exact"/>
        <w:ind w:firstLine="422" w:firstLineChars="200"/>
        <w:rPr>
          <w:rFonts w:hint="eastAsia" w:cs="宋体"/>
          <w:b/>
          <w:bCs/>
          <w:color w:val="auto"/>
          <w:sz w:val="21"/>
          <w:szCs w:val="21"/>
          <w:highlight w:val="none"/>
        </w:rPr>
      </w:pPr>
    </w:p>
    <w:p w14:paraId="355BA551">
      <w:pPr>
        <w:pStyle w:val="48"/>
        <w:adjustRightInd w:val="0"/>
        <w:snapToGrid w:val="0"/>
        <w:spacing w:line="520" w:lineRule="exact"/>
        <w:ind w:firstLine="422" w:firstLineChars="200"/>
        <w:rPr>
          <w:rFonts w:hint="eastAsia" w:cs="宋体"/>
          <w:b/>
          <w:bCs/>
          <w:color w:val="auto"/>
          <w:sz w:val="21"/>
          <w:szCs w:val="21"/>
          <w:highlight w:val="none"/>
        </w:rPr>
      </w:pPr>
    </w:p>
    <w:p w14:paraId="4E02D34C">
      <w:pPr>
        <w:pStyle w:val="48"/>
        <w:adjustRightInd w:val="0"/>
        <w:snapToGrid w:val="0"/>
        <w:spacing w:line="520" w:lineRule="exact"/>
        <w:ind w:firstLine="422" w:firstLineChars="200"/>
        <w:rPr>
          <w:rFonts w:hint="eastAsia" w:cs="宋体"/>
          <w:b/>
          <w:bCs/>
          <w:color w:val="auto"/>
          <w:sz w:val="21"/>
          <w:szCs w:val="21"/>
          <w:highlight w:val="none"/>
        </w:rPr>
      </w:pPr>
    </w:p>
    <w:p w14:paraId="7E851BF1">
      <w:pPr>
        <w:pStyle w:val="4"/>
        <w:numPr>
          <w:ilvl w:val="0"/>
          <w:numId w:val="13"/>
        </w:numPr>
        <w:spacing w:line="560" w:lineRule="exact"/>
        <w:rPr>
          <w:rFonts w:hint="eastAsia" w:ascii="宋体" w:hAnsi="宋体" w:eastAsia="宋体" w:cs="宋体"/>
          <w:color w:val="auto"/>
          <w:sz w:val="32"/>
          <w:szCs w:val="32"/>
          <w:highlight w:val="none"/>
        </w:rPr>
      </w:pPr>
      <w:bookmarkStart w:id="208" w:name="_Toc13609"/>
      <w:bookmarkStart w:id="209" w:name="_Toc55212805"/>
      <w:bookmarkStart w:id="210" w:name="_Toc23859"/>
      <w:bookmarkStart w:id="211" w:name="_Toc55212810"/>
      <w:r>
        <w:rPr>
          <w:rFonts w:hint="eastAsia" w:ascii="宋体" w:hAnsi="宋体" w:eastAsia="宋体" w:cs="宋体"/>
          <w:color w:val="auto"/>
          <w:sz w:val="32"/>
          <w:szCs w:val="32"/>
          <w:highlight w:val="none"/>
        </w:rPr>
        <w:t>投标相关文件格式</w:t>
      </w:r>
      <w:bookmarkEnd w:id="208"/>
      <w:bookmarkEnd w:id="209"/>
      <w:bookmarkEnd w:id="210"/>
      <w:bookmarkStart w:id="212" w:name="_Toc45506740"/>
      <w:bookmarkStart w:id="213" w:name="_Toc47756041"/>
      <w:bookmarkStart w:id="214" w:name="_Toc15805942"/>
      <w:bookmarkStart w:id="215" w:name="_Toc15813259"/>
    </w:p>
    <w:p w14:paraId="538DE3C3">
      <w:pPr>
        <w:pStyle w:val="29"/>
        <w:rPr>
          <w:rFonts w:hint="eastAsia" w:hAnsi="宋体" w:cs="宋体"/>
          <w:color w:val="auto"/>
          <w:highlight w:val="none"/>
        </w:rPr>
      </w:pPr>
    </w:p>
    <w:p w14:paraId="05678962">
      <w:pPr>
        <w:rPr>
          <w:rFonts w:hint="eastAsia" w:ascii="宋体" w:hAnsi="宋体" w:cs="宋体"/>
          <w:color w:val="auto"/>
          <w:highlight w:val="none"/>
        </w:rPr>
      </w:pPr>
    </w:p>
    <w:p w14:paraId="700E2A66">
      <w:pPr>
        <w:spacing w:before="240" w:line="480" w:lineRule="auto"/>
        <w:jc w:val="center"/>
        <w:outlineLvl w:val="1"/>
        <w:rPr>
          <w:rFonts w:hint="eastAsia" w:ascii="宋体" w:hAnsi="宋体" w:cs="宋体"/>
          <w:b/>
          <w:color w:val="auto"/>
          <w:sz w:val="32"/>
          <w:szCs w:val="32"/>
          <w:highlight w:val="none"/>
        </w:rPr>
      </w:pPr>
      <w:r>
        <w:rPr>
          <w:rFonts w:hint="eastAsia" w:ascii="宋体" w:hAnsi="宋体" w:cs="宋体"/>
          <w:b/>
          <w:color w:val="auto"/>
          <w:sz w:val="32"/>
          <w:szCs w:val="32"/>
          <w:highlight w:val="none"/>
        </w:rPr>
        <w:t>重要提示</w:t>
      </w:r>
    </w:p>
    <w:p w14:paraId="6A7D74ED">
      <w:pPr>
        <w:spacing w:line="480" w:lineRule="auto"/>
        <w:ind w:firstLine="364" w:firstLineChars="151"/>
        <w:jc w:val="left"/>
        <w:rPr>
          <w:rFonts w:hint="eastAsia" w:ascii="宋体" w:hAnsi="宋体" w:cs="宋体"/>
          <w:b/>
          <w:color w:val="auto"/>
          <w:sz w:val="24"/>
          <w:highlight w:val="none"/>
        </w:rPr>
      </w:pPr>
      <w:r>
        <w:rPr>
          <w:rFonts w:hint="eastAsia" w:ascii="宋体" w:hAnsi="宋体" w:cs="宋体"/>
          <w:b/>
          <w:color w:val="auto"/>
          <w:sz w:val="24"/>
          <w:highlight w:val="none"/>
        </w:rPr>
        <w:t>（1）本章中有提供格式的，投标人须按照格式进行编制（格式中要求提供相关证明材料的还需后附相关有效证明材料），并按格式要求进行签章。</w:t>
      </w:r>
    </w:p>
    <w:p w14:paraId="69FB9B43">
      <w:pPr>
        <w:spacing w:line="480" w:lineRule="auto"/>
        <w:ind w:firstLine="364" w:firstLineChars="151"/>
        <w:jc w:val="left"/>
        <w:outlineLvl w:val="1"/>
        <w:rPr>
          <w:rFonts w:hint="eastAsia" w:ascii="宋体" w:hAnsi="宋体" w:cs="宋体"/>
          <w:b/>
          <w:color w:val="auto"/>
          <w:sz w:val="24"/>
          <w:highlight w:val="none"/>
        </w:rPr>
      </w:pPr>
      <w:r>
        <w:rPr>
          <w:rFonts w:hint="eastAsia" w:ascii="宋体" w:hAnsi="宋体" w:cs="宋体"/>
          <w:b/>
          <w:color w:val="auto"/>
          <w:sz w:val="24"/>
          <w:highlight w:val="none"/>
        </w:rPr>
        <w:t>（2）本章未提供格式的，请投标人自行拟定格式。</w:t>
      </w:r>
    </w:p>
    <w:p w14:paraId="74803A25">
      <w:pPr>
        <w:spacing w:line="480" w:lineRule="auto"/>
        <w:ind w:firstLine="364" w:firstLineChars="151"/>
        <w:jc w:val="left"/>
        <w:rPr>
          <w:rFonts w:hint="eastAsia" w:ascii="宋体" w:hAnsi="宋体" w:cs="宋体"/>
          <w:b/>
          <w:color w:val="auto"/>
          <w:sz w:val="24"/>
          <w:highlight w:val="none"/>
        </w:rPr>
      </w:pPr>
      <w:r>
        <w:rPr>
          <w:rFonts w:hint="eastAsia" w:ascii="宋体" w:hAnsi="宋体" w:cs="宋体"/>
          <w:b/>
          <w:color w:val="auto"/>
          <w:sz w:val="24"/>
          <w:highlight w:val="none"/>
        </w:rPr>
        <w:t>（3）资格审查投标文件（含封面）可整体上传至政采云系统投标人资格审查响应项任一节点。</w:t>
      </w:r>
    </w:p>
    <w:p w14:paraId="7643915A">
      <w:pPr>
        <w:spacing w:line="360" w:lineRule="auto"/>
        <w:jc w:val="center"/>
        <w:rPr>
          <w:rFonts w:hint="eastAsia" w:ascii="宋体" w:hAnsi="宋体" w:cs="宋体"/>
          <w:b/>
          <w:color w:val="auto"/>
          <w:sz w:val="30"/>
          <w:highlight w:val="none"/>
        </w:rPr>
      </w:pPr>
    </w:p>
    <w:p w14:paraId="192C29E6">
      <w:pPr>
        <w:rPr>
          <w:rFonts w:hint="eastAsia" w:ascii="宋体" w:hAnsi="宋体" w:cs="宋体"/>
          <w:color w:val="auto"/>
          <w:highlight w:val="none"/>
        </w:rPr>
      </w:pPr>
    </w:p>
    <w:p w14:paraId="4E502E4D">
      <w:pPr>
        <w:pStyle w:val="4"/>
        <w:rPr>
          <w:rFonts w:hint="eastAsia" w:ascii="宋体" w:hAnsi="宋体" w:eastAsia="宋体" w:cs="宋体"/>
          <w:color w:val="auto"/>
          <w:highlight w:val="none"/>
        </w:rPr>
      </w:pPr>
    </w:p>
    <w:p w14:paraId="750D2054">
      <w:pPr>
        <w:pStyle w:val="29"/>
        <w:rPr>
          <w:rFonts w:hint="eastAsia" w:hAnsi="宋体" w:cs="宋体"/>
          <w:color w:val="auto"/>
          <w:highlight w:val="none"/>
        </w:rPr>
      </w:pPr>
    </w:p>
    <w:p w14:paraId="139E26FC">
      <w:pPr>
        <w:rPr>
          <w:rFonts w:hint="eastAsia" w:ascii="宋体" w:hAnsi="宋体" w:cs="宋体"/>
          <w:color w:val="auto"/>
          <w:highlight w:val="none"/>
        </w:rPr>
      </w:pPr>
    </w:p>
    <w:p w14:paraId="354A5DC0">
      <w:pPr>
        <w:pStyle w:val="4"/>
        <w:rPr>
          <w:rFonts w:hint="eastAsia" w:ascii="宋体" w:hAnsi="宋体" w:eastAsia="宋体" w:cs="宋体"/>
          <w:color w:val="auto"/>
          <w:highlight w:val="none"/>
        </w:rPr>
      </w:pPr>
    </w:p>
    <w:p w14:paraId="00FB5E2E">
      <w:pPr>
        <w:pStyle w:val="29"/>
        <w:rPr>
          <w:rFonts w:hint="eastAsia" w:hAnsi="宋体" w:cs="宋体"/>
          <w:color w:val="auto"/>
          <w:highlight w:val="none"/>
        </w:rPr>
      </w:pPr>
    </w:p>
    <w:p w14:paraId="4658AC81">
      <w:pPr>
        <w:rPr>
          <w:rFonts w:hint="eastAsia" w:ascii="宋体" w:hAnsi="宋体" w:cs="宋体"/>
          <w:color w:val="auto"/>
          <w:highlight w:val="none"/>
        </w:rPr>
      </w:pPr>
    </w:p>
    <w:p w14:paraId="52DEA7A1">
      <w:pPr>
        <w:pStyle w:val="4"/>
        <w:rPr>
          <w:rFonts w:hint="eastAsia" w:ascii="宋体" w:hAnsi="宋体" w:eastAsia="宋体" w:cs="宋体"/>
          <w:color w:val="auto"/>
          <w:highlight w:val="none"/>
        </w:rPr>
      </w:pPr>
    </w:p>
    <w:p w14:paraId="42D1BDD4">
      <w:pPr>
        <w:pStyle w:val="29"/>
        <w:rPr>
          <w:rFonts w:hint="eastAsia" w:hAnsi="宋体" w:cs="宋体"/>
          <w:color w:val="auto"/>
          <w:highlight w:val="none"/>
        </w:rPr>
      </w:pPr>
    </w:p>
    <w:p w14:paraId="036C4EE7">
      <w:pPr>
        <w:rPr>
          <w:rFonts w:hint="eastAsia" w:ascii="宋体" w:hAnsi="宋体" w:cs="宋体"/>
          <w:color w:val="auto"/>
          <w:highlight w:val="none"/>
        </w:rPr>
      </w:pPr>
    </w:p>
    <w:p w14:paraId="6D1BA212">
      <w:pPr>
        <w:pStyle w:val="97"/>
        <w:rPr>
          <w:rFonts w:hint="eastAsia" w:ascii="宋体" w:hAnsi="宋体" w:eastAsia="宋体" w:cs="宋体"/>
          <w:color w:val="auto"/>
          <w:highlight w:val="none"/>
        </w:rPr>
      </w:pPr>
    </w:p>
    <w:p w14:paraId="5825888B">
      <w:pPr>
        <w:pStyle w:val="98"/>
        <w:rPr>
          <w:rFonts w:hint="eastAsia" w:ascii="宋体" w:hAnsi="宋体" w:cs="宋体"/>
          <w:color w:val="auto"/>
          <w:highlight w:val="none"/>
        </w:rPr>
      </w:pPr>
    </w:p>
    <w:p w14:paraId="32F42E03">
      <w:pPr>
        <w:rPr>
          <w:rFonts w:hint="eastAsia" w:ascii="宋体" w:hAnsi="宋体" w:cs="宋体"/>
          <w:color w:val="auto"/>
          <w:highlight w:val="none"/>
        </w:rPr>
      </w:pPr>
    </w:p>
    <w:p w14:paraId="5C960A0C">
      <w:pPr>
        <w:pStyle w:val="97"/>
        <w:rPr>
          <w:rFonts w:hint="eastAsia" w:ascii="宋体" w:hAnsi="宋体" w:eastAsia="宋体" w:cs="宋体"/>
          <w:color w:val="auto"/>
          <w:highlight w:val="none"/>
        </w:rPr>
      </w:pPr>
    </w:p>
    <w:p w14:paraId="030C49DA">
      <w:pPr>
        <w:pStyle w:val="98"/>
        <w:rPr>
          <w:rFonts w:hint="eastAsia" w:ascii="宋体" w:hAnsi="宋体" w:cs="宋体"/>
          <w:color w:val="auto"/>
          <w:highlight w:val="none"/>
        </w:rPr>
      </w:pPr>
    </w:p>
    <w:p w14:paraId="0979DB5C">
      <w:pPr>
        <w:rPr>
          <w:rFonts w:hint="eastAsia" w:ascii="宋体" w:hAnsi="宋体" w:cs="宋体"/>
          <w:color w:val="auto"/>
          <w:highlight w:val="none"/>
        </w:rPr>
      </w:pPr>
    </w:p>
    <w:p w14:paraId="22E0FD84">
      <w:pPr>
        <w:pStyle w:val="4"/>
        <w:tabs>
          <w:tab w:val="left" w:pos="420"/>
        </w:tabs>
        <w:rPr>
          <w:rFonts w:hint="eastAsia" w:ascii="宋体" w:hAnsi="宋体" w:eastAsia="宋体" w:cs="宋体"/>
          <w:color w:val="auto"/>
          <w:highlight w:val="none"/>
        </w:rPr>
      </w:pPr>
      <w:bookmarkStart w:id="216" w:name="_Toc55212806"/>
      <w:r>
        <w:rPr>
          <w:rFonts w:hint="eastAsia" w:ascii="宋体" w:hAnsi="宋体" w:eastAsia="宋体" w:cs="宋体"/>
          <w:color w:val="auto"/>
          <w:highlight w:val="none"/>
        </w:rPr>
        <w:t>第一部分“资格文件”格式</w:t>
      </w:r>
      <w:bookmarkEnd w:id="216"/>
    </w:p>
    <w:p w14:paraId="2C6A780D">
      <w:pPr>
        <w:pStyle w:val="5"/>
        <w:tabs>
          <w:tab w:val="left" w:pos="420"/>
        </w:tabs>
        <w:ind w:firstLine="6927" w:firstLineChars="2300"/>
        <w:rPr>
          <w:rFonts w:hint="eastAsia" w:ascii="宋体" w:hAnsi="宋体" w:eastAsia="宋体" w:cs="宋体"/>
          <w:color w:val="auto"/>
          <w:highlight w:val="none"/>
        </w:rPr>
      </w:pPr>
      <w:r>
        <w:rPr>
          <w:rFonts w:hint="eastAsia" w:ascii="宋体" w:hAnsi="宋体" w:eastAsia="宋体" w:cs="宋体"/>
          <w:color w:val="auto"/>
          <w:highlight w:val="none"/>
        </w:rPr>
        <w:t>“资格文件”封面</w:t>
      </w:r>
    </w:p>
    <w:p w14:paraId="0B8C63C7">
      <w:pPr>
        <w:pStyle w:val="29"/>
        <w:rPr>
          <w:rFonts w:hint="eastAsia" w:hAnsi="宋体" w:cs="宋体"/>
          <w:color w:val="auto"/>
          <w:highlight w:val="none"/>
        </w:rPr>
      </w:pPr>
    </w:p>
    <w:p w14:paraId="23DC8B58">
      <w:pPr>
        <w:rPr>
          <w:rFonts w:hint="eastAsia" w:ascii="宋体" w:hAnsi="宋体" w:cs="宋体"/>
          <w:color w:val="auto"/>
          <w:highlight w:val="none"/>
        </w:rPr>
      </w:pPr>
    </w:p>
    <w:p w14:paraId="5EDA7A15">
      <w:pPr>
        <w:spacing w:line="360"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7E8A6848">
      <w:pPr>
        <w:spacing w:line="360" w:lineRule="auto"/>
        <w:jc w:val="center"/>
        <w:rPr>
          <w:rFonts w:hint="eastAsia" w:ascii="宋体" w:hAnsi="宋体" w:cs="宋体"/>
          <w:b/>
          <w:color w:val="auto"/>
          <w:kern w:val="0"/>
          <w:sz w:val="48"/>
          <w:szCs w:val="84"/>
          <w:highlight w:val="none"/>
        </w:rPr>
      </w:pPr>
      <w:r>
        <w:rPr>
          <w:rFonts w:hint="eastAsia" w:ascii="宋体" w:hAnsi="宋体" w:cs="宋体"/>
          <w:b/>
          <w:color w:val="auto"/>
          <w:kern w:val="0"/>
          <w:sz w:val="48"/>
          <w:szCs w:val="84"/>
          <w:highlight w:val="none"/>
        </w:rPr>
        <w:t>（资格文件）</w:t>
      </w:r>
    </w:p>
    <w:tbl>
      <w:tblPr>
        <w:tblStyle w:val="52"/>
        <w:tblW w:w="0" w:type="auto"/>
        <w:tblInd w:w="392" w:type="dxa"/>
        <w:tblLayout w:type="fixed"/>
        <w:tblCellMar>
          <w:top w:w="0" w:type="dxa"/>
          <w:left w:w="108" w:type="dxa"/>
          <w:bottom w:w="0" w:type="dxa"/>
          <w:right w:w="108" w:type="dxa"/>
        </w:tblCellMar>
      </w:tblPr>
      <w:tblGrid>
        <w:gridCol w:w="9204"/>
      </w:tblGrid>
      <w:tr w14:paraId="19DB9FDE">
        <w:tblPrEx>
          <w:tblCellMar>
            <w:top w:w="0" w:type="dxa"/>
            <w:left w:w="108" w:type="dxa"/>
            <w:bottom w:w="0" w:type="dxa"/>
            <w:right w:w="108" w:type="dxa"/>
          </w:tblCellMar>
        </w:tblPrEx>
        <w:trPr>
          <w:trHeight w:val="1058" w:hRule="atLeast"/>
        </w:trPr>
        <w:tc>
          <w:tcPr>
            <w:tcW w:w="9204" w:type="dxa"/>
            <w:vAlign w:val="center"/>
          </w:tcPr>
          <w:p w14:paraId="1ECF82DA">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p>
        </w:tc>
      </w:tr>
      <w:tr w14:paraId="61B21D6C">
        <w:tblPrEx>
          <w:tblCellMar>
            <w:top w:w="0" w:type="dxa"/>
            <w:left w:w="108" w:type="dxa"/>
            <w:bottom w:w="0" w:type="dxa"/>
            <w:right w:w="108" w:type="dxa"/>
          </w:tblCellMar>
        </w:tblPrEx>
        <w:trPr>
          <w:trHeight w:val="1222" w:hRule="atLeast"/>
        </w:trPr>
        <w:tc>
          <w:tcPr>
            <w:tcW w:w="9204" w:type="dxa"/>
            <w:vAlign w:val="center"/>
          </w:tcPr>
          <w:p w14:paraId="1990C3BE">
            <w:pPr>
              <w:tabs>
                <w:tab w:val="left" w:pos="2580"/>
                <w:tab w:val="left" w:pos="5940"/>
              </w:tabs>
              <w:autoSpaceDE w:val="0"/>
              <w:autoSpaceDN w:val="0"/>
              <w:adjustRightInd w:val="0"/>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1ED9EA8C">
        <w:tblPrEx>
          <w:tblCellMar>
            <w:top w:w="0" w:type="dxa"/>
            <w:left w:w="108" w:type="dxa"/>
            <w:bottom w:w="0" w:type="dxa"/>
            <w:right w:w="108" w:type="dxa"/>
          </w:tblCellMar>
        </w:tblPrEx>
        <w:trPr>
          <w:trHeight w:val="1071" w:hRule="atLeast"/>
        </w:trPr>
        <w:tc>
          <w:tcPr>
            <w:tcW w:w="9204" w:type="dxa"/>
            <w:vAlign w:val="center"/>
          </w:tcPr>
          <w:p w14:paraId="091FAA6E">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2774BFDF">
        <w:tblPrEx>
          <w:tblCellMar>
            <w:top w:w="0" w:type="dxa"/>
            <w:left w:w="108" w:type="dxa"/>
            <w:bottom w:w="0" w:type="dxa"/>
            <w:right w:w="108" w:type="dxa"/>
          </w:tblCellMar>
        </w:tblPrEx>
        <w:trPr>
          <w:trHeight w:val="1992" w:hRule="atLeast"/>
        </w:trPr>
        <w:tc>
          <w:tcPr>
            <w:tcW w:w="9204" w:type="dxa"/>
            <w:vAlign w:val="center"/>
          </w:tcPr>
          <w:p w14:paraId="2907B342">
            <w:pPr>
              <w:spacing w:line="36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投标人名称（CA签章）：</w:t>
            </w:r>
            <w:r>
              <w:rPr>
                <w:rFonts w:hint="eastAsia" w:ascii="宋体" w:hAnsi="宋体" w:cs="宋体"/>
                <w:color w:val="auto"/>
                <w:w w:val="90"/>
                <w:kern w:val="0"/>
                <w:sz w:val="22"/>
                <w:szCs w:val="22"/>
                <w:highlight w:val="none"/>
              </w:rPr>
              <w:t>_________________________________________________</w:t>
            </w:r>
          </w:p>
        </w:tc>
      </w:tr>
      <w:tr w14:paraId="7FCEAE4C">
        <w:tblPrEx>
          <w:tblCellMar>
            <w:top w:w="0" w:type="dxa"/>
            <w:left w:w="108" w:type="dxa"/>
            <w:bottom w:w="0" w:type="dxa"/>
            <w:right w:w="108" w:type="dxa"/>
          </w:tblCellMar>
        </w:tblPrEx>
        <w:trPr>
          <w:trHeight w:val="802" w:hRule="atLeast"/>
        </w:trPr>
        <w:tc>
          <w:tcPr>
            <w:tcW w:w="9204" w:type="dxa"/>
            <w:vAlign w:val="center"/>
          </w:tcPr>
          <w:p w14:paraId="44F1A022">
            <w:pPr>
              <w:spacing w:line="360" w:lineRule="auto"/>
              <w:rPr>
                <w:rFonts w:hint="eastAsia" w:ascii="宋体" w:hAnsi="宋体" w:cs="宋体"/>
                <w:b/>
                <w:bCs/>
                <w:color w:val="auto"/>
                <w:sz w:val="28"/>
                <w:szCs w:val="28"/>
                <w:highlight w:val="none"/>
              </w:rPr>
            </w:pPr>
          </w:p>
          <w:p w14:paraId="04991531">
            <w:pPr>
              <w:spacing w:line="36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_________________________________________________________________________</w:t>
            </w:r>
          </w:p>
        </w:tc>
      </w:tr>
      <w:tr w14:paraId="77626654">
        <w:tblPrEx>
          <w:tblCellMar>
            <w:top w:w="0" w:type="dxa"/>
            <w:left w:w="108" w:type="dxa"/>
            <w:bottom w:w="0" w:type="dxa"/>
            <w:right w:w="108" w:type="dxa"/>
          </w:tblCellMar>
        </w:tblPrEx>
        <w:trPr>
          <w:trHeight w:val="1152" w:hRule="atLeast"/>
        </w:trPr>
        <w:tc>
          <w:tcPr>
            <w:tcW w:w="9204" w:type="dxa"/>
            <w:vAlign w:val="center"/>
          </w:tcPr>
          <w:p w14:paraId="37018DF9">
            <w:pPr>
              <w:spacing w:line="360" w:lineRule="auto"/>
              <w:rPr>
                <w:rFonts w:hint="eastAsia" w:ascii="宋体" w:hAnsi="宋体" w:cs="宋体"/>
                <w:b/>
                <w:bCs/>
                <w:color w:val="auto"/>
                <w:sz w:val="28"/>
                <w:szCs w:val="28"/>
                <w:highlight w:val="none"/>
              </w:rPr>
            </w:pPr>
          </w:p>
          <w:p w14:paraId="51B066BE">
            <w:pPr>
              <w:spacing w:line="360" w:lineRule="auto"/>
              <w:rPr>
                <w:rFonts w:hint="eastAsia" w:ascii="宋体" w:hAnsi="宋体" w:cs="宋体"/>
                <w:b/>
                <w:color w:val="auto"/>
                <w:sz w:val="28"/>
                <w:szCs w:val="28"/>
                <w:highlight w:val="none"/>
              </w:rPr>
            </w:pPr>
            <w:r>
              <w:rPr>
                <w:rFonts w:hint="eastAsia" w:ascii="宋体" w:hAnsi="宋体" w:cs="宋体"/>
                <w:b/>
                <w:bCs/>
                <w:color w:val="auto"/>
                <w:sz w:val="28"/>
                <w:szCs w:val="28"/>
                <w:highlight w:val="none"/>
              </w:rPr>
              <w:t>注：投标截止时间前其他单位或个人不得解密、提取</w:t>
            </w:r>
          </w:p>
        </w:tc>
      </w:tr>
    </w:tbl>
    <w:p w14:paraId="14FCA685">
      <w:pPr>
        <w:ind w:firstLine="1054" w:firstLineChars="500"/>
        <w:rPr>
          <w:rFonts w:hint="eastAsia" w:ascii="宋体" w:hAnsi="宋体" w:cs="宋体"/>
          <w:b/>
          <w:bCs/>
          <w:color w:val="auto"/>
          <w:szCs w:val="21"/>
          <w:highlight w:val="none"/>
          <w:lang w:val="zh-CN" w:bidi="zh-CN"/>
        </w:rPr>
      </w:pPr>
    </w:p>
    <w:p w14:paraId="3B8CF57D">
      <w:pPr>
        <w:ind w:firstLine="1054" w:firstLineChars="500"/>
        <w:rPr>
          <w:rFonts w:hint="eastAsia" w:ascii="宋体" w:hAnsi="宋体" w:cs="宋体"/>
          <w:b/>
          <w:bCs/>
          <w:color w:val="auto"/>
          <w:szCs w:val="21"/>
          <w:highlight w:val="none"/>
          <w:lang w:val="zh-CN" w:bidi="zh-CN"/>
        </w:rPr>
      </w:pPr>
    </w:p>
    <w:p w14:paraId="29B28697">
      <w:pPr>
        <w:spacing w:line="480" w:lineRule="auto"/>
        <w:jc w:val="center"/>
        <w:rPr>
          <w:rFonts w:hint="eastAsia" w:ascii="宋体" w:hAnsi="宋体" w:cs="宋体"/>
          <w:b/>
          <w:bCs/>
          <w:color w:val="auto"/>
          <w:sz w:val="24"/>
          <w:szCs w:val="22"/>
          <w:highlight w:val="none"/>
          <w:lang w:val="zh-CN"/>
        </w:rPr>
      </w:pPr>
    </w:p>
    <w:p w14:paraId="40E221F4">
      <w:pPr>
        <w:spacing w:line="360" w:lineRule="auto"/>
        <w:jc w:val="center"/>
        <w:rPr>
          <w:rFonts w:hint="eastAsia" w:ascii="宋体" w:hAnsi="宋体" w:cs="宋体"/>
          <w:b/>
          <w:bCs/>
          <w:color w:val="auto"/>
          <w:sz w:val="30"/>
          <w:szCs w:val="20"/>
          <w:highlight w:val="none"/>
        </w:rPr>
      </w:pPr>
      <w:r>
        <w:rPr>
          <w:rFonts w:hint="eastAsia" w:ascii="宋体" w:hAnsi="宋体" w:cs="宋体"/>
          <w:color w:val="auto"/>
          <w:sz w:val="24"/>
          <w:szCs w:val="22"/>
          <w:highlight w:val="none"/>
        </w:rPr>
        <w:br w:type="page"/>
      </w:r>
      <w:r>
        <w:rPr>
          <w:rFonts w:hint="eastAsia" w:ascii="宋体" w:hAnsi="宋体" w:cs="宋体"/>
          <w:b/>
          <w:bCs/>
          <w:color w:val="auto"/>
          <w:sz w:val="30"/>
          <w:szCs w:val="20"/>
          <w:highlight w:val="none"/>
        </w:rPr>
        <w:t>▲1、具有独立承担民事责任的能力的证明材料</w:t>
      </w:r>
    </w:p>
    <w:p w14:paraId="3E3D51FA">
      <w:pPr>
        <w:spacing w:line="360" w:lineRule="auto"/>
        <w:rPr>
          <w:rFonts w:hint="eastAsia" w:ascii="宋体" w:hAnsi="宋体" w:cs="宋体"/>
          <w:b/>
          <w:color w:val="auto"/>
          <w:sz w:val="24"/>
          <w:szCs w:val="21"/>
          <w:highlight w:val="none"/>
        </w:rPr>
      </w:pPr>
      <w:r>
        <w:rPr>
          <w:rFonts w:hint="eastAsia" w:ascii="宋体" w:hAnsi="宋体" w:cs="宋体"/>
          <w:b/>
          <w:color w:val="auto"/>
          <w:sz w:val="24"/>
          <w:szCs w:val="21"/>
          <w:highlight w:val="none"/>
        </w:rPr>
        <w:t>要求：</w:t>
      </w:r>
    </w:p>
    <w:tbl>
      <w:tblPr>
        <w:tblStyle w:val="52"/>
        <w:tblW w:w="0" w:type="auto"/>
        <w:tblInd w:w="292"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634"/>
      </w:tblGrid>
      <w:tr w14:paraId="6A4F2A5D">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8500" w:hRule="atLeast"/>
        </w:trPr>
        <w:tc>
          <w:tcPr>
            <w:tcW w:w="9634" w:type="dxa"/>
            <w:vAlign w:val="center"/>
          </w:tcPr>
          <w:p w14:paraId="517EB079">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证明材料：出具符合以下情况的证明材料扫描件（五选一）：</w:t>
            </w:r>
          </w:p>
          <w:p w14:paraId="0444E4D5">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A.如投标人是企业（包括合伙企业），提供在工商部门注册的有效“企业法人营业执照”或“营业执照”；</w:t>
            </w:r>
          </w:p>
          <w:p w14:paraId="620B6ECF">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B.如投标人是事业单位，提供有效的“事业单位法人证书”；</w:t>
            </w:r>
          </w:p>
          <w:p w14:paraId="6BA6D436">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C.如投标人是非企业专业服务机构的，提供执业许可证等证明文件；</w:t>
            </w:r>
          </w:p>
          <w:p w14:paraId="7A2813B9">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D.如投标人是个体工商户，提供有效的“个体工商户营业执照”；</w:t>
            </w:r>
          </w:p>
          <w:p w14:paraId="6E89A700">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E.如投标人是自然人，提供有效的自然人身份证明（居民身份证正反面或公安机关出具的临时居民身份证正反面或港澳台胞证或护照）。</w:t>
            </w:r>
          </w:p>
          <w:p w14:paraId="31D8A283">
            <w:pPr>
              <w:spacing w:line="360" w:lineRule="auto"/>
              <w:ind w:firstLine="632" w:firstLineChars="300"/>
              <w:jc w:val="left"/>
              <w:rPr>
                <w:rFonts w:hint="eastAsia" w:ascii="宋体" w:hAnsi="宋体" w:cs="宋体"/>
                <w:b/>
                <w:color w:val="auto"/>
                <w:szCs w:val="21"/>
                <w:highlight w:val="none"/>
              </w:rPr>
            </w:pPr>
          </w:p>
          <w:p w14:paraId="5EDF4AA3">
            <w:pPr>
              <w:spacing w:line="360" w:lineRule="auto"/>
              <w:ind w:firstLine="632" w:firstLineChars="300"/>
              <w:jc w:val="left"/>
              <w:rPr>
                <w:rFonts w:hint="eastAsia" w:ascii="宋体" w:hAnsi="宋体" w:cs="宋体"/>
                <w:b/>
                <w:color w:val="auto"/>
                <w:szCs w:val="21"/>
                <w:highlight w:val="none"/>
              </w:rPr>
            </w:pPr>
            <w:r>
              <w:rPr>
                <w:rFonts w:hint="eastAsia" w:ascii="宋体" w:hAnsi="宋体" w:cs="宋体"/>
                <w:b/>
                <w:color w:val="auto"/>
                <w:szCs w:val="21"/>
                <w:highlight w:val="none"/>
              </w:rPr>
              <w:t>下附：营业执照或上述提到的其他资料扫描件，加盖投标人公章。</w:t>
            </w:r>
          </w:p>
          <w:p w14:paraId="373F4142">
            <w:pPr>
              <w:spacing w:line="440" w:lineRule="exact"/>
              <w:ind w:right="42" w:rightChars="20" w:firstLine="840" w:firstLineChars="400"/>
              <w:jc w:val="left"/>
              <w:rPr>
                <w:rFonts w:hint="eastAsia" w:ascii="宋体" w:hAnsi="宋体" w:cs="宋体"/>
                <w:color w:val="auto"/>
                <w:szCs w:val="21"/>
                <w:highlight w:val="none"/>
              </w:rPr>
            </w:pPr>
          </w:p>
          <w:p w14:paraId="10B745FD">
            <w:pPr>
              <w:snapToGrid w:val="0"/>
              <w:spacing w:line="500" w:lineRule="exact"/>
              <w:ind w:firstLine="1200" w:firstLineChars="400"/>
              <w:rPr>
                <w:rFonts w:hint="eastAsia" w:ascii="宋体" w:hAnsi="宋体" w:cs="宋体"/>
                <w:color w:val="auto"/>
                <w:kern w:val="0"/>
                <w:szCs w:val="21"/>
                <w:highlight w:val="none"/>
              </w:rPr>
            </w:pPr>
            <w:r>
              <w:rPr>
                <w:rFonts w:hint="eastAsia" w:ascii="宋体" w:hAnsi="宋体" w:cs="宋体"/>
                <w:color w:val="auto"/>
                <w:sz w:val="30"/>
                <w:highlight w:val="none"/>
              </w:rPr>
              <w:t xml:space="preserve"> </w:t>
            </w:r>
          </w:p>
          <w:p w14:paraId="6204B98C">
            <w:pPr>
              <w:spacing w:line="480" w:lineRule="auto"/>
              <w:ind w:firstLine="364" w:firstLineChars="151"/>
              <w:jc w:val="left"/>
              <w:rPr>
                <w:rFonts w:hint="eastAsia" w:ascii="宋体" w:hAnsi="宋体" w:cs="宋体"/>
                <w:b/>
                <w:i/>
                <w:color w:val="auto"/>
                <w:kern w:val="0"/>
                <w:sz w:val="24"/>
                <w:highlight w:val="none"/>
              </w:rPr>
            </w:pPr>
          </w:p>
        </w:tc>
      </w:tr>
    </w:tbl>
    <w:p w14:paraId="7A19314F">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385A9BF">
      <w:pPr>
        <w:spacing w:line="360" w:lineRule="auto"/>
        <w:jc w:val="center"/>
        <w:rPr>
          <w:rFonts w:hint="eastAsia" w:ascii="宋体" w:hAnsi="宋体" w:cs="宋体"/>
          <w:b/>
          <w:color w:val="auto"/>
          <w:sz w:val="28"/>
          <w:szCs w:val="18"/>
          <w:highlight w:val="none"/>
          <w:u w:val="single"/>
        </w:rPr>
      </w:pPr>
      <w:r>
        <w:rPr>
          <w:rFonts w:hint="eastAsia" w:ascii="宋体" w:hAnsi="宋体" w:cs="宋体"/>
          <w:b/>
          <w:color w:val="auto"/>
          <w:sz w:val="28"/>
          <w:szCs w:val="18"/>
          <w:highlight w:val="none"/>
          <w:u w:val="single"/>
        </w:rPr>
        <w:t>说明：以联合体形式参与采购活动，联合体的各方均应提供此证明材料。</w:t>
      </w:r>
    </w:p>
    <w:p w14:paraId="29CDDC94">
      <w:pPr>
        <w:pStyle w:val="29"/>
        <w:spacing w:line="360" w:lineRule="auto"/>
        <w:ind w:firstLine="3373" w:firstLineChars="1050"/>
        <w:rPr>
          <w:rFonts w:hint="eastAsia" w:hAnsi="宋体" w:cs="宋体"/>
          <w:b/>
          <w:color w:val="auto"/>
          <w:sz w:val="32"/>
          <w:highlight w:val="none"/>
        </w:rPr>
      </w:pPr>
    </w:p>
    <w:p w14:paraId="5993EB96">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AC1C0D2">
      <w:pPr>
        <w:pStyle w:val="29"/>
        <w:spacing w:line="360" w:lineRule="auto"/>
        <w:ind w:firstLine="3373" w:firstLineChars="1050"/>
        <w:rPr>
          <w:rFonts w:hint="eastAsia" w:hAnsi="宋体" w:cs="宋体"/>
          <w:b/>
          <w:color w:val="auto"/>
          <w:sz w:val="32"/>
          <w:highlight w:val="none"/>
        </w:rPr>
      </w:pPr>
    </w:p>
    <w:p w14:paraId="160EFE46">
      <w:pPr>
        <w:rPr>
          <w:rFonts w:hint="eastAsia" w:ascii="宋体" w:hAnsi="宋体" w:cs="宋体"/>
          <w:color w:val="auto"/>
          <w:highlight w:val="none"/>
        </w:rPr>
      </w:pPr>
    </w:p>
    <w:p w14:paraId="583D8FEE">
      <w:pPr>
        <w:pStyle w:val="31"/>
        <w:rPr>
          <w:rFonts w:hint="eastAsia" w:ascii="宋体" w:hAnsi="宋体" w:eastAsia="宋体" w:cs="宋体"/>
          <w:b/>
          <w:color w:val="auto"/>
          <w:sz w:val="32"/>
          <w:highlight w:val="none"/>
        </w:rPr>
      </w:pPr>
    </w:p>
    <w:p w14:paraId="4CC788C2">
      <w:pPr>
        <w:rPr>
          <w:rFonts w:hint="eastAsia" w:ascii="宋体" w:hAnsi="宋体" w:cs="宋体"/>
          <w:color w:val="auto"/>
          <w:highlight w:val="none"/>
        </w:rPr>
      </w:pPr>
    </w:p>
    <w:p w14:paraId="1DD65884">
      <w:pPr>
        <w:rPr>
          <w:rFonts w:hint="eastAsia" w:ascii="宋体" w:hAnsi="宋体" w:cs="宋体"/>
          <w:b/>
          <w:color w:val="auto"/>
          <w:sz w:val="32"/>
          <w:highlight w:val="none"/>
        </w:rPr>
      </w:pPr>
    </w:p>
    <w:p w14:paraId="430E71DB">
      <w:pPr>
        <w:rPr>
          <w:rFonts w:hint="eastAsia" w:ascii="宋体" w:hAnsi="宋体" w:cs="宋体"/>
          <w:b/>
          <w:color w:val="auto"/>
          <w:sz w:val="32"/>
          <w:highlight w:val="none"/>
        </w:rPr>
      </w:pPr>
    </w:p>
    <w:p w14:paraId="1C32B75A">
      <w:pPr>
        <w:spacing w:line="360" w:lineRule="auto"/>
        <w:jc w:val="center"/>
        <w:rPr>
          <w:rFonts w:hint="eastAsia" w:ascii="宋体" w:hAnsi="宋体" w:cs="宋体"/>
          <w:b/>
          <w:bCs/>
          <w:color w:val="auto"/>
          <w:sz w:val="30"/>
          <w:highlight w:val="none"/>
        </w:rPr>
      </w:pPr>
      <w:r>
        <w:rPr>
          <w:rFonts w:hint="eastAsia" w:ascii="宋体" w:hAnsi="宋体" w:cs="宋体"/>
          <w:b/>
          <w:bCs/>
          <w:color w:val="auto"/>
          <w:sz w:val="30"/>
          <w:highlight w:val="none"/>
        </w:rPr>
        <w:t>▲2、符合资格条件的声明函</w:t>
      </w:r>
    </w:p>
    <w:p w14:paraId="60B0B489">
      <w:pPr>
        <w:pStyle w:val="21"/>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丽水市生态环境局、浙江大兴建设项目管理咨询有限公司：</w:t>
      </w:r>
    </w:p>
    <w:p w14:paraId="760AD87D">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我单位----</w:t>
      </w:r>
      <w:r>
        <w:rPr>
          <w:rStyle w:val="191"/>
          <w:rFonts w:hint="eastAsia" w:ascii="宋体" w:hAnsi="宋体" w:cs="宋体"/>
          <w:color w:val="auto"/>
          <w:szCs w:val="21"/>
          <w:highlight w:val="none"/>
          <w:u w:val="single" w:color="000000"/>
        </w:rPr>
        <w:t xml:space="preserve">                  （投标人全称）</w:t>
      </w:r>
      <w:r>
        <w:rPr>
          <w:rStyle w:val="191"/>
          <w:rFonts w:hint="eastAsia" w:ascii="宋体" w:hAnsi="宋体" w:cs="宋体"/>
          <w:bCs/>
          <w:color w:val="auto"/>
          <w:szCs w:val="21"/>
          <w:highlight w:val="none"/>
        </w:rPr>
        <w:t>参与</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w:t>
      </w:r>
      <w:r>
        <w:rPr>
          <w:rStyle w:val="191"/>
          <w:rFonts w:hint="eastAsia" w:ascii="宋体" w:hAnsi="宋体" w:cs="宋体"/>
          <w:bCs/>
          <w:color w:val="auto"/>
          <w:szCs w:val="21"/>
          <w:highlight w:val="none"/>
        </w:rPr>
        <w:t>：</w:t>
      </w:r>
      <w:r>
        <w:rPr>
          <w:rStyle w:val="191"/>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w:t>
      </w:r>
      <w:r>
        <w:rPr>
          <w:rStyle w:val="191"/>
          <w:rFonts w:hint="eastAsia" w:ascii="宋体" w:hAnsi="宋体" w:cs="宋体"/>
          <w:bCs/>
          <w:color w:val="auto"/>
          <w:szCs w:val="21"/>
          <w:highlight w:val="none"/>
        </w:rPr>
        <w:t>（项目编号：</w:t>
      </w:r>
      <w:r>
        <w:rPr>
          <w:rStyle w:val="191"/>
          <w:rFonts w:hint="eastAsia" w:ascii="宋体" w:hAnsi="宋体" w:cs="宋体"/>
          <w:bCs/>
          <w:color w:val="auto"/>
          <w:szCs w:val="21"/>
          <w:highlight w:val="none"/>
          <w:u w:val="single" w:color="000000"/>
        </w:rPr>
        <w:t xml:space="preserve">             </w:t>
      </w:r>
      <w:r>
        <w:rPr>
          <w:rStyle w:val="191"/>
          <w:rFonts w:hint="eastAsia" w:ascii="宋体" w:hAnsi="宋体" w:cs="宋体"/>
          <w:bCs/>
          <w:color w:val="auto"/>
          <w:szCs w:val="21"/>
          <w:highlight w:val="none"/>
        </w:rPr>
        <w:t>）投标，郑重</w:t>
      </w:r>
      <w:r>
        <w:rPr>
          <w:rStyle w:val="191"/>
          <w:rFonts w:hint="eastAsia" w:ascii="宋体" w:hAnsi="宋体" w:cs="宋体"/>
          <w:color w:val="auto"/>
          <w:szCs w:val="21"/>
          <w:highlight w:val="none"/>
        </w:rPr>
        <w:t>承诺具备下列条件：</w:t>
      </w:r>
    </w:p>
    <w:p w14:paraId="192022C2">
      <w:pPr>
        <w:snapToGrid w:val="0"/>
        <w:spacing w:line="500" w:lineRule="exact"/>
        <w:ind w:firstLine="420" w:firstLineChars="200"/>
        <w:textAlignment w:val="baseline"/>
        <w:rPr>
          <w:rStyle w:val="191"/>
          <w:rFonts w:hint="eastAsia" w:ascii="宋体" w:hAnsi="宋体" w:cs="宋体"/>
          <w:bCs/>
          <w:color w:val="auto"/>
          <w:szCs w:val="21"/>
          <w:highlight w:val="none"/>
        </w:rPr>
      </w:pPr>
      <w:r>
        <w:rPr>
          <w:rStyle w:val="191"/>
          <w:rFonts w:hint="eastAsia" w:ascii="宋体" w:hAnsi="宋体" w:cs="宋体"/>
          <w:bCs/>
          <w:color w:val="auto"/>
          <w:szCs w:val="21"/>
          <w:highlight w:val="none"/>
        </w:rPr>
        <w:t>1.具有独立承担民事责任的能力；</w:t>
      </w:r>
    </w:p>
    <w:p w14:paraId="00E21CF6">
      <w:pPr>
        <w:snapToGrid w:val="0"/>
        <w:spacing w:line="500" w:lineRule="exact"/>
        <w:ind w:firstLine="420" w:firstLineChars="200"/>
        <w:textAlignment w:val="baseline"/>
        <w:rPr>
          <w:rStyle w:val="191"/>
          <w:rFonts w:hint="eastAsia" w:ascii="宋体" w:hAnsi="宋体" w:cs="宋体"/>
          <w:bCs/>
          <w:color w:val="auto"/>
          <w:szCs w:val="21"/>
          <w:highlight w:val="none"/>
        </w:rPr>
      </w:pPr>
      <w:r>
        <w:rPr>
          <w:rStyle w:val="191"/>
          <w:rFonts w:hint="eastAsia" w:ascii="宋体" w:hAnsi="宋体" w:cs="宋体"/>
          <w:bCs/>
          <w:color w:val="auto"/>
          <w:szCs w:val="21"/>
          <w:highlight w:val="none"/>
        </w:rPr>
        <w:t>2.具有良好的商业信誉和健全的财务会计制度；</w:t>
      </w:r>
    </w:p>
    <w:p w14:paraId="7D7DAA7B">
      <w:pPr>
        <w:snapToGrid w:val="0"/>
        <w:spacing w:line="500" w:lineRule="exact"/>
        <w:ind w:firstLine="420" w:firstLineChars="200"/>
        <w:textAlignment w:val="baseline"/>
        <w:rPr>
          <w:rStyle w:val="191"/>
          <w:rFonts w:hint="eastAsia" w:ascii="宋体" w:hAnsi="宋体" w:cs="宋体"/>
          <w:bCs/>
          <w:color w:val="auto"/>
          <w:szCs w:val="21"/>
          <w:highlight w:val="none"/>
        </w:rPr>
      </w:pPr>
      <w:r>
        <w:rPr>
          <w:rStyle w:val="191"/>
          <w:rFonts w:hint="eastAsia" w:ascii="宋体" w:hAnsi="宋体" w:cs="宋体"/>
          <w:bCs/>
          <w:color w:val="auto"/>
          <w:szCs w:val="21"/>
          <w:highlight w:val="none"/>
        </w:rPr>
        <w:t>3.具有履行合同所必需的设备和专业技术能力；</w:t>
      </w:r>
    </w:p>
    <w:p w14:paraId="59023BD3">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bCs/>
          <w:color w:val="auto"/>
          <w:szCs w:val="21"/>
          <w:highlight w:val="none"/>
        </w:rPr>
        <w:t>4.有依法缴纳税收和社会保障资金的良好记</w:t>
      </w:r>
      <w:r>
        <w:rPr>
          <w:rStyle w:val="191"/>
          <w:rFonts w:hint="eastAsia" w:ascii="宋体" w:hAnsi="宋体" w:cs="宋体"/>
          <w:color w:val="auto"/>
          <w:szCs w:val="21"/>
          <w:highlight w:val="none"/>
        </w:rPr>
        <w:t>录；</w:t>
      </w:r>
    </w:p>
    <w:p w14:paraId="45BDFEDE">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5.参加</w:t>
      </w:r>
      <w:r>
        <w:rPr>
          <w:rStyle w:val="191"/>
          <w:rFonts w:hint="eastAsia" w:ascii="宋体" w:hAnsi="宋体" w:cs="宋体"/>
          <w:bCs/>
          <w:color w:val="auto"/>
          <w:szCs w:val="21"/>
          <w:highlight w:val="none"/>
        </w:rPr>
        <w:t>本项目采购活动前三</w:t>
      </w:r>
      <w:r>
        <w:rPr>
          <w:rStyle w:val="191"/>
          <w:rFonts w:hint="eastAsia" w:ascii="宋体" w:hAnsi="宋体" w:cs="宋体"/>
          <w:color w:val="auto"/>
          <w:szCs w:val="21"/>
          <w:highlight w:val="none"/>
        </w:rPr>
        <w:t>年内，在经营活动中没有重大违法记录（包括行贿犯罪记录）。</w:t>
      </w:r>
    </w:p>
    <w:p w14:paraId="24E77619">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6.开标截止时间前未被“信用中国”网站（www.creditchina.gov.cn）、中国政府采购网（www.ccgp.gov.cn）列入失信被执行人、重大税收违法当事人名单、政府采购严重违法失信行为记录名单</w:t>
      </w:r>
      <w:r>
        <w:rPr>
          <w:rStyle w:val="191"/>
          <w:rFonts w:hint="eastAsia" w:ascii="宋体" w:hAnsi="宋体" w:cs="宋体"/>
          <w:b/>
          <w:color w:val="auto"/>
          <w:szCs w:val="21"/>
          <w:highlight w:val="none"/>
        </w:rPr>
        <w:t>（注：本项内容以代理机构在资格审查现场查询为准）。</w:t>
      </w:r>
    </w:p>
    <w:p w14:paraId="5EAA62B0">
      <w:pPr>
        <w:snapToGrid w:val="0"/>
        <w:spacing w:line="500" w:lineRule="exact"/>
        <w:ind w:firstLine="420" w:firstLineChars="200"/>
        <w:textAlignment w:val="baseline"/>
        <w:rPr>
          <w:rStyle w:val="191"/>
          <w:rFonts w:hint="eastAsia" w:ascii="宋体" w:hAnsi="宋体" w:cs="宋体"/>
          <w:color w:val="auto"/>
          <w:szCs w:val="21"/>
          <w:highlight w:val="none"/>
        </w:rPr>
      </w:pPr>
    </w:p>
    <w:p w14:paraId="4998F053">
      <w:pPr>
        <w:snapToGrid w:val="0"/>
        <w:spacing w:line="500" w:lineRule="exact"/>
        <w:ind w:firstLine="422" w:firstLineChars="200"/>
        <w:textAlignment w:val="baseline"/>
        <w:rPr>
          <w:rStyle w:val="191"/>
          <w:rFonts w:hint="eastAsia" w:ascii="宋体" w:hAnsi="宋体" w:cs="宋体"/>
          <w:b/>
          <w:color w:val="auto"/>
          <w:szCs w:val="21"/>
          <w:highlight w:val="none"/>
        </w:rPr>
      </w:pPr>
      <w:r>
        <w:rPr>
          <w:rStyle w:val="191"/>
          <w:rFonts w:hint="eastAsia" w:ascii="宋体" w:hAnsi="宋体" w:cs="宋体"/>
          <w:b/>
          <w:color w:val="auto"/>
          <w:szCs w:val="21"/>
          <w:highlight w:val="none"/>
        </w:rPr>
        <w:t>如有虚假，采购人可取消我单位任何资格（投标/中标/签订合同），我单位对此无任何异议。</w:t>
      </w:r>
    </w:p>
    <w:p w14:paraId="0B4879B2">
      <w:pPr>
        <w:snapToGrid w:val="0"/>
        <w:spacing w:line="500" w:lineRule="exact"/>
        <w:ind w:firstLine="422" w:firstLineChars="200"/>
        <w:textAlignment w:val="baseline"/>
        <w:rPr>
          <w:rStyle w:val="191"/>
          <w:rFonts w:hint="eastAsia" w:ascii="宋体" w:hAnsi="宋体" w:cs="宋体"/>
          <w:b/>
          <w:color w:val="auto"/>
          <w:szCs w:val="21"/>
          <w:highlight w:val="none"/>
        </w:rPr>
      </w:pPr>
    </w:p>
    <w:p w14:paraId="76715776">
      <w:pPr>
        <w:snapToGrid w:val="0"/>
        <w:spacing w:line="500" w:lineRule="exact"/>
        <w:ind w:firstLine="422" w:firstLineChars="200"/>
        <w:textAlignment w:val="baseline"/>
        <w:rPr>
          <w:rStyle w:val="191"/>
          <w:rFonts w:hint="eastAsia" w:ascii="宋体" w:hAnsi="宋体" w:cs="宋体"/>
          <w:b/>
          <w:color w:val="auto"/>
          <w:szCs w:val="21"/>
          <w:highlight w:val="none"/>
        </w:rPr>
      </w:pPr>
      <w:r>
        <w:rPr>
          <w:rStyle w:val="191"/>
          <w:rFonts w:hint="eastAsia" w:ascii="宋体" w:hAnsi="宋体" w:cs="宋体"/>
          <w:b/>
          <w:color w:val="auto"/>
          <w:szCs w:val="21"/>
          <w:highlight w:val="none"/>
        </w:rPr>
        <w:t>特此声明！</w:t>
      </w:r>
    </w:p>
    <w:p w14:paraId="753533BD">
      <w:pPr>
        <w:tabs>
          <w:tab w:val="left" w:pos="9180"/>
        </w:tabs>
        <w:snapToGrid w:val="0"/>
        <w:spacing w:line="500" w:lineRule="exact"/>
        <w:ind w:firstLine="420" w:firstLineChars="200"/>
        <w:textAlignment w:val="baseline"/>
        <w:rPr>
          <w:rStyle w:val="191"/>
          <w:rFonts w:hint="eastAsia" w:ascii="宋体" w:hAnsi="宋体" w:cs="宋体"/>
          <w:color w:val="auto"/>
          <w:szCs w:val="21"/>
          <w:highlight w:val="none"/>
        </w:rPr>
      </w:pPr>
    </w:p>
    <w:p w14:paraId="150ECCD4">
      <w:pPr>
        <w:tabs>
          <w:tab w:val="left" w:pos="9180"/>
        </w:tabs>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注：参加政府采购活动的时间是指投标人参加本项目的政府采购活动时间（具体以开标截止时间为准）。</w:t>
      </w:r>
    </w:p>
    <w:p w14:paraId="73D49B88">
      <w:pPr>
        <w:tabs>
          <w:tab w:val="left" w:pos="9180"/>
        </w:tabs>
        <w:snapToGrid w:val="0"/>
        <w:spacing w:line="500" w:lineRule="exact"/>
        <w:ind w:firstLine="632" w:firstLineChars="300"/>
        <w:textAlignment w:val="baseline"/>
        <w:rPr>
          <w:rStyle w:val="191"/>
          <w:rFonts w:hint="eastAsia" w:ascii="宋体" w:hAnsi="宋体" w:cs="宋体"/>
          <w:b/>
          <w:color w:val="auto"/>
          <w:szCs w:val="21"/>
          <w:highlight w:val="none"/>
        </w:rPr>
      </w:pPr>
    </w:p>
    <w:p w14:paraId="3E5FAB4A">
      <w:pPr>
        <w:spacing w:line="360" w:lineRule="auto"/>
        <w:jc w:val="center"/>
        <w:rPr>
          <w:rFonts w:hint="eastAsia" w:ascii="宋体" w:hAnsi="宋体" w:cs="宋体"/>
          <w:b/>
          <w:color w:val="auto"/>
          <w:sz w:val="28"/>
          <w:szCs w:val="18"/>
          <w:highlight w:val="none"/>
          <w:u w:val="single"/>
        </w:rPr>
      </w:pPr>
      <w:r>
        <w:rPr>
          <w:rFonts w:hint="eastAsia" w:ascii="宋体" w:hAnsi="宋体" w:cs="宋体"/>
          <w:b/>
          <w:color w:val="auto"/>
          <w:sz w:val="28"/>
          <w:szCs w:val="18"/>
          <w:highlight w:val="none"/>
          <w:u w:val="single"/>
        </w:rPr>
        <w:t>说明：以联合体形式参与采购活动，联合体的各方均应提供此证明材料。</w:t>
      </w:r>
    </w:p>
    <w:p w14:paraId="773B0B86">
      <w:pPr>
        <w:snapToGrid w:val="0"/>
        <w:spacing w:line="360" w:lineRule="auto"/>
        <w:jc w:val="center"/>
        <w:textAlignment w:val="baseline"/>
        <w:rPr>
          <w:rStyle w:val="191"/>
          <w:rFonts w:hint="eastAsia" w:ascii="宋体" w:hAnsi="宋体" w:cs="宋体"/>
          <w:color w:val="auto"/>
          <w:sz w:val="30"/>
          <w:highlight w:val="none"/>
        </w:rPr>
      </w:pPr>
    </w:p>
    <w:p w14:paraId="2F36051F">
      <w:pPr>
        <w:pStyle w:val="29"/>
        <w:spacing w:line="360" w:lineRule="auto"/>
        <w:ind w:firstLine="3373" w:firstLineChars="1050"/>
        <w:rPr>
          <w:rFonts w:hint="eastAsia" w:hAnsi="宋体" w:cs="宋体"/>
          <w:b/>
          <w:color w:val="auto"/>
          <w:sz w:val="32"/>
          <w:highlight w:val="none"/>
        </w:rPr>
      </w:pPr>
    </w:p>
    <w:p w14:paraId="466F5066">
      <w:pPr>
        <w:pStyle w:val="29"/>
        <w:spacing w:line="360" w:lineRule="auto"/>
        <w:jc w:val="center"/>
        <w:rPr>
          <w:rFonts w:hint="eastAsia" w:hAnsi="宋体" w:cs="宋体"/>
          <w:b/>
          <w:color w:val="auto"/>
          <w:sz w:val="28"/>
          <w:szCs w:val="18"/>
          <w:highlight w:val="none"/>
          <w:u w:val="single"/>
        </w:rPr>
      </w:pPr>
    </w:p>
    <w:p w14:paraId="376C469A">
      <w:pPr>
        <w:rPr>
          <w:rFonts w:hint="eastAsia" w:ascii="宋体" w:hAnsi="宋体" w:cs="宋体"/>
          <w:b/>
          <w:color w:val="auto"/>
          <w:sz w:val="28"/>
          <w:szCs w:val="18"/>
          <w:highlight w:val="none"/>
          <w:u w:val="single"/>
        </w:rPr>
      </w:pPr>
    </w:p>
    <w:p w14:paraId="4FDD4ADA">
      <w:pPr>
        <w:pStyle w:val="23"/>
        <w:rPr>
          <w:rFonts w:hint="eastAsia" w:ascii="宋体" w:hAnsi="宋体" w:cs="宋体"/>
          <w:b/>
          <w:color w:val="auto"/>
          <w:szCs w:val="18"/>
          <w:highlight w:val="none"/>
          <w:u w:val="single"/>
        </w:rPr>
      </w:pPr>
    </w:p>
    <w:p w14:paraId="778D5CEA">
      <w:pPr>
        <w:rPr>
          <w:rFonts w:hint="eastAsia" w:ascii="宋体" w:hAnsi="宋体" w:cs="宋体"/>
          <w:b/>
          <w:color w:val="auto"/>
          <w:sz w:val="28"/>
          <w:szCs w:val="18"/>
          <w:highlight w:val="none"/>
          <w:u w:val="single"/>
        </w:rPr>
      </w:pPr>
    </w:p>
    <w:p w14:paraId="05328767">
      <w:pPr>
        <w:pStyle w:val="23"/>
        <w:rPr>
          <w:rFonts w:hint="eastAsia" w:ascii="宋体" w:hAnsi="宋体" w:cs="宋体"/>
          <w:b/>
          <w:color w:val="auto"/>
          <w:szCs w:val="18"/>
          <w:highlight w:val="none"/>
          <w:u w:val="single"/>
        </w:rPr>
      </w:pPr>
    </w:p>
    <w:p w14:paraId="7E8140C6">
      <w:pPr>
        <w:rPr>
          <w:rFonts w:hint="eastAsia" w:ascii="宋体" w:hAnsi="宋体" w:cs="宋体"/>
          <w:color w:val="auto"/>
          <w:highlight w:val="none"/>
        </w:rPr>
      </w:pPr>
    </w:p>
    <w:p w14:paraId="3F9EDB46">
      <w:pPr>
        <w:rPr>
          <w:rFonts w:hint="eastAsia" w:ascii="宋体" w:hAnsi="宋体" w:cs="宋体"/>
          <w:color w:val="auto"/>
          <w:highlight w:val="none"/>
        </w:rPr>
      </w:pPr>
    </w:p>
    <w:p w14:paraId="4C4EE345">
      <w:pPr>
        <w:pStyle w:val="29"/>
        <w:spacing w:line="360" w:lineRule="auto"/>
        <w:ind w:firstLine="2711" w:firstLineChars="900"/>
        <w:rPr>
          <w:rFonts w:hint="eastAsia" w:hAnsi="宋体" w:cs="宋体"/>
          <w:b/>
          <w:bCs/>
          <w:color w:val="auto"/>
          <w:sz w:val="30"/>
          <w:highlight w:val="none"/>
        </w:rPr>
      </w:pPr>
      <w:r>
        <w:rPr>
          <w:rFonts w:hint="eastAsia" w:hAnsi="宋体" w:cs="宋体"/>
          <w:b/>
          <w:bCs/>
          <w:color w:val="auto"/>
          <w:sz w:val="30"/>
          <w:highlight w:val="none"/>
        </w:rPr>
        <w:t>▲3、符合特定资格条件的声明函</w:t>
      </w:r>
    </w:p>
    <w:p w14:paraId="0971BBEA">
      <w:pPr>
        <w:pStyle w:val="21"/>
        <w:rPr>
          <w:rStyle w:val="191"/>
          <w:rFonts w:hint="eastAsia" w:ascii="宋体" w:hAnsi="宋体" w:eastAsia="宋体" w:cs="宋体"/>
          <w:color w:val="auto"/>
          <w:szCs w:val="21"/>
          <w:highlight w:val="none"/>
          <w:u w:val="single" w:color="000000"/>
        </w:rPr>
      </w:pPr>
      <w:r>
        <w:rPr>
          <w:rStyle w:val="191"/>
          <w:rFonts w:hint="eastAsia" w:ascii="宋体" w:hAnsi="宋体" w:eastAsia="宋体" w:cs="宋体"/>
          <w:color w:val="auto"/>
          <w:szCs w:val="21"/>
          <w:highlight w:val="none"/>
          <w:u w:val="single" w:color="000000"/>
        </w:rPr>
        <w:t xml:space="preserve"> 丽水市生态环境局、浙江大兴建设项目管理咨询有限公司：</w:t>
      </w:r>
    </w:p>
    <w:p w14:paraId="6B42BE6C">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我单位----</w:t>
      </w:r>
      <w:r>
        <w:rPr>
          <w:rStyle w:val="191"/>
          <w:rFonts w:hint="eastAsia" w:ascii="宋体" w:hAnsi="宋体" w:cs="宋体"/>
          <w:color w:val="auto"/>
          <w:szCs w:val="21"/>
          <w:highlight w:val="none"/>
          <w:u w:val="single" w:color="000000"/>
        </w:rPr>
        <w:t xml:space="preserve">                  （投标人全称）</w:t>
      </w:r>
      <w:r>
        <w:rPr>
          <w:rStyle w:val="191"/>
          <w:rFonts w:hint="eastAsia" w:ascii="宋体" w:hAnsi="宋体" w:cs="宋体"/>
          <w:bCs/>
          <w:color w:val="auto"/>
          <w:szCs w:val="21"/>
          <w:highlight w:val="none"/>
        </w:rPr>
        <w:t>参与</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w:t>
      </w:r>
      <w:r>
        <w:rPr>
          <w:rStyle w:val="191"/>
          <w:rFonts w:hint="eastAsia" w:ascii="宋体" w:hAnsi="宋体" w:cs="宋体"/>
          <w:bCs/>
          <w:color w:val="auto"/>
          <w:szCs w:val="21"/>
          <w:highlight w:val="none"/>
        </w:rPr>
        <w:t>：</w:t>
      </w:r>
      <w:r>
        <w:rPr>
          <w:rStyle w:val="191"/>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）（项目编号</w:t>
      </w:r>
      <w:r>
        <w:rPr>
          <w:rStyle w:val="191"/>
          <w:rFonts w:hint="eastAsia" w:ascii="宋体" w:hAnsi="宋体" w:cs="宋体"/>
          <w:bCs/>
          <w:color w:val="auto"/>
          <w:szCs w:val="21"/>
          <w:highlight w:val="none"/>
        </w:rPr>
        <w:t>：</w:t>
      </w:r>
      <w:r>
        <w:rPr>
          <w:rStyle w:val="191"/>
          <w:rFonts w:hint="eastAsia" w:ascii="宋体" w:hAnsi="宋体" w:cs="宋体"/>
          <w:bCs/>
          <w:color w:val="auto"/>
          <w:szCs w:val="21"/>
          <w:highlight w:val="none"/>
          <w:u w:val="single" w:color="000000"/>
        </w:rPr>
        <w:t xml:space="preserve">            </w:t>
      </w:r>
      <w:r>
        <w:rPr>
          <w:rFonts w:hint="eastAsia" w:ascii="宋体" w:hAnsi="宋体" w:cs="宋体"/>
          <w:color w:val="auto"/>
          <w:spacing w:val="6"/>
          <w:szCs w:val="21"/>
          <w:highlight w:val="none"/>
        </w:rPr>
        <w:t>）</w:t>
      </w:r>
      <w:r>
        <w:rPr>
          <w:rStyle w:val="191"/>
          <w:rFonts w:hint="eastAsia" w:ascii="宋体" w:hAnsi="宋体" w:cs="宋体"/>
          <w:bCs/>
          <w:color w:val="auto"/>
          <w:szCs w:val="21"/>
          <w:highlight w:val="none"/>
        </w:rPr>
        <w:t>投标，郑重</w:t>
      </w:r>
      <w:r>
        <w:rPr>
          <w:rStyle w:val="191"/>
          <w:rFonts w:hint="eastAsia" w:ascii="宋体" w:hAnsi="宋体" w:cs="宋体"/>
          <w:color w:val="auto"/>
          <w:szCs w:val="21"/>
          <w:highlight w:val="none"/>
        </w:rPr>
        <w:t>承诺如下：</w:t>
      </w:r>
    </w:p>
    <w:p w14:paraId="7A901AD5">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1.我方声明与同一标项的其他投标人不存在单位负责人为同一人或存在直接控股、管理关系；</w:t>
      </w:r>
    </w:p>
    <w:p w14:paraId="05626946">
      <w:pPr>
        <w:snapToGrid w:val="0"/>
        <w:spacing w:line="500" w:lineRule="exact"/>
        <w:ind w:firstLine="420" w:firstLineChars="200"/>
        <w:textAlignment w:val="baseline"/>
        <w:rPr>
          <w:rStyle w:val="191"/>
          <w:rFonts w:hint="eastAsia" w:ascii="宋体" w:hAnsi="宋体" w:cs="宋体"/>
          <w:color w:val="auto"/>
          <w:szCs w:val="21"/>
          <w:highlight w:val="none"/>
        </w:rPr>
      </w:pPr>
      <w:r>
        <w:rPr>
          <w:rStyle w:val="191"/>
          <w:rFonts w:hint="eastAsia" w:ascii="宋体" w:hAnsi="宋体" w:cs="宋体"/>
          <w:color w:val="auto"/>
          <w:szCs w:val="21"/>
          <w:highlight w:val="none"/>
        </w:rPr>
        <w:t>2.我方声明未针对本项目提供整体设计、规范编制或者项目管理、监理、检测等服务；</w:t>
      </w:r>
    </w:p>
    <w:p w14:paraId="2B6D5AB4">
      <w:pPr>
        <w:snapToGrid w:val="0"/>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3.我方声明不属于公益一类事业单位、使用事业编制且由财政拨款保障的群团组织。</w:t>
      </w:r>
    </w:p>
    <w:p w14:paraId="1D3D6EAE">
      <w:pPr>
        <w:pStyle w:val="97"/>
        <w:rPr>
          <w:rFonts w:hint="eastAsia" w:ascii="宋体" w:hAnsi="宋体" w:eastAsia="宋体" w:cs="宋体"/>
          <w:color w:val="auto"/>
          <w:highlight w:val="none"/>
        </w:rPr>
      </w:pPr>
    </w:p>
    <w:p w14:paraId="58CBC108">
      <w:pPr>
        <w:pStyle w:val="22"/>
        <w:rPr>
          <w:rFonts w:hint="eastAsia" w:ascii="宋体" w:hAnsi="宋体" w:eastAsia="宋体" w:cs="宋体"/>
          <w:color w:val="auto"/>
          <w:highlight w:val="none"/>
        </w:rPr>
      </w:pPr>
    </w:p>
    <w:p w14:paraId="1BB9361C">
      <w:pPr>
        <w:snapToGrid w:val="0"/>
        <w:spacing w:line="500" w:lineRule="exact"/>
        <w:ind w:firstLine="422" w:firstLineChars="200"/>
        <w:textAlignment w:val="baseline"/>
        <w:rPr>
          <w:rStyle w:val="191"/>
          <w:rFonts w:hint="eastAsia" w:ascii="宋体" w:hAnsi="宋体" w:cs="宋体"/>
          <w:b/>
          <w:color w:val="auto"/>
          <w:szCs w:val="21"/>
          <w:highlight w:val="none"/>
        </w:rPr>
      </w:pPr>
      <w:r>
        <w:rPr>
          <w:rStyle w:val="191"/>
          <w:rFonts w:hint="eastAsia" w:ascii="宋体" w:hAnsi="宋体" w:cs="宋体"/>
          <w:b/>
          <w:color w:val="auto"/>
          <w:szCs w:val="21"/>
          <w:highlight w:val="none"/>
        </w:rPr>
        <w:t>如有虚假，采购人可取消我单位任何资格（投标/中标/签订合同），我单位对此无任何异议。</w:t>
      </w:r>
    </w:p>
    <w:p w14:paraId="2B5DA0B9">
      <w:pPr>
        <w:snapToGrid w:val="0"/>
        <w:spacing w:line="500" w:lineRule="exact"/>
        <w:ind w:firstLine="422" w:firstLineChars="200"/>
        <w:textAlignment w:val="baseline"/>
        <w:rPr>
          <w:rStyle w:val="191"/>
          <w:rFonts w:hint="eastAsia" w:ascii="宋体" w:hAnsi="宋体" w:cs="宋体"/>
          <w:b/>
          <w:color w:val="auto"/>
          <w:szCs w:val="21"/>
          <w:highlight w:val="none"/>
        </w:rPr>
      </w:pPr>
    </w:p>
    <w:p w14:paraId="41EB96CC">
      <w:pPr>
        <w:snapToGrid w:val="0"/>
        <w:spacing w:line="500" w:lineRule="exact"/>
        <w:ind w:firstLine="422" w:firstLineChars="200"/>
        <w:textAlignment w:val="baseline"/>
        <w:rPr>
          <w:rStyle w:val="191"/>
          <w:rFonts w:hint="eastAsia" w:ascii="宋体" w:hAnsi="宋体" w:cs="宋体"/>
          <w:b/>
          <w:color w:val="auto"/>
          <w:szCs w:val="21"/>
          <w:highlight w:val="none"/>
        </w:rPr>
      </w:pPr>
      <w:r>
        <w:rPr>
          <w:rStyle w:val="191"/>
          <w:rFonts w:hint="eastAsia" w:ascii="宋体" w:hAnsi="宋体" w:cs="宋体"/>
          <w:b/>
          <w:color w:val="auto"/>
          <w:szCs w:val="21"/>
          <w:highlight w:val="none"/>
        </w:rPr>
        <w:t>特此声明！</w:t>
      </w:r>
    </w:p>
    <w:p w14:paraId="0604F5CA">
      <w:pPr>
        <w:tabs>
          <w:tab w:val="left" w:pos="9180"/>
        </w:tabs>
        <w:snapToGrid w:val="0"/>
        <w:spacing w:line="500" w:lineRule="exact"/>
        <w:ind w:firstLine="420" w:firstLineChars="200"/>
        <w:textAlignment w:val="baseline"/>
        <w:rPr>
          <w:rStyle w:val="191"/>
          <w:rFonts w:hint="eastAsia" w:ascii="宋体" w:hAnsi="宋体" w:cs="宋体"/>
          <w:color w:val="auto"/>
          <w:szCs w:val="21"/>
          <w:highlight w:val="none"/>
        </w:rPr>
      </w:pPr>
    </w:p>
    <w:p w14:paraId="07560C85">
      <w:pPr>
        <w:snapToGrid w:val="0"/>
        <w:spacing w:line="360" w:lineRule="auto"/>
        <w:jc w:val="center"/>
        <w:textAlignment w:val="baseline"/>
        <w:rPr>
          <w:rStyle w:val="191"/>
          <w:rFonts w:hint="eastAsia" w:ascii="宋体" w:hAnsi="宋体" w:cs="宋体"/>
          <w:color w:val="auto"/>
          <w:sz w:val="30"/>
          <w:highlight w:val="none"/>
        </w:rPr>
      </w:pPr>
    </w:p>
    <w:p w14:paraId="0B2AFE65">
      <w:pPr>
        <w:pStyle w:val="29"/>
        <w:spacing w:line="360" w:lineRule="auto"/>
        <w:ind w:firstLine="3373" w:firstLineChars="1050"/>
        <w:rPr>
          <w:rFonts w:hint="eastAsia" w:hAnsi="宋体" w:cs="宋体"/>
          <w:b/>
          <w:color w:val="auto"/>
          <w:sz w:val="32"/>
          <w:highlight w:val="none"/>
        </w:rPr>
      </w:pPr>
    </w:p>
    <w:p w14:paraId="0B6E2563">
      <w:pPr>
        <w:pStyle w:val="31"/>
        <w:rPr>
          <w:rFonts w:hint="eastAsia" w:ascii="宋体" w:hAnsi="宋体" w:eastAsia="宋体" w:cs="宋体"/>
          <w:color w:val="auto"/>
          <w:highlight w:val="none"/>
        </w:rPr>
      </w:pPr>
    </w:p>
    <w:p w14:paraId="1B9CFF63">
      <w:pPr>
        <w:spacing w:line="360" w:lineRule="auto"/>
        <w:jc w:val="center"/>
        <w:rPr>
          <w:rFonts w:hint="eastAsia" w:ascii="宋体" w:hAnsi="宋体" w:cs="宋体"/>
          <w:b/>
          <w:color w:val="auto"/>
          <w:sz w:val="28"/>
          <w:szCs w:val="18"/>
          <w:highlight w:val="none"/>
          <w:u w:val="single"/>
        </w:rPr>
      </w:pPr>
      <w:r>
        <w:rPr>
          <w:rFonts w:hint="eastAsia" w:ascii="宋体" w:hAnsi="宋体" w:cs="宋体"/>
          <w:b/>
          <w:color w:val="auto"/>
          <w:sz w:val="28"/>
          <w:szCs w:val="18"/>
          <w:highlight w:val="none"/>
          <w:u w:val="single"/>
        </w:rPr>
        <w:t>说明：以联合体形式参与采购活动，联合体的各方均应提供此证明材料。</w:t>
      </w:r>
    </w:p>
    <w:p w14:paraId="70FE4A2F">
      <w:pPr>
        <w:pStyle w:val="29"/>
        <w:adjustRightInd w:val="0"/>
        <w:snapToGrid w:val="0"/>
        <w:spacing w:line="300" w:lineRule="auto"/>
        <w:jc w:val="center"/>
        <w:rPr>
          <w:rFonts w:hint="eastAsia" w:hAnsi="宋体" w:cs="宋体"/>
          <w:b/>
          <w:bCs/>
          <w:color w:val="auto"/>
          <w:sz w:val="30"/>
          <w:highlight w:val="none"/>
        </w:rPr>
      </w:pPr>
    </w:p>
    <w:p w14:paraId="6670E961">
      <w:pPr>
        <w:pStyle w:val="29"/>
        <w:adjustRightInd w:val="0"/>
        <w:snapToGrid w:val="0"/>
        <w:spacing w:line="300" w:lineRule="auto"/>
        <w:jc w:val="center"/>
        <w:rPr>
          <w:rFonts w:hint="eastAsia" w:hAnsi="宋体" w:cs="宋体"/>
          <w:b/>
          <w:bCs/>
          <w:color w:val="auto"/>
          <w:sz w:val="30"/>
          <w:highlight w:val="none"/>
        </w:rPr>
      </w:pPr>
    </w:p>
    <w:p w14:paraId="14B61545">
      <w:pPr>
        <w:pStyle w:val="29"/>
        <w:adjustRightInd w:val="0"/>
        <w:snapToGrid w:val="0"/>
        <w:spacing w:line="300" w:lineRule="auto"/>
        <w:jc w:val="center"/>
        <w:rPr>
          <w:rFonts w:hint="eastAsia" w:hAnsi="宋体" w:cs="宋体"/>
          <w:b/>
          <w:bCs/>
          <w:color w:val="auto"/>
          <w:sz w:val="30"/>
          <w:highlight w:val="none"/>
        </w:rPr>
      </w:pPr>
    </w:p>
    <w:p w14:paraId="285AA22E">
      <w:pPr>
        <w:pStyle w:val="29"/>
        <w:adjustRightInd w:val="0"/>
        <w:snapToGrid w:val="0"/>
        <w:spacing w:line="300" w:lineRule="auto"/>
        <w:jc w:val="center"/>
        <w:rPr>
          <w:rFonts w:hint="eastAsia" w:hAnsi="宋体" w:cs="宋体"/>
          <w:b/>
          <w:bCs/>
          <w:color w:val="auto"/>
          <w:sz w:val="30"/>
          <w:highlight w:val="none"/>
        </w:rPr>
      </w:pPr>
    </w:p>
    <w:p w14:paraId="380C7556">
      <w:pPr>
        <w:pStyle w:val="29"/>
        <w:adjustRightInd w:val="0"/>
        <w:snapToGrid w:val="0"/>
        <w:spacing w:line="300" w:lineRule="auto"/>
        <w:jc w:val="center"/>
        <w:rPr>
          <w:rFonts w:hint="eastAsia" w:hAnsi="宋体" w:cs="宋体"/>
          <w:b/>
          <w:bCs/>
          <w:color w:val="auto"/>
          <w:sz w:val="30"/>
          <w:highlight w:val="none"/>
        </w:rPr>
      </w:pPr>
    </w:p>
    <w:p w14:paraId="50FE27AD">
      <w:pPr>
        <w:pStyle w:val="29"/>
        <w:adjustRightInd w:val="0"/>
        <w:snapToGrid w:val="0"/>
        <w:spacing w:line="300" w:lineRule="auto"/>
        <w:jc w:val="center"/>
        <w:rPr>
          <w:rFonts w:hint="eastAsia" w:hAnsi="宋体" w:cs="宋体"/>
          <w:b/>
          <w:bCs/>
          <w:color w:val="auto"/>
          <w:sz w:val="30"/>
          <w:highlight w:val="none"/>
        </w:rPr>
      </w:pPr>
    </w:p>
    <w:p w14:paraId="414503F8">
      <w:pPr>
        <w:pStyle w:val="29"/>
        <w:adjustRightInd w:val="0"/>
        <w:snapToGrid w:val="0"/>
        <w:spacing w:line="300" w:lineRule="auto"/>
        <w:jc w:val="center"/>
        <w:rPr>
          <w:rFonts w:hint="eastAsia" w:hAnsi="宋体" w:cs="宋体"/>
          <w:b/>
          <w:bCs/>
          <w:color w:val="auto"/>
          <w:sz w:val="30"/>
          <w:highlight w:val="none"/>
        </w:rPr>
      </w:pPr>
    </w:p>
    <w:p w14:paraId="0FB61F0F">
      <w:pPr>
        <w:pStyle w:val="29"/>
        <w:adjustRightInd w:val="0"/>
        <w:snapToGrid w:val="0"/>
        <w:spacing w:line="300" w:lineRule="auto"/>
        <w:jc w:val="center"/>
        <w:rPr>
          <w:rFonts w:hint="eastAsia" w:hAnsi="宋体" w:cs="宋体"/>
          <w:b/>
          <w:bCs/>
          <w:color w:val="auto"/>
          <w:sz w:val="30"/>
          <w:highlight w:val="none"/>
        </w:rPr>
      </w:pPr>
    </w:p>
    <w:p w14:paraId="58D22D62">
      <w:pPr>
        <w:pStyle w:val="29"/>
        <w:adjustRightInd w:val="0"/>
        <w:snapToGrid w:val="0"/>
        <w:spacing w:line="300" w:lineRule="auto"/>
        <w:jc w:val="center"/>
        <w:rPr>
          <w:rFonts w:hint="eastAsia" w:hAnsi="宋体" w:cs="宋体"/>
          <w:b/>
          <w:bCs/>
          <w:color w:val="auto"/>
          <w:sz w:val="30"/>
          <w:highlight w:val="none"/>
        </w:rPr>
      </w:pPr>
    </w:p>
    <w:p w14:paraId="1223E584">
      <w:pPr>
        <w:pStyle w:val="29"/>
        <w:adjustRightInd w:val="0"/>
        <w:snapToGrid w:val="0"/>
        <w:spacing w:line="300" w:lineRule="auto"/>
        <w:jc w:val="center"/>
        <w:rPr>
          <w:rFonts w:hint="eastAsia" w:hAnsi="宋体" w:cs="宋体"/>
          <w:b/>
          <w:bCs/>
          <w:color w:val="auto"/>
          <w:sz w:val="30"/>
          <w:highlight w:val="none"/>
        </w:rPr>
      </w:pPr>
    </w:p>
    <w:p w14:paraId="0628B56D">
      <w:pPr>
        <w:pStyle w:val="236"/>
        <w:rPr>
          <w:rFonts w:hint="eastAsia" w:ascii="宋体" w:hAnsi="宋体" w:cs="宋体"/>
          <w:color w:val="auto"/>
          <w:szCs w:val="21"/>
          <w:highlight w:val="none"/>
        </w:rPr>
      </w:pPr>
    </w:p>
    <w:p w14:paraId="62C4BA1D">
      <w:pPr>
        <w:pStyle w:val="236"/>
        <w:jc w:val="center"/>
        <w:rPr>
          <w:rFonts w:hint="eastAsia" w:ascii="宋体" w:hAnsi="宋体" w:cs="宋体"/>
          <w:b/>
          <w:bCs/>
          <w:color w:val="auto"/>
          <w:sz w:val="30"/>
          <w:highlight w:val="none"/>
        </w:rPr>
      </w:pPr>
      <w:bookmarkStart w:id="217" w:name="_Toc8008423"/>
      <w:bookmarkStart w:id="218" w:name="_Toc7988468"/>
      <w:bookmarkStart w:id="219" w:name="_Toc440162800"/>
      <w:bookmarkStart w:id="220" w:name="_Toc424164168"/>
      <w:bookmarkStart w:id="221" w:name="_Toc7988414"/>
      <w:bookmarkStart w:id="222" w:name="_Toc66439497"/>
      <w:r>
        <w:rPr>
          <w:rFonts w:hint="eastAsia" w:ascii="宋体" w:hAnsi="宋体" w:cs="宋体"/>
          <w:b/>
          <w:bCs/>
          <w:color w:val="auto"/>
          <w:sz w:val="30"/>
          <w:highlight w:val="none"/>
        </w:rPr>
        <w:t>▲4、联合体协议书</w:t>
      </w:r>
    </w:p>
    <w:p w14:paraId="3024C81F">
      <w:pPr>
        <w:pStyle w:val="236"/>
        <w:jc w:val="center"/>
        <w:rPr>
          <w:rFonts w:hint="eastAsia" w:ascii="宋体" w:hAnsi="宋体" w:cs="宋体"/>
          <w:b/>
          <w:color w:val="auto"/>
          <w:szCs w:val="21"/>
          <w:highlight w:val="none"/>
        </w:rPr>
      </w:pPr>
      <w:r>
        <w:rPr>
          <w:rFonts w:hint="eastAsia" w:ascii="宋体" w:hAnsi="宋体" w:cs="宋体"/>
          <w:b/>
          <w:color w:val="auto"/>
          <w:szCs w:val="21"/>
          <w:highlight w:val="none"/>
        </w:rPr>
        <w:t>（注:联合体参加投标时提供）</w:t>
      </w:r>
    </w:p>
    <w:p w14:paraId="0E1E2215">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联合体所有成员名称</w:t>
      </w:r>
      <w:r>
        <w:rPr>
          <w:rFonts w:hint="eastAsia" w:ascii="宋体" w:hAnsi="宋体" w:cs="宋体"/>
          <w:color w:val="auto"/>
          <w:spacing w:val="6"/>
          <w:szCs w:val="21"/>
          <w:highlight w:val="none"/>
        </w:rPr>
        <w:t>】自愿组成一个联合体，以一个投标人的身份参加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（项目名称）</w:t>
      </w:r>
    </w:p>
    <w:p w14:paraId="350E4AC8">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 项目编号）</w:t>
      </w:r>
      <w:r>
        <w:rPr>
          <w:rStyle w:val="191"/>
          <w:rFonts w:hint="eastAsia" w:ascii="宋体" w:hAnsi="宋体" w:cs="宋体"/>
          <w:bCs/>
          <w:color w:val="auto"/>
          <w:szCs w:val="21"/>
          <w:highlight w:val="none"/>
        </w:rPr>
        <w:t>（标项名称：</w:t>
      </w:r>
      <w:r>
        <w:rPr>
          <w:rStyle w:val="191"/>
          <w:rFonts w:hint="eastAsia" w:ascii="宋体" w:hAnsi="宋体" w:cs="宋体"/>
          <w:bCs/>
          <w:color w:val="auto"/>
          <w:szCs w:val="21"/>
          <w:highlight w:val="none"/>
          <w:u w:val="single"/>
        </w:rPr>
        <w:t xml:space="preserve">        </w:t>
      </w:r>
      <w:r>
        <w:rPr>
          <w:rStyle w:val="191"/>
          <w:rFonts w:hint="eastAsia" w:ascii="宋体" w:hAnsi="宋体" w:cs="宋体"/>
          <w:bCs/>
          <w:color w:val="auto"/>
          <w:szCs w:val="21"/>
          <w:highlight w:val="none"/>
        </w:rPr>
        <w:t>）</w:t>
      </w:r>
      <w:r>
        <w:rPr>
          <w:rFonts w:hint="eastAsia" w:ascii="宋体" w:hAnsi="宋体" w:cs="宋体"/>
          <w:color w:val="auto"/>
          <w:spacing w:val="6"/>
          <w:szCs w:val="21"/>
          <w:highlight w:val="none"/>
        </w:rPr>
        <w:t xml:space="preserve">响应。 </w:t>
      </w:r>
    </w:p>
    <w:p w14:paraId="0057BB9E">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一、各方一致决定，【</w:t>
      </w:r>
      <w:r>
        <w:rPr>
          <w:rFonts w:hint="eastAsia" w:ascii="宋体" w:hAnsi="宋体" w:cs="宋体"/>
          <w:color w:val="auto"/>
          <w:spacing w:val="6"/>
          <w:szCs w:val="21"/>
          <w:highlight w:val="none"/>
          <w:u w:val="single"/>
        </w:rPr>
        <w:t>某联合体成员名称</w:t>
      </w:r>
      <w:r>
        <w:rPr>
          <w:rFonts w:hint="eastAsia" w:ascii="宋体" w:hAnsi="宋体" w:cs="宋体"/>
          <w:color w:val="auto"/>
          <w:spacing w:val="6"/>
          <w:szCs w:val="21"/>
          <w:highlight w:val="none"/>
        </w:rPr>
        <w:t xml:space="preserve">】为联合体主办单位，代表所有联合体成员负责提交响 </w:t>
      </w:r>
    </w:p>
    <w:p w14:paraId="40C55186">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应文件、和合同实施阶段的主办、协调工作。 </w:t>
      </w:r>
    </w:p>
    <w:p w14:paraId="6CD55333">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二、联合体主办单位或其签署的授权书载明的授权代表根据采购文件规定及响应内容而对采购人、采购代理机构所作的任何合法承诺，包括书面澄清和确认内容、针对采购内容签署的承诺等均对联合体各方产生约束力。 </w:t>
      </w:r>
    </w:p>
    <w:p w14:paraId="4EE5CBBB">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三、本次联合体分工如下： </w:t>
      </w:r>
    </w:p>
    <w:p w14:paraId="60C596AE">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联合体其中一方成员名称</w:t>
      </w:r>
      <w:r>
        <w:rPr>
          <w:rFonts w:hint="eastAsia" w:ascii="宋体" w:hAnsi="宋体" w:cs="宋体"/>
          <w:color w:val="auto"/>
          <w:spacing w:val="6"/>
          <w:szCs w:val="21"/>
          <w:highlight w:val="none"/>
        </w:rPr>
        <w:t>】承担的工作和义务为：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 </w:t>
      </w:r>
    </w:p>
    <w:p w14:paraId="17327192">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联合体其中一方成员名称</w:t>
      </w:r>
      <w:r>
        <w:rPr>
          <w:rFonts w:hint="eastAsia" w:ascii="宋体" w:hAnsi="宋体" w:cs="宋体"/>
          <w:color w:val="auto"/>
          <w:spacing w:val="6"/>
          <w:szCs w:val="21"/>
          <w:highlight w:val="none"/>
        </w:rPr>
        <w:t>】承担的工作和义务为：</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 </w:t>
      </w:r>
    </w:p>
    <w:p w14:paraId="053BB826">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四、中小企业承接金额比例如下： </w:t>
      </w:r>
    </w:p>
    <w:p w14:paraId="5F142F91">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联合体其中一方成员名称</w:t>
      </w:r>
      <w:r>
        <w:rPr>
          <w:rFonts w:hint="eastAsia" w:ascii="宋体" w:hAnsi="宋体" w:cs="宋体"/>
          <w:color w:val="auto"/>
          <w:spacing w:val="6"/>
          <w:szCs w:val="21"/>
          <w:highlight w:val="none"/>
        </w:rPr>
        <w:t>】属于【</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小型企业/</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微型企业</w:t>
      </w:r>
      <w:r>
        <w:rPr>
          <w:rFonts w:hint="eastAsia" w:ascii="宋体" w:hAnsi="宋体" w:cs="宋体"/>
          <w:color w:val="auto"/>
          <w:spacing w:val="6"/>
          <w:szCs w:val="21"/>
          <w:highlight w:val="none"/>
        </w:rPr>
        <w:t>】，并承接本项目合同金额的【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 </w:t>
      </w:r>
    </w:p>
    <w:p w14:paraId="2471BC7F">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我与承担本项目的其他投标人（大中型企业）之间【</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是/</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否</w:t>
      </w:r>
      <w:r>
        <w:rPr>
          <w:rFonts w:hint="eastAsia" w:ascii="宋体" w:hAnsi="宋体" w:cs="宋体"/>
          <w:color w:val="auto"/>
          <w:spacing w:val="6"/>
          <w:szCs w:val="21"/>
          <w:highlight w:val="none"/>
        </w:rPr>
        <w:t xml:space="preserve">】存在直接控股、管理关系； </w:t>
      </w:r>
    </w:p>
    <w:p w14:paraId="3A59206A">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【联合体其中一方成员名称】属于【</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小型企业/</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微型企业</w:t>
      </w:r>
      <w:r>
        <w:rPr>
          <w:rFonts w:hint="eastAsia" w:ascii="宋体" w:hAnsi="宋体" w:cs="宋体"/>
          <w:color w:val="auto"/>
          <w:spacing w:val="6"/>
          <w:szCs w:val="21"/>
          <w:highlight w:val="none"/>
        </w:rPr>
        <w:t>】，并承接本项目合同金额的【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 xml:space="preserve">%】，  </w:t>
      </w:r>
    </w:p>
    <w:p w14:paraId="083D58E7">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我与承担本项目的其他投标人（大中型企业）之间【</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是/</w:t>
      </w:r>
      <w:r>
        <w:rPr>
          <w:rFonts w:hint="eastAsia" w:ascii="宋体" w:hAnsi="宋体" w:cs="宋体"/>
          <w:color w:val="auto"/>
          <w:spacing w:val="6"/>
          <w:szCs w:val="21"/>
          <w:highlight w:val="none"/>
          <w:u w:val="single"/>
        </w:rPr>
        <w:sym w:font="Wingdings" w:char="00A8"/>
      </w:r>
      <w:r>
        <w:rPr>
          <w:rFonts w:hint="eastAsia" w:ascii="宋体" w:hAnsi="宋体" w:cs="宋体"/>
          <w:color w:val="auto"/>
          <w:spacing w:val="6"/>
          <w:szCs w:val="21"/>
          <w:highlight w:val="none"/>
          <w:u w:val="single"/>
        </w:rPr>
        <w:t>否</w:t>
      </w:r>
      <w:r>
        <w:rPr>
          <w:rFonts w:hint="eastAsia" w:ascii="宋体" w:hAnsi="宋体" w:cs="宋体"/>
          <w:color w:val="auto"/>
          <w:spacing w:val="6"/>
          <w:szCs w:val="21"/>
          <w:highlight w:val="none"/>
        </w:rPr>
        <w:t xml:space="preserve">】存在直接控股、管理关系。 </w:t>
      </w:r>
    </w:p>
    <w:p w14:paraId="348859F4">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五、如果成交，联合体各成员方共同与采购人签订合同，并就采购合同约定的事项对采购人承担 </w:t>
      </w:r>
    </w:p>
    <w:p w14:paraId="6DEFBCC8">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连带责任。 </w:t>
      </w:r>
    </w:p>
    <w:p w14:paraId="212A2803">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六、有关本次联合响应的其他事宜： </w:t>
      </w:r>
    </w:p>
    <w:p w14:paraId="694DCF88">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1.联合体各成员方不再单独参加或者与其他投标人另外组成联合体参加同一合同项下的政府采 购活动。 </w:t>
      </w:r>
    </w:p>
    <w:p w14:paraId="691F8971">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2.联合体中有同类资质的各方按照联合体分工承担相同工作的，按照资质等级较低的投标人确定 </w:t>
      </w:r>
    </w:p>
    <w:p w14:paraId="79E8A99C">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资质等级。 </w:t>
      </w:r>
    </w:p>
    <w:p w14:paraId="6DBFC5A6">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3.本协议提交采购人、采购代理机构后，联合体各成员方不得以任何形式对上述内容进行修改或 </w:t>
      </w:r>
    </w:p>
    <w:p w14:paraId="710E546F">
      <w:pPr>
        <w:pStyle w:val="185"/>
        <w:spacing w:line="44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撤销。 </w:t>
      </w:r>
    </w:p>
    <w:p w14:paraId="4DCA0C27">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4.联合体各成员方按照采购文件的规定在投标文件中分别提交资格条件证明文件。 </w:t>
      </w:r>
    </w:p>
    <w:p w14:paraId="5B410850">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 xml:space="preserve">5.如成交，本项目的采购代理服务费由联合体主办单位缴纳。 </w:t>
      </w:r>
    </w:p>
    <w:p w14:paraId="68E8BE3A">
      <w:pPr>
        <w:widowControl/>
        <w:jc w:val="left"/>
        <w:rPr>
          <w:rFonts w:hint="eastAsia" w:ascii="宋体" w:hAnsi="宋体" w:cs="宋体"/>
          <w:color w:val="auto"/>
          <w:kern w:val="0"/>
          <w:szCs w:val="21"/>
          <w:highlight w:val="none"/>
          <w:lang w:bidi="ar"/>
        </w:rPr>
      </w:pPr>
    </w:p>
    <w:p w14:paraId="43D696C1">
      <w:pPr>
        <w:widowControl/>
        <w:ind w:firstLine="420" w:firstLineChars="200"/>
        <w:jc w:val="left"/>
        <w:rPr>
          <w:rFonts w:hint="eastAsia" w:ascii="宋体" w:hAnsi="宋体" w:cs="宋体"/>
          <w:color w:val="auto"/>
          <w:spacing w:val="6"/>
          <w:szCs w:val="21"/>
          <w:highlight w:val="none"/>
        </w:rPr>
      </w:pPr>
      <w:r>
        <w:rPr>
          <w:rFonts w:hint="eastAsia" w:ascii="宋体" w:hAnsi="宋体" w:cs="宋体"/>
          <w:color w:val="auto"/>
          <w:kern w:val="0"/>
          <w:szCs w:val="21"/>
          <w:highlight w:val="none"/>
          <w:lang w:bidi="ar"/>
        </w:rPr>
        <w:t>联合体成员方（主办单位）</w:t>
      </w: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（单位公章）</w:t>
      </w:r>
    </w:p>
    <w:p w14:paraId="1A62423B">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签署日期：  年 月 日</w:t>
      </w:r>
    </w:p>
    <w:p w14:paraId="46939C49">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联合体成员方（成员单位）：</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（单位公章）</w:t>
      </w:r>
    </w:p>
    <w:p w14:paraId="27DF87F8">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签署日期：  年 月 日</w:t>
      </w:r>
    </w:p>
    <w:p w14:paraId="456FFAB4">
      <w:pPr>
        <w:widowControl/>
        <w:ind w:firstLine="420" w:firstLineChars="200"/>
        <w:jc w:val="left"/>
        <w:rPr>
          <w:rFonts w:hint="eastAsia" w:ascii="宋体" w:hAnsi="宋体" w:cs="宋体"/>
          <w:color w:val="auto"/>
          <w:kern w:val="0"/>
          <w:szCs w:val="21"/>
          <w:highlight w:val="none"/>
          <w:lang w:bidi="ar"/>
        </w:rPr>
      </w:pPr>
    </w:p>
    <w:p w14:paraId="73F19B69">
      <w:pPr>
        <w:widowControl/>
        <w:ind w:firstLine="420" w:firstLineChars="200"/>
        <w:jc w:val="left"/>
        <w:rPr>
          <w:rFonts w:hint="eastAsia" w:ascii="宋体" w:hAnsi="宋体" w:cs="宋体"/>
          <w:color w:val="auto"/>
          <w:spacing w:val="6"/>
          <w:szCs w:val="21"/>
          <w:highlight w:val="none"/>
        </w:rPr>
      </w:pPr>
      <w:r>
        <w:rPr>
          <w:rFonts w:hint="eastAsia" w:ascii="宋体" w:hAnsi="宋体" w:cs="宋体"/>
          <w:color w:val="auto"/>
          <w:kern w:val="0"/>
          <w:szCs w:val="21"/>
          <w:highlight w:val="none"/>
          <w:lang w:bidi="ar"/>
        </w:rPr>
        <w:t>联合体成员方（成员单位）</w:t>
      </w:r>
      <w:r>
        <w:rPr>
          <w:rFonts w:hint="eastAsia" w:ascii="宋体" w:hAnsi="宋体" w:cs="宋体"/>
          <w:color w:val="auto"/>
          <w:spacing w:val="6"/>
          <w:szCs w:val="21"/>
          <w:highlight w:val="none"/>
        </w:rPr>
        <w:t>：</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（单位公章）</w:t>
      </w:r>
    </w:p>
    <w:p w14:paraId="16E40B0D">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签署日期：  年 月 日</w:t>
      </w:r>
    </w:p>
    <w:p w14:paraId="4588A799">
      <w:pPr>
        <w:pStyle w:val="185"/>
        <w:spacing w:line="440" w:lineRule="exact"/>
        <w:ind w:firstLine="444" w:firstLineChars="200"/>
        <w:rPr>
          <w:rFonts w:hint="eastAsia" w:ascii="宋体" w:hAnsi="宋体" w:cs="宋体"/>
          <w:color w:val="auto"/>
          <w:spacing w:val="6"/>
          <w:szCs w:val="21"/>
          <w:highlight w:val="none"/>
        </w:rPr>
      </w:pPr>
    </w:p>
    <w:p w14:paraId="26926310">
      <w:pPr>
        <w:pStyle w:val="185"/>
        <w:spacing w:line="440" w:lineRule="exact"/>
        <w:ind w:firstLine="444" w:firstLineChars="200"/>
        <w:rPr>
          <w:rFonts w:hint="eastAsia" w:ascii="宋体" w:hAnsi="宋体" w:cs="宋体"/>
          <w:color w:val="auto"/>
          <w:spacing w:val="6"/>
          <w:szCs w:val="21"/>
          <w:highlight w:val="none"/>
        </w:rPr>
      </w:pPr>
      <w:r>
        <w:rPr>
          <w:rFonts w:hint="eastAsia" w:ascii="宋体" w:hAnsi="宋体" w:cs="宋体"/>
          <w:color w:val="auto"/>
          <w:spacing w:val="6"/>
          <w:szCs w:val="21"/>
          <w:highlight w:val="none"/>
        </w:rPr>
        <w:t>注：按本格式和要求提供。</w:t>
      </w:r>
    </w:p>
    <w:p w14:paraId="58EF256B">
      <w:pPr>
        <w:pStyle w:val="29"/>
        <w:rPr>
          <w:rFonts w:hint="eastAsia" w:hAnsi="宋体" w:cs="宋体"/>
          <w:b/>
          <w:color w:val="auto"/>
          <w:highlight w:val="none"/>
        </w:rPr>
      </w:pPr>
    </w:p>
    <w:p w14:paraId="697B5415">
      <w:pPr>
        <w:pStyle w:val="15"/>
        <w:rPr>
          <w:rFonts w:hint="eastAsia" w:ascii="宋体" w:hAnsi="宋体" w:cs="宋体"/>
          <w:color w:val="auto"/>
          <w:sz w:val="28"/>
          <w:szCs w:val="16"/>
          <w:highlight w:val="none"/>
        </w:rPr>
      </w:pPr>
    </w:p>
    <w:p w14:paraId="3B559E25">
      <w:pPr>
        <w:rPr>
          <w:rFonts w:hint="eastAsia" w:ascii="宋体" w:hAnsi="宋体" w:cs="宋体"/>
          <w:color w:val="auto"/>
          <w:sz w:val="28"/>
          <w:szCs w:val="16"/>
          <w:highlight w:val="none"/>
        </w:rPr>
      </w:pPr>
    </w:p>
    <w:p w14:paraId="5EA0B639">
      <w:pPr>
        <w:pStyle w:val="5"/>
        <w:ind w:firstLine="562"/>
        <w:rPr>
          <w:rFonts w:hint="eastAsia" w:ascii="宋体" w:hAnsi="宋体" w:eastAsia="宋体" w:cs="宋体"/>
          <w:color w:val="auto"/>
          <w:sz w:val="28"/>
          <w:szCs w:val="16"/>
          <w:highlight w:val="none"/>
        </w:rPr>
      </w:pPr>
    </w:p>
    <w:p w14:paraId="567B9F2B">
      <w:pPr>
        <w:pStyle w:val="15"/>
        <w:rPr>
          <w:rFonts w:hint="eastAsia" w:ascii="宋体" w:hAnsi="宋体" w:cs="宋体"/>
          <w:color w:val="auto"/>
          <w:sz w:val="28"/>
          <w:szCs w:val="16"/>
          <w:highlight w:val="none"/>
        </w:rPr>
      </w:pPr>
    </w:p>
    <w:p w14:paraId="5F961521">
      <w:pPr>
        <w:rPr>
          <w:rFonts w:hint="eastAsia" w:ascii="宋体" w:hAnsi="宋体" w:cs="宋体"/>
          <w:color w:val="auto"/>
          <w:sz w:val="28"/>
          <w:szCs w:val="16"/>
          <w:highlight w:val="none"/>
        </w:rPr>
      </w:pPr>
    </w:p>
    <w:p w14:paraId="1BB56B08">
      <w:pPr>
        <w:pStyle w:val="5"/>
        <w:rPr>
          <w:rFonts w:hint="eastAsia" w:ascii="宋体" w:hAnsi="宋体" w:eastAsia="宋体" w:cs="宋体"/>
          <w:color w:val="auto"/>
          <w:highlight w:val="none"/>
        </w:rPr>
      </w:pPr>
    </w:p>
    <w:p w14:paraId="19D7D5CB">
      <w:pPr>
        <w:pStyle w:val="4"/>
        <w:spacing w:line="560" w:lineRule="exact"/>
        <w:rPr>
          <w:rFonts w:hint="eastAsia" w:ascii="宋体" w:hAnsi="宋体" w:eastAsia="宋体" w:cs="宋体"/>
          <w:color w:val="auto"/>
          <w:sz w:val="28"/>
          <w:szCs w:val="16"/>
          <w:highlight w:val="none"/>
        </w:rPr>
      </w:pPr>
    </w:p>
    <w:p w14:paraId="083195F4">
      <w:pPr>
        <w:rPr>
          <w:rFonts w:hint="eastAsia" w:ascii="宋体" w:hAnsi="宋体" w:cs="宋体"/>
          <w:color w:val="auto"/>
          <w:sz w:val="28"/>
          <w:szCs w:val="16"/>
          <w:highlight w:val="none"/>
        </w:rPr>
      </w:pPr>
    </w:p>
    <w:p w14:paraId="715276DF">
      <w:pPr>
        <w:rPr>
          <w:rFonts w:hint="eastAsia" w:ascii="宋体" w:hAnsi="宋体" w:cs="宋体"/>
          <w:color w:val="auto"/>
          <w:sz w:val="28"/>
          <w:szCs w:val="16"/>
          <w:highlight w:val="none"/>
        </w:rPr>
      </w:pPr>
    </w:p>
    <w:p w14:paraId="03A742ED">
      <w:pPr>
        <w:rPr>
          <w:rFonts w:hint="eastAsia" w:ascii="宋体" w:hAnsi="宋体" w:cs="宋体"/>
          <w:color w:val="auto"/>
          <w:sz w:val="28"/>
          <w:szCs w:val="16"/>
          <w:highlight w:val="none"/>
        </w:rPr>
      </w:pPr>
    </w:p>
    <w:p w14:paraId="42BF1F97">
      <w:pPr>
        <w:rPr>
          <w:rFonts w:hint="eastAsia" w:ascii="宋体" w:hAnsi="宋体" w:cs="宋体"/>
          <w:color w:val="auto"/>
          <w:sz w:val="28"/>
          <w:szCs w:val="16"/>
          <w:highlight w:val="none"/>
        </w:rPr>
      </w:pPr>
    </w:p>
    <w:p w14:paraId="392BC51D">
      <w:pPr>
        <w:rPr>
          <w:rFonts w:hint="eastAsia" w:ascii="宋体" w:hAnsi="宋体" w:cs="宋体"/>
          <w:color w:val="auto"/>
          <w:sz w:val="28"/>
          <w:szCs w:val="16"/>
          <w:highlight w:val="none"/>
        </w:rPr>
      </w:pPr>
    </w:p>
    <w:p w14:paraId="5F35BA88">
      <w:pPr>
        <w:rPr>
          <w:rFonts w:hint="eastAsia" w:ascii="宋体" w:hAnsi="宋体" w:cs="宋体"/>
          <w:color w:val="auto"/>
          <w:sz w:val="28"/>
          <w:szCs w:val="16"/>
          <w:highlight w:val="none"/>
        </w:rPr>
      </w:pPr>
    </w:p>
    <w:p w14:paraId="2B41DACF">
      <w:pPr>
        <w:rPr>
          <w:rFonts w:hint="eastAsia" w:ascii="宋体" w:hAnsi="宋体" w:cs="宋体"/>
          <w:color w:val="auto"/>
          <w:sz w:val="28"/>
          <w:szCs w:val="16"/>
          <w:highlight w:val="none"/>
        </w:rPr>
      </w:pPr>
    </w:p>
    <w:p w14:paraId="18740427">
      <w:pPr>
        <w:rPr>
          <w:rFonts w:hint="eastAsia" w:ascii="宋体" w:hAnsi="宋体" w:cs="宋体"/>
          <w:color w:val="auto"/>
          <w:sz w:val="28"/>
          <w:szCs w:val="16"/>
          <w:highlight w:val="none"/>
        </w:rPr>
      </w:pPr>
    </w:p>
    <w:p w14:paraId="35D0148D">
      <w:pPr>
        <w:rPr>
          <w:rFonts w:hint="eastAsia" w:ascii="宋体" w:hAnsi="宋体" w:cs="宋体"/>
          <w:color w:val="auto"/>
          <w:sz w:val="28"/>
          <w:szCs w:val="16"/>
          <w:highlight w:val="none"/>
        </w:rPr>
      </w:pPr>
    </w:p>
    <w:p w14:paraId="0AB12A89">
      <w:pPr>
        <w:rPr>
          <w:rFonts w:hint="eastAsia" w:ascii="宋体" w:hAnsi="宋体" w:cs="宋体"/>
          <w:color w:val="auto"/>
          <w:sz w:val="28"/>
          <w:szCs w:val="16"/>
          <w:highlight w:val="none"/>
        </w:rPr>
      </w:pPr>
    </w:p>
    <w:p w14:paraId="49B97DEB">
      <w:pPr>
        <w:rPr>
          <w:rFonts w:hint="eastAsia" w:ascii="宋体" w:hAnsi="宋体" w:cs="宋体"/>
          <w:color w:val="auto"/>
          <w:sz w:val="28"/>
          <w:szCs w:val="16"/>
          <w:highlight w:val="none"/>
        </w:rPr>
      </w:pPr>
    </w:p>
    <w:p w14:paraId="6C208A64">
      <w:pPr>
        <w:rPr>
          <w:rFonts w:hint="eastAsia" w:ascii="宋体" w:hAnsi="宋体" w:cs="宋体"/>
          <w:color w:val="auto"/>
          <w:sz w:val="28"/>
          <w:szCs w:val="16"/>
          <w:highlight w:val="none"/>
        </w:rPr>
      </w:pPr>
    </w:p>
    <w:p w14:paraId="376A1F5B">
      <w:pPr>
        <w:rPr>
          <w:rFonts w:hint="eastAsia" w:ascii="宋体" w:hAnsi="宋体" w:cs="宋体"/>
          <w:color w:val="auto"/>
          <w:sz w:val="28"/>
          <w:szCs w:val="16"/>
          <w:highlight w:val="none"/>
        </w:rPr>
      </w:pPr>
    </w:p>
    <w:p w14:paraId="7D41B7CD">
      <w:pPr>
        <w:rPr>
          <w:rFonts w:hint="eastAsia" w:ascii="宋体" w:hAnsi="宋体" w:cs="宋体"/>
          <w:color w:val="auto"/>
          <w:sz w:val="28"/>
          <w:szCs w:val="16"/>
          <w:highlight w:val="none"/>
        </w:rPr>
      </w:pPr>
    </w:p>
    <w:p w14:paraId="5D353A31">
      <w:pPr>
        <w:rPr>
          <w:rFonts w:hint="eastAsia" w:ascii="宋体" w:hAnsi="宋体" w:cs="宋体"/>
          <w:color w:val="auto"/>
          <w:sz w:val="28"/>
          <w:szCs w:val="16"/>
          <w:highlight w:val="none"/>
        </w:rPr>
      </w:pPr>
    </w:p>
    <w:p w14:paraId="5E065A6B">
      <w:pPr>
        <w:rPr>
          <w:rFonts w:hint="eastAsia" w:ascii="宋体" w:hAnsi="宋体" w:cs="宋体"/>
          <w:color w:val="auto"/>
          <w:sz w:val="28"/>
          <w:szCs w:val="16"/>
          <w:highlight w:val="none"/>
        </w:rPr>
      </w:pPr>
    </w:p>
    <w:p w14:paraId="34C794F0">
      <w:pPr>
        <w:rPr>
          <w:rFonts w:hint="eastAsia" w:ascii="宋体" w:hAnsi="宋体" w:cs="宋体"/>
          <w:color w:val="auto"/>
          <w:sz w:val="28"/>
          <w:szCs w:val="16"/>
          <w:highlight w:val="none"/>
        </w:rPr>
      </w:pPr>
    </w:p>
    <w:p w14:paraId="67A97B66">
      <w:pPr>
        <w:rPr>
          <w:rFonts w:hint="eastAsia" w:ascii="宋体" w:hAnsi="宋体" w:cs="宋体"/>
          <w:color w:val="auto"/>
          <w:sz w:val="28"/>
          <w:szCs w:val="16"/>
          <w:highlight w:val="none"/>
        </w:rPr>
      </w:pPr>
    </w:p>
    <w:p w14:paraId="6BEFEB71">
      <w:pPr>
        <w:pStyle w:val="15"/>
        <w:rPr>
          <w:rFonts w:hint="eastAsia" w:ascii="宋体" w:hAnsi="宋体" w:cs="宋体"/>
          <w:color w:val="auto"/>
          <w:sz w:val="28"/>
          <w:szCs w:val="16"/>
          <w:highlight w:val="none"/>
        </w:rPr>
      </w:pPr>
    </w:p>
    <w:p w14:paraId="6E2843C3">
      <w:pPr>
        <w:rPr>
          <w:rFonts w:hint="eastAsia" w:ascii="宋体" w:hAnsi="宋体" w:cs="宋体"/>
          <w:color w:val="auto"/>
          <w:sz w:val="28"/>
          <w:szCs w:val="16"/>
          <w:highlight w:val="none"/>
        </w:rPr>
      </w:pPr>
    </w:p>
    <w:p w14:paraId="19BC7778">
      <w:pPr>
        <w:pStyle w:val="29"/>
        <w:rPr>
          <w:rFonts w:hint="eastAsia" w:hAnsi="宋体" w:cs="宋体"/>
          <w:b/>
          <w:color w:val="auto"/>
          <w:highlight w:val="none"/>
        </w:rPr>
      </w:pPr>
      <w:r>
        <w:rPr>
          <w:rFonts w:hint="eastAsia" w:hAnsi="宋体" w:cs="宋体"/>
          <w:b/>
          <w:color w:val="auto"/>
          <w:highlight w:val="none"/>
        </w:rPr>
        <w:t>附件：</w:t>
      </w:r>
      <w:r>
        <w:rPr>
          <w:color w:val="auto"/>
          <w:highlight w:val="none"/>
        </w:rPr>
        <w:fldChar w:fldCharType="begin"/>
      </w:r>
      <w:r>
        <w:rPr>
          <w:color w:val="auto"/>
          <w:highlight w:val="none"/>
        </w:rPr>
        <w:instrText xml:space="preserve"> HYPERLINK "mailto:政府采购活动现场确认声明书（开标后填写发送至邮箱857344410@qq.com）" </w:instrText>
      </w:r>
      <w:r>
        <w:rPr>
          <w:color w:val="auto"/>
          <w:highlight w:val="none"/>
        </w:rPr>
        <w:fldChar w:fldCharType="separate"/>
      </w:r>
      <w:r>
        <w:rPr>
          <w:rFonts w:hint="eastAsia" w:hAnsi="宋体" w:cs="宋体"/>
          <w:b/>
          <w:color w:val="auto"/>
          <w:highlight w:val="none"/>
        </w:rPr>
        <w:t>政府采购活动现场确认声明书（开标后填写发送至邮箱857344410@qq.com）</w:t>
      </w:r>
      <w:r>
        <w:rPr>
          <w:rFonts w:hint="eastAsia" w:hAnsi="宋体" w:cs="宋体"/>
          <w:b/>
          <w:color w:val="auto"/>
          <w:highlight w:val="none"/>
        </w:rPr>
        <w:fldChar w:fldCharType="end"/>
      </w:r>
    </w:p>
    <w:p w14:paraId="6E3FF229">
      <w:pPr>
        <w:rPr>
          <w:rFonts w:hint="eastAsia" w:ascii="宋体" w:hAnsi="宋体" w:cs="宋体"/>
          <w:color w:val="auto"/>
          <w:highlight w:val="none"/>
        </w:rPr>
      </w:pPr>
    </w:p>
    <w:p w14:paraId="2639F83F">
      <w:pPr>
        <w:pStyle w:val="29"/>
        <w:jc w:val="center"/>
        <w:outlineLvl w:val="2"/>
        <w:rPr>
          <w:rFonts w:hint="eastAsia" w:hAnsi="宋体" w:cs="宋体"/>
          <w:b/>
          <w:bCs/>
          <w:color w:val="auto"/>
          <w:sz w:val="30"/>
          <w:highlight w:val="none"/>
        </w:rPr>
      </w:pPr>
      <w:r>
        <w:rPr>
          <w:rFonts w:hint="eastAsia" w:hAnsi="宋体" w:cs="宋体"/>
          <w:b/>
          <w:bCs/>
          <w:color w:val="auto"/>
          <w:sz w:val="30"/>
          <w:highlight w:val="none"/>
        </w:rPr>
        <w:t>政府采购活动现场确认声明书</w:t>
      </w:r>
    </w:p>
    <w:p w14:paraId="18F54B5A">
      <w:pPr>
        <w:pStyle w:val="185"/>
        <w:spacing w:line="500" w:lineRule="exact"/>
        <w:rPr>
          <w:rFonts w:hint="eastAsia" w:ascii="宋体" w:hAnsi="宋体" w:cs="宋体"/>
          <w:color w:val="auto"/>
          <w:spacing w:val="6"/>
          <w:szCs w:val="21"/>
          <w:highlight w:val="none"/>
        </w:rPr>
      </w:pPr>
      <w:r>
        <w:rPr>
          <w:rFonts w:hint="eastAsia" w:ascii="宋体" w:hAnsi="宋体" w:cs="宋体"/>
          <w:color w:val="auto"/>
          <w:spacing w:val="6"/>
          <w:szCs w:val="21"/>
          <w:highlight w:val="none"/>
          <w:u w:val="single"/>
        </w:rPr>
        <w:t>丽水市生态环境局、浙江大兴建设项目管理咨询有限公司</w:t>
      </w:r>
      <w:r>
        <w:rPr>
          <w:rFonts w:hint="eastAsia" w:ascii="宋体" w:hAnsi="宋体" w:cs="宋体"/>
          <w:color w:val="auto"/>
          <w:spacing w:val="6"/>
          <w:szCs w:val="21"/>
          <w:highlight w:val="none"/>
        </w:rPr>
        <w:t>：</w:t>
      </w:r>
    </w:p>
    <w:p w14:paraId="1558739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本人经由</w:t>
      </w:r>
      <w:r>
        <w:rPr>
          <w:rFonts w:hint="eastAsia" w:ascii="宋体" w:hAnsi="宋体" w:cs="宋体"/>
          <w:color w:val="auto"/>
          <w:szCs w:val="21"/>
          <w:highlight w:val="none"/>
          <w:u w:val="single"/>
        </w:rPr>
        <w:t xml:space="preserve">                           （公司名称）</w:t>
      </w:r>
      <w:r>
        <w:rPr>
          <w:rFonts w:hint="eastAsia" w:ascii="宋体" w:hAnsi="宋体" w:cs="宋体"/>
          <w:color w:val="auto"/>
          <w:szCs w:val="21"/>
          <w:highlight w:val="none"/>
        </w:rPr>
        <w:t>法定代表人（负责人）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，合法授权参加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（采购项目名称）（项目编号：</w:t>
      </w:r>
      <w:r>
        <w:rPr>
          <w:rFonts w:hint="eastAsia" w:ascii="宋体" w:hAnsi="宋体" w:cs="宋体"/>
          <w:color w:val="auto"/>
          <w:spacing w:val="6"/>
          <w:szCs w:val="21"/>
          <w:highlight w:val="none"/>
          <w:u w:val="single"/>
        </w:rPr>
        <w:t>　　  　　</w:t>
      </w:r>
      <w:r>
        <w:rPr>
          <w:rFonts w:hint="eastAsia" w:ascii="宋体" w:hAnsi="宋体" w:cs="宋体"/>
          <w:color w:val="auto"/>
          <w:spacing w:val="6"/>
          <w:szCs w:val="21"/>
          <w:highlight w:val="none"/>
        </w:rPr>
        <w:t>）</w:t>
      </w:r>
      <w:r>
        <w:rPr>
          <w:rFonts w:hint="eastAsia" w:ascii="宋体" w:hAnsi="宋体" w:cs="宋体"/>
          <w:color w:val="auto"/>
          <w:szCs w:val="21"/>
          <w:highlight w:val="none"/>
        </w:rPr>
        <w:t>政府采购活动，</w:t>
      </w:r>
      <w:r>
        <w:rPr>
          <w:rFonts w:hint="eastAsia" w:ascii="宋体" w:hAnsi="宋体" w:cs="宋体"/>
          <w:b/>
          <w:bCs/>
          <w:color w:val="auto"/>
          <w:szCs w:val="21"/>
          <w:highlight w:val="none"/>
        </w:rPr>
        <w:t>经与本单位法人代表（负责人）联系确认，现就有关公平竞争事项郑重声明如下</w:t>
      </w:r>
      <w:r>
        <w:rPr>
          <w:rFonts w:hint="eastAsia" w:ascii="宋体" w:hAnsi="宋体" w:cs="宋体"/>
          <w:color w:val="auto"/>
          <w:szCs w:val="21"/>
          <w:highlight w:val="none"/>
        </w:rPr>
        <w:t>：</w:t>
      </w:r>
    </w:p>
    <w:p w14:paraId="7D575506">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一、本单位与采购人之间 □不存在利害关系 □存在下列利害关系</w:t>
      </w:r>
      <w:r>
        <w:rPr>
          <w:rFonts w:hint="eastAsia" w:ascii="宋体" w:hAnsi="宋体" w:cs="宋体"/>
          <w:color w:val="auto"/>
          <w:szCs w:val="21"/>
          <w:highlight w:val="none"/>
          <w:u w:val="single"/>
        </w:rPr>
        <w:t xml:space="preserve">        ：</w:t>
      </w:r>
    </w:p>
    <w:p w14:paraId="1A65B9F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A.投资关系    B.行政隶属关系    C.业务指导关系</w:t>
      </w:r>
    </w:p>
    <w:p w14:paraId="4B9C436C">
      <w:pPr>
        <w:spacing w:line="440" w:lineRule="exact"/>
        <w:ind w:firstLine="480"/>
        <w:rPr>
          <w:rFonts w:hint="eastAsia" w:ascii="宋体" w:hAnsi="宋体" w:cs="宋体"/>
          <w:color w:val="auto"/>
          <w:szCs w:val="21"/>
          <w:highlight w:val="none"/>
          <w:u w:val="single"/>
        </w:rPr>
      </w:pPr>
      <w:r>
        <w:rPr>
          <w:rFonts w:hint="eastAsia" w:ascii="宋体" w:hAnsi="宋体" w:cs="宋体"/>
          <w:color w:val="auto"/>
          <w:szCs w:val="21"/>
          <w:highlight w:val="none"/>
        </w:rPr>
        <w:t>D.其他可能影响采购公正的利害关系（如有，请如实说明）</w:t>
      </w:r>
      <w:r>
        <w:rPr>
          <w:rFonts w:hint="eastAsia" w:ascii="宋体" w:hAnsi="宋体" w:cs="宋体"/>
          <w:color w:val="auto"/>
          <w:szCs w:val="21"/>
          <w:highlight w:val="none"/>
          <w:u w:val="single"/>
        </w:rPr>
        <w:t xml:space="preserve">         </w:t>
      </w:r>
    </w:p>
    <w:p w14:paraId="44D36864">
      <w:pPr>
        <w:spacing w:line="440" w:lineRule="exact"/>
        <w:ind w:firstLine="48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二、现已清楚知道参加本项目采购活动的其他所有投标人名称，本单位</w:t>
      </w:r>
    </w:p>
    <w:p w14:paraId="7D589C37">
      <w:pPr>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□与其他所有投标人之间均不存在利害关系  □与</w:t>
      </w:r>
      <w:r>
        <w:rPr>
          <w:rFonts w:hint="eastAsia" w:ascii="宋体" w:hAnsi="宋体" w:cs="宋体"/>
          <w:color w:val="auto"/>
          <w:szCs w:val="21"/>
          <w:highlight w:val="none"/>
          <w:u w:val="single"/>
        </w:rPr>
        <w:t xml:space="preserve">（投标人名称）     </w:t>
      </w:r>
      <w:r>
        <w:rPr>
          <w:rFonts w:hint="eastAsia" w:ascii="宋体" w:hAnsi="宋体" w:cs="宋体"/>
          <w:color w:val="auto"/>
          <w:szCs w:val="21"/>
          <w:highlight w:val="none"/>
        </w:rPr>
        <w:t>之间存在下列利害关系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B6DECA8">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A.法定代表人或负责人或实际控制人是同一人</w:t>
      </w:r>
    </w:p>
    <w:p w14:paraId="531CBA7A">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B.法定代表人或负责人或实际控制人是夫妻关系</w:t>
      </w:r>
    </w:p>
    <w:p w14:paraId="102AC52C">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C.法定代表人或负责人或实际控制人是直系血亲关系</w:t>
      </w:r>
    </w:p>
    <w:p w14:paraId="53DADD35">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D.法定代表人或负责人或实际控制人存在三代以内旁系血亲关系</w:t>
      </w:r>
    </w:p>
    <w:p w14:paraId="0E652B40">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E.法定代表人或负责人或实际控制人存在近姻亲关系</w:t>
      </w:r>
    </w:p>
    <w:p w14:paraId="5A38E66D">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F.法定代表人或负责人或实际控制人存在股份控制或实际控制关系</w:t>
      </w:r>
    </w:p>
    <w:p w14:paraId="53ECDBEE">
      <w:pPr>
        <w:spacing w:line="440" w:lineRule="exact"/>
        <w:outlineLvl w:val="3"/>
        <w:rPr>
          <w:rFonts w:hint="eastAsia" w:ascii="宋体" w:hAnsi="宋体" w:cs="宋体"/>
          <w:color w:val="auto"/>
          <w:szCs w:val="21"/>
          <w:highlight w:val="none"/>
        </w:rPr>
      </w:pPr>
      <w:r>
        <w:rPr>
          <w:rFonts w:hint="eastAsia" w:ascii="宋体" w:hAnsi="宋体" w:cs="宋体"/>
          <w:color w:val="auto"/>
          <w:szCs w:val="21"/>
          <w:highlight w:val="none"/>
        </w:rPr>
        <w:t xml:space="preserve">    G.存在共同直接或间接投资设立子公司、联营企业和合营企业情况</w:t>
      </w:r>
    </w:p>
    <w:p w14:paraId="40BE2EB9">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H.存在分级代理或代销关系、同一生产制造商关系、管理关系、重要业务（占主营业务收入50%以上）或重要财务往来关系（如融资）等其他实质性控制关系</w:t>
      </w:r>
    </w:p>
    <w:p w14:paraId="5B13534F">
      <w:pPr>
        <w:spacing w:line="440" w:lineRule="exact"/>
        <w:ind w:left="210" w:hanging="210" w:hangingChars="100"/>
        <w:rPr>
          <w:rFonts w:hint="eastAsia" w:ascii="宋体" w:hAnsi="宋体" w:cs="宋体"/>
          <w:color w:val="auto"/>
          <w:szCs w:val="21"/>
          <w:highlight w:val="none"/>
        </w:rPr>
      </w:pPr>
      <w:r>
        <w:rPr>
          <w:rFonts w:hint="eastAsia" w:ascii="宋体" w:hAnsi="宋体" w:cs="宋体"/>
          <w:color w:val="auto"/>
          <w:szCs w:val="21"/>
          <w:highlight w:val="none"/>
        </w:rPr>
        <w:t xml:space="preserve">    I.其他利害关系情况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14:paraId="0F6FF151">
      <w:pPr>
        <w:spacing w:line="440" w:lineRule="exact"/>
        <w:ind w:firstLine="480"/>
        <w:outlineLvl w:val="2"/>
        <w:rPr>
          <w:rFonts w:hint="eastAsia" w:ascii="宋体" w:hAnsi="宋体" w:cs="宋体"/>
          <w:color w:val="auto"/>
          <w:szCs w:val="21"/>
          <w:highlight w:val="none"/>
        </w:rPr>
      </w:pPr>
      <w:r>
        <w:rPr>
          <w:rFonts w:hint="eastAsia" w:ascii="宋体" w:hAnsi="宋体" w:cs="宋体"/>
          <w:b/>
          <w:bCs/>
          <w:color w:val="auto"/>
          <w:szCs w:val="21"/>
          <w:highlight w:val="none"/>
        </w:rPr>
        <w:t>三、现已清楚知道并严格遵守政府采购法律法规和现场纪律。</w:t>
      </w:r>
    </w:p>
    <w:p w14:paraId="54896E51">
      <w:pPr>
        <w:spacing w:line="440" w:lineRule="exact"/>
        <w:ind w:firstLine="480"/>
        <w:rPr>
          <w:rFonts w:hint="eastAsia" w:ascii="宋体" w:hAnsi="宋体" w:cs="宋体"/>
          <w:b/>
          <w:bCs/>
          <w:color w:val="auto"/>
          <w:szCs w:val="21"/>
          <w:highlight w:val="none"/>
        </w:rPr>
      </w:pPr>
      <w:r>
        <w:rPr>
          <w:rFonts w:hint="eastAsia" w:ascii="宋体" w:hAnsi="宋体" w:cs="宋体"/>
          <w:b/>
          <w:bCs/>
          <w:color w:val="auto"/>
          <w:szCs w:val="21"/>
          <w:highlight w:val="none"/>
        </w:rPr>
        <w:t>四、我发现</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和</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投标人之间存在或可能存在上述第二条第</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 xml:space="preserve">项利害关系。 </w:t>
      </w:r>
    </w:p>
    <w:p w14:paraId="3759F49D">
      <w:pPr>
        <w:spacing w:line="440" w:lineRule="exact"/>
        <w:ind w:firstLine="105" w:firstLineChars="50"/>
        <w:jc w:val="center"/>
        <w:rPr>
          <w:rFonts w:hint="eastAsia" w:ascii="宋体" w:hAnsi="宋体" w:cs="宋体"/>
          <w:color w:val="auto"/>
          <w:szCs w:val="21"/>
          <w:highlight w:val="none"/>
        </w:rPr>
      </w:pPr>
      <w:r>
        <w:rPr>
          <w:rFonts w:hint="eastAsia" w:ascii="宋体" w:hAnsi="宋体" w:cs="宋体"/>
          <w:b/>
          <w:color w:val="auto"/>
          <w:kern w:val="0"/>
          <w:highlight w:val="none"/>
        </w:rPr>
        <w:t xml:space="preserve">            </w:t>
      </w:r>
      <w:r>
        <w:rPr>
          <w:rFonts w:hint="eastAsia" w:ascii="宋体" w:hAnsi="宋体" w:cs="宋体"/>
          <w:bCs/>
          <w:color w:val="auto"/>
          <w:kern w:val="0"/>
          <w:highlight w:val="none"/>
        </w:rPr>
        <w:t>投标人盖章或法定代表人（负责人或授权代表）签字（或盖章）：</w:t>
      </w:r>
      <w:r>
        <w:rPr>
          <w:rFonts w:hint="eastAsia" w:ascii="宋体" w:hAnsi="宋体" w:cs="宋体"/>
          <w:bCs/>
          <w:color w:val="auto"/>
          <w:szCs w:val="21"/>
          <w:highlight w:val="none"/>
        </w:rPr>
        <w:t xml:space="preserve">  </w:t>
      </w:r>
      <w:r>
        <w:rPr>
          <w:rFonts w:hint="eastAsia" w:ascii="宋体" w:hAnsi="宋体" w:cs="宋体"/>
          <w:color w:val="auto"/>
          <w:szCs w:val="21"/>
          <w:highlight w:val="none"/>
        </w:rPr>
        <w:t xml:space="preserve">   </w:t>
      </w:r>
    </w:p>
    <w:p w14:paraId="110A070D">
      <w:pPr>
        <w:spacing w:line="440" w:lineRule="exact"/>
        <w:ind w:firstLine="6930" w:firstLineChars="33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r>
        <w:rPr>
          <w:rFonts w:hint="eastAsia" w:ascii="宋体" w:hAnsi="宋体" w:cs="宋体"/>
          <w:color w:val="auto"/>
          <w:szCs w:val="21"/>
          <w:highlight w:val="none"/>
        </w:rPr>
        <w:tab/>
      </w:r>
      <w:r>
        <w:rPr>
          <w:rFonts w:hint="eastAsia" w:ascii="宋体" w:hAnsi="宋体" w:cs="宋体"/>
          <w:color w:val="auto"/>
          <w:szCs w:val="21"/>
          <w:highlight w:val="none"/>
        </w:rPr>
        <w:t xml:space="preserve">   </w:t>
      </w:r>
    </w:p>
    <w:p w14:paraId="48BD334C">
      <w:pPr>
        <w:spacing w:line="44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注：1.投标人认为有利害关系和需要回避的人员，应提供相关证明材料，与本声明书一同提交。由采购代理机构和财政监督部门负责询问核查。</w:t>
      </w:r>
    </w:p>
    <w:p w14:paraId="1D65BF95">
      <w:pPr>
        <w:spacing w:line="48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2. 投标人根据解密后交易平台公布的投标人名单及信息，通过邮件方式提交《政府采购活动现场确认声明书》至邮箱857344410@qq.com，提交时限为“开启标书信息”后30分钟内，未发送视为无异议。</w:t>
      </w:r>
    </w:p>
    <w:p w14:paraId="637369DB">
      <w:pPr>
        <w:pStyle w:val="4"/>
        <w:tabs>
          <w:tab w:val="left" w:pos="420"/>
        </w:tabs>
        <w:rPr>
          <w:rFonts w:hint="eastAsia" w:ascii="宋体" w:hAnsi="宋体" w:eastAsia="宋体" w:cs="宋体"/>
          <w:color w:val="auto"/>
          <w:highlight w:val="none"/>
        </w:rPr>
      </w:pPr>
      <w:r>
        <w:rPr>
          <w:rFonts w:hint="eastAsia" w:ascii="宋体" w:hAnsi="宋体" w:eastAsia="宋体" w:cs="宋体"/>
          <w:color w:val="auto"/>
          <w:highlight w:val="none"/>
        </w:rPr>
        <w:t>第二部分 “商务技术文件”格式</w:t>
      </w:r>
      <w:bookmarkEnd w:id="217"/>
      <w:bookmarkEnd w:id="218"/>
      <w:bookmarkEnd w:id="219"/>
      <w:bookmarkEnd w:id="220"/>
      <w:bookmarkEnd w:id="221"/>
      <w:bookmarkEnd w:id="222"/>
    </w:p>
    <w:p w14:paraId="5DB0CF46">
      <w:pPr>
        <w:pStyle w:val="5"/>
        <w:tabs>
          <w:tab w:val="left" w:pos="420"/>
        </w:tabs>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“商务技术文件”封面</w:t>
      </w:r>
    </w:p>
    <w:p w14:paraId="630C8CAA">
      <w:pPr>
        <w:rPr>
          <w:rFonts w:hint="eastAsia" w:ascii="宋体" w:hAnsi="宋体" w:cs="宋体"/>
          <w:bCs/>
          <w:color w:val="auto"/>
          <w:sz w:val="24"/>
          <w:highlight w:val="none"/>
        </w:rPr>
      </w:pPr>
    </w:p>
    <w:p w14:paraId="737D4699">
      <w:pPr>
        <w:spacing w:line="276"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280A4A8D">
      <w:pPr>
        <w:spacing w:line="480" w:lineRule="auto"/>
        <w:jc w:val="center"/>
        <w:rPr>
          <w:rFonts w:hint="eastAsia" w:ascii="宋体" w:hAnsi="宋体" w:cs="宋体"/>
          <w:b/>
          <w:color w:val="auto"/>
          <w:kern w:val="0"/>
          <w:sz w:val="48"/>
          <w:szCs w:val="84"/>
          <w:highlight w:val="none"/>
        </w:rPr>
      </w:pPr>
      <w:r>
        <w:rPr>
          <w:rFonts w:hint="eastAsia" w:ascii="宋体" w:hAnsi="宋体" w:cs="宋体"/>
          <w:b/>
          <w:color w:val="auto"/>
          <w:kern w:val="0"/>
          <w:sz w:val="48"/>
          <w:szCs w:val="84"/>
          <w:highlight w:val="none"/>
        </w:rPr>
        <w:t>（商务技术文件）</w:t>
      </w:r>
    </w:p>
    <w:tbl>
      <w:tblPr>
        <w:tblStyle w:val="52"/>
        <w:tblW w:w="0" w:type="auto"/>
        <w:tblInd w:w="392" w:type="dxa"/>
        <w:tblLayout w:type="fixed"/>
        <w:tblCellMar>
          <w:top w:w="0" w:type="dxa"/>
          <w:left w:w="108" w:type="dxa"/>
          <w:bottom w:w="0" w:type="dxa"/>
          <w:right w:w="108" w:type="dxa"/>
        </w:tblCellMar>
      </w:tblPr>
      <w:tblGrid>
        <w:gridCol w:w="9204"/>
      </w:tblGrid>
      <w:tr w14:paraId="4070BFB5">
        <w:tblPrEx>
          <w:tblCellMar>
            <w:top w:w="0" w:type="dxa"/>
            <w:left w:w="108" w:type="dxa"/>
            <w:bottom w:w="0" w:type="dxa"/>
            <w:right w:w="108" w:type="dxa"/>
          </w:tblCellMar>
        </w:tblPrEx>
        <w:trPr>
          <w:trHeight w:val="1058" w:hRule="atLeast"/>
        </w:trPr>
        <w:tc>
          <w:tcPr>
            <w:tcW w:w="9204" w:type="dxa"/>
            <w:vAlign w:val="center"/>
          </w:tcPr>
          <w:p w14:paraId="2DDADD83">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p>
        </w:tc>
      </w:tr>
      <w:tr w14:paraId="4021EE21">
        <w:tblPrEx>
          <w:tblCellMar>
            <w:top w:w="0" w:type="dxa"/>
            <w:left w:w="108" w:type="dxa"/>
            <w:bottom w:w="0" w:type="dxa"/>
            <w:right w:w="108" w:type="dxa"/>
          </w:tblCellMar>
        </w:tblPrEx>
        <w:trPr>
          <w:trHeight w:val="1222" w:hRule="atLeast"/>
        </w:trPr>
        <w:tc>
          <w:tcPr>
            <w:tcW w:w="9204" w:type="dxa"/>
            <w:vAlign w:val="center"/>
          </w:tcPr>
          <w:p w14:paraId="407769C8">
            <w:pPr>
              <w:tabs>
                <w:tab w:val="left" w:pos="2580"/>
                <w:tab w:val="left" w:pos="5940"/>
              </w:tabs>
              <w:autoSpaceDE w:val="0"/>
              <w:autoSpaceDN w:val="0"/>
              <w:adjustRightInd w:val="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0E97EE42">
        <w:tblPrEx>
          <w:tblCellMar>
            <w:top w:w="0" w:type="dxa"/>
            <w:left w:w="108" w:type="dxa"/>
            <w:bottom w:w="0" w:type="dxa"/>
            <w:right w:w="108" w:type="dxa"/>
          </w:tblCellMar>
        </w:tblPrEx>
        <w:trPr>
          <w:trHeight w:val="1071" w:hRule="atLeast"/>
        </w:trPr>
        <w:tc>
          <w:tcPr>
            <w:tcW w:w="9204" w:type="dxa"/>
            <w:vAlign w:val="center"/>
          </w:tcPr>
          <w:p w14:paraId="70B944F9">
            <w:pPr>
              <w:spacing w:line="48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017A4D43">
        <w:tblPrEx>
          <w:tblCellMar>
            <w:top w:w="0" w:type="dxa"/>
            <w:left w:w="108" w:type="dxa"/>
            <w:bottom w:w="0" w:type="dxa"/>
            <w:right w:w="108" w:type="dxa"/>
          </w:tblCellMar>
        </w:tblPrEx>
        <w:trPr>
          <w:trHeight w:val="1992" w:hRule="atLeast"/>
        </w:trPr>
        <w:tc>
          <w:tcPr>
            <w:tcW w:w="9204" w:type="dxa"/>
            <w:vAlign w:val="center"/>
          </w:tcPr>
          <w:p w14:paraId="759C1FBB">
            <w:pPr>
              <w:spacing w:line="48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投标人名称（CA签章）：</w:t>
            </w:r>
            <w:r>
              <w:rPr>
                <w:rFonts w:hint="eastAsia" w:ascii="宋体" w:hAnsi="宋体" w:cs="宋体"/>
                <w:color w:val="auto"/>
                <w:w w:val="90"/>
                <w:kern w:val="0"/>
                <w:sz w:val="22"/>
                <w:szCs w:val="22"/>
                <w:highlight w:val="none"/>
              </w:rPr>
              <w:t>_________________________________________________</w:t>
            </w:r>
          </w:p>
        </w:tc>
      </w:tr>
      <w:tr w14:paraId="647F1BAE">
        <w:tblPrEx>
          <w:tblCellMar>
            <w:top w:w="0" w:type="dxa"/>
            <w:left w:w="108" w:type="dxa"/>
            <w:bottom w:w="0" w:type="dxa"/>
            <w:right w:w="108" w:type="dxa"/>
          </w:tblCellMar>
        </w:tblPrEx>
        <w:trPr>
          <w:trHeight w:val="1440" w:hRule="atLeast"/>
        </w:trPr>
        <w:tc>
          <w:tcPr>
            <w:tcW w:w="9204" w:type="dxa"/>
            <w:vAlign w:val="center"/>
          </w:tcPr>
          <w:p w14:paraId="4BF2AE6C">
            <w:pPr>
              <w:spacing w:line="480" w:lineRule="auto"/>
              <w:rPr>
                <w:rFonts w:hint="eastAsia" w:ascii="宋体" w:hAnsi="宋体" w:cs="宋体"/>
                <w:b/>
                <w:bCs/>
                <w:color w:val="auto"/>
                <w:sz w:val="28"/>
                <w:szCs w:val="28"/>
                <w:highlight w:val="none"/>
              </w:rPr>
            </w:pPr>
          </w:p>
          <w:p w14:paraId="381A5016">
            <w:pPr>
              <w:spacing w:line="48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_________________________________________________________________________</w:t>
            </w:r>
          </w:p>
        </w:tc>
      </w:tr>
      <w:tr w14:paraId="0A3D5A00">
        <w:tblPrEx>
          <w:tblCellMar>
            <w:top w:w="0" w:type="dxa"/>
            <w:left w:w="108" w:type="dxa"/>
            <w:bottom w:w="0" w:type="dxa"/>
            <w:right w:w="108" w:type="dxa"/>
          </w:tblCellMar>
        </w:tblPrEx>
        <w:trPr>
          <w:trHeight w:val="1152" w:hRule="atLeast"/>
        </w:trPr>
        <w:tc>
          <w:tcPr>
            <w:tcW w:w="9204" w:type="dxa"/>
            <w:vAlign w:val="center"/>
          </w:tcPr>
          <w:p w14:paraId="7B55CB2F">
            <w:pPr>
              <w:spacing w:line="480" w:lineRule="auto"/>
              <w:rPr>
                <w:rFonts w:hint="eastAsia" w:ascii="宋体" w:hAnsi="宋体" w:cs="宋体"/>
                <w:b/>
                <w:bCs/>
                <w:color w:val="auto"/>
                <w:sz w:val="28"/>
                <w:szCs w:val="28"/>
                <w:highlight w:val="none"/>
              </w:rPr>
            </w:pPr>
          </w:p>
          <w:p w14:paraId="2560B646">
            <w:pPr>
              <w:spacing w:line="480" w:lineRule="auto"/>
              <w:rPr>
                <w:rFonts w:hint="eastAsia" w:ascii="宋体" w:hAnsi="宋体" w:cs="宋体"/>
                <w:b/>
                <w:color w:val="auto"/>
                <w:sz w:val="28"/>
                <w:szCs w:val="28"/>
                <w:highlight w:val="none"/>
              </w:rPr>
            </w:pPr>
            <w:r>
              <w:rPr>
                <w:rFonts w:hint="eastAsia" w:ascii="宋体" w:hAnsi="宋体" w:cs="宋体"/>
                <w:b/>
                <w:bCs/>
                <w:color w:val="auto"/>
                <w:sz w:val="28"/>
                <w:szCs w:val="28"/>
                <w:highlight w:val="none"/>
              </w:rPr>
              <w:t>注：投标截止时间前其他单位或个人不得解密、提取</w:t>
            </w:r>
          </w:p>
        </w:tc>
      </w:tr>
    </w:tbl>
    <w:p w14:paraId="6EB258CF">
      <w:pPr>
        <w:ind w:firstLine="241" w:firstLineChars="100"/>
        <w:rPr>
          <w:rFonts w:hint="eastAsia" w:ascii="宋体" w:hAnsi="宋体" w:cs="宋体"/>
          <w:b/>
          <w:bCs/>
          <w:color w:val="auto"/>
          <w:sz w:val="24"/>
          <w:highlight w:val="none"/>
          <w:lang w:val="zh-CN" w:bidi="zh-CN"/>
        </w:rPr>
      </w:pPr>
    </w:p>
    <w:p w14:paraId="4B0600D9">
      <w:pPr>
        <w:spacing w:line="360" w:lineRule="auto"/>
        <w:jc w:val="center"/>
        <w:rPr>
          <w:rFonts w:hint="eastAsia" w:ascii="宋体" w:hAnsi="宋体" w:cs="宋体"/>
          <w:color w:val="auto"/>
          <w:sz w:val="24"/>
          <w:highlight w:val="none"/>
        </w:rPr>
      </w:pPr>
    </w:p>
    <w:p w14:paraId="405B6437">
      <w:pPr>
        <w:spacing w:line="360" w:lineRule="auto"/>
        <w:jc w:val="center"/>
        <w:rPr>
          <w:rFonts w:hint="eastAsia" w:ascii="宋体" w:hAnsi="宋体" w:cs="宋体"/>
          <w:b/>
          <w:color w:val="auto"/>
          <w:sz w:val="30"/>
          <w:highlight w:val="none"/>
        </w:rPr>
      </w:pPr>
    </w:p>
    <w:bookmarkEnd w:id="212"/>
    <w:bookmarkEnd w:id="213"/>
    <w:bookmarkEnd w:id="214"/>
    <w:bookmarkEnd w:id="215"/>
    <w:p w14:paraId="0D207497">
      <w:pPr>
        <w:pStyle w:val="4"/>
        <w:numPr>
          <w:ilvl w:val="0"/>
          <w:numId w:val="14"/>
        </w:numPr>
        <w:rPr>
          <w:rFonts w:hint="eastAsia" w:ascii="宋体" w:hAnsi="宋体" w:eastAsia="宋体" w:cs="宋体"/>
          <w:color w:val="auto"/>
          <w:sz w:val="32"/>
          <w:highlight w:val="none"/>
        </w:rPr>
      </w:pPr>
      <w:bookmarkStart w:id="223" w:name="_Toc105230662"/>
      <w:bookmarkStart w:id="224" w:name="_Toc173728539"/>
      <w:bookmarkStart w:id="225" w:name="_Toc8008424"/>
      <w:bookmarkStart w:id="226" w:name="_Toc7988415"/>
      <w:bookmarkStart w:id="227" w:name="_Toc7988469"/>
      <w:bookmarkStart w:id="228" w:name="_Toc66439498"/>
      <w:bookmarkStart w:id="229" w:name="_Toc440162801"/>
      <w:bookmarkStart w:id="230" w:name="_Toc208049590"/>
      <w:r>
        <w:rPr>
          <w:rFonts w:hint="eastAsia" w:ascii="宋体" w:hAnsi="宋体" w:eastAsia="宋体" w:cs="宋体"/>
          <w:color w:val="auto"/>
          <w:sz w:val="32"/>
          <w:highlight w:val="none"/>
        </w:rPr>
        <w:t>负责人资格证明书或负责人授权委托书</w:t>
      </w:r>
    </w:p>
    <w:p w14:paraId="312579D5">
      <w:pPr>
        <w:spacing w:line="360" w:lineRule="auto"/>
        <w:jc w:val="center"/>
        <w:outlineLvl w:val="5"/>
        <w:rPr>
          <w:rFonts w:hint="eastAsia" w:ascii="宋体" w:hAnsi="宋体" w:cs="宋体"/>
          <w:b/>
          <w:color w:val="auto"/>
          <w:sz w:val="32"/>
          <w:highlight w:val="none"/>
        </w:rPr>
      </w:pPr>
      <w:r>
        <w:rPr>
          <w:rFonts w:hint="eastAsia" w:ascii="宋体" w:hAnsi="宋体" w:cs="宋体"/>
          <w:b/>
          <w:color w:val="auto"/>
          <w:sz w:val="32"/>
          <w:highlight w:val="none"/>
        </w:rPr>
        <w:t xml:space="preserve"> 1.1负责人资格证明书</w:t>
      </w:r>
    </w:p>
    <w:p w14:paraId="05BFA3F8">
      <w:pPr>
        <w:spacing w:line="360" w:lineRule="auto"/>
        <w:jc w:val="center"/>
        <w:outlineLvl w:val="6"/>
        <w:rPr>
          <w:rFonts w:hint="eastAsia" w:ascii="宋体" w:hAnsi="宋体" w:cs="宋体"/>
          <w:b/>
          <w:color w:val="auto"/>
          <w:sz w:val="24"/>
          <w:szCs w:val="21"/>
          <w:highlight w:val="none"/>
        </w:rPr>
      </w:pPr>
      <w:r>
        <w:rPr>
          <w:rFonts w:hint="eastAsia" w:ascii="宋体" w:hAnsi="宋体" w:cs="宋体"/>
          <w:b/>
          <w:color w:val="auto"/>
          <w:sz w:val="24"/>
          <w:szCs w:val="21"/>
          <w:highlight w:val="none"/>
        </w:rPr>
        <w:t>（注：投标人的负责人作为投标人代表参与本项目采购活动时提供）</w:t>
      </w:r>
    </w:p>
    <w:p w14:paraId="24020E6D">
      <w:pPr>
        <w:adjustRightInd w:val="0"/>
        <w:snapToGrid w:val="0"/>
        <w:spacing w:line="360" w:lineRule="auto"/>
        <w:ind w:firstLine="420" w:firstLineChars="200"/>
        <w:rPr>
          <w:rFonts w:hint="eastAsia" w:ascii="宋体" w:hAnsi="宋体" w:cs="宋体"/>
          <w:color w:val="auto"/>
          <w:szCs w:val="21"/>
          <w:highlight w:val="none"/>
        </w:rPr>
      </w:pPr>
    </w:p>
    <w:p w14:paraId="7DF04150">
      <w:pPr>
        <w:adjustRightInd w:val="0"/>
        <w:snapToGrid w:val="0"/>
        <w:spacing w:line="300" w:lineRule="auto"/>
        <w:ind w:firstLine="420" w:firstLineChars="200"/>
        <w:rPr>
          <w:rFonts w:hint="eastAsia" w:ascii="宋体" w:hAnsi="宋体" w:cs="宋体"/>
          <w:color w:val="auto"/>
          <w:szCs w:val="21"/>
          <w:highlight w:val="none"/>
        </w:rPr>
      </w:pPr>
    </w:p>
    <w:p w14:paraId="0506927A">
      <w:pPr>
        <w:adjustRightInd w:val="0"/>
        <w:snapToGrid w:val="0"/>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82E01E6">
      <w:pPr>
        <w:adjustRightInd w:val="0"/>
        <w:snapToGrid w:val="0"/>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法定地址：</w:t>
      </w:r>
      <w:r>
        <w:rPr>
          <w:rFonts w:hint="eastAsia" w:ascii="宋体" w:hAnsi="宋体" w:cs="宋体"/>
          <w:color w:val="auto"/>
          <w:szCs w:val="21"/>
          <w:highlight w:val="none"/>
          <w:u w:val="single"/>
        </w:rPr>
        <w:t xml:space="preserve">                           </w:t>
      </w:r>
    </w:p>
    <w:p w14:paraId="480BBB82">
      <w:pPr>
        <w:adjustRightInd w:val="0"/>
        <w:snapToGrid w:val="0"/>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52533BC">
      <w:pPr>
        <w:adjustRightInd w:val="0"/>
        <w:snapToGrid w:val="0"/>
        <w:spacing w:line="48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7F3E6E0A">
      <w:pPr>
        <w:adjustRightInd w:val="0"/>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该同志系单位法定代表人（或负责人）。</w:t>
      </w:r>
    </w:p>
    <w:p w14:paraId="19105F0F">
      <w:pPr>
        <w:adjustRightInd w:val="0"/>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14:paraId="241B8BCE">
      <w:pPr>
        <w:adjustRightInd w:val="0"/>
        <w:snapToGrid w:val="0"/>
        <w:spacing w:line="480" w:lineRule="exact"/>
        <w:ind w:firstLine="420" w:firstLineChars="200"/>
        <w:rPr>
          <w:rFonts w:hint="eastAsia" w:ascii="宋体" w:hAnsi="宋体" w:cs="宋体"/>
          <w:color w:val="auto"/>
          <w:szCs w:val="21"/>
          <w:highlight w:val="none"/>
        </w:rPr>
      </w:pPr>
    </w:p>
    <w:p w14:paraId="4FCF3101">
      <w:pPr>
        <w:pStyle w:val="185"/>
        <w:spacing w:line="440" w:lineRule="exact"/>
        <w:ind w:firstLine="4766" w:firstLineChars="1900"/>
        <w:rPr>
          <w:rFonts w:hint="eastAsia" w:ascii="宋体" w:hAnsi="宋体" w:cs="宋体"/>
          <w:b/>
          <w:color w:val="auto"/>
          <w:spacing w:val="20"/>
          <w:szCs w:val="21"/>
          <w:highlight w:val="none"/>
          <w:u w:val="single"/>
        </w:rPr>
      </w:pPr>
      <w:r>
        <w:rPr>
          <w:rFonts w:hint="eastAsia" w:ascii="宋体" w:hAnsi="宋体" w:cs="宋体"/>
          <w:b/>
          <w:color w:val="auto"/>
          <w:spacing w:val="20"/>
          <w:szCs w:val="21"/>
          <w:highlight w:val="none"/>
        </w:rPr>
        <w:t>投标人盖章：</w:t>
      </w:r>
      <w:r>
        <w:rPr>
          <w:rFonts w:hint="eastAsia" w:ascii="宋体" w:hAnsi="宋体" w:cs="宋体"/>
          <w:b/>
          <w:color w:val="auto"/>
          <w:spacing w:val="20"/>
          <w:szCs w:val="21"/>
          <w:highlight w:val="none"/>
          <w:u w:val="single"/>
        </w:rPr>
        <w:t xml:space="preserve">           </w:t>
      </w:r>
    </w:p>
    <w:p w14:paraId="5A97E507">
      <w:pPr>
        <w:pStyle w:val="185"/>
        <w:spacing w:line="440" w:lineRule="exact"/>
        <w:ind w:firstLine="4766" w:firstLineChars="1900"/>
        <w:rPr>
          <w:rFonts w:hint="eastAsia" w:ascii="宋体" w:hAnsi="宋体" w:cs="宋体"/>
          <w:b/>
          <w:color w:val="auto"/>
          <w:spacing w:val="20"/>
          <w:szCs w:val="21"/>
          <w:highlight w:val="none"/>
          <w:u w:val="single"/>
        </w:rPr>
      </w:pPr>
      <w:r>
        <w:rPr>
          <w:rFonts w:hint="eastAsia" w:ascii="宋体" w:hAnsi="宋体" w:cs="宋体"/>
          <w:b/>
          <w:color w:val="auto"/>
          <w:spacing w:val="20"/>
          <w:szCs w:val="21"/>
          <w:highlight w:val="none"/>
        </w:rPr>
        <w:t>日     期：</w:t>
      </w:r>
      <w:r>
        <w:rPr>
          <w:rFonts w:hint="eastAsia" w:ascii="宋体" w:hAnsi="宋体" w:cs="宋体"/>
          <w:b/>
          <w:color w:val="auto"/>
          <w:spacing w:val="20"/>
          <w:szCs w:val="21"/>
          <w:highlight w:val="none"/>
          <w:u w:val="single"/>
        </w:rPr>
        <w:t xml:space="preserve">           </w:t>
      </w:r>
    </w:p>
    <w:p w14:paraId="103A2C71">
      <w:pPr>
        <w:pStyle w:val="185"/>
        <w:spacing w:line="440" w:lineRule="exact"/>
        <w:rPr>
          <w:rFonts w:hint="eastAsia" w:ascii="宋体" w:hAnsi="宋体" w:cs="宋体"/>
          <w:b/>
          <w:color w:val="auto"/>
          <w:spacing w:val="20"/>
          <w:szCs w:val="21"/>
          <w:highlight w:val="none"/>
          <w:u w:val="single"/>
        </w:rPr>
      </w:pPr>
      <w:r>
        <w:rPr>
          <w:rFonts w:hint="eastAsia" w:ascii="宋体" w:hAnsi="宋体" w:cs="宋体"/>
          <w:b/>
          <w:color w:val="auto"/>
          <w:szCs w:val="21"/>
          <w:highlight w:val="none"/>
        </w:rPr>
        <w:t>注：</w:t>
      </w:r>
      <w:r>
        <w:rPr>
          <w:rFonts w:hint="eastAsia" w:ascii="宋体" w:hAnsi="宋体" w:cs="宋体"/>
          <w:color w:val="auto"/>
          <w:szCs w:val="21"/>
          <w:highlight w:val="none"/>
        </w:rPr>
        <w:t>投标人为法人企业的，其负责人为其法定代表人；投标人为其他组织的，其负责人为法律、行政法规规定代表单位行使职权的主要负责人。</w:t>
      </w:r>
    </w:p>
    <w:p w14:paraId="22C797EF">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后附：</w:t>
      </w:r>
    </w:p>
    <w:p w14:paraId="5E1C7E18">
      <w:pPr>
        <w:snapToGrid w:val="0"/>
        <w:spacing w:line="48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负责人联系方式（手机）：</w:t>
      </w:r>
      <w:r>
        <w:rPr>
          <w:rFonts w:hint="eastAsia" w:ascii="宋体" w:hAnsi="宋体" w:cs="宋体"/>
          <w:bCs/>
          <w:color w:val="auto"/>
          <w:szCs w:val="21"/>
          <w:highlight w:val="none"/>
          <w:u w:val="single"/>
        </w:rPr>
        <w:t xml:space="preserve">                     </w:t>
      </w:r>
    </w:p>
    <w:p w14:paraId="061E497F">
      <w:pPr>
        <w:pStyle w:val="184"/>
        <w:spacing w:line="440" w:lineRule="exact"/>
        <w:ind w:firstLine="420" w:firstLineChars="200"/>
        <w:rPr>
          <w:rFonts w:hint="eastAsia" w:hAnsi="宋体" w:cs="宋体"/>
          <w:bCs/>
          <w:color w:val="auto"/>
          <w:highlight w:val="none"/>
        </w:rPr>
      </w:pPr>
      <w:r>
        <w:rPr>
          <w:rFonts w:hint="eastAsia" w:hAnsi="宋体" w:cs="宋体"/>
          <w:bCs/>
          <w:color w:val="auto"/>
          <w:highlight w:val="none"/>
        </w:rPr>
        <w:t>负责人身份证扫描件：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C2FD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2F63A65">
            <w:pPr>
              <w:pStyle w:val="184"/>
              <w:spacing w:line="440" w:lineRule="exact"/>
              <w:rPr>
                <w:rFonts w:hint="eastAsia" w:hAnsi="宋体" w:cs="宋体"/>
                <w:bCs/>
                <w:color w:val="auto"/>
                <w:highlight w:val="none"/>
              </w:rPr>
            </w:pPr>
            <w:r>
              <w:rPr>
                <w:rFonts w:hint="eastAsia" w:hAnsi="宋体" w:cs="宋体"/>
                <w:bCs/>
                <w:color w:val="auto"/>
                <w:highlight w:val="none"/>
              </w:rPr>
              <w:t>国徽面：                                 人像面：</w:t>
            </w:r>
          </w:p>
          <w:p w14:paraId="4B2B0371">
            <w:pPr>
              <w:pStyle w:val="184"/>
              <w:spacing w:line="440" w:lineRule="exact"/>
              <w:rPr>
                <w:rFonts w:hint="eastAsia" w:hAnsi="宋体" w:cs="宋体"/>
                <w:bCs/>
                <w:color w:val="auto"/>
                <w:highlight w:val="none"/>
              </w:rPr>
            </w:pPr>
          </w:p>
        </w:tc>
      </w:tr>
    </w:tbl>
    <w:p w14:paraId="632025D6">
      <w:pPr>
        <w:snapToGrid w:val="0"/>
        <w:spacing w:line="300" w:lineRule="auto"/>
        <w:jc w:val="center"/>
        <w:outlineLvl w:val="5"/>
        <w:rPr>
          <w:rFonts w:hint="eastAsia" w:ascii="宋体" w:hAnsi="宋体" w:cs="宋体"/>
          <w:b/>
          <w:color w:val="auto"/>
          <w:sz w:val="30"/>
          <w:highlight w:val="none"/>
        </w:rPr>
      </w:pPr>
      <w:r>
        <w:rPr>
          <w:rFonts w:hint="eastAsia" w:ascii="宋体" w:hAnsi="宋体" w:cs="宋体"/>
          <w:b/>
          <w:color w:val="auto"/>
          <w:sz w:val="30"/>
          <w:highlight w:val="none"/>
        </w:rPr>
        <w:t>1.2负责人授权委托书</w:t>
      </w:r>
    </w:p>
    <w:p w14:paraId="6358663F">
      <w:pPr>
        <w:spacing w:line="360" w:lineRule="auto"/>
        <w:jc w:val="center"/>
        <w:outlineLvl w:val="4"/>
        <w:rPr>
          <w:rFonts w:hint="eastAsia" w:ascii="宋体" w:hAnsi="宋体" w:cs="宋体"/>
          <w:b/>
          <w:color w:val="auto"/>
          <w:sz w:val="24"/>
          <w:szCs w:val="21"/>
          <w:highlight w:val="none"/>
        </w:rPr>
      </w:pPr>
      <w:r>
        <w:rPr>
          <w:rFonts w:hint="eastAsia" w:ascii="宋体" w:hAnsi="宋体" w:cs="宋体"/>
          <w:b/>
          <w:color w:val="auto"/>
          <w:sz w:val="24"/>
          <w:szCs w:val="21"/>
          <w:highlight w:val="none"/>
        </w:rPr>
        <w:t>（注：投标人委派委托代理人作为投标人代表参与本项目采购活动时提供）</w:t>
      </w:r>
    </w:p>
    <w:p w14:paraId="5157611E">
      <w:pPr>
        <w:pStyle w:val="29"/>
        <w:ind w:firstLine="3373" w:firstLineChars="1050"/>
        <w:rPr>
          <w:rFonts w:hint="eastAsia" w:hAnsi="宋体" w:cs="宋体"/>
          <w:b/>
          <w:color w:val="auto"/>
          <w:sz w:val="32"/>
          <w:highlight w:val="none"/>
        </w:rPr>
      </w:pPr>
    </w:p>
    <w:p w14:paraId="20359AC3">
      <w:pPr>
        <w:pStyle w:val="185"/>
        <w:autoSpaceDE w:val="0"/>
        <w:autoSpaceDN w:val="0"/>
        <w:spacing w:line="440" w:lineRule="exact"/>
        <w:textAlignment w:val="bottom"/>
        <w:rPr>
          <w:rFonts w:hint="eastAsia" w:ascii="宋体" w:hAnsi="宋体" w:cs="宋体"/>
          <w:color w:val="auto"/>
          <w:szCs w:val="21"/>
          <w:highlight w:val="none"/>
          <w:u w:val="single"/>
        </w:rPr>
      </w:pPr>
      <w:r>
        <w:rPr>
          <w:rStyle w:val="191"/>
          <w:rFonts w:hint="eastAsia" w:ascii="宋体" w:hAnsi="宋体" w:cs="宋体"/>
          <w:color w:val="auto"/>
          <w:szCs w:val="21"/>
          <w:highlight w:val="none"/>
          <w:u w:val="single" w:color="000000"/>
        </w:rPr>
        <w:t>丽水市生态环境局、浙江大兴建设项目管理咨询有限公司</w:t>
      </w:r>
      <w:r>
        <w:rPr>
          <w:rFonts w:hint="eastAsia" w:ascii="宋体" w:hAnsi="宋体" w:cs="宋体"/>
          <w:color w:val="auto"/>
          <w:szCs w:val="21"/>
          <w:highlight w:val="none"/>
          <w:u w:val="single"/>
        </w:rPr>
        <w:t>：</w:t>
      </w:r>
    </w:p>
    <w:p w14:paraId="437EDCAB">
      <w:pPr>
        <w:pStyle w:val="185"/>
        <w:autoSpaceDE w:val="0"/>
        <w:autoSpaceDN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     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负责人姓名）系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（投标人全称）的负责人，现授权委托</w:t>
      </w:r>
      <w:r>
        <w:rPr>
          <w:rFonts w:hint="eastAsia" w:ascii="宋体" w:hAnsi="宋体" w:cs="宋体"/>
          <w:b/>
          <w:color w:val="auto"/>
          <w:szCs w:val="21"/>
          <w:highlight w:val="none"/>
        </w:rPr>
        <w:t>本单位在职职工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（姓名）以我方的名义参加就贵方组织的</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ascii="宋体" w:hAnsi="宋体" w:cs="宋体"/>
          <w:color w:val="auto"/>
          <w:spacing w:val="6"/>
          <w:szCs w:val="21"/>
          <w:highlight w:val="none"/>
        </w:rPr>
        <w:t>（项目名称）（项目编号）</w:t>
      </w:r>
      <w:r>
        <w:rPr>
          <w:rFonts w:hint="eastAsia" w:ascii="宋体" w:hAnsi="宋体" w:cs="宋体"/>
          <w:color w:val="auto"/>
          <w:szCs w:val="21"/>
          <w:highlight w:val="none"/>
        </w:rPr>
        <w:t>项目的招投标活动，并代表我方全权办理针对上述项目的投标、开标、评审、签约等具体事务和签署相关文件。</w:t>
      </w:r>
    </w:p>
    <w:p w14:paraId="74E45DF1">
      <w:pPr>
        <w:pStyle w:val="185"/>
        <w:autoSpaceDE w:val="0"/>
        <w:autoSpaceDN w:val="0"/>
        <w:spacing w:line="44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 xml:space="preserve">     我方对委托代理人的签字或盖章事项负全部责任。</w:t>
      </w:r>
    </w:p>
    <w:p w14:paraId="77F4CDE0">
      <w:pPr>
        <w:pStyle w:val="185"/>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本授权书自签署之日起生效，在撤销授权的书面通知送达贵方以前，本授权委托书一直有效。委托代理人在授权书有效期内签署的所有文件不因授权的撤销而失效。</w:t>
      </w:r>
    </w:p>
    <w:p w14:paraId="058AF6CD">
      <w:pPr>
        <w:pStyle w:val="185"/>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委托代理人无转委托权，特此声明。</w:t>
      </w:r>
    </w:p>
    <w:p w14:paraId="3F2AC3A8">
      <w:pPr>
        <w:pStyle w:val="185"/>
        <w:spacing w:line="440" w:lineRule="exact"/>
        <w:ind w:firstLine="480"/>
        <w:rPr>
          <w:rFonts w:hint="eastAsia" w:ascii="宋体" w:hAnsi="宋体" w:cs="宋体"/>
          <w:color w:val="auto"/>
          <w:szCs w:val="21"/>
          <w:highlight w:val="none"/>
        </w:rPr>
      </w:pPr>
    </w:p>
    <w:p w14:paraId="66A0CBCF">
      <w:pPr>
        <w:pStyle w:val="185"/>
        <w:spacing w:line="440" w:lineRule="exact"/>
        <w:ind w:firstLine="3360" w:firstLineChars="1600"/>
        <w:rPr>
          <w:rFonts w:hint="eastAsia" w:ascii="宋体" w:hAnsi="宋体" w:cs="宋体"/>
          <w:b/>
          <w:color w:val="auto"/>
          <w:szCs w:val="21"/>
          <w:highlight w:val="none"/>
        </w:rPr>
      </w:pPr>
      <w:r>
        <w:rPr>
          <w:rFonts w:hint="eastAsia" w:ascii="宋体" w:hAnsi="宋体" w:cs="宋体"/>
          <w:color w:val="auto"/>
          <w:szCs w:val="21"/>
          <w:highlight w:val="none"/>
        </w:rPr>
        <w:t xml:space="preserve">    </w:t>
      </w:r>
      <w:r>
        <w:rPr>
          <w:rFonts w:hint="eastAsia" w:ascii="宋体" w:hAnsi="宋体" w:cs="宋体"/>
          <w:b/>
          <w:color w:val="auto"/>
          <w:szCs w:val="21"/>
          <w:highlight w:val="none"/>
        </w:rPr>
        <w:t xml:space="preserve"> </w:t>
      </w:r>
    </w:p>
    <w:p w14:paraId="41B7C4DA">
      <w:pPr>
        <w:pStyle w:val="185"/>
        <w:spacing w:line="440" w:lineRule="exact"/>
        <w:ind w:firstLine="4766" w:firstLineChars="1900"/>
        <w:rPr>
          <w:rFonts w:hint="eastAsia" w:ascii="宋体" w:hAnsi="宋体" w:cs="宋体"/>
          <w:b/>
          <w:color w:val="auto"/>
          <w:spacing w:val="20"/>
          <w:szCs w:val="21"/>
          <w:highlight w:val="none"/>
          <w:u w:val="single"/>
        </w:rPr>
      </w:pPr>
      <w:r>
        <w:rPr>
          <w:rFonts w:hint="eastAsia" w:ascii="宋体" w:hAnsi="宋体" w:cs="宋体"/>
          <w:b/>
          <w:color w:val="auto"/>
          <w:spacing w:val="20"/>
          <w:szCs w:val="21"/>
          <w:highlight w:val="none"/>
        </w:rPr>
        <w:t>投标人盖章：</w:t>
      </w:r>
      <w:r>
        <w:rPr>
          <w:rFonts w:hint="eastAsia" w:ascii="宋体" w:hAnsi="宋体" w:cs="宋体"/>
          <w:b/>
          <w:color w:val="auto"/>
          <w:spacing w:val="20"/>
          <w:szCs w:val="21"/>
          <w:highlight w:val="none"/>
          <w:u w:val="single"/>
        </w:rPr>
        <w:t xml:space="preserve">           </w:t>
      </w:r>
    </w:p>
    <w:p w14:paraId="4207B450">
      <w:pPr>
        <w:pStyle w:val="185"/>
        <w:spacing w:line="440" w:lineRule="exact"/>
        <w:ind w:firstLine="4766" w:firstLineChars="1900"/>
        <w:rPr>
          <w:rFonts w:hint="eastAsia" w:ascii="宋体" w:hAnsi="宋体" w:cs="宋体"/>
          <w:b/>
          <w:color w:val="auto"/>
          <w:spacing w:val="20"/>
          <w:szCs w:val="21"/>
          <w:highlight w:val="none"/>
          <w:u w:val="single"/>
        </w:rPr>
      </w:pPr>
      <w:r>
        <w:rPr>
          <w:rFonts w:hint="eastAsia" w:ascii="宋体" w:hAnsi="宋体" w:cs="宋体"/>
          <w:b/>
          <w:color w:val="auto"/>
          <w:spacing w:val="20"/>
          <w:szCs w:val="21"/>
          <w:highlight w:val="none"/>
        </w:rPr>
        <w:t>日     期：</w:t>
      </w:r>
      <w:r>
        <w:rPr>
          <w:rFonts w:hint="eastAsia" w:ascii="宋体" w:hAnsi="宋体" w:cs="宋体"/>
          <w:b/>
          <w:color w:val="auto"/>
          <w:spacing w:val="20"/>
          <w:szCs w:val="21"/>
          <w:highlight w:val="none"/>
          <w:u w:val="single"/>
        </w:rPr>
        <w:t xml:space="preserve">           </w:t>
      </w:r>
    </w:p>
    <w:p w14:paraId="3C9D4817">
      <w:pPr>
        <w:pStyle w:val="185"/>
        <w:spacing w:line="440" w:lineRule="exact"/>
        <w:rPr>
          <w:rFonts w:hint="eastAsia" w:ascii="宋体" w:hAnsi="宋体" w:cs="宋体"/>
          <w:color w:val="auto"/>
          <w:szCs w:val="21"/>
          <w:highlight w:val="none"/>
        </w:rPr>
      </w:pPr>
      <w:r>
        <w:rPr>
          <w:rFonts w:hint="eastAsia" w:ascii="宋体" w:hAnsi="宋体" w:cs="宋体"/>
          <w:color w:val="auto"/>
          <w:szCs w:val="21"/>
          <w:highlight w:val="none"/>
        </w:rPr>
        <w:t>___________________________________________________________________</w:t>
      </w:r>
    </w:p>
    <w:p w14:paraId="78E36AD3">
      <w:pPr>
        <w:pStyle w:val="185"/>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附：1、委托代理人工作单位：</w:t>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ab/>
      </w:r>
      <w:r>
        <w:rPr>
          <w:rFonts w:hint="eastAsia" w:ascii="宋体" w:hAnsi="宋体" w:cs="宋体"/>
          <w:color w:val="auto"/>
          <w:szCs w:val="21"/>
          <w:highlight w:val="none"/>
        </w:rPr>
        <w:t xml:space="preserve">职务： </w:t>
      </w:r>
    </w:p>
    <w:p w14:paraId="47862400">
      <w:pPr>
        <w:pStyle w:val="185"/>
        <w:spacing w:line="44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 xml:space="preserve">       身份证号码：　　　　　　　　　　 </w:t>
      </w:r>
      <w:r>
        <w:rPr>
          <w:rFonts w:hint="eastAsia" w:ascii="宋体" w:hAnsi="宋体" w:cs="宋体"/>
          <w:color w:val="auto"/>
          <w:szCs w:val="21"/>
          <w:highlight w:val="none"/>
        </w:rPr>
        <w:tab/>
      </w:r>
      <w:r>
        <w:rPr>
          <w:rFonts w:hint="eastAsia" w:ascii="宋体" w:hAnsi="宋体" w:cs="宋体"/>
          <w:color w:val="auto"/>
          <w:szCs w:val="21"/>
          <w:highlight w:val="none"/>
        </w:rPr>
        <w:t xml:space="preserve">性别：　    </w:t>
      </w:r>
    </w:p>
    <w:p w14:paraId="001FFDE1">
      <w:pPr>
        <w:pStyle w:val="185"/>
        <w:spacing w:line="440" w:lineRule="exact"/>
        <w:ind w:firstLine="420"/>
        <w:rPr>
          <w:rFonts w:hint="eastAsia" w:ascii="宋体" w:hAnsi="宋体" w:cs="宋体"/>
          <w:b/>
          <w:color w:val="auto"/>
          <w:szCs w:val="21"/>
          <w:highlight w:val="none"/>
        </w:rPr>
      </w:pPr>
    </w:p>
    <w:p w14:paraId="665B4719">
      <w:pPr>
        <w:pStyle w:val="185"/>
        <w:spacing w:line="440" w:lineRule="exact"/>
        <w:ind w:firstLine="791" w:firstLineChars="375"/>
        <w:rPr>
          <w:rFonts w:hint="eastAsia"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color w:val="auto"/>
          <w:szCs w:val="21"/>
          <w:highlight w:val="none"/>
        </w:rPr>
        <w:t>1、投标人为法人企业的，其负责人为其法定代表人；投标人为其他组织的，其负责人为法律、行政法规规定代表单位行使职权的主要负责人。</w:t>
      </w:r>
    </w:p>
    <w:p w14:paraId="56C38A49">
      <w:pPr>
        <w:pStyle w:val="185"/>
        <w:spacing w:line="440" w:lineRule="exact"/>
        <w:ind w:firstLine="787" w:firstLineChars="375"/>
        <w:outlineLvl w:val="4"/>
        <w:rPr>
          <w:rFonts w:hint="eastAsia" w:ascii="宋体" w:hAnsi="宋体" w:cs="宋体"/>
          <w:color w:val="auto"/>
          <w:szCs w:val="21"/>
          <w:highlight w:val="none"/>
        </w:rPr>
      </w:pPr>
      <w:r>
        <w:rPr>
          <w:rFonts w:hint="eastAsia" w:ascii="宋体" w:hAnsi="宋体" w:cs="宋体"/>
          <w:color w:val="auto"/>
          <w:szCs w:val="21"/>
          <w:highlight w:val="none"/>
        </w:rPr>
        <w:t>2、委托人为上述条款中的负责人。</w:t>
      </w:r>
    </w:p>
    <w:p w14:paraId="269CF294">
      <w:pPr>
        <w:pStyle w:val="185"/>
        <w:spacing w:line="440" w:lineRule="exact"/>
        <w:ind w:firstLine="787" w:firstLineChars="375"/>
        <w:rPr>
          <w:rFonts w:hint="eastAsia" w:ascii="宋体" w:hAnsi="宋体" w:cs="宋体"/>
          <w:color w:val="auto"/>
          <w:szCs w:val="21"/>
          <w:highlight w:val="none"/>
        </w:rPr>
      </w:pPr>
      <w:r>
        <w:rPr>
          <w:rFonts w:hint="eastAsia" w:ascii="宋体" w:hAnsi="宋体" w:cs="宋体"/>
          <w:color w:val="auto"/>
          <w:szCs w:val="21"/>
          <w:highlight w:val="none"/>
        </w:rPr>
        <w:t>3、本“授权委托书”需附负责人和委托代理人身份证扫描件，如扫描件不清晰或错误的，后果由投标人自行承担。</w:t>
      </w:r>
    </w:p>
    <w:p w14:paraId="6E12EC5B">
      <w:pPr>
        <w:pStyle w:val="29"/>
        <w:spacing w:line="360" w:lineRule="auto"/>
        <w:jc w:val="center"/>
        <w:rPr>
          <w:rFonts w:hint="eastAsia" w:hAnsi="宋体" w:cs="宋体"/>
          <w:color w:val="auto"/>
          <w:highlight w:val="none"/>
        </w:rPr>
      </w:pPr>
    </w:p>
    <w:p w14:paraId="67026208">
      <w:pPr>
        <w:pStyle w:val="31"/>
        <w:rPr>
          <w:rFonts w:hint="eastAsia" w:ascii="宋体" w:hAnsi="宋体" w:eastAsia="宋体" w:cs="宋体"/>
          <w:color w:val="auto"/>
          <w:highlight w:val="none"/>
        </w:rPr>
      </w:pPr>
    </w:p>
    <w:p w14:paraId="6177BA3A">
      <w:pPr>
        <w:rPr>
          <w:rFonts w:hint="eastAsia" w:ascii="宋体" w:hAnsi="宋体" w:cs="宋体"/>
          <w:color w:val="auto"/>
          <w:highlight w:val="none"/>
        </w:rPr>
      </w:pPr>
    </w:p>
    <w:p w14:paraId="49301D6F">
      <w:pPr>
        <w:pStyle w:val="4"/>
        <w:rPr>
          <w:rFonts w:hint="eastAsia" w:ascii="宋体" w:hAnsi="宋体" w:eastAsia="宋体" w:cs="宋体"/>
          <w:color w:val="auto"/>
          <w:highlight w:val="none"/>
        </w:rPr>
      </w:pPr>
    </w:p>
    <w:p w14:paraId="55E60769">
      <w:pPr>
        <w:pStyle w:val="31"/>
        <w:rPr>
          <w:rFonts w:hint="eastAsia" w:ascii="宋体" w:hAnsi="宋体" w:eastAsia="宋体" w:cs="宋体"/>
          <w:color w:val="auto"/>
          <w:highlight w:val="none"/>
        </w:rPr>
      </w:pPr>
    </w:p>
    <w:p w14:paraId="74B72A0C">
      <w:pPr>
        <w:pStyle w:val="4"/>
        <w:rPr>
          <w:rFonts w:hint="eastAsia" w:ascii="宋体" w:hAnsi="宋体" w:eastAsia="宋体" w:cs="宋体"/>
          <w:color w:val="auto"/>
          <w:kern w:val="2"/>
          <w:sz w:val="30"/>
          <w:szCs w:val="24"/>
          <w:highlight w:val="none"/>
        </w:rPr>
      </w:pPr>
      <w:r>
        <w:rPr>
          <w:rFonts w:hint="eastAsia" w:ascii="宋体" w:hAnsi="宋体" w:eastAsia="宋体" w:cs="宋体"/>
          <w:color w:val="auto"/>
          <w:kern w:val="2"/>
          <w:sz w:val="30"/>
          <w:szCs w:val="24"/>
          <w:highlight w:val="none"/>
        </w:rPr>
        <w:t>2、投标声明书</w:t>
      </w:r>
    </w:p>
    <w:p w14:paraId="31D50592">
      <w:pPr>
        <w:pStyle w:val="117"/>
        <w:spacing w:line="480" w:lineRule="exact"/>
        <w:rPr>
          <w:rFonts w:hint="eastAsia" w:hAnsi="宋体" w:cs="宋体"/>
          <w:color w:val="auto"/>
          <w:sz w:val="21"/>
          <w:szCs w:val="21"/>
          <w:highlight w:val="none"/>
          <w:u w:val="single"/>
        </w:rPr>
      </w:pPr>
      <w:r>
        <w:rPr>
          <w:rStyle w:val="191"/>
          <w:rFonts w:hint="eastAsia" w:hAnsi="宋体" w:cs="宋体"/>
          <w:color w:val="auto"/>
          <w:szCs w:val="21"/>
          <w:highlight w:val="none"/>
          <w:u w:val="single" w:color="000000"/>
        </w:rPr>
        <w:t>丽水市生态环境局、浙江大兴建设项目管理咨询有限公司</w:t>
      </w:r>
      <w:r>
        <w:rPr>
          <w:rFonts w:hint="eastAsia" w:hAnsi="宋体" w:cs="宋体"/>
          <w:color w:val="auto"/>
          <w:sz w:val="21"/>
          <w:szCs w:val="21"/>
          <w:highlight w:val="none"/>
          <w:u w:val="single"/>
        </w:rPr>
        <w:t>：</w:t>
      </w:r>
    </w:p>
    <w:p w14:paraId="54438B94">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u w:val="single"/>
        </w:rPr>
        <w:t xml:space="preserve">        (投标人全称</w:t>
      </w:r>
      <w:r>
        <w:rPr>
          <w:rFonts w:hint="eastAsia" w:hAnsi="宋体" w:cs="宋体"/>
          <w:color w:val="auto"/>
          <w:sz w:val="21"/>
          <w:szCs w:val="21"/>
          <w:highlight w:val="none"/>
        </w:rPr>
        <w:t>)系中华人民共和国合法企业，经营地址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w:t>
      </w:r>
    </w:p>
    <w:p w14:paraId="3E4E88EE">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w:t>
      </w:r>
      <w:r>
        <w:rPr>
          <w:rFonts w:hint="eastAsia" w:hAnsi="宋体" w:cs="宋体"/>
          <w:color w:val="auto"/>
          <w:sz w:val="21"/>
          <w:szCs w:val="21"/>
          <w:highlight w:val="none"/>
          <w:u w:val="single"/>
        </w:rPr>
        <w:t xml:space="preserve">   (法定代表人或负责人名字)  </w:t>
      </w:r>
      <w:r>
        <w:rPr>
          <w:rFonts w:hint="eastAsia" w:hAnsi="宋体" w:cs="宋体"/>
          <w:color w:val="auto"/>
          <w:sz w:val="21"/>
          <w:szCs w:val="21"/>
          <w:highlight w:val="none"/>
        </w:rPr>
        <w:t>系</w:t>
      </w:r>
      <w:r>
        <w:rPr>
          <w:rFonts w:hint="eastAsia" w:hAnsi="宋体" w:cs="宋体"/>
          <w:color w:val="auto"/>
          <w:sz w:val="21"/>
          <w:szCs w:val="21"/>
          <w:highlight w:val="none"/>
          <w:u w:val="single"/>
        </w:rPr>
        <w:t xml:space="preserve">    (投标人名称)       </w:t>
      </w:r>
      <w:r>
        <w:rPr>
          <w:rFonts w:hint="eastAsia" w:hAnsi="宋体" w:cs="宋体"/>
          <w:color w:val="auto"/>
          <w:sz w:val="21"/>
          <w:szCs w:val="21"/>
          <w:highlight w:val="none"/>
        </w:rPr>
        <w:t>的负责人，我方愿意参加贵方组织的</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r>
        <w:rPr>
          <w:rFonts w:hint="eastAsia" w:hAnsi="宋体" w:cs="宋体"/>
          <w:color w:val="auto"/>
          <w:spacing w:val="6"/>
          <w:szCs w:val="21"/>
          <w:highlight w:val="none"/>
        </w:rPr>
        <w:t>（项目名称）（项目编号）</w:t>
      </w:r>
      <w:r>
        <w:rPr>
          <w:rFonts w:hint="eastAsia" w:hAnsi="宋体" w:cs="宋体"/>
          <w:color w:val="auto"/>
          <w:sz w:val="21"/>
          <w:szCs w:val="21"/>
          <w:highlight w:val="none"/>
        </w:rPr>
        <w:t>的投标。为便于贵方公正、择优地确定中标人以及投标产品和服务，我方就本次投标有关事项郑重承诺如下：</w:t>
      </w:r>
    </w:p>
    <w:p w14:paraId="65E7D5F8">
      <w:pPr>
        <w:pStyle w:val="117"/>
        <w:spacing w:line="480" w:lineRule="exact"/>
        <w:ind w:firstLine="420" w:firstLineChars="200"/>
        <w:outlineLvl w:val="4"/>
        <w:rPr>
          <w:rFonts w:hint="eastAsia" w:hAnsi="宋体" w:cs="宋体"/>
          <w:color w:val="auto"/>
          <w:sz w:val="21"/>
          <w:szCs w:val="21"/>
          <w:highlight w:val="none"/>
        </w:rPr>
      </w:pPr>
      <w:r>
        <w:rPr>
          <w:rFonts w:hint="eastAsia" w:hAnsi="宋体" w:cs="宋体"/>
          <w:color w:val="auto"/>
          <w:sz w:val="21"/>
          <w:szCs w:val="21"/>
          <w:highlight w:val="none"/>
        </w:rPr>
        <w:t>1、我方向贵方提交的所有投标文件、资料都是准确的和真实的。</w:t>
      </w:r>
    </w:p>
    <w:p w14:paraId="0A087E30">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2、我方承诺已经具备《中华人民共和国政府采购法》、《中华人民共和国政府采购法实施条例》中规定的参加政府采购活动的投标人应当具备的条件，并真实提供相关材料。</w:t>
      </w:r>
    </w:p>
    <w:p w14:paraId="02DDAAEB">
      <w:pPr>
        <w:pStyle w:val="117"/>
        <w:spacing w:line="480" w:lineRule="exact"/>
        <w:ind w:firstLine="420" w:firstLineChars="200"/>
        <w:outlineLvl w:val="4"/>
        <w:rPr>
          <w:rFonts w:hint="eastAsia" w:hAnsi="宋体" w:cs="宋体"/>
          <w:color w:val="auto"/>
          <w:sz w:val="21"/>
          <w:szCs w:val="21"/>
          <w:highlight w:val="none"/>
        </w:rPr>
      </w:pPr>
      <w:r>
        <w:rPr>
          <w:rFonts w:hint="eastAsia" w:hAnsi="宋体" w:cs="宋体"/>
          <w:color w:val="auto"/>
          <w:sz w:val="21"/>
          <w:szCs w:val="21"/>
          <w:highlight w:val="none"/>
        </w:rPr>
        <w:t>3、提供投标人须知规定的全部投标文件，包括：</w:t>
      </w:r>
    </w:p>
    <w:p w14:paraId="0CF2A4AF">
      <w:pPr>
        <w:pStyle w:val="117"/>
        <w:spacing w:line="480" w:lineRule="exact"/>
        <w:ind w:firstLine="420" w:firstLineChars="200"/>
        <w:outlineLvl w:val="1"/>
        <w:rPr>
          <w:rFonts w:hint="eastAsia" w:hAnsi="宋体" w:cs="宋体"/>
          <w:color w:val="auto"/>
          <w:sz w:val="21"/>
          <w:szCs w:val="21"/>
          <w:highlight w:val="none"/>
        </w:rPr>
      </w:pPr>
      <w:r>
        <w:rPr>
          <w:rFonts w:hint="eastAsia" w:hAnsi="宋体" w:cs="宋体"/>
          <w:color w:val="auto"/>
          <w:sz w:val="21"/>
          <w:szCs w:val="21"/>
          <w:highlight w:val="none"/>
        </w:rPr>
        <w:t>（1）电子投标文件；</w:t>
      </w:r>
    </w:p>
    <w:p w14:paraId="53A4809A">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（2）备份投标文件（注：是否提交由投标人自行决定，如不提交，本条可删除）。</w:t>
      </w:r>
    </w:p>
    <w:p w14:paraId="68E67929">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4、如果我方中标，将派出</w:t>
      </w:r>
      <w:r>
        <w:rPr>
          <w:rFonts w:hint="eastAsia" w:hAnsi="宋体" w:cs="宋体"/>
          <w:color w:val="auto"/>
          <w:sz w:val="21"/>
          <w:szCs w:val="21"/>
          <w:highlight w:val="none"/>
          <w:u w:val="single"/>
        </w:rPr>
        <w:t xml:space="preserve">  （姓名及身份证号码）</w:t>
      </w:r>
      <w:r>
        <w:rPr>
          <w:rFonts w:hint="eastAsia" w:hAnsi="宋体" w:cs="宋体"/>
          <w:color w:val="auto"/>
          <w:sz w:val="21"/>
          <w:szCs w:val="21"/>
          <w:highlight w:val="none"/>
        </w:rPr>
        <w:t>，作为本项目与采购人联系的项目实施负责人，联系手机号码：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。在项目实施过程中，并承诺项目实施负责人不更换，若确需要更换的，书面征得采购人同意后才准予更换。</w:t>
      </w:r>
    </w:p>
    <w:p w14:paraId="6CC31A05">
      <w:pPr>
        <w:pStyle w:val="117"/>
        <w:spacing w:line="480" w:lineRule="exact"/>
        <w:ind w:firstLine="420" w:firstLineChars="200"/>
        <w:outlineLvl w:val="2"/>
        <w:rPr>
          <w:rFonts w:hint="eastAsia" w:hAnsi="宋体" w:cs="宋体"/>
          <w:color w:val="auto"/>
          <w:sz w:val="21"/>
          <w:szCs w:val="21"/>
          <w:highlight w:val="none"/>
        </w:rPr>
      </w:pPr>
      <w:r>
        <w:rPr>
          <w:rFonts w:hint="eastAsia" w:hAnsi="宋体" w:cs="宋体"/>
          <w:color w:val="auto"/>
          <w:sz w:val="21"/>
          <w:szCs w:val="21"/>
          <w:highlight w:val="none"/>
        </w:rPr>
        <w:t>5、我方的投标有效期自</w:t>
      </w:r>
      <w:r>
        <w:rPr>
          <w:rFonts w:hint="eastAsia" w:hAnsi="宋体" w:cs="宋体"/>
          <w:bCs/>
          <w:snapToGrid w:val="0"/>
          <w:color w:val="auto"/>
          <w:kern w:val="2"/>
          <w:sz w:val="21"/>
          <w:szCs w:val="21"/>
          <w:highlight w:val="none"/>
        </w:rPr>
        <w:t>提交投标文件的截止之日起</w:t>
      </w:r>
      <w:r>
        <w:rPr>
          <w:rFonts w:hint="eastAsia" w:hAnsi="宋体" w:cs="宋体"/>
          <w:color w:val="auto"/>
          <w:sz w:val="21"/>
          <w:szCs w:val="21"/>
          <w:highlight w:val="none"/>
          <w:u w:val="single"/>
        </w:rPr>
        <w:t>90</w:t>
      </w:r>
      <w:r>
        <w:rPr>
          <w:rFonts w:hint="eastAsia" w:hAnsi="宋体" w:cs="宋体"/>
          <w:color w:val="auto"/>
          <w:sz w:val="21"/>
          <w:szCs w:val="21"/>
          <w:highlight w:val="none"/>
        </w:rPr>
        <w:t>天内有效。</w:t>
      </w:r>
    </w:p>
    <w:p w14:paraId="13CA22E3">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6、我方在投标之前已经与贵方进行了充分的沟通，完全理解并接受招标文件的各项规定和要求，对招标文件的合理性、合法性不再有异议。</w:t>
      </w:r>
    </w:p>
    <w:p w14:paraId="4CA915B0">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我方愿意向贵方提供真实完整的任何与该项投标有关的数据、情况和技术资料。若贵方需要，我方愿意提供我方作出的一切承诺的证明材料。</w:t>
      </w:r>
    </w:p>
    <w:p w14:paraId="0DB1D5C2">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7、我方已详细审核全部招标文件，包括招标文件的澄清或修改文件（如有）、参考资料及有关附件，已经了解我方对于招标文件、采购过程、采购结果有依法进行询问、质疑、投诉的权利及相关渠道和要求。</w:t>
      </w:r>
    </w:p>
    <w:p w14:paraId="7A623EA0">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8、我方不是采购人的附属机构，并未为本项目提供整体设计、规范编制或者项目管理、监理、监测等服务。</w:t>
      </w:r>
    </w:p>
    <w:p w14:paraId="26098773">
      <w:pPr>
        <w:pStyle w:val="117"/>
        <w:spacing w:line="4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69DFC0D">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（1）提供虚假材料谋取中标、中标的；</w:t>
      </w:r>
    </w:p>
    <w:p w14:paraId="05DB5E2F">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（2）采取不正当手段诋毁、排挤其他投标人的；</w:t>
      </w:r>
    </w:p>
    <w:p w14:paraId="4BB8F449">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（3）与采购人、其它投标人或者采购代理机构恶意串通的；</w:t>
      </w:r>
    </w:p>
    <w:p w14:paraId="11806BBD">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（4）向采购人、采购代理机构行贿或者提供其他不正当利益的；</w:t>
      </w:r>
    </w:p>
    <w:p w14:paraId="06B1F5A0">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（5）在招标采购过程中与采购人进行协商谈判的；</w:t>
      </w:r>
    </w:p>
    <w:p w14:paraId="7428A4EF">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（6）拒绝有关部门监督检查或提供虚假情况的。</w:t>
      </w:r>
    </w:p>
    <w:p w14:paraId="564C4C4D">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10、如中标，本投标文件至本项目合同履行完毕止均保持有效，我方将按招标文件及政府采购法律、法规的规定履行合同责任和义务。</w:t>
      </w:r>
    </w:p>
    <w:p w14:paraId="4817F9F8">
      <w:pPr>
        <w:pStyle w:val="117"/>
        <w:spacing w:line="480" w:lineRule="exact"/>
        <w:ind w:firstLine="210" w:firstLineChars="100"/>
        <w:rPr>
          <w:rFonts w:hint="eastAsia" w:hAnsi="宋体" w:cs="宋体"/>
          <w:color w:val="auto"/>
          <w:sz w:val="21"/>
          <w:szCs w:val="21"/>
          <w:highlight w:val="none"/>
        </w:rPr>
      </w:pPr>
      <w:r>
        <w:rPr>
          <w:rFonts w:hint="eastAsia" w:hAnsi="宋体" w:cs="宋体"/>
          <w:color w:val="auto"/>
          <w:sz w:val="21"/>
          <w:szCs w:val="21"/>
          <w:highlight w:val="none"/>
        </w:rPr>
        <w:t>11、以上事项如有虚假或隐瞒，我方愿意承担一切不利后果，并不再寻求任何旨在减轻或免除法律责任。</w:t>
      </w:r>
    </w:p>
    <w:p w14:paraId="5ADD6A52">
      <w:pPr>
        <w:pStyle w:val="117"/>
        <w:spacing w:line="480" w:lineRule="exact"/>
        <w:ind w:firstLine="480"/>
        <w:rPr>
          <w:rFonts w:hint="eastAsia" w:hAnsi="宋体" w:cs="宋体"/>
          <w:color w:val="auto"/>
          <w:sz w:val="21"/>
          <w:szCs w:val="21"/>
          <w:highlight w:val="none"/>
        </w:rPr>
      </w:pPr>
      <w:r>
        <w:rPr>
          <w:rFonts w:hint="eastAsia" w:hAnsi="宋体" w:cs="宋体"/>
          <w:color w:val="auto"/>
          <w:sz w:val="21"/>
          <w:szCs w:val="21"/>
          <w:highlight w:val="none"/>
        </w:rPr>
        <w:t>与本次投标有关的一切正式往来信函请寄：</w:t>
      </w:r>
    </w:p>
    <w:p w14:paraId="7B44B3B6">
      <w:pPr>
        <w:pStyle w:val="117"/>
        <w:spacing w:line="480" w:lineRule="exact"/>
        <w:ind w:firstLine="480"/>
        <w:rPr>
          <w:rFonts w:hint="eastAsia" w:hAnsi="宋体" w:cs="宋体"/>
          <w:color w:val="auto"/>
          <w:sz w:val="21"/>
          <w:szCs w:val="21"/>
          <w:highlight w:val="none"/>
        </w:rPr>
      </w:pPr>
      <w:r>
        <w:rPr>
          <w:rFonts w:hint="eastAsia" w:hAnsi="宋体" w:cs="宋体"/>
          <w:color w:val="auto"/>
          <w:sz w:val="21"/>
          <w:szCs w:val="21"/>
          <w:highlight w:val="none"/>
        </w:rPr>
        <w:t>地址：</w:t>
      </w:r>
      <w:r>
        <w:rPr>
          <w:rFonts w:hint="eastAsia" w:hAnsi="宋体" w:cs="宋体"/>
          <w:color w:val="auto"/>
          <w:spacing w:val="20"/>
          <w:sz w:val="21"/>
          <w:szCs w:val="21"/>
          <w:highlight w:val="none"/>
          <w:u w:val="single"/>
        </w:rPr>
        <w:t xml:space="preserve">             </w:t>
      </w:r>
      <w:r>
        <w:rPr>
          <w:rFonts w:hint="eastAsia" w:hAnsi="宋体" w:cs="宋体"/>
          <w:color w:val="auto"/>
          <w:sz w:val="21"/>
          <w:szCs w:val="21"/>
          <w:highlight w:val="none"/>
        </w:rPr>
        <w:t xml:space="preserve">     邮编：</w:t>
      </w:r>
      <w:r>
        <w:rPr>
          <w:rFonts w:hint="eastAsia" w:hAnsi="宋体" w:cs="宋体"/>
          <w:color w:val="auto"/>
          <w:spacing w:val="20"/>
          <w:sz w:val="21"/>
          <w:szCs w:val="21"/>
          <w:highlight w:val="none"/>
          <w:u w:val="single"/>
        </w:rPr>
        <w:t xml:space="preserve">           </w:t>
      </w:r>
      <w:r>
        <w:rPr>
          <w:rFonts w:hint="eastAsia" w:hAnsi="宋体" w:cs="宋体"/>
          <w:color w:val="auto"/>
          <w:sz w:val="21"/>
          <w:szCs w:val="21"/>
          <w:highlight w:val="none"/>
        </w:rPr>
        <w:t>　</w:t>
      </w:r>
    </w:p>
    <w:p w14:paraId="15AF4ADA">
      <w:pPr>
        <w:pStyle w:val="29"/>
        <w:spacing w:line="480" w:lineRule="exact"/>
        <w:ind w:firstLine="420" w:firstLineChars="200"/>
        <w:rPr>
          <w:rFonts w:hint="eastAsia" w:hAnsi="宋体" w:cs="宋体"/>
          <w:color w:val="auto"/>
          <w:szCs w:val="21"/>
          <w:highlight w:val="none"/>
        </w:rPr>
      </w:pPr>
      <w:r>
        <w:rPr>
          <w:rFonts w:hint="eastAsia" w:hAnsi="宋体" w:cs="宋体"/>
          <w:color w:val="auto"/>
          <w:szCs w:val="21"/>
          <w:highlight w:val="none"/>
        </w:rPr>
        <w:t>电话：</w:t>
      </w:r>
      <w:r>
        <w:rPr>
          <w:rFonts w:hint="eastAsia" w:hAnsi="宋体" w:cs="宋体"/>
          <w:color w:val="auto"/>
          <w:spacing w:val="20"/>
          <w:szCs w:val="21"/>
          <w:highlight w:val="none"/>
          <w:u w:val="single"/>
        </w:rPr>
        <w:t xml:space="preserve">             </w:t>
      </w:r>
      <w:r>
        <w:rPr>
          <w:rFonts w:hint="eastAsia" w:hAnsi="宋体" w:cs="宋体"/>
          <w:color w:val="auto"/>
          <w:szCs w:val="21"/>
          <w:highlight w:val="none"/>
        </w:rPr>
        <w:t xml:space="preserve">     传真：</w:t>
      </w:r>
      <w:r>
        <w:rPr>
          <w:rFonts w:hint="eastAsia" w:hAnsi="宋体" w:cs="宋体"/>
          <w:color w:val="auto"/>
          <w:spacing w:val="20"/>
          <w:szCs w:val="21"/>
          <w:highlight w:val="none"/>
          <w:u w:val="single"/>
        </w:rPr>
        <w:t xml:space="preserve">           </w:t>
      </w:r>
    </w:p>
    <w:p w14:paraId="00D738E2">
      <w:pPr>
        <w:pStyle w:val="117"/>
        <w:spacing w:line="480" w:lineRule="exact"/>
        <w:rPr>
          <w:rFonts w:hint="eastAsia" w:hAnsi="宋体" w:cs="宋体"/>
          <w:color w:val="auto"/>
          <w:sz w:val="21"/>
          <w:szCs w:val="21"/>
          <w:highlight w:val="none"/>
        </w:rPr>
      </w:pPr>
    </w:p>
    <w:p w14:paraId="5BADE59B">
      <w:pPr>
        <w:pStyle w:val="168"/>
        <w:spacing w:line="520" w:lineRule="exact"/>
        <w:ind w:firstLine="4750" w:firstLineChars="1900"/>
        <w:rPr>
          <w:rFonts w:hint="eastAsia" w:hAnsi="宋体" w:cs="宋体"/>
          <w:color w:val="auto"/>
          <w:spacing w:val="20"/>
          <w:szCs w:val="21"/>
          <w:highlight w:val="none"/>
          <w:u w:val="single"/>
        </w:rPr>
      </w:pPr>
    </w:p>
    <w:p w14:paraId="394E4B4B">
      <w:pPr>
        <w:pStyle w:val="168"/>
        <w:spacing w:line="520" w:lineRule="exact"/>
        <w:ind w:firstLine="5320" w:firstLineChars="1900"/>
        <w:rPr>
          <w:rFonts w:hint="eastAsia" w:hAnsi="宋体" w:cs="宋体"/>
          <w:color w:val="auto"/>
          <w:spacing w:val="20"/>
          <w:sz w:val="24"/>
          <w:highlight w:val="none"/>
          <w:u w:val="single"/>
        </w:rPr>
      </w:pPr>
    </w:p>
    <w:p w14:paraId="0BAB5557">
      <w:pPr>
        <w:pStyle w:val="168"/>
        <w:spacing w:line="520" w:lineRule="exact"/>
        <w:ind w:firstLine="5320" w:firstLineChars="1900"/>
        <w:rPr>
          <w:rFonts w:hint="eastAsia" w:hAnsi="宋体" w:cs="宋体"/>
          <w:color w:val="auto"/>
          <w:spacing w:val="20"/>
          <w:sz w:val="24"/>
          <w:highlight w:val="none"/>
          <w:u w:val="single"/>
        </w:rPr>
      </w:pPr>
    </w:p>
    <w:p w14:paraId="46F59CF5">
      <w:pPr>
        <w:pStyle w:val="168"/>
        <w:spacing w:line="520" w:lineRule="exact"/>
        <w:ind w:firstLine="5320" w:firstLineChars="1900"/>
        <w:rPr>
          <w:rFonts w:hint="eastAsia" w:hAnsi="宋体" w:cs="宋体"/>
          <w:color w:val="auto"/>
          <w:spacing w:val="20"/>
          <w:sz w:val="24"/>
          <w:highlight w:val="none"/>
          <w:u w:val="single"/>
        </w:rPr>
      </w:pPr>
    </w:p>
    <w:p w14:paraId="57933F3D">
      <w:pPr>
        <w:rPr>
          <w:rFonts w:hint="eastAsia" w:ascii="宋体" w:hAnsi="宋体" w:cs="宋体"/>
          <w:b/>
          <w:color w:val="auto"/>
          <w:sz w:val="6"/>
          <w:szCs w:val="2"/>
          <w:highlight w:val="none"/>
        </w:rPr>
      </w:pPr>
      <w:r>
        <w:rPr>
          <w:rFonts w:hint="eastAsia" w:ascii="宋体" w:hAnsi="宋体" w:cs="宋体"/>
          <w:b/>
          <w:color w:val="auto"/>
          <w:highlight w:val="none"/>
        </w:rPr>
        <w:br w:type="page"/>
      </w:r>
    </w:p>
    <w:p w14:paraId="46EDF801">
      <w:pPr>
        <w:pStyle w:val="15"/>
        <w:ind w:firstLine="0"/>
        <w:jc w:val="center"/>
        <w:outlineLvl w:val="2"/>
        <w:rPr>
          <w:rFonts w:hint="eastAsia" w:ascii="宋体" w:hAnsi="宋体" w:cs="宋体"/>
          <w:b/>
          <w:color w:val="auto"/>
          <w:sz w:val="30"/>
          <w:highlight w:val="none"/>
        </w:rPr>
      </w:pPr>
      <w:r>
        <w:rPr>
          <w:rFonts w:hint="eastAsia" w:ascii="宋体" w:hAnsi="宋体" w:cs="宋体"/>
          <w:b/>
          <w:color w:val="auto"/>
          <w:sz w:val="30"/>
          <w:highlight w:val="none"/>
        </w:rPr>
        <w:t xml:space="preserve">  3、其他资信资料</w:t>
      </w:r>
    </w:p>
    <w:p w14:paraId="325006F8">
      <w:pPr>
        <w:rPr>
          <w:rFonts w:hint="eastAsia" w:ascii="宋体" w:hAnsi="宋体" w:cs="宋体"/>
          <w:color w:val="auto"/>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79"/>
        <w:gridCol w:w="1076"/>
        <w:gridCol w:w="975"/>
        <w:gridCol w:w="841"/>
        <w:gridCol w:w="971"/>
        <w:gridCol w:w="971"/>
        <w:gridCol w:w="971"/>
        <w:gridCol w:w="806"/>
        <w:gridCol w:w="1138"/>
      </w:tblGrid>
      <w:tr w14:paraId="3DE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684" w:type="dxa"/>
            <w:vAlign w:val="center"/>
          </w:tcPr>
          <w:p w14:paraId="4328324F">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单位</w:t>
            </w:r>
          </w:p>
          <w:p w14:paraId="781ECED9">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名称</w:t>
            </w:r>
          </w:p>
          <w:p w14:paraId="50F245FB">
            <w:pPr>
              <w:jc w:val="center"/>
              <w:rPr>
                <w:rFonts w:hint="eastAsia" w:ascii="宋体" w:hAnsi="宋体" w:cs="宋体"/>
                <w:color w:val="auto"/>
                <w:szCs w:val="21"/>
                <w:highlight w:val="none"/>
              </w:rPr>
            </w:pPr>
          </w:p>
        </w:tc>
        <w:tc>
          <w:tcPr>
            <w:tcW w:w="1279" w:type="dxa"/>
            <w:vAlign w:val="center"/>
          </w:tcPr>
          <w:p w14:paraId="79737E6E">
            <w:pPr>
              <w:jc w:val="center"/>
              <w:rPr>
                <w:rFonts w:hint="eastAsia" w:ascii="宋体" w:hAnsi="宋体" w:cs="宋体"/>
                <w:color w:val="auto"/>
                <w:szCs w:val="21"/>
                <w:highlight w:val="none"/>
              </w:rPr>
            </w:pPr>
          </w:p>
        </w:tc>
        <w:tc>
          <w:tcPr>
            <w:tcW w:w="1076" w:type="dxa"/>
            <w:vAlign w:val="center"/>
          </w:tcPr>
          <w:p w14:paraId="5EC6306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电话</w:t>
            </w:r>
          </w:p>
          <w:p w14:paraId="743BD5BA">
            <w:pPr>
              <w:jc w:val="center"/>
              <w:rPr>
                <w:rFonts w:hint="eastAsia" w:ascii="宋体" w:hAnsi="宋体" w:cs="宋体"/>
                <w:color w:val="auto"/>
                <w:szCs w:val="21"/>
                <w:highlight w:val="none"/>
              </w:rPr>
            </w:pPr>
          </w:p>
        </w:tc>
        <w:tc>
          <w:tcPr>
            <w:tcW w:w="975" w:type="dxa"/>
            <w:vAlign w:val="center"/>
          </w:tcPr>
          <w:p w14:paraId="36833981">
            <w:pPr>
              <w:jc w:val="center"/>
              <w:rPr>
                <w:rFonts w:hint="eastAsia" w:ascii="宋体" w:hAnsi="宋体" w:cs="宋体"/>
                <w:color w:val="auto"/>
                <w:szCs w:val="21"/>
                <w:highlight w:val="none"/>
              </w:rPr>
            </w:pPr>
          </w:p>
        </w:tc>
        <w:tc>
          <w:tcPr>
            <w:tcW w:w="841" w:type="dxa"/>
            <w:vAlign w:val="center"/>
          </w:tcPr>
          <w:p w14:paraId="6341EA4B">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主管</w:t>
            </w:r>
          </w:p>
          <w:p w14:paraId="72C636AE">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部门</w:t>
            </w:r>
          </w:p>
          <w:p w14:paraId="392C9F95">
            <w:pPr>
              <w:jc w:val="center"/>
              <w:rPr>
                <w:rFonts w:hint="eastAsia" w:ascii="宋体" w:hAnsi="宋体" w:cs="宋体"/>
                <w:color w:val="auto"/>
                <w:szCs w:val="21"/>
                <w:highlight w:val="none"/>
              </w:rPr>
            </w:pPr>
          </w:p>
        </w:tc>
        <w:tc>
          <w:tcPr>
            <w:tcW w:w="971" w:type="dxa"/>
            <w:vAlign w:val="center"/>
          </w:tcPr>
          <w:p w14:paraId="7FF2E008">
            <w:pPr>
              <w:jc w:val="center"/>
              <w:rPr>
                <w:rFonts w:hint="eastAsia" w:ascii="宋体" w:hAnsi="宋体" w:cs="宋体"/>
                <w:color w:val="auto"/>
                <w:szCs w:val="21"/>
                <w:highlight w:val="none"/>
              </w:rPr>
            </w:pPr>
          </w:p>
        </w:tc>
        <w:tc>
          <w:tcPr>
            <w:tcW w:w="971" w:type="dxa"/>
            <w:vAlign w:val="center"/>
          </w:tcPr>
          <w:p w14:paraId="238988FF">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单位</w:t>
            </w:r>
          </w:p>
          <w:p w14:paraId="6E595C4D">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法人</w:t>
            </w:r>
          </w:p>
          <w:p w14:paraId="7536E29E">
            <w:pPr>
              <w:jc w:val="center"/>
              <w:rPr>
                <w:rFonts w:hint="eastAsia" w:ascii="宋体" w:hAnsi="宋体" w:cs="宋体"/>
                <w:color w:val="auto"/>
                <w:szCs w:val="21"/>
                <w:highlight w:val="none"/>
              </w:rPr>
            </w:pPr>
          </w:p>
        </w:tc>
        <w:tc>
          <w:tcPr>
            <w:tcW w:w="971" w:type="dxa"/>
            <w:vAlign w:val="center"/>
          </w:tcPr>
          <w:p w14:paraId="55A0AFEC">
            <w:pPr>
              <w:jc w:val="center"/>
              <w:rPr>
                <w:rFonts w:hint="eastAsia" w:ascii="宋体" w:hAnsi="宋体" w:cs="宋体"/>
                <w:color w:val="auto"/>
                <w:szCs w:val="21"/>
                <w:highlight w:val="none"/>
              </w:rPr>
            </w:pPr>
          </w:p>
        </w:tc>
        <w:tc>
          <w:tcPr>
            <w:tcW w:w="806" w:type="dxa"/>
            <w:vAlign w:val="center"/>
          </w:tcPr>
          <w:p w14:paraId="1089D990">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职务</w:t>
            </w:r>
          </w:p>
          <w:p w14:paraId="136C2136">
            <w:pPr>
              <w:jc w:val="center"/>
              <w:rPr>
                <w:rFonts w:hint="eastAsia" w:ascii="宋体" w:hAnsi="宋体" w:cs="宋体"/>
                <w:color w:val="auto"/>
                <w:szCs w:val="21"/>
                <w:highlight w:val="none"/>
              </w:rPr>
            </w:pPr>
          </w:p>
        </w:tc>
        <w:tc>
          <w:tcPr>
            <w:tcW w:w="1138" w:type="dxa"/>
            <w:vAlign w:val="center"/>
          </w:tcPr>
          <w:p w14:paraId="3642DB6D">
            <w:pPr>
              <w:jc w:val="center"/>
              <w:rPr>
                <w:rFonts w:hint="eastAsia" w:ascii="宋体" w:hAnsi="宋体" w:cs="宋体"/>
                <w:color w:val="auto"/>
                <w:szCs w:val="21"/>
                <w:highlight w:val="none"/>
              </w:rPr>
            </w:pPr>
          </w:p>
        </w:tc>
      </w:tr>
      <w:tr w14:paraId="1AF5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Align w:val="center"/>
          </w:tcPr>
          <w:p w14:paraId="22DC1783">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地址</w:t>
            </w:r>
          </w:p>
          <w:p w14:paraId="707EB861">
            <w:pPr>
              <w:jc w:val="center"/>
              <w:rPr>
                <w:rFonts w:hint="eastAsia" w:ascii="宋体" w:hAnsi="宋体" w:cs="宋体"/>
                <w:color w:val="auto"/>
                <w:szCs w:val="21"/>
                <w:highlight w:val="none"/>
              </w:rPr>
            </w:pPr>
          </w:p>
        </w:tc>
        <w:tc>
          <w:tcPr>
            <w:tcW w:w="1279" w:type="dxa"/>
            <w:vAlign w:val="center"/>
          </w:tcPr>
          <w:p w14:paraId="48745F7E">
            <w:pPr>
              <w:jc w:val="center"/>
              <w:rPr>
                <w:rFonts w:hint="eastAsia" w:ascii="宋体" w:hAnsi="宋体" w:cs="宋体"/>
                <w:color w:val="auto"/>
                <w:szCs w:val="21"/>
                <w:highlight w:val="none"/>
              </w:rPr>
            </w:pPr>
          </w:p>
        </w:tc>
        <w:tc>
          <w:tcPr>
            <w:tcW w:w="1076" w:type="dxa"/>
            <w:vAlign w:val="center"/>
          </w:tcPr>
          <w:p w14:paraId="33804129">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传真</w:t>
            </w:r>
          </w:p>
          <w:p w14:paraId="5A509A4F">
            <w:pPr>
              <w:jc w:val="center"/>
              <w:rPr>
                <w:rFonts w:hint="eastAsia" w:ascii="宋体" w:hAnsi="宋体" w:cs="宋体"/>
                <w:color w:val="auto"/>
                <w:szCs w:val="21"/>
                <w:highlight w:val="none"/>
              </w:rPr>
            </w:pPr>
          </w:p>
        </w:tc>
        <w:tc>
          <w:tcPr>
            <w:tcW w:w="975" w:type="dxa"/>
            <w:vAlign w:val="center"/>
          </w:tcPr>
          <w:p w14:paraId="613CAF6D">
            <w:pPr>
              <w:jc w:val="center"/>
              <w:rPr>
                <w:rFonts w:hint="eastAsia" w:ascii="宋体" w:hAnsi="宋体" w:cs="宋体"/>
                <w:color w:val="auto"/>
                <w:szCs w:val="21"/>
                <w:highlight w:val="none"/>
              </w:rPr>
            </w:pPr>
          </w:p>
        </w:tc>
        <w:tc>
          <w:tcPr>
            <w:tcW w:w="841" w:type="dxa"/>
            <w:vAlign w:val="center"/>
          </w:tcPr>
          <w:p w14:paraId="7022C38F">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单位</w:t>
            </w:r>
          </w:p>
          <w:p w14:paraId="00B5326C">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性质</w:t>
            </w:r>
          </w:p>
          <w:p w14:paraId="425C1B3F">
            <w:pPr>
              <w:jc w:val="center"/>
              <w:rPr>
                <w:rFonts w:hint="eastAsia" w:ascii="宋体" w:hAnsi="宋体" w:cs="宋体"/>
                <w:color w:val="auto"/>
                <w:szCs w:val="21"/>
                <w:highlight w:val="none"/>
              </w:rPr>
            </w:pPr>
          </w:p>
        </w:tc>
        <w:tc>
          <w:tcPr>
            <w:tcW w:w="971" w:type="dxa"/>
            <w:vAlign w:val="center"/>
          </w:tcPr>
          <w:p w14:paraId="628E1AB3">
            <w:pPr>
              <w:jc w:val="center"/>
              <w:rPr>
                <w:rFonts w:hint="eastAsia" w:ascii="宋体" w:hAnsi="宋体" w:cs="宋体"/>
                <w:color w:val="auto"/>
                <w:szCs w:val="21"/>
                <w:highlight w:val="none"/>
              </w:rPr>
            </w:pPr>
          </w:p>
        </w:tc>
        <w:tc>
          <w:tcPr>
            <w:tcW w:w="971" w:type="dxa"/>
            <w:vAlign w:val="center"/>
          </w:tcPr>
          <w:p w14:paraId="00A33007">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技术</w:t>
            </w:r>
          </w:p>
          <w:p w14:paraId="0F763EB5">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负责人</w:t>
            </w:r>
          </w:p>
          <w:p w14:paraId="46506824">
            <w:pPr>
              <w:jc w:val="center"/>
              <w:rPr>
                <w:rFonts w:hint="eastAsia" w:ascii="宋体" w:hAnsi="宋体" w:cs="宋体"/>
                <w:color w:val="auto"/>
                <w:szCs w:val="21"/>
                <w:highlight w:val="none"/>
              </w:rPr>
            </w:pPr>
          </w:p>
        </w:tc>
        <w:tc>
          <w:tcPr>
            <w:tcW w:w="971" w:type="dxa"/>
            <w:vAlign w:val="center"/>
          </w:tcPr>
          <w:p w14:paraId="15B80FE0">
            <w:pPr>
              <w:jc w:val="center"/>
              <w:rPr>
                <w:rFonts w:hint="eastAsia" w:ascii="宋体" w:hAnsi="宋体" w:cs="宋体"/>
                <w:color w:val="auto"/>
                <w:szCs w:val="21"/>
                <w:highlight w:val="none"/>
              </w:rPr>
            </w:pPr>
          </w:p>
        </w:tc>
        <w:tc>
          <w:tcPr>
            <w:tcW w:w="806" w:type="dxa"/>
            <w:vAlign w:val="center"/>
          </w:tcPr>
          <w:p w14:paraId="5145B7A0">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职务</w:t>
            </w:r>
          </w:p>
          <w:p w14:paraId="7AA25840">
            <w:pPr>
              <w:jc w:val="center"/>
              <w:rPr>
                <w:rFonts w:hint="eastAsia" w:ascii="宋体" w:hAnsi="宋体" w:cs="宋体"/>
                <w:color w:val="auto"/>
                <w:szCs w:val="21"/>
                <w:highlight w:val="none"/>
              </w:rPr>
            </w:pPr>
          </w:p>
        </w:tc>
        <w:tc>
          <w:tcPr>
            <w:tcW w:w="1138" w:type="dxa"/>
            <w:vAlign w:val="center"/>
          </w:tcPr>
          <w:p w14:paraId="41209B5E">
            <w:pPr>
              <w:jc w:val="center"/>
              <w:rPr>
                <w:rFonts w:hint="eastAsia" w:ascii="宋体" w:hAnsi="宋体" w:cs="宋体"/>
                <w:color w:val="auto"/>
                <w:szCs w:val="21"/>
                <w:highlight w:val="none"/>
              </w:rPr>
            </w:pPr>
          </w:p>
        </w:tc>
      </w:tr>
      <w:tr w14:paraId="2D5A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684" w:type="dxa"/>
            <w:vMerge w:val="restart"/>
            <w:vAlign w:val="center"/>
          </w:tcPr>
          <w:p w14:paraId="4B9B574F">
            <w:pPr>
              <w:widowControl/>
              <w:jc w:val="center"/>
              <w:rPr>
                <w:rFonts w:hint="eastAsia" w:ascii="宋体" w:hAnsi="宋体" w:cs="宋体"/>
                <w:color w:val="auto"/>
                <w:kern w:val="0"/>
                <w:szCs w:val="21"/>
                <w:highlight w:val="none"/>
                <w:lang w:bidi="ar"/>
              </w:rPr>
            </w:pPr>
          </w:p>
          <w:p w14:paraId="21714CE4">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单位</w:t>
            </w:r>
          </w:p>
          <w:p w14:paraId="129F7C7B">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概况</w:t>
            </w:r>
          </w:p>
          <w:p w14:paraId="0B773043">
            <w:pPr>
              <w:jc w:val="center"/>
              <w:rPr>
                <w:rFonts w:hint="eastAsia" w:ascii="宋体" w:hAnsi="宋体" w:cs="宋体"/>
                <w:color w:val="auto"/>
                <w:szCs w:val="21"/>
                <w:highlight w:val="none"/>
              </w:rPr>
            </w:pPr>
          </w:p>
        </w:tc>
        <w:tc>
          <w:tcPr>
            <w:tcW w:w="1279" w:type="dxa"/>
            <w:vAlign w:val="center"/>
          </w:tcPr>
          <w:p w14:paraId="768328F1">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营业执照</w:t>
            </w:r>
          </w:p>
          <w:p w14:paraId="20C6A502">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经营范围</w:t>
            </w:r>
          </w:p>
        </w:tc>
        <w:tc>
          <w:tcPr>
            <w:tcW w:w="2051" w:type="dxa"/>
            <w:gridSpan w:val="2"/>
            <w:vAlign w:val="center"/>
          </w:tcPr>
          <w:p w14:paraId="7FB4F026">
            <w:pPr>
              <w:jc w:val="center"/>
              <w:rPr>
                <w:rFonts w:hint="eastAsia" w:ascii="宋体" w:hAnsi="宋体" w:cs="宋体"/>
                <w:color w:val="auto"/>
                <w:szCs w:val="21"/>
                <w:highlight w:val="none"/>
              </w:rPr>
            </w:pPr>
          </w:p>
        </w:tc>
        <w:tc>
          <w:tcPr>
            <w:tcW w:w="841" w:type="dxa"/>
            <w:vMerge w:val="restart"/>
            <w:vAlign w:val="center"/>
          </w:tcPr>
          <w:p w14:paraId="5B6DEB5F">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上一年主要经</w:t>
            </w:r>
          </w:p>
          <w:p w14:paraId="22EB883C">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济指标</w:t>
            </w:r>
          </w:p>
          <w:p w14:paraId="40D62EC7">
            <w:pPr>
              <w:jc w:val="center"/>
              <w:rPr>
                <w:rFonts w:hint="eastAsia" w:ascii="宋体" w:hAnsi="宋体" w:cs="宋体"/>
                <w:color w:val="auto"/>
                <w:szCs w:val="21"/>
                <w:highlight w:val="none"/>
              </w:rPr>
            </w:pPr>
          </w:p>
        </w:tc>
        <w:tc>
          <w:tcPr>
            <w:tcW w:w="1942" w:type="dxa"/>
            <w:gridSpan w:val="2"/>
            <w:vAlign w:val="center"/>
          </w:tcPr>
          <w:p w14:paraId="73CD5EFB">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年营业收入</w:t>
            </w:r>
          </w:p>
        </w:tc>
        <w:tc>
          <w:tcPr>
            <w:tcW w:w="2915" w:type="dxa"/>
            <w:gridSpan w:val="3"/>
            <w:vAlign w:val="center"/>
          </w:tcPr>
          <w:p w14:paraId="28C1C975">
            <w:pPr>
              <w:jc w:val="center"/>
              <w:rPr>
                <w:rFonts w:hint="eastAsia" w:ascii="宋体" w:hAnsi="宋体" w:cs="宋体"/>
                <w:color w:val="auto"/>
                <w:szCs w:val="21"/>
                <w:highlight w:val="none"/>
              </w:rPr>
            </w:pPr>
          </w:p>
        </w:tc>
      </w:tr>
      <w:tr w14:paraId="3332B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trPr>
        <w:tc>
          <w:tcPr>
            <w:tcW w:w="684" w:type="dxa"/>
            <w:vMerge w:val="continue"/>
            <w:vAlign w:val="center"/>
          </w:tcPr>
          <w:p w14:paraId="7D5B8DBF">
            <w:pPr>
              <w:jc w:val="center"/>
              <w:rPr>
                <w:rFonts w:hint="eastAsia" w:ascii="宋体" w:hAnsi="宋体" w:cs="宋体"/>
                <w:color w:val="auto"/>
                <w:szCs w:val="21"/>
                <w:highlight w:val="none"/>
              </w:rPr>
            </w:pPr>
          </w:p>
        </w:tc>
        <w:tc>
          <w:tcPr>
            <w:tcW w:w="1279" w:type="dxa"/>
            <w:vAlign w:val="center"/>
          </w:tcPr>
          <w:p w14:paraId="3C59C4F5">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统一社会信用代码</w:t>
            </w:r>
          </w:p>
        </w:tc>
        <w:tc>
          <w:tcPr>
            <w:tcW w:w="2051" w:type="dxa"/>
            <w:gridSpan w:val="2"/>
            <w:vAlign w:val="center"/>
          </w:tcPr>
          <w:p w14:paraId="5AE5CC7C">
            <w:pPr>
              <w:jc w:val="center"/>
              <w:rPr>
                <w:rFonts w:hint="eastAsia" w:ascii="宋体" w:hAnsi="宋体" w:cs="宋体"/>
                <w:color w:val="auto"/>
                <w:szCs w:val="21"/>
                <w:highlight w:val="none"/>
              </w:rPr>
            </w:pPr>
          </w:p>
        </w:tc>
        <w:tc>
          <w:tcPr>
            <w:tcW w:w="841" w:type="dxa"/>
            <w:vMerge w:val="continue"/>
            <w:vAlign w:val="center"/>
          </w:tcPr>
          <w:p w14:paraId="3CE296F3">
            <w:pPr>
              <w:jc w:val="center"/>
              <w:rPr>
                <w:rFonts w:hint="eastAsia" w:ascii="宋体" w:hAnsi="宋体" w:cs="宋体"/>
                <w:color w:val="auto"/>
                <w:szCs w:val="21"/>
                <w:highlight w:val="none"/>
              </w:rPr>
            </w:pPr>
          </w:p>
        </w:tc>
        <w:tc>
          <w:tcPr>
            <w:tcW w:w="1942" w:type="dxa"/>
            <w:gridSpan w:val="2"/>
            <w:vAlign w:val="center"/>
          </w:tcPr>
          <w:p w14:paraId="5BC5C350">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资产总额</w:t>
            </w:r>
          </w:p>
        </w:tc>
        <w:tc>
          <w:tcPr>
            <w:tcW w:w="2915" w:type="dxa"/>
            <w:gridSpan w:val="3"/>
            <w:vAlign w:val="center"/>
          </w:tcPr>
          <w:p w14:paraId="4CE2C880">
            <w:pPr>
              <w:jc w:val="center"/>
              <w:rPr>
                <w:rFonts w:hint="eastAsia" w:ascii="宋体" w:hAnsi="宋体" w:cs="宋体"/>
                <w:color w:val="auto"/>
                <w:szCs w:val="21"/>
                <w:highlight w:val="none"/>
              </w:rPr>
            </w:pPr>
          </w:p>
        </w:tc>
      </w:tr>
      <w:tr w14:paraId="4276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684" w:type="dxa"/>
            <w:vMerge w:val="continue"/>
            <w:vAlign w:val="center"/>
          </w:tcPr>
          <w:p w14:paraId="3C30796E">
            <w:pPr>
              <w:jc w:val="center"/>
              <w:rPr>
                <w:rFonts w:hint="eastAsia" w:ascii="宋体" w:hAnsi="宋体" w:cs="宋体"/>
                <w:color w:val="auto"/>
                <w:szCs w:val="21"/>
                <w:highlight w:val="none"/>
              </w:rPr>
            </w:pPr>
          </w:p>
        </w:tc>
        <w:tc>
          <w:tcPr>
            <w:tcW w:w="1279" w:type="dxa"/>
            <w:vAlign w:val="center"/>
          </w:tcPr>
          <w:p w14:paraId="2AAF5118">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资质情况</w:t>
            </w:r>
          </w:p>
        </w:tc>
        <w:tc>
          <w:tcPr>
            <w:tcW w:w="2051" w:type="dxa"/>
            <w:gridSpan w:val="2"/>
            <w:vAlign w:val="center"/>
          </w:tcPr>
          <w:p w14:paraId="22C6E149">
            <w:pPr>
              <w:jc w:val="center"/>
              <w:rPr>
                <w:rFonts w:hint="eastAsia" w:ascii="宋体" w:hAnsi="宋体" w:cs="宋体"/>
                <w:color w:val="auto"/>
                <w:szCs w:val="21"/>
                <w:highlight w:val="none"/>
              </w:rPr>
            </w:pPr>
          </w:p>
        </w:tc>
        <w:tc>
          <w:tcPr>
            <w:tcW w:w="841" w:type="dxa"/>
            <w:vMerge w:val="continue"/>
            <w:vAlign w:val="center"/>
          </w:tcPr>
          <w:p w14:paraId="42BD5FA6">
            <w:pPr>
              <w:jc w:val="center"/>
              <w:rPr>
                <w:rFonts w:hint="eastAsia" w:ascii="宋体" w:hAnsi="宋体" w:cs="宋体"/>
                <w:color w:val="auto"/>
                <w:szCs w:val="21"/>
                <w:highlight w:val="none"/>
              </w:rPr>
            </w:pPr>
          </w:p>
        </w:tc>
        <w:tc>
          <w:tcPr>
            <w:tcW w:w="1942" w:type="dxa"/>
            <w:gridSpan w:val="2"/>
            <w:vAlign w:val="center"/>
          </w:tcPr>
          <w:p w14:paraId="760B2AA2">
            <w:pPr>
              <w:jc w:val="center"/>
              <w:rPr>
                <w:rFonts w:hint="eastAsia" w:ascii="宋体" w:hAnsi="宋体" w:cs="宋体"/>
                <w:color w:val="auto"/>
                <w:szCs w:val="21"/>
                <w:highlight w:val="none"/>
              </w:rPr>
            </w:pPr>
          </w:p>
        </w:tc>
        <w:tc>
          <w:tcPr>
            <w:tcW w:w="2915" w:type="dxa"/>
            <w:gridSpan w:val="3"/>
            <w:vAlign w:val="center"/>
          </w:tcPr>
          <w:p w14:paraId="256F860F">
            <w:pPr>
              <w:jc w:val="center"/>
              <w:rPr>
                <w:rFonts w:hint="eastAsia" w:ascii="宋体" w:hAnsi="宋体" w:cs="宋体"/>
                <w:color w:val="auto"/>
                <w:szCs w:val="21"/>
                <w:highlight w:val="none"/>
              </w:rPr>
            </w:pPr>
          </w:p>
        </w:tc>
      </w:tr>
      <w:tr w14:paraId="693D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84" w:type="dxa"/>
            <w:vMerge w:val="continue"/>
            <w:vAlign w:val="center"/>
          </w:tcPr>
          <w:p w14:paraId="5F0AD31C">
            <w:pPr>
              <w:jc w:val="center"/>
              <w:rPr>
                <w:rFonts w:hint="eastAsia" w:ascii="宋体" w:hAnsi="宋体" w:cs="宋体"/>
                <w:color w:val="auto"/>
                <w:szCs w:val="21"/>
                <w:highlight w:val="none"/>
              </w:rPr>
            </w:pPr>
          </w:p>
        </w:tc>
        <w:tc>
          <w:tcPr>
            <w:tcW w:w="1279" w:type="dxa"/>
            <w:vAlign w:val="center"/>
          </w:tcPr>
          <w:p w14:paraId="3D51BAA7">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信用情况</w:t>
            </w:r>
          </w:p>
        </w:tc>
        <w:tc>
          <w:tcPr>
            <w:tcW w:w="2051" w:type="dxa"/>
            <w:gridSpan w:val="2"/>
            <w:vAlign w:val="center"/>
          </w:tcPr>
          <w:p w14:paraId="03727E93">
            <w:pPr>
              <w:jc w:val="center"/>
              <w:rPr>
                <w:rFonts w:hint="eastAsia" w:ascii="宋体" w:hAnsi="宋体" w:cs="宋体"/>
                <w:color w:val="auto"/>
                <w:szCs w:val="21"/>
                <w:highlight w:val="none"/>
              </w:rPr>
            </w:pPr>
          </w:p>
        </w:tc>
        <w:tc>
          <w:tcPr>
            <w:tcW w:w="841" w:type="dxa"/>
            <w:vMerge w:val="continue"/>
            <w:vAlign w:val="center"/>
          </w:tcPr>
          <w:p w14:paraId="5A6E8213">
            <w:pPr>
              <w:jc w:val="center"/>
              <w:rPr>
                <w:rFonts w:hint="eastAsia" w:ascii="宋体" w:hAnsi="宋体" w:cs="宋体"/>
                <w:color w:val="auto"/>
                <w:szCs w:val="21"/>
                <w:highlight w:val="none"/>
              </w:rPr>
            </w:pPr>
          </w:p>
        </w:tc>
        <w:tc>
          <w:tcPr>
            <w:tcW w:w="1942" w:type="dxa"/>
            <w:gridSpan w:val="2"/>
            <w:vAlign w:val="center"/>
          </w:tcPr>
          <w:p w14:paraId="5C810757">
            <w:pPr>
              <w:jc w:val="center"/>
              <w:rPr>
                <w:rFonts w:hint="eastAsia" w:ascii="宋体" w:hAnsi="宋体" w:cs="宋体"/>
                <w:color w:val="auto"/>
                <w:szCs w:val="21"/>
                <w:highlight w:val="none"/>
              </w:rPr>
            </w:pPr>
          </w:p>
        </w:tc>
        <w:tc>
          <w:tcPr>
            <w:tcW w:w="2915" w:type="dxa"/>
            <w:gridSpan w:val="3"/>
            <w:vAlign w:val="center"/>
          </w:tcPr>
          <w:p w14:paraId="5D0378C8">
            <w:pPr>
              <w:jc w:val="center"/>
              <w:rPr>
                <w:rFonts w:hint="eastAsia" w:ascii="宋体" w:hAnsi="宋体" w:cs="宋体"/>
                <w:color w:val="auto"/>
                <w:szCs w:val="21"/>
                <w:highlight w:val="none"/>
              </w:rPr>
            </w:pPr>
          </w:p>
        </w:tc>
      </w:tr>
      <w:tr w14:paraId="38A7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684" w:type="dxa"/>
            <w:vMerge w:val="continue"/>
            <w:vAlign w:val="center"/>
          </w:tcPr>
          <w:p w14:paraId="7913834A">
            <w:pPr>
              <w:jc w:val="center"/>
              <w:rPr>
                <w:rFonts w:hint="eastAsia" w:ascii="宋体" w:hAnsi="宋体" w:cs="宋体"/>
                <w:color w:val="auto"/>
                <w:szCs w:val="21"/>
                <w:highlight w:val="none"/>
              </w:rPr>
            </w:pPr>
          </w:p>
        </w:tc>
        <w:tc>
          <w:tcPr>
            <w:tcW w:w="1279" w:type="dxa"/>
            <w:vAlign w:val="center"/>
          </w:tcPr>
          <w:p w14:paraId="7CA0AFCE">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荣誉情况</w:t>
            </w:r>
          </w:p>
        </w:tc>
        <w:tc>
          <w:tcPr>
            <w:tcW w:w="2051" w:type="dxa"/>
            <w:gridSpan w:val="2"/>
            <w:vAlign w:val="center"/>
          </w:tcPr>
          <w:p w14:paraId="3B8570D7">
            <w:pPr>
              <w:jc w:val="center"/>
              <w:rPr>
                <w:rFonts w:hint="eastAsia" w:ascii="宋体" w:hAnsi="宋体" w:cs="宋体"/>
                <w:color w:val="auto"/>
                <w:szCs w:val="21"/>
                <w:highlight w:val="none"/>
              </w:rPr>
            </w:pPr>
          </w:p>
        </w:tc>
        <w:tc>
          <w:tcPr>
            <w:tcW w:w="841" w:type="dxa"/>
            <w:vMerge w:val="continue"/>
            <w:vAlign w:val="center"/>
          </w:tcPr>
          <w:p w14:paraId="0946BD74">
            <w:pPr>
              <w:jc w:val="center"/>
              <w:rPr>
                <w:rFonts w:hint="eastAsia" w:ascii="宋体" w:hAnsi="宋体" w:cs="宋体"/>
                <w:color w:val="auto"/>
                <w:szCs w:val="21"/>
                <w:highlight w:val="none"/>
              </w:rPr>
            </w:pPr>
          </w:p>
        </w:tc>
        <w:tc>
          <w:tcPr>
            <w:tcW w:w="1942" w:type="dxa"/>
            <w:gridSpan w:val="2"/>
            <w:vAlign w:val="center"/>
          </w:tcPr>
          <w:p w14:paraId="79DEBA58">
            <w:pPr>
              <w:jc w:val="center"/>
              <w:rPr>
                <w:rFonts w:hint="eastAsia" w:ascii="宋体" w:hAnsi="宋体" w:cs="宋体"/>
                <w:color w:val="auto"/>
                <w:szCs w:val="21"/>
                <w:highlight w:val="none"/>
              </w:rPr>
            </w:pPr>
          </w:p>
        </w:tc>
        <w:tc>
          <w:tcPr>
            <w:tcW w:w="2915" w:type="dxa"/>
            <w:gridSpan w:val="3"/>
            <w:vAlign w:val="center"/>
          </w:tcPr>
          <w:p w14:paraId="709FAC70">
            <w:pPr>
              <w:jc w:val="center"/>
              <w:rPr>
                <w:rFonts w:hint="eastAsia" w:ascii="宋体" w:hAnsi="宋体" w:cs="宋体"/>
                <w:color w:val="auto"/>
                <w:szCs w:val="21"/>
                <w:highlight w:val="none"/>
              </w:rPr>
            </w:pPr>
          </w:p>
        </w:tc>
      </w:tr>
      <w:tr w14:paraId="108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84" w:type="dxa"/>
            <w:vMerge w:val="continue"/>
            <w:vAlign w:val="center"/>
          </w:tcPr>
          <w:p w14:paraId="04B16914">
            <w:pPr>
              <w:jc w:val="center"/>
              <w:rPr>
                <w:rFonts w:hint="eastAsia" w:ascii="宋体" w:hAnsi="宋体" w:cs="宋体"/>
                <w:color w:val="auto"/>
                <w:szCs w:val="21"/>
                <w:highlight w:val="none"/>
              </w:rPr>
            </w:pPr>
          </w:p>
        </w:tc>
        <w:tc>
          <w:tcPr>
            <w:tcW w:w="1279" w:type="dxa"/>
            <w:vAlign w:val="center"/>
          </w:tcPr>
          <w:p w14:paraId="2518D56C">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体系认证</w:t>
            </w:r>
          </w:p>
        </w:tc>
        <w:tc>
          <w:tcPr>
            <w:tcW w:w="2051" w:type="dxa"/>
            <w:gridSpan w:val="2"/>
            <w:vAlign w:val="center"/>
          </w:tcPr>
          <w:p w14:paraId="44C049B4">
            <w:pPr>
              <w:jc w:val="center"/>
              <w:rPr>
                <w:rFonts w:hint="eastAsia" w:ascii="宋体" w:hAnsi="宋体" w:cs="宋体"/>
                <w:color w:val="auto"/>
                <w:szCs w:val="21"/>
                <w:highlight w:val="none"/>
              </w:rPr>
            </w:pPr>
          </w:p>
        </w:tc>
        <w:tc>
          <w:tcPr>
            <w:tcW w:w="841" w:type="dxa"/>
            <w:vMerge w:val="continue"/>
            <w:vAlign w:val="center"/>
          </w:tcPr>
          <w:p w14:paraId="1FD86472">
            <w:pPr>
              <w:jc w:val="center"/>
              <w:rPr>
                <w:rFonts w:hint="eastAsia" w:ascii="宋体" w:hAnsi="宋体" w:cs="宋体"/>
                <w:color w:val="auto"/>
                <w:szCs w:val="21"/>
                <w:highlight w:val="none"/>
              </w:rPr>
            </w:pPr>
          </w:p>
        </w:tc>
        <w:tc>
          <w:tcPr>
            <w:tcW w:w="1942" w:type="dxa"/>
            <w:gridSpan w:val="2"/>
            <w:vAlign w:val="center"/>
          </w:tcPr>
          <w:p w14:paraId="4B922C06">
            <w:pPr>
              <w:jc w:val="center"/>
              <w:rPr>
                <w:rFonts w:hint="eastAsia" w:ascii="宋体" w:hAnsi="宋体" w:cs="宋体"/>
                <w:color w:val="auto"/>
                <w:szCs w:val="21"/>
                <w:highlight w:val="none"/>
              </w:rPr>
            </w:pPr>
          </w:p>
        </w:tc>
        <w:tc>
          <w:tcPr>
            <w:tcW w:w="2915" w:type="dxa"/>
            <w:gridSpan w:val="3"/>
            <w:vAlign w:val="center"/>
          </w:tcPr>
          <w:p w14:paraId="41AFCE60">
            <w:pPr>
              <w:jc w:val="center"/>
              <w:rPr>
                <w:rFonts w:hint="eastAsia" w:ascii="宋体" w:hAnsi="宋体" w:cs="宋体"/>
                <w:color w:val="auto"/>
                <w:szCs w:val="21"/>
                <w:highlight w:val="none"/>
              </w:rPr>
            </w:pPr>
          </w:p>
        </w:tc>
      </w:tr>
      <w:tr w14:paraId="4DD9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684" w:type="dxa"/>
            <w:vMerge w:val="continue"/>
            <w:vAlign w:val="center"/>
          </w:tcPr>
          <w:p w14:paraId="10BD3504">
            <w:pPr>
              <w:jc w:val="center"/>
              <w:rPr>
                <w:rFonts w:hint="eastAsia" w:ascii="宋体" w:hAnsi="宋体" w:cs="宋体"/>
                <w:color w:val="auto"/>
                <w:szCs w:val="21"/>
                <w:highlight w:val="none"/>
              </w:rPr>
            </w:pPr>
          </w:p>
        </w:tc>
        <w:tc>
          <w:tcPr>
            <w:tcW w:w="1279" w:type="dxa"/>
            <w:vAlign w:val="center"/>
          </w:tcPr>
          <w:p w14:paraId="45A79160">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开户银行</w:t>
            </w:r>
          </w:p>
        </w:tc>
        <w:tc>
          <w:tcPr>
            <w:tcW w:w="2051" w:type="dxa"/>
            <w:gridSpan w:val="2"/>
            <w:vAlign w:val="center"/>
          </w:tcPr>
          <w:p w14:paraId="4880EF2F">
            <w:pPr>
              <w:jc w:val="center"/>
              <w:rPr>
                <w:rFonts w:hint="eastAsia" w:ascii="宋体" w:hAnsi="宋体" w:cs="宋体"/>
                <w:color w:val="auto"/>
                <w:szCs w:val="21"/>
                <w:highlight w:val="none"/>
              </w:rPr>
            </w:pPr>
          </w:p>
        </w:tc>
        <w:tc>
          <w:tcPr>
            <w:tcW w:w="841" w:type="dxa"/>
            <w:vMerge w:val="continue"/>
            <w:vAlign w:val="center"/>
          </w:tcPr>
          <w:p w14:paraId="1564B9B7">
            <w:pPr>
              <w:jc w:val="center"/>
              <w:rPr>
                <w:rFonts w:hint="eastAsia" w:ascii="宋体" w:hAnsi="宋体" w:cs="宋体"/>
                <w:color w:val="auto"/>
                <w:szCs w:val="21"/>
                <w:highlight w:val="none"/>
              </w:rPr>
            </w:pPr>
          </w:p>
        </w:tc>
        <w:tc>
          <w:tcPr>
            <w:tcW w:w="1942" w:type="dxa"/>
            <w:gridSpan w:val="2"/>
            <w:vAlign w:val="center"/>
          </w:tcPr>
          <w:p w14:paraId="54355A93">
            <w:pPr>
              <w:jc w:val="center"/>
              <w:rPr>
                <w:rFonts w:hint="eastAsia" w:ascii="宋体" w:hAnsi="宋体" w:cs="宋体"/>
                <w:color w:val="auto"/>
                <w:szCs w:val="21"/>
                <w:highlight w:val="none"/>
              </w:rPr>
            </w:pPr>
          </w:p>
        </w:tc>
        <w:tc>
          <w:tcPr>
            <w:tcW w:w="2915" w:type="dxa"/>
            <w:gridSpan w:val="3"/>
            <w:vAlign w:val="center"/>
          </w:tcPr>
          <w:p w14:paraId="1DE0A2FB">
            <w:pPr>
              <w:jc w:val="center"/>
              <w:rPr>
                <w:rFonts w:hint="eastAsia" w:ascii="宋体" w:hAnsi="宋体" w:cs="宋体"/>
                <w:color w:val="auto"/>
                <w:szCs w:val="21"/>
                <w:highlight w:val="none"/>
              </w:rPr>
            </w:pPr>
          </w:p>
        </w:tc>
      </w:tr>
      <w:tr w14:paraId="6346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1EE1CB98">
            <w:pPr>
              <w:jc w:val="center"/>
              <w:rPr>
                <w:rFonts w:hint="eastAsia" w:ascii="宋体" w:hAnsi="宋体" w:cs="宋体"/>
                <w:color w:val="auto"/>
                <w:szCs w:val="21"/>
                <w:highlight w:val="none"/>
              </w:rPr>
            </w:pPr>
          </w:p>
        </w:tc>
        <w:tc>
          <w:tcPr>
            <w:tcW w:w="1279" w:type="dxa"/>
            <w:vAlign w:val="center"/>
          </w:tcPr>
          <w:p w14:paraId="574C5664">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账号</w:t>
            </w:r>
          </w:p>
        </w:tc>
        <w:tc>
          <w:tcPr>
            <w:tcW w:w="2051" w:type="dxa"/>
            <w:gridSpan w:val="2"/>
            <w:vAlign w:val="center"/>
          </w:tcPr>
          <w:p w14:paraId="269B21CE">
            <w:pPr>
              <w:jc w:val="center"/>
              <w:rPr>
                <w:rFonts w:hint="eastAsia" w:ascii="宋体" w:hAnsi="宋体" w:cs="宋体"/>
                <w:color w:val="auto"/>
                <w:szCs w:val="21"/>
                <w:highlight w:val="none"/>
              </w:rPr>
            </w:pPr>
          </w:p>
        </w:tc>
        <w:tc>
          <w:tcPr>
            <w:tcW w:w="841" w:type="dxa"/>
            <w:vMerge w:val="continue"/>
            <w:vAlign w:val="center"/>
          </w:tcPr>
          <w:p w14:paraId="286CAFC2">
            <w:pPr>
              <w:jc w:val="center"/>
              <w:rPr>
                <w:rFonts w:hint="eastAsia" w:ascii="宋体" w:hAnsi="宋体" w:cs="宋体"/>
                <w:color w:val="auto"/>
                <w:szCs w:val="21"/>
                <w:highlight w:val="none"/>
              </w:rPr>
            </w:pPr>
          </w:p>
        </w:tc>
        <w:tc>
          <w:tcPr>
            <w:tcW w:w="1942" w:type="dxa"/>
            <w:gridSpan w:val="2"/>
            <w:vAlign w:val="center"/>
          </w:tcPr>
          <w:p w14:paraId="6C9F69BC">
            <w:pPr>
              <w:jc w:val="center"/>
              <w:rPr>
                <w:rFonts w:hint="eastAsia" w:ascii="宋体" w:hAnsi="宋体" w:cs="宋体"/>
                <w:color w:val="auto"/>
                <w:szCs w:val="21"/>
                <w:highlight w:val="none"/>
              </w:rPr>
            </w:pPr>
          </w:p>
        </w:tc>
        <w:tc>
          <w:tcPr>
            <w:tcW w:w="2915" w:type="dxa"/>
            <w:gridSpan w:val="3"/>
            <w:vAlign w:val="center"/>
          </w:tcPr>
          <w:p w14:paraId="3AA83D58">
            <w:pPr>
              <w:jc w:val="center"/>
              <w:rPr>
                <w:rFonts w:hint="eastAsia" w:ascii="宋体" w:hAnsi="宋体" w:cs="宋体"/>
                <w:color w:val="auto"/>
                <w:szCs w:val="21"/>
                <w:highlight w:val="none"/>
              </w:rPr>
            </w:pPr>
          </w:p>
        </w:tc>
      </w:tr>
      <w:tr w14:paraId="69FE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trPr>
        <w:tc>
          <w:tcPr>
            <w:tcW w:w="684" w:type="dxa"/>
            <w:vMerge w:val="continue"/>
            <w:vAlign w:val="center"/>
          </w:tcPr>
          <w:p w14:paraId="16B08588">
            <w:pPr>
              <w:jc w:val="center"/>
              <w:rPr>
                <w:rFonts w:hint="eastAsia" w:ascii="宋体" w:hAnsi="宋体" w:cs="宋体"/>
                <w:color w:val="auto"/>
                <w:szCs w:val="21"/>
                <w:highlight w:val="none"/>
              </w:rPr>
            </w:pPr>
          </w:p>
        </w:tc>
        <w:tc>
          <w:tcPr>
            <w:tcW w:w="1279" w:type="dxa"/>
            <w:vAlign w:val="center"/>
          </w:tcPr>
          <w:p w14:paraId="0CFF6057">
            <w:pPr>
              <w:widowControl/>
              <w:jc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在职员工</w:t>
            </w:r>
          </w:p>
          <w:p w14:paraId="3C1FAA58">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总数</w:t>
            </w:r>
          </w:p>
          <w:p w14:paraId="25D6C969">
            <w:pPr>
              <w:jc w:val="center"/>
              <w:rPr>
                <w:rFonts w:hint="eastAsia" w:ascii="宋体" w:hAnsi="宋体" w:cs="宋体"/>
                <w:color w:val="auto"/>
                <w:szCs w:val="21"/>
                <w:highlight w:val="none"/>
              </w:rPr>
            </w:pPr>
          </w:p>
        </w:tc>
        <w:tc>
          <w:tcPr>
            <w:tcW w:w="2051" w:type="dxa"/>
            <w:gridSpan w:val="2"/>
            <w:vAlign w:val="center"/>
          </w:tcPr>
          <w:p w14:paraId="3BF99A03">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共 人</w:t>
            </w:r>
          </w:p>
          <w:p w14:paraId="719628E6">
            <w:pPr>
              <w:widowControl/>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其中：</w:t>
            </w:r>
          </w:p>
          <w:p w14:paraId="28ABE828">
            <w:pPr>
              <w:jc w:val="center"/>
              <w:rPr>
                <w:rFonts w:hint="eastAsia" w:ascii="宋体" w:hAnsi="宋体" w:cs="宋体"/>
                <w:color w:val="auto"/>
                <w:szCs w:val="21"/>
                <w:highlight w:val="none"/>
              </w:rPr>
            </w:pPr>
          </w:p>
        </w:tc>
        <w:tc>
          <w:tcPr>
            <w:tcW w:w="841" w:type="dxa"/>
            <w:vMerge w:val="continue"/>
            <w:vAlign w:val="center"/>
          </w:tcPr>
          <w:p w14:paraId="65F60FE2">
            <w:pPr>
              <w:jc w:val="center"/>
              <w:rPr>
                <w:rFonts w:hint="eastAsia" w:ascii="宋体" w:hAnsi="宋体" w:cs="宋体"/>
                <w:color w:val="auto"/>
                <w:szCs w:val="21"/>
                <w:highlight w:val="none"/>
              </w:rPr>
            </w:pPr>
          </w:p>
        </w:tc>
        <w:tc>
          <w:tcPr>
            <w:tcW w:w="1942" w:type="dxa"/>
            <w:gridSpan w:val="2"/>
            <w:vAlign w:val="center"/>
          </w:tcPr>
          <w:p w14:paraId="2BCC4AA3">
            <w:pPr>
              <w:jc w:val="center"/>
              <w:rPr>
                <w:rFonts w:hint="eastAsia" w:ascii="宋体" w:hAnsi="宋体" w:cs="宋体"/>
                <w:color w:val="auto"/>
                <w:szCs w:val="21"/>
                <w:highlight w:val="none"/>
              </w:rPr>
            </w:pPr>
          </w:p>
        </w:tc>
        <w:tc>
          <w:tcPr>
            <w:tcW w:w="2915" w:type="dxa"/>
            <w:gridSpan w:val="3"/>
            <w:vAlign w:val="center"/>
          </w:tcPr>
          <w:p w14:paraId="57581A84">
            <w:pPr>
              <w:jc w:val="center"/>
              <w:rPr>
                <w:rFonts w:hint="eastAsia" w:ascii="宋体" w:hAnsi="宋体" w:cs="宋体"/>
                <w:color w:val="auto"/>
                <w:szCs w:val="21"/>
                <w:highlight w:val="none"/>
              </w:rPr>
            </w:pPr>
          </w:p>
        </w:tc>
      </w:tr>
      <w:tr w14:paraId="1025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4" w:type="dxa"/>
            <w:vAlign w:val="center"/>
          </w:tcPr>
          <w:p w14:paraId="5671E014">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其他</w:t>
            </w:r>
          </w:p>
          <w:p w14:paraId="69AE3189">
            <w:pPr>
              <w:widowControl/>
              <w:jc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说明</w:t>
            </w:r>
          </w:p>
        </w:tc>
        <w:tc>
          <w:tcPr>
            <w:tcW w:w="9028" w:type="dxa"/>
            <w:gridSpan w:val="9"/>
            <w:vAlign w:val="center"/>
          </w:tcPr>
          <w:p w14:paraId="5AAF3F8B">
            <w:pPr>
              <w:jc w:val="center"/>
              <w:rPr>
                <w:rFonts w:hint="eastAsia" w:ascii="宋体" w:hAnsi="宋体" w:cs="宋体"/>
                <w:color w:val="auto"/>
                <w:szCs w:val="21"/>
                <w:highlight w:val="none"/>
              </w:rPr>
            </w:pPr>
          </w:p>
        </w:tc>
      </w:tr>
    </w:tbl>
    <w:p w14:paraId="0B56CCA7">
      <w:pPr>
        <w:rPr>
          <w:rFonts w:hint="eastAsia" w:ascii="宋体" w:hAnsi="宋体" w:cs="宋体"/>
          <w:color w:val="auto"/>
          <w:highlight w:val="none"/>
        </w:rPr>
      </w:pPr>
    </w:p>
    <w:p w14:paraId="1BF5D27A">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注：相关证明材料附后。 </w:t>
      </w:r>
    </w:p>
    <w:p w14:paraId="40984173">
      <w:pPr>
        <w:pStyle w:val="185"/>
        <w:wordWrap w:val="0"/>
        <w:spacing w:line="480" w:lineRule="exact"/>
        <w:ind w:firstLine="480"/>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2C13BC49">
      <w:pPr>
        <w:snapToGrid w:val="0"/>
        <w:spacing w:line="480" w:lineRule="exact"/>
        <w:ind w:firstLine="420" w:firstLineChars="200"/>
        <w:rPr>
          <w:rFonts w:hint="eastAsia" w:ascii="宋体" w:hAnsi="宋体" w:cs="宋体"/>
          <w:color w:val="auto"/>
          <w:szCs w:val="21"/>
          <w:highlight w:val="none"/>
        </w:rPr>
      </w:pPr>
    </w:p>
    <w:p w14:paraId="0C2AF864">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6787CCD2">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1.后附投标人的资质、信用、荣誉、体系认证等证明材料及评标办法要求提供的证明材料（如有），资格审查资料中已提供的无需重复提供）。</w:t>
      </w:r>
    </w:p>
    <w:p w14:paraId="5FC992D7">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2.投标人应如实填写以上内容。</w:t>
      </w:r>
    </w:p>
    <w:p w14:paraId="53133A4A">
      <w:pPr>
        <w:widowControl/>
        <w:jc w:val="left"/>
        <w:rPr>
          <w:rFonts w:hint="eastAsia" w:ascii="宋体" w:hAnsi="宋体" w:cs="宋体"/>
          <w:color w:val="auto"/>
          <w:highlight w:val="none"/>
        </w:rPr>
      </w:pPr>
    </w:p>
    <w:p w14:paraId="23B01036">
      <w:pPr>
        <w:rPr>
          <w:rFonts w:hint="eastAsia" w:ascii="宋体" w:hAnsi="宋体" w:cs="宋体"/>
          <w:color w:val="auto"/>
          <w:highlight w:val="none"/>
        </w:rPr>
      </w:pPr>
    </w:p>
    <w:p w14:paraId="346AAD9A">
      <w:pPr>
        <w:snapToGrid w:val="0"/>
        <w:spacing w:line="480" w:lineRule="exact"/>
        <w:ind w:firstLine="420" w:firstLineChars="200"/>
        <w:rPr>
          <w:rFonts w:hint="eastAsia" w:ascii="宋体" w:hAnsi="宋体" w:cs="宋体"/>
          <w:color w:val="auto"/>
          <w:szCs w:val="21"/>
          <w:highlight w:val="none"/>
        </w:rPr>
      </w:pPr>
    </w:p>
    <w:p w14:paraId="7B92B972">
      <w:pPr>
        <w:widowControl/>
        <w:jc w:val="left"/>
        <w:rPr>
          <w:rFonts w:hint="eastAsia" w:ascii="宋体" w:hAnsi="宋体" w:cs="宋体"/>
          <w:color w:val="auto"/>
          <w:highlight w:val="none"/>
        </w:rPr>
      </w:pPr>
    </w:p>
    <w:p w14:paraId="46E135B6">
      <w:pPr>
        <w:rPr>
          <w:rFonts w:hint="eastAsia" w:ascii="宋体" w:hAnsi="宋体" w:cs="宋体"/>
          <w:color w:val="auto"/>
          <w:highlight w:val="none"/>
        </w:rPr>
      </w:pPr>
    </w:p>
    <w:p w14:paraId="48D66527">
      <w:pPr>
        <w:pStyle w:val="15"/>
        <w:ind w:firstLine="0"/>
        <w:jc w:val="center"/>
        <w:rPr>
          <w:rFonts w:hint="eastAsia" w:ascii="宋体" w:hAnsi="宋体" w:cs="宋体"/>
          <w:b/>
          <w:color w:val="auto"/>
          <w:sz w:val="30"/>
          <w:highlight w:val="none"/>
        </w:rPr>
      </w:pPr>
      <w:r>
        <w:rPr>
          <w:rFonts w:hint="eastAsia" w:ascii="宋体" w:hAnsi="宋体" w:cs="宋体"/>
          <w:b/>
          <w:color w:val="auto"/>
          <w:sz w:val="30"/>
          <w:highlight w:val="none"/>
        </w:rPr>
        <w:t>4、投标人类似业绩汇总表及证明材料</w:t>
      </w:r>
    </w:p>
    <w:p w14:paraId="63F3616E">
      <w:pPr>
        <w:jc w:val="center"/>
        <w:rPr>
          <w:rFonts w:hint="eastAsia" w:ascii="宋体" w:hAnsi="宋体" w:cs="宋体"/>
          <w:b/>
          <w:color w:val="auto"/>
          <w:kern w:val="0"/>
          <w:sz w:val="20"/>
          <w:szCs w:val="28"/>
          <w:highlight w:val="none"/>
        </w:rPr>
      </w:pPr>
    </w:p>
    <w:p w14:paraId="0AEDB81E">
      <w:pPr>
        <w:spacing w:line="500" w:lineRule="exact"/>
        <w:ind w:right="-2"/>
        <w:rPr>
          <w:rFonts w:hint="eastAsia" w:ascii="宋体" w:hAnsi="宋体" w:cs="宋体"/>
          <w:b/>
          <w:color w:val="auto"/>
          <w:szCs w:val="21"/>
          <w:highlight w:val="none"/>
        </w:rPr>
      </w:pPr>
      <w:r>
        <w:rPr>
          <w:rFonts w:hint="eastAsia" w:ascii="宋体" w:hAnsi="宋体" w:cs="宋体"/>
          <w:b/>
          <w:color w:val="auto"/>
          <w:szCs w:val="21"/>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p>
    <w:p w14:paraId="5CBD13BD">
      <w:pPr>
        <w:spacing w:line="500" w:lineRule="exact"/>
        <w:ind w:right="-426" w:rightChars="-203"/>
        <w:rPr>
          <w:rFonts w:hint="eastAsia" w:ascii="宋体" w:hAnsi="宋体" w:cs="宋体"/>
          <w:b/>
          <w:color w:val="auto"/>
          <w:kern w:val="0"/>
          <w:szCs w:val="21"/>
          <w:highlight w:val="none"/>
          <w:u w:val="single"/>
        </w:rPr>
      </w:pPr>
      <w:r>
        <w:rPr>
          <w:rFonts w:hint="eastAsia" w:ascii="宋体" w:hAnsi="宋体" w:cs="宋体"/>
          <w:b/>
          <w:color w:val="auto"/>
          <w:szCs w:val="21"/>
          <w:highlight w:val="none"/>
        </w:rPr>
        <w:t>项目编号：</w:t>
      </w:r>
    </w:p>
    <w:tbl>
      <w:tblPr>
        <w:tblStyle w:val="52"/>
        <w:tblW w:w="0" w:type="auto"/>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194"/>
        <w:gridCol w:w="1938"/>
        <w:gridCol w:w="2100"/>
        <w:gridCol w:w="1700"/>
        <w:gridCol w:w="1137"/>
      </w:tblGrid>
      <w:tr w14:paraId="024D16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shd w:val="clear" w:color="auto" w:fill="FFFFFF"/>
            <w:vAlign w:val="center"/>
          </w:tcPr>
          <w:p w14:paraId="5CAB2661">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2194" w:type="dxa"/>
            <w:shd w:val="clear" w:color="auto" w:fill="FFFFFF"/>
            <w:vAlign w:val="center"/>
          </w:tcPr>
          <w:p w14:paraId="2CEC4695">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用户单位</w:t>
            </w:r>
          </w:p>
        </w:tc>
        <w:tc>
          <w:tcPr>
            <w:tcW w:w="1938" w:type="dxa"/>
            <w:shd w:val="clear" w:color="auto" w:fill="FFFFFF"/>
            <w:vAlign w:val="center"/>
          </w:tcPr>
          <w:p w14:paraId="7F5C98D1">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2100" w:type="dxa"/>
            <w:shd w:val="clear" w:color="auto" w:fill="FFFFFF"/>
            <w:vAlign w:val="center"/>
          </w:tcPr>
          <w:p w14:paraId="1E5F9033">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合同金额</w:t>
            </w:r>
          </w:p>
        </w:tc>
        <w:tc>
          <w:tcPr>
            <w:tcW w:w="1700" w:type="dxa"/>
            <w:shd w:val="clear" w:color="auto" w:fill="FFFFFF"/>
            <w:vAlign w:val="center"/>
          </w:tcPr>
          <w:p w14:paraId="532BBB2F">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合同签订日期</w:t>
            </w:r>
          </w:p>
        </w:tc>
        <w:tc>
          <w:tcPr>
            <w:tcW w:w="1137" w:type="dxa"/>
            <w:shd w:val="clear" w:color="auto" w:fill="FFFFFF"/>
            <w:vAlign w:val="center"/>
          </w:tcPr>
          <w:p w14:paraId="4FB8DEED">
            <w:pPr>
              <w:spacing w:line="5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76AC9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626B7F87">
            <w:pPr>
              <w:spacing w:line="500" w:lineRule="exact"/>
              <w:jc w:val="center"/>
              <w:rPr>
                <w:rFonts w:hint="eastAsia" w:ascii="宋体" w:hAnsi="宋体" w:cs="宋体"/>
                <w:color w:val="auto"/>
                <w:szCs w:val="21"/>
                <w:highlight w:val="none"/>
              </w:rPr>
            </w:pPr>
          </w:p>
        </w:tc>
        <w:tc>
          <w:tcPr>
            <w:tcW w:w="2194" w:type="dxa"/>
            <w:vAlign w:val="center"/>
          </w:tcPr>
          <w:p w14:paraId="51083CFB">
            <w:pPr>
              <w:spacing w:line="500" w:lineRule="exact"/>
              <w:jc w:val="center"/>
              <w:rPr>
                <w:rFonts w:hint="eastAsia" w:ascii="宋体" w:hAnsi="宋体" w:cs="宋体"/>
                <w:color w:val="auto"/>
                <w:szCs w:val="21"/>
                <w:highlight w:val="none"/>
              </w:rPr>
            </w:pPr>
          </w:p>
        </w:tc>
        <w:tc>
          <w:tcPr>
            <w:tcW w:w="1938" w:type="dxa"/>
            <w:vAlign w:val="center"/>
          </w:tcPr>
          <w:p w14:paraId="441838FB">
            <w:pPr>
              <w:spacing w:line="500" w:lineRule="exact"/>
              <w:jc w:val="center"/>
              <w:rPr>
                <w:rFonts w:hint="eastAsia" w:ascii="宋体" w:hAnsi="宋体" w:cs="宋体"/>
                <w:color w:val="auto"/>
                <w:szCs w:val="21"/>
                <w:highlight w:val="none"/>
              </w:rPr>
            </w:pPr>
          </w:p>
        </w:tc>
        <w:tc>
          <w:tcPr>
            <w:tcW w:w="2100" w:type="dxa"/>
            <w:vAlign w:val="center"/>
          </w:tcPr>
          <w:p w14:paraId="704EE02E">
            <w:pPr>
              <w:spacing w:line="500" w:lineRule="exact"/>
              <w:jc w:val="center"/>
              <w:rPr>
                <w:rFonts w:hint="eastAsia" w:ascii="宋体" w:hAnsi="宋体" w:cs="宋体"/>
                <w:color w:val="auto"/>
                <w:szCs w:val="21"/>
                <w:highlight w:val="none"/>
              </w:rPr>
            </w:pPr>
          </w:p>
        </w:tc>
        <w:tc>
          <w:tcPr>
            <w:tcW w:w="1700" w:type="dxa"/>
            <w:vAlign w:val="center"/>
          </w:tcPr>
          <w:p w14:paraId="1CFB2D3D">
            <w:pPr>
              <w:spacing w:line="500" w:lineRule="exact"/>
              <w:jc w:val="center"/>
              <w:rPr>
                <w:rFonts w:hint="eastAsia" w:ascii="宋体" w:hAnsi="宋体" w:cs="宋体"/>
                <w:color w:val="auto"/>
                <w:szCs w:val="21"/>
                <w:highlight w:val="none"/>
              </w:rPr>
            </w:pPr>
          </w:p>
        </w:tc>
        <w:tc>
          <w:tcPr>
            <w:tcW w:w="1137" w:type="dxa"/>
            <w:vAlign w:val="center"/>
          </w:tcPr>
          <w:p w14:paraId="6B033F9F">
            <w:pPr>
              <w:spacing w:line="500" w:lineRule="exact"/>
              <w:jc w:val="center"/>
              <w:rPr>
                <w:rFonts w:hint="eastAsia" w:ascii="宋体" w:hAnsi="宋体" w:cs="宋体"/>
                <w:color w:val="auto"/>
                <w:szCs w:val="21"/>
                <w:highlight w:val="none"/>
              </w:rPr>
            </w:pPr>
          </w:p>
        </w:tc>
      </w:tr>
      <w:tr w14:paraId="472A9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55DDCE23">
            <w:pPr>
              <w:spacing w:line="500" w:lineRule="exact"/>
              <w:jc w:val="center"/>
              <w:rPr>
                <w:rFonts w:hint="eastAsia" w:ascii="宋体" w:hAnsi="宋体" w:cs="宋体"/>
                <w:color w:val="auto"/>
                <w:szCs w:val="21"/>
                <w:highlight w:val="none"/>
              </w:rPr>
            </w:pPr>
          </w:p>
        </w:tc>
        <w:tc>
          <w:tcPr>
            <w:tcW w:w="2194" w:type="dxa"/>
            <w:vAlign w:val="center"/>
          </w:tcPr>
          <w:p w14:paraId="3939EF27">
            <w:pPr>
              <w:spacing w:line="500" w:lineRule="exact"/>
              <w:jc w:val="center"/>
              <w:rPr>
                <w:rFonts w:hint="eastAsia" w:ascii="宋体" w:hAnsi="宋体" w:cs="宋体"/>
                <w:color w:val="auto"/>
                <w:szCs w:val="21"/>
                <w:highlight w:val="none"/>
              </w:rPr>
            </w:pPr>
          </w:p>
        </w:tc>
        <w:tc>
          <w:tcPr>
            <w:tcW w:w="1938" w:type="dxa"/>
            <w:vAlign w:val="center"/>
          </w:tcPr>
          <w:p w14:paraId="7E988E38">
            <w:pPr>
              <w:spacing w:line="500" w:lineRule="exact"/>
              <w:jc w:val="center"/>
              <w:rPr>
                <w:rFonts w:hint="eastAsia" w:ascii="宋体" w:hAnsi="宋体" w:cs="宋体"/>
                <w:color w:val="auto"/>
                <w:szCs w:val="21"/>
                <w:highlight w:val="none"/>
              </w:rPr>
            </w:pPr>
          </w:p>
        </w:tc>
        <w:tc>
          <w:tcPr>
            <w:tcW w:w="2100" w:type="dxa"/>
            <w:vAlign w:val="center"/>
          </w:tcPr>
          <w:p w14:paraId="3D94FF7E">
            <w:pPr>
              <w:spacing w:line="500" w:lineRule="exact"/>
              <w:jc w:val="center"/>
              <w:rPr>
                <w:rFonts w:hint="eastAsia" w:ascii="宋体" w:hAnsi="宋体" w:cs="宋体"/>
                <w:color w:val="auto"/>
                <w:szCs w:val="21"/>
                <w:highlight w:val="none"/>
              </w:rPr>
            </w:pPr>
          </w:p>
        </w:tc>
        <w:tc>
          <w:tcPr>
            <w:tcW w:w="1700" w:type="dxa"/>
            <w:vAlign w:val="center"/>
          </w:tcPr>
          <w:p w14:paraId="181A5613">
            <w:pPr>
              <w:spacing w:line="500" w:lineRule="exact"/>
              <w:jc w:val="center"/>
              <w:rPr>
                <w:rFonts w:hint="eastAsia" w:ascii="宋体" w:hAnsi="宋体" w:cs="宋体"/>
                <w:color w:val="auto"/>
                <w:szCs w:val="21"/>
                <w:highlight w:val="none"/>
              </w:rPr>
            </w:pPr>
          </w:p>
        </w:tc>
        <w:tc>
          <w:tcPr>
            <w:tcW w:w="1137" w:type="dxa"/>
            <w:vAlign w:val="center"/>
          </w:tcPr>
          <w:p w14:paraId="4564CD73">
            <w:pPr>
              <w:spacing w:line="500" w:lineRule="exact"/>
              <w:jc w:val="center"/>
              <w:rPr>
                <w:rFonts w:hint="eastAsia" w:ascii="宋体" w:hAnsi="宋体" w:cs="宋体"/>
                <w:color w:val="auto"/>
                <w:szCs w:val="21"/>
                <w:highlight w:val="none"/>
              </w:rPr>
            </w:pPr>
          </w:p>
        </w:tc>
      </w:tr>
      <w:tr w14:paraId="0D101B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807058D">
            <w:pPr>
              <w:spacing w:line="500" w:lineRule="exact"/>
              <w:jc w:val="center"/>
              <w:rPr>
                <w:rFonts w:hint="eastAsia" w:ascii="宋体" w:hAnsi="宋体" w:cs="宋体"/>
                <w:color w:val="auto"/>
                <w:szCs w:val="21"/>
                <w:highlight w:val="none"/>
              </w:rPr>
            </w:pPr>
          </w:p>
        </w:tc>
        <w:tc>
          <w:tcPr>
            <w:tcW w:w="2194" w:type="dxa"/>
            <w:vAlign w:val="center"/>
          </w:tcPr>
          <w:p w14:paraId="506CCFCF">
            <w:pPr>
              <w:spacing w:line="500" w:lineRule="exact"/>
              <w:jc w:val="center"/>
              <w:rPr>
                <w:rFonts w:hint="eastAsia" w:ascii="宋体" w:hAnsi="宋体" w:cs="宋体"/>
                <w:color w:val="auto"/>
                <w:szCs w:val="21"/>
                <w:highlight w:val="none"/>
              </w:rPr>
            </w:pPr>
          </w:p>
        </w:tc>
        <w:tc>
          <w:tcPr>
            <w:tcW w:w="1938" w:type="dxa"/>
            <w:vAlign w:val="center"/>
          </w:tcPr>
          <w:p w14:paraId="796D0D04">
            <w:pPr>
              <w:spacing w:line="500" w:lineRule="exact"/>
              <w:jc w:val="center"/>
              <w:rPr>
                <w:rFonts w:hint="eastAsia" w:ascii="宋体" w:hAnsi="宋体" w:cs="宋体"/>
                <w:color w:val="auto"/>
                <w:szCs w:val="21"/>
                <w:highlight w:val="none"/>
              </w:rPr>
            </w:pPr>
          </w:p>
        </w:tc>
        <w:tc>
          <w:tcPr>
            <w:tcW w:w="2100" w:type="dxa"/>
            <w:vAlign w:val="center"/>
          </w:tcPr>
          <w:p w14:paraId="679943F8">
            <w:pPr>
              <w:spacing w:line="500" w:lineRule="exact"/>
              <w:jc w:val="center"/>
              <w:rPr>
                <w:rFonts w:hint="eastAsia" w:ascii="宋体" w:hAnsi="宋体" w:cs="宋体"/>
                <w:color w:val="auto"/>
                <w:szCs w:val="21"/>
                <w:highlight w:val="none"/>
              </w:rPr>
            </w:pPr>
          </w:p>
        </w:tc>
        <w:tc>
          <w:tcPr>
            <w:tcW w:w="1700" w:type="dxa"/>
            <w:vAlign w:val="center"/>
          </w:tcPr>
          <w:p w14:paraId="7DD1621F">
            <w:pPr>
              <w:spacing w:line="500" w:lineRule="exact"/>
              <w:jc w:val="center"/>
              <w:rPr>
                <w:rFonts w:hint="eastAsia" w:ascii="宋体" w:hAnsi="宋体" w:cs="宋体"/>
                <w:color w:val="auto"/>
                <w:szCs w:val="21"/>
                <w:highlight w:val="none"/>
              </w:rPr>
            </w:pPr>
          </w:p>
        </w:tc>
        <w:tc>
          <w:tcPr>
            <w:tcW w:w="1137" w:type="dxa"/>
            <w:vAlign w:val="center"/>
          </w:tcPr>
          <w:p w14:paraId="64AE4814">
            <w:pPr>
              <w:spacing w:line="500" w:lineRule="exact"/>
              <w:jc w:val="center"/>
              <w:rPr>
                <w:rFonts w:hint="eastAsia" w:ascii="宋体" w:hAnsi="宋体" w:cs="宋体"/>
                <w:color w:val="auto"/>
                <w:szCs w:val="21"/>
                <w:highlight w:val="none"/>
              </w:rPr>
            </w:pPr>
          </w:p>
        </w:tc>
      </w:tr>
      <w:tr w14:paraId="466C6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DEF8D7A">
            <w:pPr>
              <w:spacing w:line="500" w:lineRule="exact"/>
              <w:jc w:val="center"/>
              <w:rPr>
                <w:rFonts w:hint="eastAsia" w:ascii="宋体" w:hAnsi="宋体" w:cs="宋体"/>
                <w:color w:val="auto"/>
                <w:szCs w:val="21"/>
                <w:highlight w:val="none"/>
              </w:rPr>
            </w:pPr>
          </w:p>
        </w:tc>
        <w:tc>
          <w:tcPr>
            <w:tcW w:w="2194" w:type="dxa"/>
            <w:vAlign w:val="center"/>
          </w:tcPr>
          <w:p w14:paraId="2A134C07">
            <w:pPr>
              <w:spacing w:line="500" w:lineRule="exact"/>
              <w:jc w:val="center"/>
              <w:rPr>
                <w:rFonts w:hint="eastAsia" w:ascii="宋体" w:hAnsi="宋体" w:cs="宋体"/>
                <w:color w:val="auto"/>
                <w:szCs w:val="21"/>
                <w:highlight w:val="none"/>
              </w:rPr>
            </w:pPr>
          </w:p>
        </w:tc>
        <w:tc>
          <w:tcPr>
            <w:tcW w:w="1938" w:type="dxa"/>
            <w:vAlign w:val="center"/>
          </w:tcPr>
          <w:p w14:paraId="41585FB1">
            <w:pPr>
              <w:spacing w:line="500" w:lineRule="exact"/>
              <w:jc w:val="center"/>
              <w:rPr>
                <w:rFonts w:hint="eastAsia" w:ascii="宋体" w:hAnsi="宋体" w:cs="宋体"/>
                <w:color w:val="auto"/>
                <w:szCs w:val="21"/>
                <w:highlight w:val="none"/>
              </w:rPr>
            </w:pPr>
          </w:p>
        </w:tc>
        <w:tc>
          <w:tcPr>
            <w:tcW w:w="2100" w:type="dxa"/>
            <w:vAlign w:val="center"/>
          </w:tcPr>
          <w:p w14:paraId="765BD726">
            <w:pPr>
              <w:spacing w:line="500" w:lineRule="exact"/>
              <w:jc w:val="center"/>
              <w:rPr>
                <w:rFonts w:hint="eastAsia" w:ascii="宋体" w:hAnsi="宋体" w:cs="宋体"/>
                <w:color w:val="auto"/>
                <w:szCs w:val="21"/>
                <w:highlight w:val="none"/>
              </w:rPr>
            </w:pPr>
          </w:p>
        </w:tc>
        <w:tc>
          <w:tcPr>
            <w:tcW w:w="1700" w:type="dxa"/>
            <w:vAlign w:val="center"/>
          </w:tcPr>
          <w:p w14:paraId="3C59C271">
            <w:pPr>
              <w:spacing w:line="500" w:lineRule="exact"/>
              <w:jc w:val="center"/>
              <w:rPr>
                <w:rFonts w:hint="eastAsia" w:ascii="宋体" w:hAnsi="宋体" w:cs="宋体"/>
                <w:color w:val="auto"/>
                <w:szCs w:val="21"/>
                <w:highlight w:val="none"/>
              </w:rPr>
            </w:pPr>
          </w:p>
        </w:tc>
        <w:tc>
          <w:tcPr>
            <w:tcW w:w="1137" w:type="dxa"/>
            <w:vAlign w:val="center"/>
          </w:tcPr>
          <w:p w14:paraId="5A8549C8">
            <w:pPr>
              <w:spacing w:line="500" w:lineRule="exact"/>
              <w:jc w:val="center"/>
              <w:rPr>
                <w:rFonts w:hint="eastAsia" w:ascii="宋体" w:hAnsi="宋体" w:cs="宋体"/>
                <w:color w:val="auto"/>
                <w:szCs w:val="21"/>
                <w:highlight w:val="none"/>
              </w:rPr>
            </w:pPr>
          </w:p>
        </w:tc>
      </w:tr>
      <w:tr w14:paraId="6AF0C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484273D5">
            <w:pPr>
              <w:spacing w:line="500" w:lineRule="exact"/>
              <w:jc w:val="center"/>
              <w:rPr>
                <w:rFonts w:hint="eastAsia" w:ascii="宋体" w:hAnsi="宋体" w:cs="宋体"/>
                <w:color w:val="auto"/>
                <w:szCs w:val="21"/>
                <w:highlight w:val="none"/>
              </w:rPr>
            </w:pPr>
          </w:p>
        </w:tc>
        <w:tc>
          <w:tcPr>
            <w:tcW w:w="2194" w:type="dxa"/>
            <w:vAlign w:val="center"/>
          </w:tcPr>
          <w:p w14:paraId="38627CB5">
            <w:pPr>
              <w:spacing w:line="500" w:lineRule="exact"/>
              <w:jc w:val="center"/>
              <w:rPr>
                <w:rFonts w:hint="eastAsia" w:ascii="宋体" w:hAnsi="宋体" w:cs="宋体"/>
                <w:color w:val="auto"/>
                <w:szCs w:val="21"/>
                <w:highlight w:val="none"/>
              </w:rPr>
            </w:pPr>
          </w:p>
        </w:tc>
        <w:tc>
          <w:tcPr>
            <w:tcW w:w="1938" w:type="dxa"/>
            <w:vAlign w:val="center"/>
          </w:tcPr>
          <w:p w14:paraId="35570CC9">
            <w:pPr>
              <w:spacing w:line="500" w:lineRule="exact"/>
              <w:jc w:val="center"/>
              <w:rPr>
                <w:rFonts w:hint="eastAsia" w:ascii="宋体" w:hAnsi="宋体" w:cs="宋体"/>
                <w:color w:val="auto"/>
                <w:szCs w:val="21"/>
                <w:highlight w:val="none"/>
              </w:rPr>
            </w:pPr>
          </w:p>
        </w:tc>
        <w:tc>
          <w:tcPr>
            <w:tcW w:w="2100" w:type="dxa"/>
            <w:vAlign w:val="center"/>
          </w:tcPr>
          <w:p w14:paraId="67925D79">
            <w:pPr>
              <w:spacing w:line="500" w:lineRule="exact"/>
              <w:jc w:val="center"/>
              <w:rPr>
                <w:rFonts w:hint="eastAsia" w:ascii="宋体" w:hAnsi="宋体" w:cs="宋体"/>
                <w:color w:val="auto"/>
                <w:szCs w:val="21"/>
                <w:highlight w:val="none"/>
              </w:rPr>
            </w:pPr>
          </w:p>
        </w:tc>
        <w:tc>
          <w:tcPr>
            <w:tcW w:w="1700" w:type="dxa"/>
            <w:vAlign w:val="center"/>
          </w:tcPr>
          <w:p w14:paraId="7518DEB8">
            <w:pPr>
              <w:spacing w:line="500" w:lineRule="exact"/>
              <w:jc w:val="center"/>
              <w:rPr>
                <w:rFonts w:hint="eastAsia" w:ascii="宋体" w:hAnsi="宋体" w:cs="宋体"/>
                <w:color w:val="auto"/>
                <w:szCs w:val="21"/>
                <w:highlight w:val="none"/>
              </w:rPr>
            </w:pPr>
          </w:p>
        </w:tc>
        <w:tc>
          <w:tcPr>
            <w:tcW w:w="1137" w:type="dxa"/>
            <w:vAlign w:val="center"/>
          </w:tcPr>
          <w:p w14:paraId="56252B09">
            <w:pPr>
              <w:spacing w:line="500" w:lineRule="exact"/>
              <w:jc w:val="center"/>
              <w:rPr>
                <w:rFonts w:hint="eastAsia" w:ascii="宋体" w:hAnsi="宋体" w:cs="宋体"/>
                <w:color w:val="auto"/>
                <w:szCs w:val="21"/>
                <w:highlight w:val="none"/>
              </w:rPr>
            </w:pPr>
          </w:p>
        </w:tc>
      </w:tr>
      <w:tr w14:paraId="11B26E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32B0D9BE">
            <w:pPr>
              <w:spacing w:line="500" w:lineRule="exact"/>
              <w:jc w:val="center"/>
              <w:rPr>
                <w:rFonts w:hint="eastAsia" w:ascii="宋体" w:hAnsi="宋体" w:cs="宋体"/>
                <w:color w:val="auto"/>
                <w:szCs w:val="21"/>
                <w:highlight w:val="none"/>
              </w:rPr>
            </w:pPr>
          </w:p>
        </w:tc>
        <w:tc>
          <w:tcPr>
            <w:tcW w:w="2194" w:type="dxa"/>
            <w:vAlign w:val="center"/>
          </w:tcPr>
          <w:p w14:paraId="459E2311">
            <w:pPr>
              <w:spacing w:line="500" w:lineRule="exact"/>
              <w:jc w:val="center"/>
              <w:rPr>
                <w:rFonts w:hint="eastAsia" w:ascii="宋体" w:hAnsi="宋体" w:cs="宋体"/>
                <w:color w:val="auto"/>
                <w:szCs w:val="21"/>
                <w:highlight w:val="none"/>
              </w:rPr>
            </w:pPr>
          </w:p>
        </w:tc>
        <w:tc>
          <w:tcPr>
            <w:tcW w:w="1938" w:type="dxa"/>
            <w:vAlign w:val="center"/>
          </w:tcPr>
          <w:p w14:paraId="5EB4233B">
            <w:pPr>
              <w:spacing w:line="500" w:lineRule="exact"/>
              <w:jc w:val="center"/>
              <w:rPr>
                <w:rFonts w:hint="eastAsia" w:ascii="宋体" w:hAnsi="宋体" w:cs="宋体"/>
                <w:color w:val="auto"/>
                <w:szCs w:val="21"/>
                <w:highlight w:val="none"/>
              </w:rPr>
            </w:pPr>
          </w:p>
        </w:tc>
        <w:tc>
          <w:tcPr>
            <w:tcW w:w="2100" w:type="dxa"/>
            <w:vAlign w:val="center"/>
          </w:tcPr>
          <w:p w14:paraId="3FB88964">
            <w:pPr>
              <w:spacing w:line="500" w:lineRule="exact"/>
              <w:jc w:val="center"/>
              <w:rPr>
                <w:rFonts w:hint="eastAsia" w:ascii="宋体" w:hAnsi="宋体" w:cs="宋体"/>
                <w:color w:val="auto"/>
                <w:szCs w:val="21"/>
                <w:highlight w:val="none"/>
              </w:rPr>
            </w:pPr>
          </w:p>
        </w:tc>
        <w:tc>
          <w:tcPr>
            <w:tcW w:w="1700" w:type="dxa"/>
            <w:vAlign w:val="center"/>
          </w:tcPr>
          <w:p w14:paraId="257B9DF1">
            <w:pPr>
              <w:spacing w:line="500" w:lineRule="exact"/>
              <w:jc w:val="center"/>
              <w:rPr>
                <w:rFonts w:hint="eastAsia" w:ascii="宋体" w:hAnsi="宋体" w:cs="宋体"/>
                <w:color w:val="auto"/>
                <w:szCs w:val="21"/>
                <w:highlight w:val="none"/>
              </w:rPr>
            </w:pPr>
          </w:p>
        </w:tc>
        <w:tc>
          <w:tcPr>
            <w:tcW w:w="1137" w:type="dxa"/>
            <w:vAlign w:val="center"/>
          </w:tcPr>
          <w:p w14:paraId="1266ED83">
            <w:pPr>
              <w:spacing w:line="500" w:lineRule="exact"/>
              <w:jc w:val="center"/>
              <w:rPr>
                <w:rFonts w:hint="eastAsia" w:ascii="宋体" w:hAnsi="宋体" w:cs="宋体"/>
                <w:color w:val="auto"/>
                <w:szCs w:val="21"/>
                <w:highlight w:val="none"/>
              </w:rPr>
            </w:pPr>
          </w:p>
        </w:tc>
      </w:tr>
      <w:tr w14:paraId="2FCA3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81" w:type="dxa"/>
            <w:vAlign w:val="center"/>
          </w:tcPr>
          <w:p w14:paraId="054972F2">
            <w:pPr>
              <w:spacing w:line="500" w:lineRule="exact"/>
              <w:jc w:val="center"/>
              <w:rPr>
                <w:rFonts w:hint="eastAsia" w:ascii="宋体" w:hAnsi="宋体" w:cs="宋体"/>
                <w:color w:val="auto"/>
                <w:szCs w:val="21"/>
                <w:highlight w:val="none"/>
              </w:rPr>
            </w:pPr>
          </w:p>
        </w:tc>
        <w:tc>
          <w:tcPr>
            <w:tcW w:w="2194" w:type="dxa"/>
            <w:vAlign w:val="center"/>
          </w:tcPr>
          <w:p w14:paraId="6DCB6A74">
            <w:pPr>
              <w:spacing w:line="500" w:lineRule="exact"/>
              <w:jc w:val="center"/>
              <w:rPr>
                <w:rFonts w:hint="eastAsia" w:ascii="宋体" w:hAnsi="宋体" w:cs="宋体"/>
                <w:color w:val="auto"/>
                <w:szCs w:val="21"/>
                <w:highlight w:val="none"/>
              </w:rPr>
            </w:pPr>
          </w:p>
        </w:tc>
        <w:tc>
          <w:tcPr>
            <w:tcW w:w="1938" w:type="dxa"/>
            <w:vAlign w:val="center"/>
          </w:tcPr>
          <w:p w14:paraId="2FBFDB5A">
            <w:pPr>
              <w:spacing w:line="500" w:lineRule="exact"/>
              <w:jc w:val="center"/>
              <w:rPr>
                <w:rFonts w:hint="eastAsia" w:ascii="宋体" w:hAnsi="宋体" w:cs="宋体"/>
                <w:color w:val="auto"/>
                <w:szCs w:val="21"/>
                <w:highlight w:val="none"/>
              </w:rPr>
            </w:pPr>
          </w:p>
        </w:tc>
        <w:tc>
          <w:tcPr>
            <w:tcW w:w="2100" w:type="dxa"/>
            <w:vAlign w:val="center"/>
          </w:tcPr>
          <w:p w14:paraId="6E4EE53B">
            <w:pPr>
              <w:spacing w:line="500" w:lineRule="exact"/>
              <w:jc w:val="center"/>
              <w:rPr>
                <w:rFonts w:hint="eastAsia" w:ascii="宋体" w:hAnsi="宋体" w:cs="宋体"/>
                <w:color w:val="auto"/>
                <w:szCs w:val="21"/>
                <w:highlight w:val="none"/>
              </w:rPr>
            </w:pPr>
          </w:p>
        </w:tc>
        <w:tc>
          <w:tcPr>
            <w:tcW w:w="1700" w:type="dxa"/>
            <w:vAlign w:val="center"/>
          </w:tcPr>
          <w:p w14:paraId="63BD0AF5">
            <w:pPr>
              <w:spacing w:line="500" w:lineRule="exact"/>
              <w:jc w:val="center"/>
              <w:rPr>
                <w:rFonts w:hint="eastAsia" w:ascii="宋体" w:hAnsi="宋体" w:cs="宋体"/>
                <w:color w:val="auto"/>
                <w:szCs w:val="21"/>
                <w:highlight w:val="none"/>
              </w:rPr>
            </w:pPr>
          </w:p>
        </w:tc>
        <w:tc>
          <w:tcPr>
            <w:tcW w:w="1137" w:type="dxa"/>
            <w:vAlign w:val="center"/>
          </w:tcPr>
          <w:p w14:paraId="665A4307">
            <w:pPr>
              <w:spacing w:line="500" w:lineRule="exact"/>
              <w:jc w:val="center"/>
              <w:rPr>
                <w:rFonts w:hint="eastAsia" w:ascii="宋体" w:hAnsi="宋体" w:cs="宋体"/>
                <w:color w:val="auto"/>
                <w:szCs w:val="21"/>
                <w:highlight w:val="none"/>
              </w:rPr>
            </w:pPr>
          </w:p>
        </w:tc>
      </w:tr>
    </w:tbl>
    <w:p w14:paraId="7CC148D9">
      <w:pPr>
        <w:spacing w:line="500" w:lineRule="exact"/>
        <w:rPr>
          <w:rFonts w:hint="eastAsia" w:ascii="宋体" w:hAnsi="宋体" w:cs="宋体"/>
          <w:b/>
          <w:color w:val="auto"/>
          <w:szCs w:val="21"/>
          <w:highlight w:val="none"/>
        </w:rPr>
      </w:pPr>
      <w:r>
        <w:rPr>
          <w:rFonts w:hint="eastAsia" w:ascii="宋体" w:hAnsi="宋体" w:cs="宋体"/>
          <w:b/>
          <w:color w:val="auto"/>
          <w:szCs w:val="21"/>
          <w:highlight w:val="none"/>
        </w:rPr>
        <w:t>备注：证明材料见评审要求。</w:t>
      </w:r>
    </w:p>
    <w:p w14:paraId="1E14A59E">
      <w:pPr>
        <w:spacing w:line="500" w:lineRule="exact"/>
        <w:rPr>
          <w:rFonts w:hint="eastAsia" w:ascii="宋体" w:hAnsi="宋体" w:cs="宋体"/>
          <w:color w:val="auto"/>
          <w:szCs w:val="21"/>
          <w:highlight w:val="none"/>
        </w:rPr>
      </w:pPr>
    </w:p>
    <w:p w14:paraId="192270BF">
      <w:pPr>
        <w:pStyle w:val="185"/>
        <w:wordWrap w:val="0"/>
        <w:spacing w:line="500" w:lineRule="exact"/>
        <w:ind w:firstLine="480"/>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594C1AC3">
      <w:pPr>
        <w:pStyle w:val="123"/>
        <w:spacing w:before="156" w:after="156" w:line="360" w:lineRule="auto"/>
        <w:ind w:firstLine="420" w:firstLineChars="200"/>
        <w:rPr>
          <w:rFonts w:hint="eastAsia" w:hAnsi="宋体" w:cs="宋体"/>
          <w:color w:val="auto"/>
          <w:szCs w:val="21"/>
          <w:highlight w:val="none"/>
        </w:rPr>
      </w:pPr>
    </w:p>
    <w:p w14:paraId="57ABA0B3">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w:t>
      </w:r>
    </w:p>
    <w:p w14:paraId="6E40E883">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1.此表仅提供了格式，表格不够可自行增加。</w:t>
      </w:r>
    </w:p>
    <w:p w14:paraId="4B24E299">
      <w:pPr>
        <w:snapToGrid w:val="0"/>
        <w:spacing w:line="480" w:lineRule="exact"/>
        <w:ind w:firstLine="1050" w:firstLineChars="500"/>
        <w:rPr>
          <w:rFonts w:hint="eastAsia" w:ascii="宋体" w:hAnsi="宋体" w:cs="宋体"/>
          <w:color w:val="auto"/>
          <w:szCs w:val="21"/>
          <w:highlight w:val="none"/>
        </w:rPr>
      </w:pPr>
      <w:r>
        <w:rPr>
          <w:rFonts w:hint="eastAsia" w:ascii="宋体" w:hAnsi="宋体" w:cs="宋体"/>
          <w:color w:val="auto"/>
          <w:szCs w:val="21"/>
          <w:highlight w:val="none"/>
        </w:rPr>
        <w:t>2.后附合同等相关证明材料。</w:t>
      </w:r>
    </w:p>
    <w:p w14:paraId="6115EEE8">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17B26A1">
      <w:pPr>
        <w:pStyle w:val="15"/>
        <w:ind w:firstLine="0"/>
        <w:jc w:val="center"/>
        <w:rPr>
          <w:rFonts w:hint="eastAsia" w:ascii="宋体" w:hAnsi="宋体" w:cs="宋体"/>
          <w:color w:val="auto"/>
          <w:sz w:val="30"/>
          <w:highlight w:val="none"/>
        </w:rPr>
      </w:pPr>
    </w:p>
    <w:p w14:paraId="0C85BAFE">
      <w:pPr>
        <w:pStyle w:val="29"/>
        <w:spacing w:line="560" w:lineRule="exact"/>
        <w:rPr>
          <w:rFonts w:hint="eastAsia" w:hAnsi="宋体" w:cs="宋体"/>
          <w:color w:val="auto"/>
          <w:sz w:val="30"/>
          <w:highlight w:val="none"/>
        </w:rPr>
      </w:pPr>
    </w:p>
    <w:p w14:paraId="01636736">
      <w:pPr>
        <w:pStyle w:val="15"/>
        <w:ind w:firstLine="0"/>
        <w:jc w:val="center"/>
        <w:rPr>
          <w:rFonts w:hint="eastAsia" w:ascii="宋体" w:hAnsi="宋体" w:cs="宋体"/>
          <w:color w:val="auto"/>
          <w:sz w:val="30"/>
          <w:highlight w:val="none"/>
        </w:rPr>
      </w:pPr>
    </w:p>
    <w:p w14:paraId="5D7B3A4A">
      <w:pPr>
        <w:pStyle w:val="29"/>
        <w:spacing w:line="560" w:lineRule="exact"/>
        <w:rPr>
          <w:rFonts w:hint="eastAsia" w:hAnsi="宋体" w:cs="宋体"/>
          <w:color w:val="auto"/>
          <w:sz w:val="30"/>
          <w:highlight w:val="none"/>
        </w:rPr>
      </w:pPr>
    </w:p>
    <w:p w14:paraId="5B780126">
      <w:pPr>
        <w:pStyle w:val="29"/>
        <w:spacing w:line="560" w:lineRule="exact"/>
        <w:rPr>
          <w:rFonts w:hint="eastAsia" w:hAnsi="宋体" w:cs="宋体"/>
          <w:color w:val="auto"/>
          <w:sz w:val="30"/>
          <w:highlight w:val="none"/>
        </w:rPr>
      </w:pPr>
    </w:p>
    <w:p w14:paraId="25D0F310">
      <w:pPr>
        <w:pStyle w:val="29"/>
        <w:spacing w:line="560" w:lineRule="exact"/>
        <w:rPr>
          <w:rFonts w:hint="eastAsia" w:hAnsi="宋体" w:cs="宋体"/>
          <w:color w:val="auto"/>
          <w:sz w:val="30"/>
          <w:highlight w:val="none"/>
        </w:rPr>
      </w:pPr>
    </w:p>
    <w:p w14:paraId="5C0961A3">
      <w:pPr>
        <w:pStyle w:val="31"/>
        <w:rPr>
          <w:rFonts w:hint="eastAsia" w:ascii="宋体" w:hAnsi="宋体" w:eastAsia="宋体" w:cs="宋体"/>
          <w:color w:val="auto"/>
          <w:highlight w:val="none"/>
        </w:rPr>
      </w:pPr>
    </w:p>
    <w:p w14:paraId="6EF38639">
      <w:pPr>
        <w:rPr>
          <w:rFonts w:hint="eastAsia" w:ascii="宋体" w:hAnsi="宋体" w:cs="宋体"/>
          <w:color w:val="auto"/>
          <w:highlight w:val="none"/>
        </w:rPr>
      </w:pPr>
    </w:p>
    <w:p w14:paraId="0F713B03">
      <w:pPr>
        <w:pStyle w:val="23"/>
        <w:rPr>
          <w:rFonts w:hint="eastAsia" w:ascii="宋体" w:hAnsi="宋体" w:cs="宋体"/>
          <w:color w:val="auto"/>
          <w:highlight w:val="none"/>
        </w:rPr>
      </w:pPr>
    </w:p>
    <w:p w14:paraId="05F190C6">
      <w:pPr>
        <w:snapToGrid w:val="0"/>
        <w:spacing w:line="300" w:lineRule="auto"/>
        <w:ind w:left="301" w:hanging="301" w:hangingChars="100"/>
        <w:jc w:val="center"/>
        <w:rPr>
          <w:rFonts w:hint="eastAsia" w:ascii="宋体" w:hAnsi="宋体" w:cs="宋体"/>
          <w:b/>
          <w:bCs/>
          <w:color w:val="auto"/>
          <w:sz w:val="28"/>
          <w:szCs w:val="28"/>
          <w:highlight w:val="none"/>
        </w:rPr>
      </w:pPr>
      <w:r>
        <w:rPr>
          <w:rFonts w:hint="eastAsia" w:ascii="宋体" w:hAnsi="宋体" w:cs="宋体"/>
          <w:b/>
          <w:color w:val="auto"/>
          <w:sz w:val="30"/>
          <w:highlight w:val="none"/>
        </w:rPr>
        <w:t>5、采购需求响应偏离表</w:t>
      </w:r>
    </w:p>
    <w:p w14:paraId="1F4BB5A0">
      <w:pPr>
        <w:spacing w:line="500" w:lineRule="exact"/>
        <w:ind w:right="-2"/>
        <w:rPr>
          <w:rFonts w:hint="eastAsia" w:ascii="宋体" w:hAnsi="宋体" w:cs="宋体"/>
          <w:b/>
          <w:color w:val="auto"/>
          <w:szCs w:val="21"/>
          <w:highlight w:val="none"/>
        </w:rPr>
      </w:pPr>
    </w:p>
    <w:p w14:paraId="36838FB8">
      <w:pPr>
        <w:spacing w:line="500" w:lineRule="exact"/>
        <w:ind w:right="-2"/>
        <w:rPr>
          <w:rFonts w:hint="eastAsia" w:ascii="宋体" w:hAnsi="宋体" w:cs="宋体"/>
          <w:b/>
          <w:color w:val="auto"/>
          <w:szCs w:val="21"/>
          <w:highlight w:val="none"/>
        </w:rPr>
      </w:pPr>
      <w:r>
        <w:rPr>
          <w:rFonts w:hint="eastAsia" w:ascii="宋体" w:hAnsi="宋体" w:cs="宋体"/>
          <w:b/>
          <w:color w:val="auto"/>
          <w:szCs w:val="21"/>
          <w:highlight w:val="none"/>
        </w:rPr>
        <w:t>项目名称：</w:t>
      </w:r>
    </w:p>
    <w:p w14:paraId="702D6274">
      <w:pPr>
        <w:spacing w:line="500" w:lineRule="exact"/>
        <w:ind w:right="-426" w:rightChars="-203"/>
        <w:rPr>
          <w:rFonts w:hint="eastAsia" w:ascii="宋体" w:hAnsi="宋体" w:cs="宋体"/>
          <w:b/>
          <w:color w:val="auto"/>
          <w:kern w:val="0"/>
          <w:szCs w:val="21"/>
          <w:highlight w:val="none"/>
          <w:u w:val="single"/>
        </w:rPr>
      </w:pPr>
      <w:r>
        <w:rPr>
          <w:rFonts w:hint="eastAsia" w:ascii="宋体" w:hAnsi="宋体" w:cs="宋体"/>
          <w:b/>
          <w:color w:val="auto"/>
          <w:szCs w:val="21"/>
          <w:highlight w:val="none"/>
        </w:rPr>
        <w:t>项目编号：</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1"/>
        <w:gridCol w:w="3284"/>
        <w:gridCol w:w="2512"/>
        <w:gridCol w:w="3091"/>
      </w:tblGrid>
      <w:tr w14:paraId="7BA809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1826E977">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284" w:type="dxa"/>
            <w:vAlign w:val="center"/>
          </w:tcPr>
          <w:p w14:paraId="27D72E4F">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采购要求</w:t>
            </w:r>
          </w:p>
        </w:tc>
        <w:tc>
          <w:tcPr>
            <w:tcW w:w="2512" w:type="dxa"/>
            <w:vAlign w:val="center"/>
          </w:tcPr>
          <w:p w14:paraId="05184965">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响应内容</w:t>
            </w:r>
          </w:p>
        </w:tc>
        <w:tc>
          <w:tcPr>
            <w:tcW w:w="3091" w:type="dxa"/>
            <w:vAlign w:val="center"/>
          </w:tcPr>
          <w:p w14:paraId="0FC4601E">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说明（正偏离/负偏离）</w:t>
            </w:r>
          </w:p>
        </w:tc>
      </w:tr>
      <w:tr w14:paraId="23F879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788B2D6B">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3284" w:type="dxa"/>
            <w:vAlign w:val="center"/>
          </w:tcPr>
          <w:p w14:paraId="0E5A48E7">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第三章采购需求内容</w:t>
            </w:r>
          </w:p>
        </w:tc>
        <w:tc>
          <w:tcPr>
            <w:tcW w:w="5603" w:type="dxa"/>
            <w:gridSpan w:val="2"/>
            <w:vAlign w:val="center"/>
          </w:tcPr>
          <w:p w14:paraId="38AB701A">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lang w:bidi="ar"/>
              </w:rPr>
              <w:t>（有偏离的要求点对点逐项列明，未注明视为全部满足）</w:t>
            </w:r>
          </w:p>
        </w:tc>
      </w:tr>
      <w:tr w14:paraId="769FDF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E5623BC">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1.1</w:t>
            </w:r>
          </w:p>
        </w:tc>
        <w:tc>
          <w:tcPr>
            <w:tcW w:w="3284" w:type="dxa"/>
            <w:vAlign w:val="center"/>
          </w:tcPr>
          <w:p w14:paraId="19A5A96F">
            <w:pPr>
              <w:snapToGrid w:val="0"/>
              <w:spacing w:line="480" w:lineRule="exact"/>
              <w:jc w:val="center"/>
              <w:rPr>
                <w:rFonts w:hint="eastAsia" w:ascii="宋体" w:hAnsi="宋体" w:cs="宋体"/>
                <w:color w:val="auto"/>
                <w:szCs w:val="21"/>
                <w:highlight w:val="none"/>
              </w:rPr>
            </w:pPr>
          </w:p>
        </w:tc>
        <w:tc>
          <w:tcPr>
            <w:tcW w:w="2512" w:type="dxa"/>
            <w:vAlign w:val="center"/>
          </w:tcPr>
          <w:p w14:paraId="0361BB67">
            <w:pPr>
              <w:snapToGrid w:val="0"/>
              <w:spacing w:line="480" w:lineRule="exact"/>
              <w:jc w:val="center"/>
              <w:rPr>
                <w:rFonts w:hint="eastAsia" w:ascii="宋体" w:hAnsi="宋体" w:cs="宋体"/>
                <w:color w:val="auto"/>
                <w:kern w:val="0"/>
                <w:szCs w:val="21"/>
                <w:highlight w:val="none"/>
                <w:lang w:bidi="ar"/>
              </w:rPr>
            </w:pPr>
          </w:p>
        </w:tc>
        <w:tc>
          <w:tcPr>
            <w:tcW w:w="3091" w:type="dxa"/>
            <w:vAlign w:val="center"/>
          </w:tcPr>
          <w:p w14:paraId="575F1B1C">
            <w:pPr>
              <w:snapToGrid w:val="0"/>
              <w:spacing w:line="480" w:lineRule="exact"/>
              <w:jc w:val="center"/>
              <w:rPr>
                <w:rFonts w:hint="eastAsia" w:ascii="宋体" w:hAnsi="宋体" w:cs="宋体"/>
                <w:color w:val="auto"/>
                <w:kern w:val="0"/>
                <w:szCs w:val="21"/>
                <w:highlight w:val="none"/>
                <w:lang w:bidi="ar"/>
              </w:rPr>
            </w:pPr>
          </w:p>
        </w:tc>
      </w:tr>
      <w:tr w14:paraId="4BDD94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6E5F8B39">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1.2</w:t>
            </w:r>
          </w:p>
        </w:tc>
        <w:tc>
          <w:tcPr>
            <w:tcW w:w="3284" w:type="dxa"/>
            <w:vAlign w:val="center"/>
          </w:tcPr>
          <w:p w14:paraId="626D0603">
            <w:pPr>
              <w:snapToGrid w:val="0"/>
              <w:spacing w:line="480" w:lineRule="exact"/>
              <w:jc w:val="center"/>
              <w:rPr>
                <w:rFonts w:hint="eastAsia" w:ascii="宋体" w:hAnsi="宋体" w:cs="宋体"/>
                <w:color w:val="auto"/>
                <w:szCs w:val="21"/>
                <w:highlight w:val="none"/>
              </w:rPr>
            </w:pPr>
          </w:p>
        </w:tc>
        <w:tc>
          <w:tcPr>
            <w:tcW w:w="2512" w:type="dxa"/>
            <w:vAlign w:val="center"/>
          </w:tcPr>
          <w:p w14:paraId="0B8C881F">
            <w:pPr>
              <w:snapToGrid w:val="0"/>
              <w:spacing w:line="480" w:lineRule="exact"/>
              <w:jc w:val="center"/>
              <w:rPr>
                <w:rFonts w:hint="eastAsia" w:ascii="宋体" w:hAnsi="宋体" w:cs="宋体"/>
                <w:color w:val="auto"/>
                <w:spacing w:val="20"/>
                <w:szCs w:val="21"/>
                <w:highlight w:val="none"/>
              </w:rPr>
            </w:pPr>
          </w:p>
        </w:tc>
        <w:tc>
          <w:tcPr>
            <w:tcW w:w="3091" w:type="dxa"/>
            <w:vAlign w:val="center"/>
          </w:tcPr>
          <w:p w14:paraId="294EB760">
            <w:pPr>
              <w:snapToGrid w:val="0"/>
              <w:spacing w:line="480" w:lineRule="exact"/>
              <w:jc w:val="center"/>
              <w:rPr>
                <w:rFonts w:hint="eastAsia" w:ascii="宋体" w:hAnsi="宋体" w:cs="宋体"/>
                <w:color w:val="auto"/>
                <w:spacing w:val="20"/>
                <w:szCs w:val="21"/>
                <w:highlight w:val="none"/>
              </w:rPr>
            </w:pPr>
          </w:p>
        </w:tc>
      </w:tr>
      <w:tr w14:paraId="562C97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E96B5F0">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3284" w:type="dxa"/>
            <w:vAlign w:val="center"/>
          </w:tcPr>
          <w:p w14:paraId="46CE7DF2">
            <w:pPr>
              <w:snapToGrid w:val="0"/>
              <w:spacing w:line="480" w:lineRule="exact"/>
              <w:jc w:val="center"/>
              <w:rPr>
                <w:rFonts w:hint="eastAsia" w:ascii="宋体" w:hAnsi="宋体" w:cs="宋体"/>
                <w:color w:val="auto"/>
                <w:szCs w:val="21"/>
                <w:highlight w:val="none"/>
              </w:rPr>
            </w:pPr>
          </w:p>
        </w:tc>
        <w:tc>
          <w:tcPr>
            <w:tcW w:w="2512" w:type="dxa"/>
            <w:vAlign w:val="center"/>
          </w:tcPr>
          <w:p w14:paraId="7AC28ADF">
            <w:pPr>
              <w:snapToGrid w:val="0"/>
              <w:spacing w:line="480" w:lineRule="exact"/>
              <w:jc w:val="center"/>
              <w:rPr>
                <w:rFonts w:hint="eastAsia" w:ascii="宋体" w:hAnsi="宋体" w:cs="宋体"/>
                <w:color w:val="auto"/>
                <w:spacing w:val="20"/>
                <w:szCs w:val="21"/>
                <w:highlight w:val="none"/>
              </w:rPr>
            </w:pPr>
          </w:p>
        </w:tc>
        <w:tc>
          <w:tcPr>
            <w:tcW w:w="3091" w:type="dxa"/>
            <w:vAlign w:val="center"/>
          </w:tcPr>
          <w:p w14:paraId="145684AD">
            <w:pPr>
              <w:snapToGrid w:val="0"/>
              <w:spacing w:line="480" w:lineRule="exact"/>
              <w:jc w:val="center"/>
              <w:rPr>
                <w:rFonts w:hint="eastAsia" w:ascii="宋体" w:hAnsi="宋体" w:cs="宋体"/>
                <w:color w:val="auto"/>
                <w:spacing w:val="20"/>
                <w:szCs w:val="21"/>
                <w:highlight w:val="none"/>
              </w:rPr>
            </w:pPr>
          </w:p>
        </w:tc>
      </w:tr>
      <w:tr w14:paraId="7CAA20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07BBC065">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w:t>
            </w:r>
          </w:p>
        </w:tc>
        <w:tc>
          <w:tcPr>
            <w:tcW w:w="3284" w:type="dxa"/>
            <w:vAlign w:val="center"/>
          </w:tcPr>
          <w:p w14:paraId="48D0A873">
            <w:pPr>
              <w:snapToGrid w:val="0"/>
              <w:spacing w:line="480" w:lineRule="exact"/>
              <w:jc w:val="center"/>
              <w:rPr>
                <w:rFonts w:hint="eastAsia" w:ascii="宋体" w:hAnsi="宋体" w:cs="宋体"/>
                <w:color w:val="auto"/>
                <w:szCs w:val="21"/>
                <w:highlight w:val="none"/>
              </w:rPr>
            </w:pPr>
            <w:r>
              <w:rPr>
                <w:rFonts w:hint="eastAsia" w:ascii="宋体" w:hAnsi="宋体" w:cs="宋体"/>
                <w:color w:val="auto"/>
                <w:szCs w:val="21"/>
                <w:highlight w:val="none"/>
              </w:rPr>
              <w:t>第四章合同条款内容</w:t>
            </w:r>
          </w:p>
        </w:tc>
        <w:tc>
          <w:tcPr>
            <w:tcW w:w="5603" w:type="dxa"/>
            <w:gridSpan w:val="2"/>
            <w:vAlign w:val="center"/>
          </w:tcPr>
          <w:p w14:paraId="07DB21BE">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kern w:val="0"/>
                <w:szCs w:val="21"/>
                <w:highlight w:val="none"/>
                <w:lang w:bidi="ar"/>
              </w:rPr>
              <w:t>（直接注明不能符合内容即可，未注明视为全部满足）</w:t>
            </w:r>
          </w:p>
        </w:tc>
      </w:tr>
      <w:tr w14:paraId="34D495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25BF33EB">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2.1</w:t>
            </w:r>
          </w:p>
        </w:tc>
        <w:tc>
          <w:tcPr>
            <w:tcW w:w="3284" w:type="dxa"/>
            <w:vAlign w:val="center"/>
          </w:tcPr>
          <w:p w14:paraId="33377AD7">
            <w:pPr>
              <w:snapToGrid w:val="0"/>
              <w:spacing w:line="480" w:lineRule="exact"/>
              <w:jc w:val="center"/>
              <w:rPr>
                <w:rFonts w:hint="eastAsia" w:ascii="宋体" w:hAnsi="宋体" w:cs="宋体"/>
                <w:color w:val="auto"/>
                <w:szCs w:val="21"/>
                <w:highlight w:val="none"/>
              </w:rPr>
            </w:pPr>
          </w:p>
        </w:tc>
        <w:tc>
          <w:tcPr>
            <w:tcW w:w="2512" w:type="dxa"/>
            <w:vAlign w:val="center"/>
          </w:tcPr>
          <w:p w14:paraId="727053FB">
            <w:pPr>
              <w:snapToGrid w:val="0"/>
              <w:spacing w:line="480" w:lineRule="exact"/>
              <w:jc w:val="center"/>
              <w:rPr>
                <w:rFonts w:hint="eastAsia" w:ascii="宋体" w:hAnsi="宋体" w:cs="宋体"/>
                <w:color w:val="auto"/>
                <w:kern w:val="0"/>
                <w:szCs w:val="21"/>
                <w:highlight w:val="none"/>
                <w:lang w:bidi="ar"/>
              </w:rPr>
            </w:pPr>
          </w:p>
        </w:tc>
        <w:tc>
          <w:tcPr>
            <w:tcW w:w="3091" w:type="dxa"/>
            <w:vAlign w:val="center"/>
          </w:tcPr>
          <w:p w14:paraId="5A52C822">
            <w:pPr>
              <w:snapToGrid w:val="0"/>
              <w:spacing w:line="480" w:lineRule="exact"/>
              <w:jc w:val="center"/>
              <w:rPr>
                <w:rFonts w:hint="eastAsia" w:ascii="宋体" w:hAnsi="宋体" w:cs="宋体"/>
                <w:color w:val="auto"/>
                <w:kern w:val="0"/>
                <w:szCs w:val="21"/>
                <w:highlight w:val="none"/>
                <w:lang w:bidi="ar"/>
              </w:rPr>
            </w:pPr>
          </w:p>
        </w:tc>
      </w:tr>
      <w:tr w14:paraId="7B5B70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5A6E6402">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2.2</w:t>
            </w:r>
          </w:p>
        </w:tc>
        <w:tc>
          <w:tcPr>
            <w:tcW w:w="3284" w:type="dxa"/>
            <w:vAlign w:val="center"/>
          </w:tcPr>
          <w:p w14:paraId="57FF7D90">
            <w:pPr>
              <w:snapToGrid w:val="0"/>
              <w:spacing w:line="480" w:lineRule="exact"/>
              <w:jc w:val="center"/>
              <w:rPr>
                <w:rFonts w:hint="eastAsia" w:ascii="宋体" w:hAnsi="宋体" w:cs="宋体"/>
                <w:color w:val="auto"/>
                <w:szCs w:val="21"/>
                <w:highlight w:val="none"/>
              </w:rPr>
            </w:pPr>
          </w:p>
        </w:tc>
        <w:tc>
          <w:tcPr>
            <w:tcW w:w="2512" w:type="dxa"/>
            <w:vAlign w:val="center"/>
          </w:tcPr>
          <w:p w14:paraId="7F80D92C">
            <w:pPr>
              <w:snapToGrid w:val="0"/>
              <w:spacing w:line="480" w:lineRule="exact"/>
              <w:jc w:val="center"/>
              <w:rPr>
                <w:rFonts w:hint="eastAsia" w:ascii="宋体" w:hAnsi="宋体" w:cs="宋体"/>
                <w:color w:val="auto"/>
                <w:spacing w:val="20"/>
                <w:szCs w:val="21"/>
                <w:highlight w:val="none"/>
              </w:rPr>
            </w:pPr>
          </w:p>
        </w:tc>
        <w:tc>
          <w:tcPr>
            <w:tcW w:w="3091" w:type="dxa"/>
            <w:vAlign w:val="center"/>
          </w:tcPr>
          <w:p w14:paraId="0D18615A">
            <w:pPr>
              <w:snapToGrid w:val="0"/>
              <w:spacing w:line="480" w:lineRule="exact"/>
              <w:jc w:val="center"/>
              <w:rPr>
                <w:rFonts w:hint="eastAsia" w:ascii="宋体" w:hAnsi="宋体" w:cs="宋体"/>
                <w:color w:val="auto"/>
                <w:spacing w:val="20"/>
                <w:szCs w:val="21"/>
                <w:highlight w:val="none"/>
              </w:rPr>
            </w:pPr>
          </w:p>
        </w:tc>
      </w:tr>
      <w:tr w14:paraId="05BAC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1081" w:type="dxa"/>
            <w:vAlign w:val="center"/>
          </w:tcPr>
          <w:p w14:paraId="7DFC3CB4">
            <w:pPr>
              <w:snapToGrid w:val="0"/>
              <w:spacing w:line="480" w:lineRule="exact"/>
              <w:jc w:val="center"/>
              <w:rPr>
                <w:rFonts w:hint="eastAsia" w:ascii="宋体" w:hAnsi="宋体" w:cs="宋体"/>
                <w:color w:val="auto"/>
                <w:spacing w:val="20"/>
                <w:szCs w:val="21"/>
                <w:highlight w:val="none"/>
              </w:rPr>
            </w:pPr>
            <w:r>
              <w:rPr>
                <w:rFonts w:hint="eastAsia" w:ascii="宋体" w:hAnsi="宋体" w:cs="宋体"/>
                <w:color w:val="auto"/>
                <w:spacing w:val="20"/>
                <w:szCs w:val="21"/>
                <w:highlight w:val="none"/>
              </w:rPr>
              <w:t>.....</w:t>
            </w:r>
          </w:p>
        </w:tc>
        <w:tc>
          <w:tcPr>
            <w:tcW w:w="3284" w:type="dxa"/>
            <w:vAlign w:val="center"/>
          </w:tcPr>
          <w:p w14:paraId="50B1C764">
            <w:pPr>
              <w:snapToGrid w:val="0"/>
              <w:spacing w:line="480" w:lineRule="exact"/>
              <w:jc w:val="center"/>
              <w:rPr>
                <w:rFonts w:hint="eastAsia" w:ascii="宋体" w:hAnsi="宋体" w:cs="宋体"/>
                <w:color w:val="auto"/>
                <w:szCs w:val="21"/>
                <w:highlight w:val="none"/>
              </w:rPr>
            </w:pPr>
          </w:p>
        </w:tc>
        <w:tc>
          <w:tcPr>
            <w:tcW w:w="2512" w:type="dxa"/>
            <w:vAlign w:val="center"/>
          </w:tcPr>
          <w:p w14:paraId="4F3B26DC">
            <w:pPr>
              <w:snapToGrid w:val="0"/>
              <w:spacing w:line="480" w:lineRule="exact"/>
              <w:jc w:val="center"/>
              <w:rPr>
                <w:rFonts w:hint="eastAsia" w:ascii="宋体" w:hAnsi="宋体" w:cs="宋体"/>
                <w:color w:val="auto"/>
                <w:spacing w:val="20"/>
                <w:szCs w:val="21"/>
                <w:highlight w:val="none"/>
              </w:rPr>
            </w:pPr>
          </w:p>
        </w:tc>
        <w:tc>
          <w:tcPr>
            <w:tcW w:w="3091" w:type="dxa"/>
            <w:vAlign w:val="center"/>
          </w:tcPr>
          <w:p w14:paraId="2B4EB677">
            <w:pPr>
              <w:snapToGrid w:val="0"/>
              <w:spacing w:line="480" w:lineRule="exact"/>
              <w:jc w:val="center"/>
              <w:rPr>
                <w:rFonts w:hint="eastAsia" w:ascii="宋体" w:hAnsi="宋体" w:cs="宋体"/>
                <w:color w:val="auto"/>
                <w:spacing w:val="20"/>
                <w:szCs w:val="21"/>
                <w:highlight w:val="none"/>
              </w:rPr>
            </w:pPr>
          </w:p>
        </w:tc>
      </w:tr>
    </w:tbl>
    <w:p w14:paraId="695748D9">
      <w:pPr>
        <w:pStyle w:val="185"/>
        <w:wordWrap w:val="0"/>
        <w:spacing w:line="480" w:lineRule="exact"/>
        <w:ind w:firstLine="480"/>
        <w:jc w:val="center"/>
        <w:rPr>
          <w:rFonts w:hint="eastAsia" w:ascii="宋体" w:hAnsi="宋体" w:cs="宋体"/>
          <w:color w:val="auto"/>
          <w:szCs w:val="21"/>
          <w:highlight w:val="none"/>
          <w:u w:val="single"/>
        </w:rPr>
      </w:pPr>
    </w:p>
    <w:p w14:paraId="54929FD9">
      <w:pPr>
        <w:snapToGrid w:val="0"/>
        <w:spacing w:line="48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w:t>
      </w:r>
    </w:p>
    <w:p w14:paraId="180B1AB5">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1.对招标文件中“第三章采购需求”、“第四章政府采购合同”有任何偏离（包括正偏离及负偏离）均应汇总并填写在此表中。</w:t>
      </w:r>
    </w:p>
    <w:p w14:paraId="7D0C412E">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2.完全满足招标文件要求的投标人只需填写“</w:t>
      </w:r>
      <w:r>
        <w:rPr>
          <w:rFonts w:hint="eastAsia" w:ascii="宋体" w:hAnsi="宋体" w:cs="宋体"/>
          <w:b/>
          <w:color w:val="auto"/>
          <w:szCs w:val="21"/>
          <w:highlight w:val="none"/>
        </w:rPr>
        <w:t>完全满足招标文件的全部要求</w:t>
      </w:r>
      <w:r>
        <w:rPr>
          <w:rFonts w:hint="eastAsia" w:ascii="宋体" w:hAnsi="宋体" w:cs="宋体"/>
          <w:color w:val="auto"/>
          <w:szCs w:val="21"/>
          <w:highlight w:val="none"/>
        </w:rPr>
        <w:t>”。</w:t>
      </w:r>
    </w:p>
    <w:p w14:paraId="5A2D8116">
      <w:pPr>
        <w:snapToGrid w:val="0"/>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3.若中标人以未在偏离表中列出的负偏离为由，不按采购要求签约，采购人有权取消该中标人的成交资格并按有关规定重新确定中标人或另行采购。</w:t>
      </w:r>
    </w:p>
    <w:p w14:paraId="1EBE211B">
      <w:pPr>
        <w:pStyle w:val="212"/>
        <w:spacing w:line="480" w:lineRule="exact"/>
        <w:ind w:firstLine="420" w:firstLineChars="200"/>
        <w:rPr>
          <w:rFonts w:hint="eastAsia" w:ascii="宋体" w:hAnsi="宋体" w:cs="宋体"/>
          <w:color w:val="auto"/>
          <w:szCs w:val="21"/>
          <w:highlight w:val="none"/>
          <w:lang w:val="en-GB"/>
        </w:rPr>
      </w:pPr>
      <w:r>
        <w:rPr>
          <w:rFonts w:hint="eastAsia" w:ascii="宋体" w:hAnsi="宋体" w:cs="宋体"/>
          <w:color w:val="auto"/>
          <w:szCs w:val="21"/>
          <w:highlight w:val="none"/>
        </w:rPr>
        <w:t>4.</w:t>
      </w:r>
      <w:r>
        <w:rPr>
          <w:rFonts w:hint="eastAsia" w:ascii="宋体" w:hAnsi="宋体" w:cs="宋体"/>
          <w:color w:val="auto"/>
          <w:szCs w:val="21"/>
          <w:highlight w:val="none"/>
          <w:lang w:val="en-GB"/>
        </w:rPr>
        <w:t>不允许存在实质性负偏离。（</w:t>
      </w:r>
      <w:r>
        <w:rPr>
          <w:rFonts w:hint="eastAsia" w:ascii="宋体" w:hAnsi="宋体" w:cs="宋体"/>
          <w:color w:val="auto"/>
          <w:szCs w:val="21"/>
          <w:highlight w:val="none"/>
        </w:rPr>
        <w:t>招标</w:t>
      </w:r>
      <w:r>
        <w:rPr>
          <w:rFonts w:hint="eastAsia" w:ascii="宋体" w:hAnsi="宋体" w:cs="宋体"/>
          <w:color w:val="auto"/>
          <w:szCs w:val="21"/>
          <w:highlight w:val="none"/>
          <w:lang w:val="en-GB"/>
        </w:rPr>
        <w:t>文件中“▲”条款为实质性条款）</w:t>
      </w:r>
    </w:p>
    <w:p w14:paraId="7F08C2CD">
      <w:pPr>
        <w:pStyle w:val="212"/>
        <w:spacing w:line="480" w:lineRule="exact"/>
        <w:ind w:firstLine="422" w:firstLineChars="200"/>
        <w:rPr>
          <w:rFonts w:hint="eastAsia" w:ascii="宋体" w:hAnsi="宋体" w:cs="宋体"/>
          <w:b/>
          <w:bCs/>
          <w:color w:val="auto"/>
          <w:szCs w:val="21"/>
          <w:highlight w:val="none"/>
          <w:lang w:val="en-GB"/>
        </w:rPr>
      </w:pPr>
      <w:r>
        <w:rPr>
          <w:rFonts w:hint="eastAsia" w:ascii="宋体" w:hAnsi="宋体" w:cs="宋体"/>
          <w:b/>
          <w:bCs/>
          <w:color w:val="auto"/>
          <w:szCs w:val="21"/>
          <w:highlight w:val="none"/>
        </w:rPr>
        <w:t>5.</w:t>
      </w:r>
      <w:r>
        <w:rPr>
          <w:rFonts w:hint="eastAsia" w:ascii="宋体" w:hAnsi="宋体" w:cs="宋体"/>
          <w:b/>
          <w:bCs/>
          <w:color w:val="auto"/>
          <w:szCs w:val="21"/>
          <w:highlight w:val="none"/>
          <w:lang w:val="en-GB"/>
        </w:rPr>
        <w:t>▲未提供本表的投标视为未实质性响应采购要求，投标无效。</w:t>
      </w:r>
    </w:p>
    <w:p w14:paraId="0E2622F2">
      <w:pPr>
        <w:pStyle w:val="212"/>
        <w:spacing w:line="480" w:lineRule="exact"/>
        <w:ind w:firstLine="422" w:firstLineChars="200"/>
        <w:rPr>
          <w:rFonts w:hint="eastAsia" w:ascii="宋体" w:hAnsi="宋体" w:cs="宋体"/>
          <w:b/>
          <w:bCs/>
          <w:color w:val="auto"/>
          <w:szCs w:val="21"/>
          <w:highlight w:val="none"/>
          <w:lang w:val="en-GB"/>
        </w:rPr>
      </w:pPr>
    </w:p>
    <w:p w14:paraId="681743C0">
      <w:pPr>
        <w:pStyle w:val="185"/>
        <w:wordWrap w:val="0"/>
        <w:spacing w:line="500" w:lineRule="exact"/>
        <w:ind w:firstLine="480"/>
        <w:jc w:val="center"/>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5F8F1289">
      <w:pPr>
        <w:spacing w:before="120" w:beforeLines="50" w:after="120" w:afterLines="50"/>
        <w:jc w:val="center"/>
        <w:rPr>
          <w:rFonts w:hint="eastAsia" w:ascii="宋体" w:hAnsi="宋体" w:cs="宋体"/>
          <w:b/>
          <w:color w:val="auto"/>
          <w:sz w:val="32"/>
          <w:szCs w:val="32"/>
          <w:highlight w:val="none"/>
        </w:rPr>
      </w:pPr>
    </w:p>
    <w:p w14:paraId="0EC7004B">
      <w:pPr>
        <w:snapToGrid w:val="0"/>
        <w:spacing w:line="300" w:lineRule="auto"/>
        <w:ind w:left="210" w:hanging="210" w:hangingChars="100"/>
        <w:jc w:val="center"/>
        <w:rPr>
          <w:rFonts w:hint="eastAsia" w:ascii="宋体" w:hAnsi="宋体" w:cs="宋体"/>
          <w:color w:val="auto"/>
          <w:szCs w:val="21"/>
          <w:highlight w:val="none"/>
        </w:rPr>
      </w:pPr>
    </w:p>
    <w:p w14:paraId="0362EDA7">
      <w:pPr>
        <w:snapToGrid w:val="0"/>
        <w:spacing w:line="300" w:lineRule="auto"/>
        <w:ind w:left="210" w:hanging="210" w:hangingChars="100"/>
        <w:jc w:val="center"/>
        <w:rPr>
          <w:rFonts w:hint="eastAsia" w:ascii="宋体" w:hAnsi="宋体" w:cs="宋体"/>
          <w:color w:val="auto"/>
          <w:szCs w:val="21"/>
          <w:highlight w:val="none"/>
        </w:rPr>
      </w:pPr>
    </w:p>
    <w:p w14:paraId="0543E02F">
      <w:pPr>
        <w:snapToGrid w:val="0"/>
        <w:spacing w:line="300" w:lineRule="auto"/>
        <w:ind w:left="210" w:hanging="210" w:hangingChars="100"/>
        <w:jc w:val="center"/>
        <w:rPr>
          <w:rFonts w:hint="eastAsia" w:ascii="宋体" w:hAnsi="宋体" w:cs="宋体"/>
          <w:color w:val="auto"/>
          <w:szCs w:val="21"/>
          <w:highlight w:val="none"/>
        </w:rPr>
      </w:pPr>
    </w:p>
    <w:p w14:paraId="17FC2D9D">
      <w:pPr>
        <w:snapToGrid w:val="0"/>
        <w:spacing w:line="300" w:lineRule="auto"/>
        <w:ind w:left="210" w:hanging="210" w:hangingChars="100"/>
        <w:jc w:val="center"/>
        <w:rPr>
          <w:rFonts w:hint="eastAsia" w:ascii="宋体" w:hAnsi="宋体" w:cs="宋体"/>
          <w:b/>
          <w:color w:val="auto"/>
          <w:sz w:val="30"/>
          <w:highlight w:val="none"/>
        </w:rPr>
      </w:pPr>
      <w:r>
        <w:rPr>
          <w:rFonts w:hint="eastAsia" w:ascii="宋体" w:hAnsi="宋体" w:cs="宋体"/>
          <w:color w:val="auto"/>
          <w:szCs w:val="21"/>
          <w:highlight w:val="none"/>
        </w:rPr>
        <w:t xml:space="preserve">           </w:t>
      </w:r>
    </w:p>
    <w:bookmarkEnd w:id="223"/>
    <w:bookmarkEnd w:id="224"/>
    <w:p w14:paraId="406E9EE6">
      <w:pPr>
        <w:snapToGrid w:val="0"/>
        <w:spacing w:line="300" w:lineRule="auto"/>
        <w:ind w:left="301" w:hanging="301" w:hangingChars="100"/>
        <w:jc w:val="center"/>
        <w:outlineLvl w:val="2"/>
        <w:rPr>
          <w:rFonts w:hint="eastAsia" w:ascii="宋体" w:hAnsi="宋体" w:cs="宋体"/>
          <w:b/>
          <w:color w:val="auto"/>
          <w:sz w:val="30"/>
          <w:highlight w:val="none"/>
        </w:rPr>
      </w:pPr>
      <w:r>
        <w:rPr>
          <w:rFonts w:hint="eastAsia" w:ascii="宋体" w:hAnsi="宋体" w:cs="宋体"/>
          <w:b/>
          <w:color w:val="auto"/>
          <w:sz w:val="30"/>
          <w:highlight w:val="none"/>
        </w:rPr>
        <w:t>6、项目实施方案</w:t>
      </w:r>
    </w:p>
    <w:p w14:paraId="6ED2C69A">
      <w:pPr>
        <w:pStyle w:val="323"/>
        <w:spacing w:before="120" w:after="120" w:line="360" w:lineRule="auto"/>
        <w:ind w:firstLine="420" w:firstLineChars="200"/>
        <w:rPr>
          <w:rFonts w:hint="eastAsia" w:ascii="宋体" w:hAnsi="宋体" w:cs="宋体"/>
          <w:color w:val="auto"/>
          <w:szCs w:val="21"/>
          <w:highlight w:val="none"/>
        </w:rPr>
      </w:pPr>
    </w:p>
    <w:p w14:paraId="2719F51D">
      <w:pPr>
        <w:pStyle w:val="222"/>
        <w:spacing w:line="360" w:lineRule="auto"/>
        <w:rPr>
          <w:rFonts w:hint="eastAsia" w:ascii="宋体" w:hAnsi="宋体" w:cs="宋体"/>
          <w:color w:val="auto"/>
          <w:szCs w:val="21"/>
          <w:highlight w:val="none"/>
        </w:rPr>
      </w:pPr>
    </w:p>
    <w:p w14:paraId="29DD140E">
      <w:pPr>
        <w:pStyle w:val="222"/>
        <w:spacing w:line="360" w:lineRule="auto"/>
        <w:rPr>
          <w:rFonts w:hint="eastAsia" w:ascii="宋体" w:hAnsi="宋体" w:cs="宋体"/>
          <w:color w:val="auto"/>
          <w:szCs w:val="21"/>
          <w:highlight w:val="none"/>
        </w:rPr>
      </w:pPr>
    </w:p>
    <w:p w14:paraId="2157319B">
      <w:pPr>
        <w:pStyle w:val="222"/>
        <w:spacing w:line="600" w:lineRule="exact"/>
        <w:rPr>
          <w:rFonts w:hint="eastAsia" w:ascii="宋体" w:hAnsi="宋体" w:cs="宋体"/>
          <w:bCs/>
          <w:color w:val="auto"/>
          <w:szCs w:val="21"/>
          <w:highlight w:val="none"/>
        </w:rPr>
      </w:pPr>
      <w:r>
        <w:rPr>
          <w:rFonts w:hint="eastAsia" w:ascii="宋体" w:hAnsi="宋体" w:cs="宋体"/>
          <w:b/>
          <w:bCs/>
          <w:color w:val="auto"/>
          <w:szCs w:val="21"/>
          <w:highlight w:val="none"/>
        </w:rPr>
        <w:t>注：</w:t>
      </w:r>
      <w:r>
        <w:rPr>
          <w:rFonts w:hint="eastAsia" w:ascii="宋体" w:hAnsi="宋体" w:cs="宋体"/>
          <w:bCs/>
          <w:color w:val="auto"/>
          <w:szCs w:val="21"/>
          <w:highlight w:val="none"/>
        </w:rPr>
        <w:t>1.</w:t>
      </w:r>
      <w:r>
        <w:rPr>
          <w:rFonts w:hint="eastAsia" w:ascii="宋体" w:hAnsi="宋体" w:cs="宋体"/>
          <w:color w:val="auto"/>
          <w:szCs w:val="21"/>
          <w:highlight w:val="none"/>
        </w:rPr>
        <w:t xml:space="preserve"> </w:t>
      </w:r>
      <w:r>
        <w:rPr>
          <w:rFonts w:hint="eastAsia" w:ascii="宋体" w:hAnsi="宋体" w:cs="宋体"/>
          <w:bCs/>
          <w:color w:val="auto"/>
          <w:szCs w:val="21"/>
          <w:highlight w:val="none"/>
        </w:rPr>
        <w:t>表格内容请按第三章和第六章内容要求编制；</w:t>
      </w:r>
    </w:p>
    <w:p w14:paraId="2916DCF4">
      <w:pPr>
        <w:pStyle w:val="222"/>
        <w:spacing w:line="600" w:lineRule="exact"/>
        <w:rPr>
          <w:rFonts w:hint="eastAsia" w:ascii="宋体" w:hAnsi="宋体" w:cs="宋体"/>
          <w:bCs/>
          <w:color w:val="auto"/>
          <w:szCs w:val="21"/>
          <w:highlight w:val="none"/>
        </w:rPr>
      </w:pPr>
      <w:r>
        <w:rPr>
          <w:rFonts w:hint="eastAsia" w:ascii="宋体" w:hAnsi="宋体" w:cs="宋体"/>
          <w:bCs/>
          <w:color w:val="auto"/>
          <w:szCs w:val="21"/>
          <w:highlight w:val="none"/>
        </w:rPr>
        <w:t xml:space="preserve">    2. 格式自拟。</w:t>
      </w:r>
    </w:p>
    <w:p w14:paraId="6D2747B7">
      <w:pPr>
        <w:pStyle w:val="222"/>
        <w:ind w:firstLine="420" w:firstLineChars="200"/>
        <w:rPr>
          <w:rFonts w:hint="eastAsia" w:ascii="宋体" w:hAnsi="宋体" w:cs="宋体"/>
          <w:color w:val="auto"/>
          <w:highlight w:val="none"/>
        </w:rPr>
      </w:pPr>
    </w:p>
    <w:p w14:paraId="16F737D6">
      <w:pPr>
        <w:spacing w:line="360" w:lineRule="auto"/>
        <w:rPr>
          <w:rFonts w:hint="eastAsia" w:ascii="宋体" w:hAnsi="宋体" w:cs="宋体"/>
          <w:color w:val="auto"/>
          <w:sz w:val="30"/>
          <w:highlight w:val="none"/>
        </w:rPr>
      </w:pPr>
    </w:p>
    <w:p w14:paraId="2525C610">
      <w:pPr>
        <w:spacing w:line="360" w:lineRule="auto"/>
        <w:rPr>
          <w:rFonts w:hint="eastAsia" w:ascii="宋体" w:hAnsi="宋体" w:cs="宋体"/>
          <w:color w:val="auto"/>
          <w:sz w:val="30"/>
          <w:highlight w:val="none"/>
        </w:rPr>
      </w:pPr>
    </w:p>
    <w:p w14:paraId="352C2BEE">
      <w:pPr>
        <w:pStyle w:val="4"/>
        <w:rPr>
          <w:rFonts w:hint="eastAsia" w:ascii="宋体" w:hAnsi="宋体" w:eastAsia="宋体" w:cs="宋体"/>
          <w:color w:val="auto"/>
          <w:sz w:val="30"/>
          <w:highlight w:val="none"/>
        </w:rPr>
      </w:pPr>
    </w:p>
    <w:p w14:paraId="7A9E1450">
      <w:pPr>
        <w:rPr>
          <w:rFonts w:hint="eastAsia" w:ascii="宋体" w:hAnsi="宋体" w:cs="宋体"/>
          <w:color w:val="auto"/>
          <w:sz w:val="30"/>
          <w:highlight w:val="none"/>
        </w:rPr>
      </w:pPr>
    </w:p>
    <w:p w14:paraId="1D7E2C83">
      <w:pPr>
        <w:pStyle w:val="4"/>
        <w:rPr>
          <w:rFonts w:hint="eastAsia" w:ascii="宋体" w:hAnsi="宋体" w:eastAsia="宋体" w:cs="宋体"/>
          <w:color w:val="auto"/>
          <w:sz w:val="30"/>
          <w:highlight w:val="none"/>
        </w:rPr>
      </w:pPr>
    </w:p>
    <w:p w14:paraId="0C7E635A">
      <w:pPr>
        <w:rPr>
          <w:rFonts w:hint="eastAsia" w:ascii="宋体" w:hAnsi="宋体" w:cs="宋体"/>
          <w:color w:val="auto"/>
          <w:sz w:val="30"/>
          <w:highlight w:val="none"/>
        </w:rPr>
      </w:pPr>
    </w:p>
    <w:p w14:paraId="67B62B4A">
      <w:pPr>
        <w:pStyle w:val="4"/>
        <w:rPr>
          <w:rFonts w:hint="eastAsia" w:ascii="宋体" w:hAnsi="宋体" w:eastAsia="宋体" w:cs="宋体"/>
          <w:color w:val="auto"/>
          <w:sz w:val="30"/>
          <w:highlight w:val="none"/>
        </w:rPr>
      </w:pPr>
    </w:p>
    <w:p w14:paraId="52A7AD8B">
      <w:pPr>
        <w:rPr>
          <w:rFonts w:hint="eastAsia" w:ascii="宋体" w:hAnsi="宋体" w:cs="宋体"/>
          <w:color w:val="auto"/>
          <w:sz w:val="30"/>
          <w:highlight w:val="none"/>
        </w:rPr>
      </w:pPr>
    </w:p>
    <w:p w14:paraId="05B98A69">
      <w:pPr>
        <w:pStyle w:val="4"/>
        <w:rPr>
          <w:rFonts w:hint="eastAsia" w:ascii="宋体" w:hAnsi="宋体" w:eastAsia="宋体" w:cs="宋体"/>
          <w:color w:val="auto"/>
          <w:sz w:val="30"/>
          <w:highlight w:val="none"/>
        </w:rPr>
      </w:pPr>
    </w:p>
    <w:p w14:paraId="39FF9A9D">
      <w:pPr>
        <w:rPr>
          <w:rFonts w:hint="eastAsia" w:ascii="宋体" w:hAnsi="宋体" w:cs="宋体"/>
          <w:color w:val="auto"/>
          <w:sz w:val="30"/>
          <w:highlight w:val="none"/>
        </w:rPr>
      </w:pPr>
    </w:p>
    <w:p w14:paraId="1DDB42EB">
      <w:pPr>
        <w:pStyle w:val="4"/>
        <w:rPr>
          <w:rFonts w:hint="eastAsia" w:ascii="宋体" w:hAnsi="宋体" w:eastAsia="宋体" w:cs="宋体"/>
          <w:color w:val="auto"/>
          <w:sz w:val="30"/>
          <w:highlight w:val="none"/>
        </w:rPr>
      </w:pPr>
    </w:p>
    <w:p w14:paraId="7FA2E897">
      <w:pPr>
        <w:rPr>
          <w:rFonts w:hint="eastAsia" w:ascii="宋体" w:hAnsi="宋体" w:cs="宋体"/>
          <w:color w:val="auto"/>
          <w:sz w:val="30"/>
          <w:highlight w:val="none"/>
        </w:rPr>
      </w:pPr>
    </w:p>
    <w:p w14:paraId="27C1E40A">
      <w:pPr>
        <w:pStyle w:val="4"/>
        <w:rPr>
          <w:rFonts w:hint="eastAsia" w:ascii="宋体" w:hAnsi="宋体" w:eastAsia="宋体" w:cs="宋体"/>
          <w:color w:val="auto"/>
          <w:sz w:val="30"/>
          <w:highlight w:val="none"/>
        </w:rPr>
      </w:pPr>
    </w:p>
    <w:p w14:paraId="54561EC9">
      <w:pPr>
        <w:rPr>
          <w:rFonts w:hint="eastAsia" w:ascii="宋体" w:hAnsi="宋体" w:cs="宋体"/>
          <w:color w:val="auto"/>
          <w:sz w:val="30"/>
          <w:highlight w:val="none"/>
        </w:rPr>
      </w:pPr>
    </w:p>
    <w:p w14:paraId="06E7E5FB">
      <w:pPr>
        <w:pStyle w:val="4"/>
        <w:rPr>
          <w:rFonts w:hint="eastAsia" w:ascii="宋体" w:hAnsi="宋体" w:eastAsia="宋体" w:cs="宋体"/>
          <w:color w:val="auto"/>
          <w:sz w:val="30"/>
          <w:highlight w:val="none"/>
        </w:rPr>
      </w:pPr>
    </w:p>
    <w:p w14:paraId="096E8350">
      <w:pPr>
        <w:rPr>
          <w:rFonts w:hint="eastAsia" w:ascii="宋体" w:hAnsi="宋体" w:cs="宋体"/>
          <w:color w:val="auto"/>
          <w:sz w:val="30"/>
          <w:highlight w:val="none"/>
        </w:rPr>
      </w:pPr>
    </w:p>
    <w:p w14:paraId="6FB03F38">
      <w:pPr>
        <w:pStyle w:val="4"/>
        <w:rPr>
          <w:rFonts w:hint="eastAsia" w:ascii="宋体" w:hAnsi="宋体" w:eastAsia="宋体" w:cs="宋体"/>
          <w:color w:val="auto"/>
          <w:sz w:val="30"/>
          <w:highlight w:val="none"/>
        </w:rPr>
      </w:pPr>
    </w:p>
    <w:p w14:paraId="577639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D7BB06F">
      <w:pPr>
        <w:spacing w:line="360" w:lineRule="auto"/>
        <w:jc w:val="center"/>
        <w:rPr>
          <w:rFonts w:hint="eastAsia" w:ascii="宋体" w:hAnsi="宋体" w:cs="宋体"/>
          <w:b/>
          <w:color w:val="auto"/>
          <w:sz w:val="30"/>
          <w:highlight w:val="none"/>
        </w:rPr>
      </w:pPr>
      <w:r>
        <w:rPr>
          <w:rFonts w:hint="eastAsia" w:ascii="宋体" w:hAnsi="宋体" w:cs="宋体"/>
          <w:b/>
          <w:color w:val="auto"/>
          <w:sz w:val="30"/>
          <w:highlight w:val="none"/>
        </w:rPr>
        <w:t>7、拟派项目实施团队情况说明表</w:t>
      </w:r>
    </w:p>
    <w:p w14:paraId="3D2C8AA9">
      <w:pPr>
        <w:pStyle w:val="313"/>
        <w:spacing w:line="3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（注：格式仅供参考，可以根据实际情况自行设计）</w:t>
      </w:r>
    </w:p>
    <w:p w14:paraId="70D04471">
      <w:pPr>
        <w:pStyle w:val="253"/>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0DE9519">
      <w:pPr>
        <w:pStyle w:val="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项目编号： </w:t>
      </w:r>
      <w:r>
        <w:rPr>
          <w:rFonts w:hint="eastAsia" w:ascii="宋体" w:hAnsi="宋体" w:eastAsia="宋体" w:cs="宋体"/>
          <w:color w:val="auto"/>
          <w:sz w:val="21"/>
          <w:szCs w:val="21"/>
          <w:highlight w:val="none"/>
          <w:u w:val="single"/>
        </w:rPr>
        <w:t xml:space="preserve">                          </w:t>
      </w:r>
    </w:p>
    <w:tbl>
      <w:tblPr>
        <w:tblStyle w:val="52"/>
        <w:tblW w:w="9573" w:type="dxa"/>
        <w:tblInd w:w="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4"/>
        <w:gridCol w:w="1391"/>
        <w:gridCol w:w="1554"/>
        <w:gridCol w:w="1759"/>
        <w:gridCol w:w="1568"/>
        <w:gridCol w:w="1146"/>
      </w:tblGrid>
      <w:tr w14:paraId="1B753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41" w:type="dxa"/>
            <w:vAlign w:val="center"/>
          </w:tcPr>
          <w:p w14:paraId="760A7EE0">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214" w:type="dxa"/>
            <w:vAlign w:val="center"/>
          </w:tcPr>
          <w:p w14:paraId="0BB24A52">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姓名</w:t>
            </w:r>
          </w:p>
        </w:tc>
        <w:tc>
          <w:tcPr>
            <w:tcW w:w="1391" w:type="dxa"/>
            <w:vAlign w:val="center"/>
          </w:tcPr>
          <w:p w14:paraId="51D9DCDE">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出生年月</w:t>
            </w:r>
          </w:p>
        </w:tc>
        <w:tc>
          <w:tcPr>
            <w:tcW w:w="1554" w:type="dxa"/>
            <w:vAlign w:val="center"/>
          </w:tcPr>
          <w:p w14:paraId="2DFB0984">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职称/职务</w:t>
            </w:r>
          </w:p>
        </w:tc>
        <w:tc>
          <w:tcPr>
            <w:tcW w:w="1759" w:type="dxa"/>
            <w:vAlign w:val="center"/>
          </w:tcPr>
          <w:p w14:paraId="12A8D0C4">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专业技术水平</w:t>
            </w:r>
          </w:p>
        </w:tc>
        <w:tc>
          <w:tcPr>
            <w:tcW w:w="1568" w:type="dxa"/>
            <w:vAlign w:val="center"/>
          </w:tcPr>
          <w:p w14:paraId="715DB170">
            <w:pPr>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拟任岗位</w:t>
            </w:r>
          </w:p>
        </w:tc>
        <w:tc>
          <w:tcPr>
            <w:tcW w:w="1146" w:type="dxa"/>
            <w:vAlign w:val="center"/>
          </w:tcPr>
          <w:p w14:paraId="326D0568">
            <w:pP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工作年限</w:t>
            </w:r>
          </w:p>
        </w:tc>
      </w:tr>
      <w:tr w14:paraId="420CD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B3FF0D0">
            <w:pPr>
              <w:rPr>
                <w:rFonts w:hint="eastAsia" w:ascii="宋体" w:hAnsi="宋体" w:cs="宋体"/>
                <w:b/>
                <w:color w:val="auto"/>
                <w:kern w:val="0"/>
                <w:szCs w:val="21"/>
                <w:highlight w:val="none"/>
              </w:rPr>
            </w:pPr>
          </w:p>
        </w:tc>
        <w:tc>
          <w:tcPr>
            <w:tcW w:w="1214" w:type="dxa"/>
            <w:vAlign w:val="center"/>
          </w:tcPr>
          <w:p w14:paraId="5F064655">
            <w:pPr>
              <w:rPr>
                <w:rFonts w:hint="eastAsia" w:ascii="宋体" w:hAnsi="宋体" w:cs="宋体"/>
                <w:b/>
                <w:color w:val="auto"/>
                <w:kern w:val="0"/>
                <w:szCs w:val="21"/>
                <w:highlight w:val="none"/>
              </w:rPr>
            </w:pPr>
          </w:p>
        </w:tc>
        <w:tc>
          <w:tcPr>
            <w:tcW w:w="1391" w:type="dxa"/>
            <w:vAlign w:val="center"/>
          </w:tcPr>
          <w:p w14:paraId="0EC524F1">
            <w:pPr>
              <w:rPr>
                <w:rFonts w:hint="eastAsia" w:ascii="宋体" w:hAnsi="宋体" w:cs="宋体"/>
                <w:b/>
                <w:color w:val="auto"/>
                <w:kern w:val="0"/>
                <w:szCs w:val="21"/>
                <w:highlight w:val="none"/>
              </w:rPr>
            </w:pPr>
          </w:p>
        </w:tc>
        <w:tc>
          <w:tcPr>
            <w:tcW w:w="1554" w:type="dxa"/>
            <w:vAlign w:val="center"/>
          </w:tcPr>
          <w:p w14:paraId="3C26E0E8">
            <w:pPr>
              <w:rPr>
                <w:rFonts w:hint="eastAsia" w:ascii="宋体" w:hAnsi="宋体" w:cs="宋体"/>
                <w:b/>
                <w:color w:val="auto"/>
                <w:kern w:val="0"/>
                <w:szCs w:val="21"/>
                <w:highlight w:val="none"/>
              </w:rPr>
            </w:pPr>
          </w:p>
        </w:tc>
        <w:tc>
          <w:tcPr>
            <w:tcW w:w="1759" w:type="dxa"/>
            <w:vAlign w:val="center"/>
          </w:tcPr>
          <w:p w14:paraId="3A8EF654">
            <w:pPr>
              <w:rPr>
                <w:rFonts w:hint="eastAsia" w:ascii="宋体" w:hAnsi="宋体" w:cs="宋体"/>
                <w:b/>
                <w:color w:val="auto"/>
                <w:kern w:val="0"/>
                <w:szCs w:val="21"/>
                <w:highlight w:val="none"/>
              </w:rPr>
            </w:pPr>
          </w:p>
        </w:tc>
        <w:tc>
          <w:tcPr>
            <w:tcW w:w="1568" w:type="dxa"/>
            <w:vAlign w:val="center"/>
          </w:tcPr>
          <w:p w14:paraId="198CCA63">
            <w:pPr>
              <w:rPr>
                <w:rFonts w:hint="eastAsia" w:ascii="宋体" w:hAnsi="宋体" w:cs="宋体"/>
                <w:b/>
                <w:color w:val="auto"/>
                <w:kern w:val="0"/>
                <w:szCs w:val="21"/>
                <w:highlight w:val="none"/>
              </w:rPr>
            </w:pPr>
          </w:p>
        </w:tc>
        <w:tc>
          <w:tcPr>
            <w:tcW w:w="1146" w:type="dxa"/>
            <w:vAlign w:val="center"/>
          </w:tcPr>
          <w:p w14:paraId="493CF196">
            <w:pPr>
              <w:rPr>
                <w:rFonts w:hint="eastAsia" w:ascii="宋体" w:hAnsi="宋体" w:cs="宋体"/>
                <w:b/>
                <w:color w:val="auto"/>
                <w:kern w:val="0"/>
                <w:szCs w:val="21"/>
                <w:highlight w:val="none"/>
              </w:rPr>
            </w:pPr>
          </w:p>
        </w:tc>
      </w:tr>
      <w:tr w14:paraId="6ACB9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0158C0A3">
            <w:pPr>
              <w:rPr>
                <w:rFonts w:hint="eastAsia" w:ascii="宋体" w:hAnsi="宋体" w:cs="宋体"/>
                <w:b/>
                <w:color w:val="auto"/>
                <w:kern w:val="0"/>
                <w:szCs w:val="21"/>
                <w:highlight w:val="none"/>
              </w:rPr>
            </w:pPr>
          </w:p>
        </w:tc>
        <w:tc>
          <w:tcPr>
            <w:tcW w:w="1214" w:type="dxa"/>
            <w:vAlign w:val="center"/>
          </w:tcPr>
          <w:p w14:paraId="44E2CD6F">
            <w:pPr>
              <w:rPr>
                <w:rFonts w:hint="eastAsia" w:ascii="宋体" w:hAnsi="宋体" w:cs="宋体"/>
                <w:b/>
                <w:color w:val="auto"/>
                <w:kern w:val="0"/>
                <w:szCs w:val="21"/>
                <w:highlight w:val="none"/>
              </w:rPr>
            </w:pPr>
          </w:p>
        </w:tc>
        <w:tc>
          <w:tcPr>
            <w:tcW w:w="1391" w:type="dxa"/>
            <w:vAlign w:val="center"/>
          </w:tcPr>
          <w:p w14:paraId="4BEFF936">
            <w:pPr>
              <w:rPr>
                <w:rFonts w:hint="eastAsia" w:ascii="宋体" w:hAnsi="宋体" w:cs="宋体"/>
                <w:b/>
                <w:color w:val="auto"/>
                <w:kern w:val="0"/>
                <w:szCs w:val="21"/>
                <w:highlight w:val="none"/>
              </w:rPr>
            </w:pPr>
          </w:p>
        </w:tc>
        <w:tc>
          <w:tcPr>
            <w:tcW w:w="1554" w:type="dxa"/>
            <w:vAlign w:val="center"/>
          </w:tcPr>
          <w:p w14:paraId="50386269">
            <w:pPr>
              <w:rPr>
                <w:rFonts w:hint="eastAsia" w:ascii="宋体" w:hAnsi="宋体" w:cs="宋体"/>
                <w:b/>
                <w:color w:val="auto"/>
                <w:kern w:val="0"/>
                <w:szCs w:val="21"/>
                <w:highlight w:val="none"/>
              </w:rPr>
            </w:pPr>
          </w:p>
        </w:tc>
        <w:tc>
          <w:tcPr>
            <w:tcW w:w="1759" w:type="dxa"/>
            <w:vAlign w:val="center"/>
          </w:tcPr>
          <w:p w14:paraId="1E242F29">
            <w:pPr>
              <w:rPr>
                <w:rFonts w:hint="eastAsia" w:ascii="宋体" w:hAnsi="宋体" w:cs="宋体"/>
                <w:b/>
                <w:color w:val="auto"/>
                <w:kern w:val="0"/>
                <w:szCs w:val="21"/>
                <w:highlight w:val="none"/>
              </w:rPr>
            </w:pPr>
          </w:p>
        </w:tc>
        <w:tc>
          <w:tcPr>
            <w:tcW w:w="1568" w:type="dxa"/>
            <w:vAlign w:val="center"/>
          </w:tcPr>
          <w:p w14:paraId="6D3209A4">
            <w:pPr>
              <w:rPr>
                <w:rFonts w:hint="eastAsia" w:ascii="宋体" w:hAnsi="宋体" w:cs="宋体"/>
                <w:b/>
                <w:color w:val="auto"/>
                <w:kern w:val="0"/>
                <w:szCs w:val="21"/>
                <w:highlight w:val="none"/>
              </w:rPr>
            </w:pPr>
          </w:p>
        </w:tc>
        <w:tc>
          <w:tcPr>
            <w:tcW w:w="1146" w:type="dxa"/>
            <w:vAlign w:val="center"/>
          </w:tcPr>
          <w:p w14:paraId="33A8B8F0">
            <w:pPr>
              <w:rPr>
                <w:rFonts w:hint="eastAsia" w:ascii="宋体" w:hAnsi="宋体" w:cs="宋体"/>
                <w:b/>
                <w:color w:val="auto"/>
                <w:kern w:val="0"/>
                <w:szCs w:val="21"/>
                <w:highlight w:val="none"/>
              </w:rPr>
            </w:pPr>
          </w:p>
        </w:tc>
      </w:tr>
      <w:tr w14:paraId="392814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1FCA5E1E">
            <w:pPr>
              <w:rPr>
                <w:rFonts w:hint="eastAsia" w:ascii="宋体" w:hAnsi="宋体" w:cs="宋体"/>
                <w:b/>
                <w:color w:val="auto"/>
                <w:kern w:val="0"/>
                <w:szCs w:val="21"/>
                <w:highlight w:val="none"/>
              </w:rPr>
            </w:pPr>
          </w:p>
        </w:tc>
        <w:tc>
          <w:tcPr>
            <w:tcW w:w="1214" w:type="dxa"/>
            <w:vAlign w:val="center"/>
          </w:tcPr>
          <w:p w14:paraId="31896543">
            <w:pPr>
              <w:rPr>
                <w:rFonts w:hint="eastAsia" w:ascii="宋体" w:hAnsi="宋体" w:cs="宋体"/>
                <w:b/>
                <w:color w:val="auto"/>
                <w:kern w:val="0"/>
                <w:szCs w:val="21"/>
                <w:highlight w:val="none"/>
              </w:rPr>
            </w:pPr>
          </w:p>
        </w:tc>
        <w:tc>
          <w:tcPr>
            <w:tcW w:w="1391" w:type="dxa"/>
            <w:vAlign w:val="center"/>
          </w:tcPr>
          <w:p w14:paraId="7EFE964D">
            <w:pPr>
              <w:rPr>
                <w:rFonts w:hint="eastAsia" w:ascii="宋体" w:hAnsi="宋体" w:cs="宋体"/>
                <w:b/>
                <w:color w:val="auto"/>
                <w:kern w:val="0"/>
                <w:szCs w:val="21"/>
                <w:highlight w:val="none"/>
              </w:rPr>
            </w:pPr>
          </w:p>
        </w:tc>
        <w:tc>
          <w:tcPr>
            <w:tcW w:w="1554" w:type="dxa"/>
            <w:vAlign w:val="center"/>
          </w:tcPr>
          <w:p w14:paraId="07D8F572">
            <w:pPr>
              <w:rPr>
                <w:rFonts w:hint="eastAsia" w:ascii="宋体" w:hAnsi="宋体" w:cs="宋体"/>
                <w:b/>
                <w:color w:val="auto"/>
                <w:kern w:val="0"/>
                <w:szCs w:val="21"/>
                <w:highlight w:val="none"/>
              </w:rPr>
            </w:pPr>
          </w:p>
        </w:tc>
        <w:tc>
          <w:tcPr>
            <w:tcW w:w="1759" w:type="dxa"/>
            <w:vAlign w:val="center"/>
          </w:tcPr>
          <w:p w14:paraId="294CD86D">
            <w:pPr>
              <w:rPr>
                <w:rFonts w:hint="eastAsia" w:ascii="宋体" w:hAnsi="宋体" w:cs="宋体"/>
                <w:b/>
                <w:color w:val="auto"/>
                <w:kern w:val="0"/>
                <w:szCs w:val="21"/>
                <w:highlight w:val="none"/>
              </w:rPr>
            </w:pPr>
          </w:p>
        </w:tc>
        <w:tc>
          <w:tcPr>
            <w:tcW w:w="1568" w:type="dxa"/>
            <w:vAlign w:val="center"/>
          </w:tcPr>
          <w:p w14:paraId="0417A86A">
            <w:pPr>
              <w:rPr>
                <w:rFonts w:hint="eastAsia" w:ascii="宋体" w:hAnsi="宋体" w:cs="宋体"/>
                <w:b/>
                <w:color w:val="auto"/>
                <w:kern w:val="0"/>
                <w:szCs w:val="21"/>
                <w:highlight w:val="none"/>
              </w:rPr>
            </w:pPr>
          </w:p>
        </w:tc>
        <w:tc>
          <w:tcPr>
            <w:tcW w:w="1146" w:type="dxa"/>
            <w:vAlign w:val="center"/>
          </w:tcPr>
          <w:p w14:paraId="1AA4A3AE">
            <w:pPr>
              <w:rPr>
                <w:rFonts w:hint="eastAsia" w:ascii="宋体" w:hAnsi="宋体" w:cs="宋体"/>
                <w:b/>
                <w:color w:val="auto"/>
                <w:kern w:val="0"/>
                <w:szCs w:val="21"/>
                <w:highlight w:val="none"/>
              </w:rPr>
            </w:pPr>
          </w:p>
        </w:tc>
      </w:tr>
      <w:tr w14:paraId="0054B4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51A3136C">
            <w:pPr>
              <w:rPr>
                <w:rFonts w:hint="eastAsia" w:ascii="宋体" w:hAnsi="宋体" w:cs="宋体"/>
                <w:b/>
                <w:color w:val="auto"/>
                <w:kern w:val="0"/>
                <w:szCs w:val="21"/>
                <w:highlight w:val="none"/>
              </w:rPr>
            </w:pPr>
          </w:p>
        </w:tc>
        <w:tc>
          <w:tcPr>
            <w:tcW w:w="1214" w:type="dxa"/>
            <w:vAlign w:val="center"/>
          </w:tcPr>
          <w:p w14:paraId="782D00EE">
            <w:pPr>
              <w:rPr>
                <w:rFonts w:hint="eastAsia" w:ascii="宋体" w:hAnsi="宋体" w:cs="宋体"/>
                <w:b/>
                <w:color w:val="auto"/>
                <w:kern w:val="0"/>
                <w:szCs w:val="21"/>
                <w:highlight w:val="none"/>
              </w:rPr>
            </w:pPr>
          </w:p>
        </w:tc>
        <w:tc>
          <w:tcPr>
            <w:tcW w:w="1391" w:type="dxa"/>
            <w:vAlign w:val="center"/>
          </w:tcPr>
          <w:p w14:paraId="71899D79">
            <w:pPr>
              <w:rPr>
                <w:rFonts w:hint="eastAsia" w:ascii="宋体" w:hAnsi="宋体" w:cs="宋体"/>
                <w:b/>
                <w:color w:val="auto"/>
                <w:kern w:val="0"/>
                <w:szCs w:val="21"/>
                <w:highlight w:val="none"/>
              </w:rPr>
            </w:pPr>
          </w:p>
        </w:tc>
        <w:tc>
          <w:tcPr>
            <w:tcW w:w="1554" w:type="dxa"/>
            <w:vAlign w:val="center"/>
          </w:tcPr>
          <w:p w14:paraId="476B2444">
            <w:pPr>
              <w:rPr>
                <w:rFonts w:hint="eastAsia" w:ascii="宋体" w:hAnsi="宋体" w:cs="宋体"/>
                <w:b/>
                <w:color w:val="auto"/>
                <w:kern w:val="0"/>
                <w:szCs w:val="21"/>
                <w:highlight w:val="none"/>
              </w:rPr>
            </w:pPr>
          </w:p>
        </w:tc>
        <w:tc>
          <w:tcPr>
            <w:tcW w:w="1759" w:type="dxa"/>
            <w:vAlign w:val="center"/>
          </w:tcPr>
          <w:p w14:paraId="745B2189">
            <w:pPr>
              <w:rPr>
                <w:rFonts w:hint="eastAsia" w:ascii="宋体" w:hAnsi="宋体" w:cs="宋体"/>
                <w:b/>
                <w:color w:val="auto"/>
                <w:kern w:val="0"/>
                <w:szCs w:val="21"/>
                <w:highlight w:val="none"/>
              </w:rPr>
            </w:pPr>
          </w:p>
        </w:tc>
        <w:tc>
          <w:tcPr>
            <w:tcW w:w="1568" w:type="dxa"/>
            <w:vAlign w:val="center"/>
          </w:tcPr>
          <w:p w14:paraId="672286FE">
            <w:pPr>
              <w:rPr>
                <w:rFonts w:hint="eastAsia" w:ascii="宋体" w:hAnsi="宋体" w:cs="宋体"/>
                <w:b/>
                <w:color w:val="auto"/>
                <w:kern w:val="0"/>
                <w:szCs w:val="21"/>
                <w:highlight w:val="none"/>
              </w:rPr>
            </w:pPr>
          </w:p>
        </w:tc>
        <w:tc>
          <w:tcPr>
            <w:tcW w:w="1146" w:type="dxa"/>
            <w:vAlign w:val="center"/>
          </w:tcPr>
          <w:p w14:paraId="32A1B2CA">
            <w:pPr>
              <w:rPr>
                <w:rFonts w:hint="eastAsia" w:ascii="宋体" w:hAnsi="宋体" w:cs="宋体"/>
                <w:b/>
                <w:color w:val="auto"/>
                <w:kern w:val="0"/>
                <w:szCs w:val="21"/>
                <w:highlight w:val="none"/>
              </w:rPr>
            </w:pPr>
          </w:p>
        </w:tc>
      </w:tr>
      <w:tr w14:paraId="1E48F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4C90A5B8">
            <w:pPr>
              <w:rPr>
                <w:rFonts w:hint="eastAsia" w:ascii="宋体" w:hAnsi="宋体" w:cs="宋体"/>
                <w:b/>
                <w:color w:val="auto"/>
                <w:kern w:val="0"/>
                <w:szCs w:val="21"/>
                <w:highlight w:val="none"/>
              </w:rPr>
            </w:pPr>
          </w:p>
        </w:tc>
        <w:tc>
          <w:tcPr>
            <w:tcW w:w="1214" w:type="dxa"/>
            <w:vAlign w:val="center"/>
          </w:tcPr>
          <w:p w14:paraId="6432645A">
            <w:pPr>
              <w:rPr>
                <w:rFonts w:hint="eastAsia" w:ascii="宋体" w:hAnsi="宋体" w:cs="宋体"/>
                <w:b/>
                <w:color w:val="auto"/>
                <w:kern w:val="0"/>
                <w:szCs w:val="21"/>
                <w:highlight w:val="none"/>
              </w:rPr>
            </w:pPr>
          </w:p>
        </w:tc>
        <w:tc>
          <w:tcPr>
            <w:tcW w:w="1391" w:type="dxa"/>
            <w:vAlign w:val="center"/>
          </w:tcPr>
          <w:p w14:paraId="7C40B71E">
            <w:pPr>
              <w:rPr>
                <w:rFonts w:hint="eastAsia" w:ascii="宋体" w:hAnsi="宋体" w:cs="宋体"/>
                <w:b/>
                <w:color w:val="auto"/>
                <w:kern w:val="0"/>
                <w:szCs w:val="21"/>
                <w:highlight w:val="none"/>
              </w:rPr>
            </w:pPr>
          </w:p>
        </w:tc>
        <w:tc>
          <w:tcPr>
            <w:tcW w:w="1554" w:type="dxa"/>
            <w:vAlign w:val="center"/>
          </w:tcPr>
          <w:p w14:paraId="59BE05B7">
            <w:pPr>
              <w:rPr>
                <w:rFonts w:hint="eastAsia" w:ascii="宋体" w:hAnsi="宋体" w:cs="宋体"/>
                <w:b/>
                <w:color w:val="auto"/>
                <w:kern w:val="0"/>
                <w:szCs w:val="21"/>
                <w:highlight w:val="none"/>
              </w:rPr>
            </w:pPr>
          </w:p>
        </w:tc>
        <w:tc>
          <w:tcPr>
            <w:tcW w:w="1759" w:type="dxa"/>
            <w:vAlign w:val="center"/>
          </w:tcPr>
          <w:p w14:paraId="69EE1538">
            <w:pPr>
              <w:rPr>
                <w:rFonts w:hint="eastAsia" w:ascii="宋体" w:hAnsi="宋体" w:cs="宋体"/>
                <w:b/>
                <w:color w:val="auto"/>
                <w:kern w:val="0"/>
                <w:szCs w:val="21"/>
                <w:highlight w:val="none"/>
              </w:rPr>
            </w:pPr>
          </w:p>
        </w:tc>
        <w:tc>
          <w:tcPr>
            <w:tcW w:w="1568" w:type="dxa"/>
            <w:vAlign w:val="center"/>
          </w:tcPr>
          <w:p w14:paraId="6DB0FA14">
            <w:pPr>
              <w:rPr>
                <w:rFonts w:hint="eastAsia" w:ascii="宋体" w:hAnsi="宋体" w:cs="宋体"/>
                <w:b/>
                <w:color w:val="auto"/>
                <w:kern w:val="0"/>
                <w:szCs w:val="21"/>
                <w:highlight w:val="none"/>
              </w:rPr>
            </w:pPr>
          </w:p>
        </w:tc>
        <w:tc>
          <w:tcPr>
            <w:tcW w:w="1146" w:type="dxa"/>
            <w:vAlign w:val="center"/>
          </w:tcPr>
          <w:p w14:paraId="3976D152">
            <w:pPr>
              <w:rPr>
                <w:rFonts w:hint="eastAsia" w:ascii="宋体" w:hAnsi="宋体" w:cs="宋体"/>
                <w:b/>
                <w:color w:val="auto"/>
                <w:kern w:val="0"/>
                <w:szCs w:val="21"/>
                <w:highlight w:val="none"/>
              </w:rPr>
            </w:pPr>
          </w:p>
        </w:tc>
      </w:tr>
      <w:tr w14:paraId="3EA29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0C2A82E">
            <w:pPr>
              <w:rPr>
                <w:rFonts w:hint="eastAsia" w:ascii="宋体" w:hAnsi="宋体" w:cs="宋体"/>
                <w:b/>
                <w:color w:val="auto"/>
                <w:kern w:val="0"/>
                <w:szCs w:val="21"/>
                <w:highlight w:val="none"/>
              </w:rPr>
            </w:pPr>
          </w:p>
        </w:tc>
        <w:tc>
          <w:tcPr>
            <w:tcW w:w="1214" w:type="dxa"/>
            <w:vAlign w:val="center"/>
          </w:tcPr>
          <w:p w14:paraId="76BADC6D">
            <w:pPr>
              <w:rPr>
                <w:rFonts w:hint="eastAsia" w:ascii="宋体" w:hAnsi="宋体" w:cs="宋体"/>
                <w:b/>
                <w:color w:val="auto"/>
                <w:kern w:val="0"/>
                <w:szCs w:val="21"/>
                <w:highlight w:val="none"/>
              </w:rPr>
            </w:pPr>
          </w:p>
        </w:tc>
        <w:tc>
          <w:tcPr>
            <w:tcW w:w="1391" w:type="dxa"/>
            <w:vAlign w:val="center"/>
          </w:tcPr>
          <w:p w14:paraId="79A73B34">
            <w:pPr>
              <w:rPr>
                <w:rFonts w:hint="eastAsia" w:ascii="宋体" w:hAnsi="宋体" w:cs="宋体"/>
                <w:b/>
                <w:color w:val="auto"/>
                <w:kern w:val="0"/>
                <w:szCs w:val="21"/>
                <w:highlight w:val="none"/>
              </w:rPr>
            </w:pPr>
          </w:p>
        </w:tc>
        <w:tc>
          <w:tcPr>
            <w:tcW w:w="1554" w:type="dxa"/>
            <w:vAlign w:val="center"/>
          </w:tcPr>
          <w:p w14:paraId="1F97329A">
            <w:pPr>
              <w:rPr>
                <w:rFonts w:hint="eastAsia" w:ascii="宋体" w:hAnsi="宋体" w:cs="宋体"/>
                <w:b/>
                <w:color w:val="auto"/>
                <w:kern w:val="0"/>
                <w:szCs w:val="21"/>
                <w:highlight w:val="none"/>
              </w:rPr>
            </w:pPr>
          </w:p>
        </w:tc>
        <w:tc>
          <w:tcPr>
            <w:tcW w:w="1759" w:type="dxa"/>
            <w:vAlign w:val="center"/>
          </w:tcPr>
          <w:p w14:paraId="067D0967">
            <w:pPr>
              <w:rPr>
                <w:rFonts w:hint="eastAsia" w:ascii="宋体" w:hAnsi="宋体" w:cs="宋体"/>
                <w:b/>
                <w:color w:val="auto"/>
                <w:kern w:val="0"/>
                <w:szCs w:val="21"/>
                <w:highlight w:val="none"/>
              </w:rPr>
            </w:pPr>
          </w:p>
        </w:tc>
        <w:tc>
          <w:tcPr>
            <w:tcW w:w="1568" w:type="dxa"/>
            <w:vAlign w:val="center"/>
          </w:tcPr>
          <w:p w14:paraId="05DE6487">
            <w:pPr>
              <w:rPr>
                <w:rFonts w:hint="eastAsia" w:ascii="宋体" w:hAnsi="宋体" w:cs="宋体"/>
                <w:b/>
                <w:color w:val="auto"/>
                <w:kern w:val="0"/>
                <w:szCs w:val="21"/>
                <w:highlight w:val="none"/>
              </w:rPr>
            </w:pPr>
          </w:p>
        </w:tc>
        <w:tc>
          <w:tcPr>
            <w:tcW w:w="1146" w:type="dxa"/>
            <w:vAlign w:val="center"/>
          </w:tcPr>
          <w:p w14:paraId="3FC333AF">
            <w:pPr>
              <w:rPr>
                <w:rFonts w:hint="eastAsia" w:ascii="宋体" w:hAnsi="宋体" w:cs="宋体"/>
                <w:b/>
                <w:color w:val="auto"/>
                <w:kern w:val="0"/>
                <w:szCs w:val="21"/>
                <w:highlight w:val="none"/>
              </w:rPr>
            </w:pPr>
          </w:p>
        </w:tc>
      </w:tr>
      <w:tr w14:paraId="71382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E0511F2">
            <w:pPr>
              <w:rPr>
                <w:rFonts w:hint="eastAsia" w:ascii="宋体" w:hAnsi="宋体" w:cs="宋体"/>
                <w:b/>
                <w:color w:val="auto"/>
                <w:kern w:val="0"/>
                <w:szCs w:val="21"/>
                <w:highlight w:val="none"/>
              </w:rPr>
            </w:pPr>
          </w:p>
        </w:tc>
        <w:tc>
          <w:tcPr>
            <w:tcW w:w="1214" w:type="dxa"/>
            <w:vAlign w:val="center"/>
          </w:tcPr>
          <w:p w14:paraId="238E680D">
            <w:pPr>
              <w:rPr>
                <w:rFonts w:hint="eastAsia" w:ascii="宋体" w:hAnsi="宋体" w:cs="宋体"/>
                <w:b/>
                <w:color w:val="auto"/>
                <w:kern w:val="0"/>
                <w:szCs w:val="21"/>
                <w:highlight w:val="none"/>
              </w:rPr>
            </w:pPr>
          </w:p>
        </w:tc>
        <w:tc>
          <w:tcPr>
            <w:tcW w:w="1391" w:type="dxa"/>
            <w:vAlign w:val="center"/>
          </w:tcPr>
          <w:p w14:paraId="293A8D5F">
            <w:pPr>
              <w:rPr>
                <w:rFonts w:hint="eastAsia" w:ascii="宋体" w:hAnsi="宋体" w:cs="宋体"/>
                <w:b/>
                <w:color w:val="auto"/>
                <w:kern w:val="0"/>
                <w:szCs w:val="21"/>
                <w:highlight w:val="none"/>
              </w:rPr>
            </w:pPr>
          </w:p>
        </w:tc>
        <w:tc>
          <w:tcPr>
            <w:tcW w:w="1554" w:type="dxa"/>
            <w:vAlign w:val="center"/>
          </w:tcPr>
          <w:p w14:paraId="464E3666">
            <w:pPr>
              <w:rPr>
                <w:rFonts w:hint="eastAsia" w:ascii="宋体" w:hAnsi="宋体" w:cs="宋体"/>
                <w:b/>
                <w:color w:val="auto"/>
                <w:kern w:val="0"/>
                <w:szCs w:val="21"/>
                <w:highlight w:val="none"/>
              </w:rPr>
            </w:pPr>
          </w:p>
        </w:tc>
        <w:tc>
          <w:tcPr>
            <w:tcW w:w="1759" w:type="dxa"/>
            <w:vAlign w:val="center"/>
          </w:tcPr>
          <w:p w14:paraId="4189CC6F">
            <w:pPr>
              <w:rPr>
                <w:rFonts w:hint="eastAsia" w:ascii="宋体" w:hAnsi="宋体" w:cs="宋体"/>
                <w:b/>
                <w:color w:val="auto"/>
                <w:kern w:val="0"/>
                <w:szCs w:val="21"/>
                <w:highlight w:val="none"/>
              </w:rPr>
            </w:pPr>
          </w:p>
        </w:tc>
        <w:tc>
          <w:tcPr>
            <w:tcW w:w="1568" w:type="dxa"/>
            <w:vAlign w:val="center"/>
          </w:tcPr>
          <w:p w14:paraId="5E748EF2">
            <w:pPr>
              <w:rPr>
                <w:rFonts w:hint="eastAsia" w:ascii="宋体" w:hAnsi="宋体" w:cs="宋体"/>
                <w:b/>
                <w:color w:val="auto"/>
                <w:kern w:val="0"/>
                <w:szCs w:val="21"/>
                <w:highlight w:val="none"/>
              </w:rPr>
            </w:pPr>
          </w:p>
        </w:tc>
        <w:tc>
          <w:tcPr>
            <w:tcW w:w="1146" w:type="dxa"/>
            <w:vAlign w:val="center"/>
          </w:tcPr>
          <w:p w14:paraId="389CC4D6">
            <w:pPr>
              <w:rPr>
                <w:rFonts w:hint="eastAsia" w:ascii="宋体" w:hAnsi="宋体" w:cs="宋体"/>
                <w:b/>
                <w:color w:val="auto"/>
                <w:kern w:val="0"/>
                <w:szCs w:val="21"/>
                <w:highlight w:val="none"/>
              </w:rPr>
            </w:pPr>
          </w:p>
        </w:tc>
      </w:tr>
      <w:tr w14:paraId="2E0926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12487B7C">
            <w:pPr>
              <w:rPr>
                <w:rFonts w:hint="eastAsia" w:ascii="宋体" w:hAnsi="宋体" w:cs="宋体"/>
                <w:b/>
                <w:color w:val="auto"/>
                <w:kern w:val="0"/>
                <w:szCs w:val="21"/>
                <w:highlight w:val="none"/>
              </w:rPr>
            </w:pPr>
          </w:p>
        </w:tc>
        <w:tc>
          <w:tcPr>
            <w:tcW w:w="1214" w:type="dxa"/>
            <w:vAlign w:val="center"/>
          </w:tcPr>
          <w:p w14:paraId="01B5F4AE">
            <w:pPr>
              <w:rPr>
                <w:rFonts w:hint="eastAsia" w:ascii="宋体" w:hAnsi="宋体" w:cs="宋体"/>
                <w:b/>
                <w:color w:val="auto"/>
                <w:kern w:val="0"/>
                <w:szCs w:val="21"/>
                <w:highlight w:val="none"/>
              </w:rPr>
            </w:pPr>
          </w:p>
        </w:tc>
        <w:tc>
          <w:tcPr>
            <w:tcW w:w="1391" w:type="dxa"/>
            <w:vAlign w:val="center"/>
          </w:tcPr>
          <w:p w14:paraId="3C786644">
            <w:pPr>
              <w:rPr>
                <w:rFonts w:hint="eastAsia" w:ascii="宋体" w:hAnsi="宋体" w:cs="宋体"/>
                <w:b/>
                <w:color w:val="auto"/>
                <w:kern w:val="0"/>
                <w:szCs w:val="21"/>
                <w:highlight w:val="none"/>
              </w:rPr>
            </w:pPr>
          </w:p>
        </w:tc>
        <w:tc>
          <w:tcPr>
            <w:tcW w:w="1554" w:type="dxa"/>
            <w:vAlign w:val="center"/>
          </w:tcPr>
          <w:p w14:paraId="71F81B3D">
            <w:pPr>
              <w:rPr>
                <w:rFonts w:hint="eastAsia" w:ascii="宋体" w:hAnsi="宋体" w:cs="宋体"/>
                <w:b/>
                <w:color w:val="auto"/>
                <w:kern w:val="0"/>
                <w:szCs w:val="21"/>
                <w:highlight w:val="none"/>
              </w:rPr>
            </w:pPr>
          </w:p>
        </w:tc>
        <w:tc>
          <w:tcPr>
            <w:tcW w:w="1759" w:type="dxa"/>
            <w:vAlign w:val="center"/>
          </w:tcPr>
          <w:p w14:paraId="5639F084">
            <w:pPr>
              <w:rPr>
                <w:rFonts w:hint="eastAsia" w:ascii="宋体" w:hAnsi="宋体" w:cs="宋体"/>
                <w:b/>
                <w:color w:val="auto"/>
                <w:kern w:val="0"/>
                <w:szCs w:val="21"/>
                <w:highlight w:val="none"/>
              </w:rPr>
            </w:pPr>
          </w:p>
        </w:tc>
        <w:tc>
          <w:tcPr>
            <w:tcW w:w="1568" w:type="dxa"/>
            <w:vAlign w:val="center"/>
          </w:tcPr>
          <w:p w14:paraId="07CCCD73">
            <w:pPr>
              <w:rPr>
                <w:rFonts w:hint="eastAsia" w:ascii="宋体" w:hAnsi="宋体" w:cs="宋体"/>
                <w:b/>
                <w:color w:val="auto"/>
                <w:kern w:val="0"/>
                <w:szCs w:val="21"/>
                <w:highlight w:val="none"/>
              </w:rPr>
            </w:pPr>
          </w:p>
        </w:tc>
        <w:tc>
          <w:tcPr>
            <w:tcW w:w="1146" w:type="dxa"/>
            <w:vAlign w:val="center"/>
          </w:tcPr>
          <w:p w14:paraId="56F271EB">
            <w:pPr>
              <w:rPr>
                <w:rFonts w:hint="eastAsia" w:ascii="宋体" w:hAnsi="宋体" w:cs="宋体"/>
                <w:b/>
                <w:color w:val="auto"/>
                <w:kern w:val="0"/>
                <w:szCs w:val="21"/>
                <w:highlight w:val="none"/>
              </w:rPr>
            </w:pPr>
          </w:p>
        </w:tc>
      </w:tr>
      <w:tr w14:paraId="46AED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301AC0CE">
            <w:pPr>
              <w:rPr>
                <w:rFonts w:hint="eastAsia" w:ascii="宋体" w:hAnsi="宋体" w:cs="宋体"/>
                <w:b/>
                <w:color w:val="auto"/>
                <w:kern w:val="0"/>
                <w:szCs w:val="21"/>
                <w:highlight w:val="none"/>
              </w:rPr>
            </w:pPr>
          </w:p>
        </w:tc>
        <w:tc>
          <w:tcPr>
            <w:tcW w:w="1214" w:type="dxa"/>
            <w:vAlign w:val="center"/>
          </w:tcPr>
          <w:p w14:paraId="0D637708">
            <w:pPr>
              <w:rPr>
                <w:rFonts w:hint="eastAsia" w:ascii="宋体" w:hAnsi="宋体" w:cs="宋体"/>
                <w:b/>
                <w:color w:val="auto"/>
                <w:kern w:val="0"/>
                <w:szCs w:val="21"/>
                <w:highlight w:val="none"/>
              </w:rPr>
            </w:pPr>
          </w:p>
        </w:tc>
        <w:tc>
          <w:tcPr>
            <w:tcW w:w="1391" w:type="dxa"/>
            <w:vAlign w:val="center"/>
          </w:tcPr>
          <w:p w14:paraId="3BDA195E">
            <w:pPr>
              <w:rPr>
                <w:rFonts w:hint="eastAsia" w:ascii="宋体" w:hAnsi="宋体" w:cs="宋体"/>
                <w:b/>
                <w:color w:val="auto"/>
                <w:kern w:val="0"/>
                <w:szCs w:val="21"/>
                <w:highlight w:val="none"/>
              </w:rPr>
            </w:pPr>
          </w:p>
        </w:tc>
        <w:tc>
          <w:tcPr>
            <w:tcW w:w="1554" w:type="dxa"/>
            <w:vAlign w:val="center"/>
          </w:tcPr>
          <w:p w14:paraId="390BEC1D">
            <w:pPr>
              <w:rPr>
                <w:rFonts w:hint="eastAsia" w:ascii="宋体" w:hAnsi="宋体" w:cs="宋体"/>
                <w:b/>
                <w:color w:val="auto"/>
                <w:kern w:val="0"/>
                <w:szCs w:val="21"/>
                <w:highlight w:val="none"/>
              </w:rPr>
            </w:pPr>
          </w:p>
        </w:tc>
        <w:tc>
          <w:tcPr>
            <w:tcW w:w="1759" w:type="dxa"/>
            <w:vAlign w:val="center"/>
          </w:tcPr>
          <w:p w14:paraId="196DDA85">
            <w:pPr>
              <w:rPr>
                <w:rFonts w:hint="eastAsia" w:ascii="宋体" w:hAnsi="宋体" w:cs="宋体"/>
                <w:b/>
                <w:color w:val="auto"/>
                <w:kern w:val="0"/>
                <w:szCs w:val="21"/>
                <w:highlight w:val="none"/>
              </w:rPr>
            </w:pPr>
          </w:p>
        </w:tc>
        <w:tc>
          <w:tcPr>
            <w:tcW w:w="1568" w:type="dxa"/>
            <w:vAlign w:val="center"/>
          </w:tcPr>
          <w:p w14:paraId="2664ECD2">
            <w:pPr>
              <w:rPr>
                <w:rFonts w:hint="eastAsia" w:ascii="宋体" w:hAnsi="宋体" w:cs="宋体"/>
                <w:b/>
                <w:color w:val="auto"/>
                <w:kern w:val="0"/>
                <w:szCs w:val="21"/>
                <w:highlight w:val="none"/>
              </w:rPr>
            </w:pPr>
          </w:p>
        </w:tc>
        <w:tc>
          <w:tcPr>
            <w:tcW w:w="1146" w:type="dxa"/>
            <w:vAlign w:val="center"/>
          </w:tcPr>
          <w:p w14:paraId="08DDF93A">
            <w:pPr>
              <w:rPr>
                <w:rFonts w:hint="eastAsia" w:ascii="宋体" w:hAnsi="宋体" w:cs="宋体"/>
                <w:b/>
                <w:color w:val="auto"/>
                <w:kern w:val="0"/>
                <w:szCs w:val="21"/>
                <w:highlight w:val="none"/>
              </w:rPr>
            </w:pPr>
          </w:p>
        </w:tc>
      </w:tr>
      <w:tr w14:paraId="5390DA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3D7D9A4A">
            <w:pPr>
              <w:rPr>
                <w:rFonts w:hint="eastAsia" w:ascii="宋体" w:hAnsi="宋体" w:cs="宋体"/>
                <w:b/>
                <w:color w:val="auto"/>
                <w:kern w:val="0"/>
                <w:szCs w:val="21"/>
                <w:highlight w:val="none"/>
              </w:rPr>
            </w:pPr>
          </w:p>
        </w:tc>
        <w:tc>
          <w:tcPr>
            <w:tcW w:w="1214" w:type="dxa"/>
            <w:vAlign w:val="center"/>
          </w:tcPr>
          <w:p w14:paraId="1694E1AD">
            <w:pPr>
              <w:rPr>
                <w:rFonts w:hint="eastAsia" w:ascii="宋体" w:hAnsi="宋体" w:cs="宋体"/>
                <w:b/>
                <w:color w:val="auto"/>
                <w:kern w:val="0"/>
                <w:szCs w:val="21"/>
                <w:highlight w:val="none"/>
              </w:rPr>
            </w:pPr>
          </w:p>
        </w:tc>
        <w:tc>
          <w:tcPr>
            <w:tcW w:w="1391" w:type="dxa"/>
            <w:vAlign w:val="center"/>
          </w:tcPr>
          <w:p w14:paraId="68A266B0">
            <w:pPr>
              <w:rPr>
                <w:rFonts w:hint="eastAsia" w:ascii="宋体" w:hAnsi="宋体" w:cs="宋体"/>
                <w:b/>
                <w:color w:val="auto"/>
                <w:kern w:val="0"/>
                <w:szCs w:val="21"/>
                <w:highlight w:val="none"/>
              </w:rPr>
            </w:pPr>
          </w:p>
        </w:tc>
        <w:tc>
          <w:tcPr>
            <w:tcW w:w="1554" w:type="dxa"/>
            <w:vAlign w:val="center"/>
          </w:tcPr>
          <w:p w14:paraId="394A5AA9">
            <w:pPr>
              <w:rPr>
                <w:rFonts w:hint="eastAsia" w:ascii="宋体" w:hAnsi="宋体" w:cs="宋体"/>
                <w:b/>
                <w:color w:val="auto"/>
                <w:kern w:val="0"/>
                <w:szCs w:val="21"/>
                <w:highlight w:val="none"/>
              </w:rPr>
            </w:pPr>
          </w:p>
        </w:tc>
        <w:tc>
          <w:tcPr>
            <w:tcW w:w="1759" w:type="dxa"/>
            <w:vAlign w:val="center"/>
          </w:tcPr>
          <w:p w14:paraId="7484CE5F">
            <w:pPr>
              <w:rPr>
                <w:rFonts w:hint="eastAsia" w:ascii="宋体" w:hAnsi="宋体" w:cs="宋体"/>
                <w:b/>
                <w:color w:val="auto"/>
                <w:kern w:val="0"/>
                <w:szCs w:val="21"/>
                <w:highlight w:val="none"/>
              </w:rPr>
            </w:pPr>
          </w:p>
        </w:tc>
        <w:tc>
          <w:tcPr>
            <w:tcW w:w="1568" w:type="dxa"/>
            <w:vAlign w:val="center"/>
          </w:tcPr>
          <w:p w14:paraId="25EE0F92">
            <w:pPr>
              <w:rPr>
                <w:rFonts w:hint="eastAsia" w:ascii="宋体" w:hAnsi="宋体" w:cs="宋体"/>
                <w:b/>
                <w:color w:val="auto"/>
                <w:kern w:val="0"/>
                <w:szCs w:val="21"/>
                <w:highlight w:val="none"/>
              </w:rPr>
            </w:pPr>
          </w:p>
        </w:tc>
        <w:tc>
          <w:tcPr>
            <w:tcW w:w="1146" w:type="dxa"/>
            <w:vAlign w:val="center"/>
          </w:tcPr>
          <w:p w14:paraId="38D80DA9">
            <w:pPr>
              <w:rPr>
                <w:rFonts w:hint="eastAsia" w:ascii="宋体" w:hAnsi="宋体" w:cs="宋体"/>
                <w:b/>
                <w:color w:val="auto"/>
                <w:kern w:val="0"/>
                <w:szCs w:val="21"/>
                <w:highlight w:val="none"/>
              </w:rPr>
            </w:pPr>
          </w:p>
        </w:tc>
      </w:tr>
      <w:tr w14:paraId="0936C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7708D28C">
            <w:pPr>
              <w:rPr>
                <w:rFonts w:hint="eastAsia" w:ascii="宋体" w:hAnsi="宋体" w:cs="宋体"/>
                <w:b/>
                <w:color w:val="auto"/>
                <w:kern w:val="0"/>
                <w:szCs w:val="21"/>
                <w:highlight w:val="none"/>
              </w:rPr>
            </w:pPr>
          </w:p>
        </w:tc>
        <w:tc>
          <w:tcPr>
            <w:tcW w:w="1214" w:type="dxa"/>
            <w:vAlign w:val="center"/>
          </w:tcPr>
          <w:p w14:paraId="288231CF">
            <w:pPr>
              <w:rPr>
                <w:rFonts w:hint="eastAsia" w:ascii="宋体" w:hAnsi="宋体" w:cs="宋体"/>
                <w:b/>
                <w:color w:val="auto"/>
                <w:kern w:val="0"/>
                <w:szCs w:val="21"/>
                <w:highlight w:val="none"/>
              </w:rPr>
            </w:pPr>
          </w:p>
        </w:tc>
        <w:tc>
          <w:tcPr>
            <w:tcW w:w="1391" w:type="dxa"/>
            <w:vAlign w:val="center"/>
          </w:tcPr>
          <w:p w14:paraId="25BD89DF">
            <w:pPr>
              <w:rPr>
                <w:rFonts w:hint="eastAsia" w:ascii="宋体" w:hAnsi="宋体" w:cs="宋体"/>
                <w:b/>
                <w:color w:val="auto"/>
                <w:kern w:val="0"/>
                <w:szCs w:val="21"/>
                <w:highlight w:val="none"/>
              </w:rPr>
            </w:pPr>
          </w:p>
        </w:tc>
        <w:tc>
          <w:tcPr>
            <w:tcW w:w="1554" w:type="dxa"/>
            <w:vAlign w:val="center"/>
          </w:tcPr>
          <w:p w14:paraId="735F0846">
            <w:pPr>
              <w:rPr>
                <w:rFonts w:hint="eastAsia" w:ascii="宋体" w:hAnsi="宋体" w:cs="宋体"/>
                <w:b/>
                <w:color w:val="auto"/>
                <w:kern w:val="0"/>
                <w:szCs w:val="21"/>
                <w:highlight w:val="none"/>
              </w:rPr>
            </w:pPr>
          </w:p>
        </w:tc>
        <w:tc>
          <w:tcPr>
            <w:tcW w:w="1759" w:type="dxa"/>
            <w:vAlign w:val="center"/>
          </w:tcPr>
          <w:p w14:paraId="1FCD6496">
            <w:pPr>
              <w:rPr>
                <w:rFonts w:hint="eastAsia" w:ascii="宋体" w:hAnsi="宋体" w:cs="宋体"/>
                <w:b/>
                <w:color w:val="auto"/>
                <w:kern w:val="0"/>
                <w:szCs w:val="21"/>
                <w:highlight w:val="none"/>
              </w:rPr>
            </w:pPr>
          </w:p>
        </w:tc>
        <w:tc>
          <w:tcPr>
            <w:tcW w:w="1568" w:type="dxa"/>
            <w:vAlign w:val="center"/>
          </w:tcPr>
          <w:p w14:paraId="25988B69">
            <w:pPr>
              <w:rPr>
                <w:rFonts w:hint="eastAsia" w:ascii="宋体" w:hAnsi="宋体" w:cs="宋体"/>
                <w:b/>
                <w:color w:val="auto"/>
                <w:kern w:val="0"/>
                <w:szCs w:val="21"/>
                <w:highlight w:val="none"/>
              </w:rPr>
            </w:pPr>
          </w:p>
        </w:tc>
        <w:tc>
          <w:tcPr>
            <w:tcW w:w="1146" w:type="dxa"/>
            <w:vAlign w:val="center"/>
          </w:tcPr>
          <w:p w14:paraId="68290878">
            <w:pPr>
              <w:rPr>
                <w:rFonts w:hint="eastAsia" w:ascii="宋体" w:hAnsi="宋体" w:cs="宋体"/>
                <w:b/>
                <w:color w:val="auto"/>
                <w:kern w:val="0"/>
                <w:szCs w:val="21"/>
                <w:highlight w:val="none"/>
              </w:rPr>
            </w:pPr>
          </w:p>
        </w:tc>
      </w:tr>
      <w:tr w14:paraId="26A1A4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41" w:type="dxa"/>
            <w:vAlign w:val="center"/>
          </w:tcPr>
          <w:p w14:paraId="16A8FEFF">
            <w:pPr>
              <w:rPr>
                <w:rFonts w:hint="eastAsia" w:ascii="宋体" w:hAnsi="宋体" w:cs="宋体"/>
                <w:b/>
                <w:color w:val="auto"/>
                <w:kern w:val="0"/>
                <w:szCs w:val="21"/>
                <w:highlight w:val="none"/>
              </w:rPr>
            </w:pPr>
          </w:p>
        </w:tc>
        <w:tc>
          <w:tcPr>
            <w:tcW w:w="1214" w:type="dxa"/>
            <w:vAlign w:val="center"/>
          </w:tcPr>
          <w:p w14:paraId="6C4B32A8">
            <w:pPr>
              <w:rPr>
                <w:rFonts w:hint="eastAsia" w:ascii="宋体" w:hAnsi="宋体" w:cs="宋体"/>
                <w:b/>
                <w:color w:val="auto"/>
                <w:kern w:val="0"/>
                <w:szCs w:val="21"/>
                <w:highlight w:val="none"/>
              </w:rPr>
            </w:pPr>
          </w:p>
        </w:tc>
        <w:tc>
          <w:tcPr>
            <w:tcW w:w="1391" w:type="dxa"/>
            <w:vAlign w:val="center"/>
          </w:tcPr>
          <w:p w14:paraId="1BE355D0">
            <w:pPr>
              <w:rPr>
                <w:rFonts w:hint="eastAsia" w:ascii="宋体" w:hAnsi="宋体" w:cs="宋体"/>
                <w:b/>
                <w:color w:val="auto"/>
                <w:kern w:val="0"/>
                <w:szCs w:val="21"/>
                <w:highlight w:val="none"/>
              </w:rPr>
            </w:pPr>
          </w:p>
        </w:tc>
        <w:tc>
          <w:tcPr>
            <w:tcW w:w="1554" w:type="dxa"/>
            <w:vAlign w:val="center"/>
          </w:tcPr>
          <w:p w14:paraId="7B5FCCEC">
            <w:pPr>
              <w:rPr>
                <w:rFonts w:hint="eastAsia" w:ascii="宋体" w:hAnsi="宋体" w:cs="宋体"/>
                <w:b/>
                <w:color w:val="auto"/>
                <w:kern w:val="0"/>
                <w:szCs w:val="21"/>
                <w:highlight w:val="none"/>
              </w:rPr>
            </w:pPr>
          </w:p>
        </w:tc>
        <w:tc>
          <w:tcPr>
            <w:tcW w:w="1759" w:type="dxa"/>
            <w:vAlign w:val="center"/>
          </w:tcPr>
          <w:p w14:paraId="25457B10">
            <w:pPr>
              <w:rPr>
                <w:rFonts w:hint="eastAsia" w:ascii="宋体" w:hAnsi="宋体" w:cs="宋体"/>
                <w:b/>
                <w:color w:val="auto"/>
                <w:kern w:val="0"/>
                <w:szCs w:val="21"/>
                <w:highlight w:val="none"/>
              </w:rPr>
            </w:pPr>
          </w:p>
        </w:tc>
        <w:tc>
          <w:tcPr>
            <w:tcW w:w="1568" w:type="dxa"/>
            <w:vAlign w:val="center"/>
          </w:tcPr>
          <w:p w14:paraId="758EDC11">
            <w:pPr>
              <w:rPr>
                <w:rFonts w:hint="eastAsia" w:ascii="宋体" w:hAnsi="宋体" w:cs="宋体"/>
                <w:b/>
                <w:color w:val="auto"/>
                <w:kern w:val="0"/>
                <w:szCs w:val="21"/>
                <w:highlight w:val="none"/>
              </w:rPr>
            </w:pPr>
          </w:p>
        </w:tc>
        <w:tc>
          <w:tcPr>
            <w:tcW w:w="1146" w:type="dxa"/>
            <w:vAlign w:val="center"/>
          </w:tcPr>
          <w:p w14:paraId="049D6E6B">
            <w:pPr>
              <w:rPr>
                <w:rFonts w:hint="eastAsia" w:ascii="宋体" w:hAnsi="宋体" w:cs="宋体"/>
                <w:b/>
                <w:color w:val="auto"/>
                <w:kern w:val="0"/>
                <w:szCs w:val="21"/>
                <w:highlight w:val="none"/>
              </w:rPr>
            </w:pPr>
          </w:p>
        </w:tc>
      </w:tr>
      <w:tr w14:paraId="0BEF4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41" w:type="dxa"/>
            <w:vAlign w:val="center"/>
          </w:tcPr>
          <w:p w14:paraId="22276A52">
            <w:pPr>
              <w:rPr>
                <w:rFonts w:hint="eastAsia" w:ascii="宋体" w:hAnsi="宋体" w:cs="宋体"/>
                <w:b/>
                <w:color w:val="auto"/>
                <w:kern w:val="0"/>
                <w:szCs w:val="21"/>
                <w:highlight w:val="none"/>
              </w:rPr>
            </w:pPr>
          </w:p>
        </w:tc>
        <w:tc>
          <w:tcPr>
            <w:tcW w:w="1214" w:type="dxa"/>
            <w:vAlign w:val="center"/>
          </w:tcPr>
          <w:p w14:paraId="5D26864E">
            <w:pPr>
              <w:rPr>
                <w:rFonts w:hint="eastAsia" w:ascii="宋体" w:hAnsi="宋体" w:cs="宋体"/>
                <w:b/>
                <w:color w:val="auto"/>
                <w:kern w:val="0"/>
                <w:szCs w:val="21"/>
                <w:highlight w:val="none"/>
              </w:rPr>
            </w:pPr>
          </w:p>
        </w:tc>
        <w:tc>
          <w:tcPr>
            <w:tcW w:w="1391" w:type="dxa"/>
            <w:vAlign w:val="center"/>
          </w:tcPr>
          <w:p w14:paraId="29FB5938">
            <w:pPr>
              <w:rPr>
                <w:rFonts w:hint="eastAsia" w:ascii="宋体" w:hAnsi="宋体" w:cs="宋体"/>
                <w:b/>
                <w:color w:val="auto"/>
                <w:kern w:val="0"/>
                <w:szCs w:val="21"/>
                <w:highlight w:val="none"/>
              </w:rPr>
            </w:pPr>
          </w:p>
        </w:tc>
        <w:tc>
          <w:tcPr>
            <w:tcW w:w="1554" w:type="dxa"/>
            <w:vAlign w:val="center"/>
          </w:tcPr>
          <w:p w14:paraId="2A9A8EFD">
            <w:pPr>
              <w:rPr>
                <w:rFonts w:hint="eastAsia" w:ascii="宋体" w:hAnsi="宋体" w:cs="宋体"/>
                <w:b/>
                <w:color w:val="auto"/>
                <w:kern w:val="0"/>
                <w:szCs w:val="21"/>
                <w:highlight w:val="none"/>
              </w:rPr>
            </w:pPr>
          </w:p>
        </w:tc>
        <w:tc>
          <w:tcPr>
            <w:tcW w:w="1759" w:type="dxa"/>
            <w:vAlign w:val="center"/>
          </w:tcPr>
          <w:p w14:paraId="066C4AFE">
            <w:pPr>
              <w:rPr>
                <w:rFonts w:hint="eastAsia" w:ascii="宋体" w:hAnsi="宋体" w:cs="宋体"/>
                <w:b/>
                <w:color w:val="auto"/>
                <w:kern w:val="0"/>
                <w:szCs w:val="21"/>
                <w:highlight w:val="none"/>
              </w:rPr>
            </w:pPr>
          </w:p>
        </w:tc>
        <w:tc>
          <w:tcPr>
            <w:tcW w:w="1568" w:type="dxa"/>
            <w:vAlign w:val="center"/>
          </w:tcPr>
          <w:p w14:paraId="0385A5E7">
            <w:pPr>
              <w:rPr>
                <w:rFonts w:hint="eastAsia" w:ascii="宋体" w:hAnsi="宋体" w:cs="宋体"/>
                <w:b/>
                <w:color w:val="auto"/>
                <w:kern w:val="0"/>
                <w:szCs w:val="21"/>
                <w:highlight w:val="none"/>
              </w:rPr>
            </w:pPr>
          </w:p>
        </w:tc>
        <w:tc>
          <w:tcPr>
            <w:tcW w:w="1146" w:type="dxa"/>
            <w:vAlign w:val="center"/>
          </w:tcPr>
          <w:p w14:paraId="393A482A">
            <w:pPr>
              <w:rPr>
                <w:rFonts w:hint="eastAsia" w:ascii="宋体" w:hAnsi="宋体" w:cs="宋体"/>
                <w:b/>
                <w:color w:val="auto"/>
                <w:kern w:val="0"/>
                <w:szCs w:val="21"/>
                <w:highlight w:val="none"/>
              </w:rPr>
            </w:pPr>
          </w:p>
        </w:tc>
      </w:tr>
    </w:tbl>
    <w:p w14:paraId="752018C1">
      <w:pPr>
        <w:ind w:left="-708" w:leftChars="-337" w:right="-850" w:rightChars="-405" w:firstLine="632" w:firstLineChars="300"/>
        <w:rPr>
          <w:rFonts w:hint="eastAsia" w:ascii="宋体" w:hAnsi="宋体" w:cs="宋体"/>
          <w:b/>
          <w:color w:val="auto"/>
          <w:kern w:val="0"/>
          <w:szCs w:val="21"/>
          <w:highlight w:val="none"/>
        </w:rPr>
      </w:pPr>
      <w:r>
        <w:rPr>
          <w:rFonts w:hint="eastAsia" w:ascii="宋体" w:hAnsi="宋体" w:cs="宋体"/>
          <w:b/>
          <w:color w:val="auto"/>
          <w:kern w:val="0"/>
          <w:szCs w:val="21"/>
          <w:highlight w:val="none"/>
        </w:rPr>
        <w:t>注：后附相关证明材料。</w:t>
      </w:r>
    </w:p>
    <w:p w14:paraId="6B628F2F">
      <w:pPr>
        <w:rPr>
          <w:rFonts w:hint="eastAsia" w:ascii="宋体" w:hAnsi="宋体" w:cs="宋体"/>
          <w:b/>
          <w:color w:val="auto"/>
          <w:kern w:val="0"/>
          <w:szCs w:val="21"/>
          <w:highlight w:val="none"/>
          <w:u w:val="single"/>
        </w:rPr>
      </w:pPr>
    </w:p>
    <w:p w14:paraId="3F1BEDA5">
      <w:pPr>
        <w:rPr>
          <w:rFonts w:hint="eastAsia" w:ascii="宋体" w:hAnsi="宋体" w:cs="宋体"/>
          <w:b/>
          <w:color w:val="auto"/>
          <w:kern w:val="0"/>
          <w:szCs w:val="21"/>
          <w:highlight w:val="none"/>
          <w:u w:val="single"/>
        </w:rPr>
      </w:pPr>
    </w:p>
    <w:p w14:paraId="2D789840">
      <w:pPr>
        <w:rPr>
          <w:rFonts w:hint="eastAsia" w:ascii="宋体" w:hAnsi="宋体" w:cs="宋体"/>
          <w:b/>
          <w:color w:val="auto"/>
          <w:kern w:val="0"/>
          <w:szCs w:val="21"/>
          <w:highlight w:val="none"/>
          <w:u w:val="single"/>
        </w:rPr>
      </w:pPr>
    </w:p>
    <w:p w14:paraId="0675A9C4">
      <w:pPr>
        <w:spacing w:line="360" w:lineRule="auto"/>
        <w:ind w:firstLine="1260" w:firstLineChars="600"/>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6AFE87DC">
      <w:pPr>
        <w:pStyle w:val="4"/>
        <w:rPr>
          <w:rFonts w:hint="eastAsia" w:ascii="宋体" w:hAnsi="宋体" w:eastAsia="宋体" w:cs="宋体"/>
          <w:color w:val="auto"/>
          <w:sz w:val="21"/>
          <w:szCs w:val="21"/>
          <w:highlight w:val="none"/>
        </w:rPr>
      </w:pPr>
    </w:p>
    <w:p w14:paraId="41AF03F3">
      <w:pPr>
        <w:rPr>
          <w:rFonts w:hint="eastAsia" w:ascii="宋体" w:hAnsi="宋体" w:cs="宋体"/>
          <w:color w:val="auto"/>
          <w:szCs w:val="21"/>
          <w:highlight w:val="none"/>
        </w:rPr>
      </w:pPr>
    </w:p>
    <w:p w14:paraId="72375305">
      <w:pPr>
        <w:pStyle w:val="22"/>
        <w:rPr>
          <w:rFonts w:hint="eastAsia" w:ascii="宋体" w:hAnsi="宋体" w:eastAsia="宋体" w:cs="宋体"/>
          <w:color w:val="auto"/>
          <w:sz w:val="21"/>
          <w:szCs w:val="21"/>
          <w:highlight w:val="none"/>
        </w:rPr>
      </w:pPr>
    </w:p>
    <w:p w14:paraId="4F78ED89">
      <w:pPr>
        <w:rPr>
          <w:rFonts w:hint="eastAsia" w:ascii="宋体" w:hAnsi="宋体" w:cs="宋体"/>
          <w:color w:val="auto"/>
          <w:szCs w:val="21"/>
          <w:highlight w:val="none"/>
        </w:rPr>
      </w:pPr>
    </w:p>
    <w:p w14:paraId="6D3D9162">
      <w:pPr>
        <w:pStyle w:val="22"/>
        <w:rPr>
          <w:rFonts w:hint="eastAsia" w:ascii="宋体" w:hAnsi="宋体" w:eastAsia="宋体" w:cs="宋体"/>
          <w:color w:val="auto"/>
          <w:sz w:val="21"/>
          <w:szCs w:val="21"/>
          <w:highlight w:val="none"/>
        </w:rPr>
      </w:pPr>
    </w:p>
    <w:p w14:paraId="6DFF5D07">
      <w:pPr>
        <w:rPr>
          <w:rFonts w:hint="eastAsia" w:ascii="宋体" w:hAnsi="宋体" w:cs="宋体"/>
          <w:color w:val="auto"/>
          <w:szCs w:val="21"/>
          <w:highlight w:val="none"/>
        </w:rPr>
      </w:pPr>
    </w:p>
    <w:p w14:paraId="78A0BC44">
      <w:pPr>
        <w:rPr>
          <w:rFonts w:hint="eastAsia" w:ascii="宋体" w:hAnsi="宋体" w:cs="宋体"/>
          <w:color w:val="auto"/>
          <w:szCs w:val="21"/>
          <w:highlight w:val="none"/>
        </w:rPr>
      </w:pPr>
    </w:p>
    <w:p w14:paraId="49637E1B">
      <w:pPr>
        <w:pStyle w:val="22"/>
        <w:rPr>
          <w:rFonts w:hint="eastAsia" w:ascii="宋体" w:hAnsi="宋体" w:eastAsia="宋体" w:cs="宋体"/>
          <w:color w:val="auto"/>
          <w:highlight w:val="none"/>
        </w:rPr>
      </w:pPr>
    </w:p>
    <w:p w14:paraId="08E99FF6">
      <w:pPr>
        <w:pStyle w:val="22"/>
        <w:rPr>
          <w:rFonts w:hint="eastAsia" w:ascii="宋体" w:hAnsi="宋体" w:eastAsia="宋体" w:cs="宋体"/>
          <w:color w:val="auto"/>
          <w:sz w:val="21"/>
          <w:szCs w:val="21"/>
          <w:highlight w:val="none"/>
        </w:rPr>
      </w:pPr>
    </w:p>
    <w:p w14:paraId="05AA6528">
      <w:pPr>
        <w:numPr>
          <w:ilvl w:val="0"/>
          <w:numId w:val="15"/>
        </w:numPr>
        <w:spacing w:line="360" w:lineRule="auto"/>
        <w:jc w:val="center"/>
        <w:rPr>
          <w:rFonts w:hint="eastAsia" w:ascii="宋体" w:hAnsi="宋体" w:cs="宋体"/>
          <w:b/>
          <w:color w:val="auto"/>
          <w:sz w:val="30"/>
          <w:highlight w:val="none"/>
        </w:rPr>
      </w:pPr>
      <w:r>
        <w:rPr>
          <w:rFonts w:hint="eastAsia" w:ascii="宋体" w:hAnsi="宋体" w:cs="宋体"/>
          <w:b/>
          <w:color w:val="auto"/>
          <w:sz w:val="30"/>
          <w:highlight w:val="none"/>
        </w:rPr>
        <w:t>投放本项目机械设备表</w:t>
      </w:r>
    </w:p>
    <w:p w14:paraId="74F75943">
      <w:pPr>
        <w:pStyle w:val="313"/>
        <w:spacing w:line="360" w:lineRule="exact"/>
        <w:jc w:val="center"/>
        <w:rPr>
          <w:rFonts w:hint="eastAsia" w:ascii="宋体" w:hAnsi="宋体" w:cs="宋体"/>
          <w:b/>
          <w:color w:val="auto"/>
          <w:sz w:val="30"/>
          <w:highlight w:val="none"/>
        </w:rPr>
      </w:pPr>
      <w:r>
        <w:rPr>
          <w:rFonts w:hint="eastAsia" w:ascii="宋体" w:hAnsi="宋体" w:cs="宋体"/>
          <w:b/>
          <w:bCs/>
          <w:color w:val="auto"/>
          <w:szCs w:val="21"/>
          <w:highlight w:val="none"/>
        </w:rPr>
        <w:t>（注：格式仅供参考，可以根据实际情况自行设计）</w:t>
      </w:r>
    </w:p>
    <w:p w14:paraId="50286636">
      <w:pPr>
        <w:pStyle w:val="29"/>
        <w:spacing w:line="360" w:lineRule="auto"/>
        <w:ind w:firstLine="600"/>
        <w:rPr>
          <w:rFonts w:hint="eastAsia" w:hAnsi="宋体" w:cs="宋体"/>
          <w:color w:val="auto"/>
          <w:szCs w:val="21"/>
          <w:highlight w:val="none"/>
        </w:rPr>
      </w:pPr>
    </w:p>
    <w:p w14:paraId="38E5FDA9">
      <w:pPr>
        <w:pStyle w:val="21"/>
        <w:rPr>
          <w:rFonts w:hint="eastAsia" w:ascii="宋体" w:hAnsi="宋体" w:eastAsia="宋体" w:cs="宋体"/>
          <w:color w:val="auto"/>
          <w:sz w:val="21"/>
          <w:szCs w:val="21"/>
          <w:highlight w:val="none"/>
        </w:rPr>
      </w:pPr>
    </w:p>
    <w:p w14:paraId="6A410047">
      <w:pPr>
        <w:pStyle w:val="22"/>
        <w:rPr>
          <w:rFonts w:hint="eastAsia" w:ascii="宋体" w:hAnsi="宋体" w:eastAsia="宋体" w:cs="宋体"/>
          <w:color w:val="auto"/>
          <w:highlight w:val="none"/>
          <w:lang w:val="en-US"/>
        </w:rPr>
      </w:pPr>
    </w:p>
    <w:p w14:paraId="5AB4935C">
      <w:pPr>
        <w:pStyle w:val="29"/>
        <w:spacing w:line="360" w:lineRule="auto"/>
        <w:ind w:firstLine="600"/>
        <w:rPr>
          <w:rFonts w:hint="eastAsia" w:hAnsi="宋体" w:cs="宋体"/>
          <w:color w:val="auto"/>
          <w:szCs w:val="21"/>
          <w:highlight w:val="none"/>
        </w:rPr>
      </w:pPr>
      <w:r>
        <w:rPr>
          <w:rFonts w:hint="eastAsia" w:hAnsi="宋体" w:cs="宋体"/>
          <w:color w:val="auto"/>
          <w:szCs w:val="21"/>
          <w:highlight w:val="none"/>
        </w:rPr>
        <w:t>注: 后附针对本项目拟投入的机械设备的证明资料扫描件。</w:t>
      </w:r>
    </w:p>
    <w:p w14:paraId="5C861C04">
      <w:pPr>
        <w:rPr>
          <w:rFonts w:hint="eastAsia" w:ascii="宋体" w:hAnsi="宋体" w:cs="宋体"/>
          <w:color w:val="auto"/>
          <w:highlight w:val="none"/>
        </w:rPr>
      </w:pPr>
    </w:p>
    <w:p w14:paraId="1FEDBF5D">
      <w:pPr>
        <w:rPr>
          <w:rFonts w:hint="eastAsia" w:ascii="宋体" w:hAnsi="宋体" w:cs="宋体"/>
          <w:color w:val="auto"/>
          <w:szCs w:val="21"/>
          <w:highlight w:val="none"/>
        </w:rPr>
      </w:pPr>
    </w:p>
    <w:p w14:paraId="7ED31A90">
      <w:pPr>
        <w:pStyle w:val="4"/>
        <w:rPr>
          <w:rFonts w:hint="eastAsia" w:ascii="宋体" w:hAnsi="宋体" w:eastAsia="宋体" w:cs="宋体"/>
          <w:color w:val="auto"/>
          <w:highlight w:val="none"/>
        </w:rPr>
      </w:pPr>
    </w:p>
    <w:p w14:paraId="03AF06F8">
      <w:pPr>
        <w:rPr>
          <w:rFonts w:hint="eastAsia" w:ascii="宋体" w:hAnsi="宋体" w:cs="宋体"/>
          <w:color w:val="auto"/>
          <w:highlight w:val="none"/>
        </w:rPr>
      </w:pPr>
    </w:p>
    <w:p w14:paraId="6CAB06EC">
      <w:pPr>
        <w:spacing w:line="360" w:lineRule="auto"/>
        <w:ind w:firstLine="1928" w:firstLineChars="600"/>
        <w:rPr>
          <w:rFonts w:hint="eastAsia" w:ascii="宋体" w:hAnsi="宋体" w:cs="宋体"/>
          <w:b/>
          <w:color w:val="auto"/>
          <w:sz w:val="32"/>
          <w:szCs w:val="32"/>
          <w:highlight w:val="none"/>
        </w:rPr>
      </w:pPr>
    </w:p>
    <w:p w14:paraId="783579BA">
      <w:pPr>
        <w:pStyle w:val="22"/>
        <w:rPr>
          <w:rFonts w:hint="eastAsia" w:ascii="宋体" w:hAnsi="宋体" w:eastAsia="宋体" w:cs="宋体"/>
          <w:b/>
          <w:color w:val="auto"/>
          <w:sz w:val="32"/>
          <w:szCs w:val="32"/>
          <w:highlight w:val="none"/>
        </w:rPr>
      </w:pPr>
    </w:p>
    <w:p w14:paraId="368BC749">
      <w:pPr>
        <w:rPr>
          <w:rFonts w:hint="eastAsia" w:ascii="宋体" w:hAnsi="宋体" w:cs="宋体"/>
          <w:b/>
          <w:color w:val="auto"/>
          <w:sz w:val="32"/>
          <w:szCs w:val="32"/>
          <w:highlight w:val="none"/>
        </w:rPr>
      </w:pPr>
    </w:p>
    <w:p w14:paraId="2B6918F5">
      <w:pPr>
        <w:snapToGrid w:val="0"/>
        <w:spacing w:line="300" w:lineRule="auto"/>
        <w:ind w:left="301" w:hanging="301" w:hangingChars="100"/>
        <w:jc w:val="center"/>
        <w:outlineLvl w:val="2"/>
        <w:rPr>
          <w:rFonts w:hint="eastAsia" w:ascii="宋体" w:hAnsi="宋体" w:cs="宋体"/>
          <w:b/>
          <w:color w:val="auto"/>
          <w:sz w:val="30"/>
          <w:highlight w:val="none"/>
        </w:rPr>
      </w:pPr>
      <w:r>
        <w:rPr>
          <w:rFonts w:hint="eastAsia" w:ascii="宋体" w:hAnsi="宋体" w:cs="宋体"/>
          <w:b/>
          <w:color w:val="auto"/>
          <w:sz w:val="30"/>
          <w:highlight w:val="none"/>
        </w:rPr>
        <w:t>9、关于对招标文件中有关条款的拒绝声明</w:t>
      </w:r>
    </w:p>
    <w:p w14:paraId="79EF35E2">
      <w:pPr>
        <w:rPr>
          <w:rFonts w:hint="eastAsia" w:ascii="宋体" w:hAnsi="宋体" w:cs="宋体"/>
          <w:b/>
          <w:color w:val="auto"/>
          <w:sz w:val="32"/>
          <w:szCs w:val="32"/>
          <w:highlight w:val="none"/>
        </w:rPr>
      </w:pPr>
    </w:p>
    <w:p w14:paraId="68F318DC">
      <w:pPr>
        <w:pStyle w:val="222"/>
        <w:spacing w:line="600" w:lineRule="exact"/>
        <w:rPr>
          <w:rFonts w:hint="eastAsia" w:ascii="宋体" w:hAnsi="宋体" w:cs="宋体"/>
          <w:b/>
          <w:bCs/>
          <w:color w:val="auto"/>
          <w:szCs w:val="21"/>
          <w:highlight w:val="none"/>
        </w:rPr>
      </w:pPr>
    </w:p>
    <w:p w14:paraId="510D9034">
      <w:pPr>
        <w:pStyle w:val="222"/>
        <w:spacing w:line="600" w:lineRule="exact"/>
        <w:ind w:firstLine="632" w:firstLineChars="300"/>
        <w:outlineLvl w:val="3"/>
        <w:rPr>
          <w:rFonts w:hint="eastAsia" w:ascii="宋体" w:hAnsi="宋体" w:cs="宋体"/>
          <w:b/>
          <w:bCs/>
          <w:color w:val="auto"/>
          <w:szCs w:val="21"/>
          <w:highlight w:val="none"/>
        </w:rPr>
      </w:pPr>
      <w:r>
        <w:rPr>
          <w:rFonts w:hint="eastAsia" w:ascii="宋体" w:hAnsi="宋体" w:cs="宋体"/>
          <w:b/>
          <w:bCs/>
          <w:color w:val="auto"/>
          <w:szCs w:val="21"/>
          <w:highlight w:val="none"/>
        </w:rPr>
        <w:t xml:space="preserve">注：1、无拒绝内容可不填写 </w:t>
      </w:r>
    </w:p>
    <w:p w14:paraId="10620465">
      <w:pPr>
        <w:pStyle w:val="222"/>
        <w:spacing w:line="600" w:lineRule="exact"/>
        <w:ind w:firstLine="1054" w:firstLineChars="5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2、标注“▲”的实质性条款不得拒绝，否则投标无效</w:t>
      </w:r>
    </w:p>
    <w:p w14:paraId="1B4F4094">
      <w:pPr>
        <w:pStyle w:val="185"/>
        <w:wordWrap w:val="0"/>
        <w:spacing w:line="500" w:lineRule="exact"/>
        <w:rPr>
          <w:rFonts w:hint="eastAsia" w:ascii="宋体" w:hAnsi="宋体" w:cs="宋体"/>
          <w:color w:val="auto"/>
          <w:szCs w:val="21"/>
          <w:highlight w:val="none"/>
        </w:rPr>
      </w:pPr>
    </w:p>
    <w:p w14:paraId="4A6D35D9">
      <w:pPr>
        <w:pStyle w:val="185"/>
        <w:wordWrap w:val="0"/>
        <w:spacing w:line="500" w:lineRule="exac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5AB795A1">
      <w:pPr>
        <w:pStyle w:val="185"/>
        <w:wordWrap w:val="0"/>
        <w:spacing w:line="500" w:lineRule="exact"/>
        <w:rPr>
          <w:rFonts w:hint="eastAsia" w:ascii="宋体" w:hAnsi="宋体" w:cs="宋体"/>
          <w:color w:val="auto"/>
          <w:szCs w:val="21"/>
          <w:highlight w:val="none"/>
        </w:rPr>
      </w:pPr>
    </w:p>
    <w:p w14:paraId="4FF42C7C">
      <w:pPr>
        <w:spacing w:before="240" w:line="360" w:lineRule="auto"/>
        <w:jc w:val="center"/>
        <w:rPr>
          <w:rFonts w:hint="eastAsia" w:ascii="宋体" w:hAnsi="宋体" w:cs="宋体"/>
          <w:color w:val="auto"/>
          <w:sz w:val="24"/>
          <w:highlight w:val="none"/>
        </w:rPr>
      </w:pPr>
    </w:p>
    <w:p w14:paraId="655B7992">
      <w:pPr>
        <w:spacing w:before="240" w:line="360" w:lineRule="auto"/>
        <w:jc w:val="center"/>
        <w:rPr>
          <w:rFonts w:hint="eastAsia" w:ascii="宋体" w:hAnsi="宋体" w:cs="宋体"/>
          <w:color w:val="auto"/>
          <w:sz w:val="24"/>
          <w:highlight w:val="none"/>
        </w:rPr>
      </w:pPr>
    </w:p>
    <w:p w14:paraId="0153BECB">
      <w:pPr>
        <w:rPr>
          <w:rFonts w:hint="eastAsia" w:ascii="宋体" w:hAnsi="宋体" w:cs="宋体"/>
          <w:color w:val="auto"/>
          <w:highlight w:val="none"/>
        </w:rPr>
      </w:pPr>
    </w:p>
    <w:p w14:paraId="04CB22AE">
      <w:pPr>
        <w:pStyle w:val="4"/>
        <w:tabs>
          <w:tab w:val="left" w:pos="420"/>
        </w:tabs>
        <w:rPr>
          <w:rFonts w:hint="eastAsia" w:ascii="宋体" w:hAnsi="宋体" w:eastAsia="宋体" w:cs="宋体"/>
          <w:color w:val="auto"/>
          <w:highlight w:val="none"/>
        </w:rPr>
      </w:pPr>
      <w:r>
        <w:rPr>
          <w:rFonts w:hint="eastAsia" w:ascii="宋体" w:hAnsi="宋体" w:eastAsia="宋体" w:cs="宋体"/>
          <w:color w:val="auto"/>
          <w:kern w:val="2"/>
          <w:sz w:val="30"/>
          <w:szCs w:val="24"/>
          <w:highlight w:val="none"/>
        </w:rPr>
        <w:t>10、投标人认为有必要提供和评分办法中要求提供的其他资料（不得出现报价）。</w:t>
      </w:r>
      <w:r>
        <w:rPr>
          <w:rFonts w:hint="eastAsia" w:ascii="宋体" w:hAnsi="宋体" w:eastAsia="宋体" w:cs="宋体"/>
          <w:color w:val="auto"/>
          <w:sz w:val="24"/>
          <w:highlight w:val="none"/>
        </w:rPr>
        <w:br w:type="page"/>
      </w:r>
      <w:r>
        <w:rPr>
          <w:rFonts w:hint="eastAsia" w:ascii="宋体" w:hAnsi="宋体" w:eastAsia="宋体" w:cs="宋体"/>
          <w:color w:val="auto"/>
          <w:highlight w:val="none"/>
        </w:rPr>
        <w:t>第三部分 “报价文件”格式</w:t>
      </w:r>
      <w:bookmarkEnd w:id="225"/>
      <w:bookmarkEnd w:id="226"/>
      <w:bookmarkEnd w:id="227"/>
      <w:bookmarkEnd w:id="228"/>
      <w:bookmarkEnd w:id="229"/>
    </w:p>
    <w:p w14:paraId="7FFE11C6">
      <w:pPr>
        <w:pStyle w:val="5"/>
        <w:tabs>
          <w:tab w:val="left" w:pos="420"/>
        </w:tabs>
        <w:ind w:firstLine="6927" w:firstLineChars="23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“报价文件”封面</w:t>
      </w:r>
    </w:p>
    <w:p w14:paraId="50FCD6D7">
      <w:pPr>
        <w:spacing w:line="276" w:lineRule="auto"/>
        <w:jc w:val="center"/>
        <w:rPr>
          <w:rFonts w:hint="eastAsia" w:ascii="宋体" w:hAnsi="宋体" w:cs="宋体"/>
          <w:b/>
          <w:color w:val="auto"/>
          <w:kern w:val="0"/>
          <w:sz w:val="84"/>
          <w:szCs w:val="84"/>
          <w:highlight w:val="none"/>
        </w:rPr>
      </w:pPr>
      <w:r>
        <w:rPr>
          <w:rFonts w:hint="eastAsia" w:ascii="宋体" w:hAnsi="宋体" w:cs="宋体"/>
          <w:b/>
          <w:color w:val="auto"/>
          <w:kern w:val="0"/>
          <w:sz w:val="84"/>
          <w:szCs w:val="84"/>
          <w:highlight w:val="none"/>
        </w:rPr>
        <w:t>投 标 文 件</w:t>
      </w:r>
    </w:p>
    <w:p w14:paraId="0ECAE514">
      <w:pPr>
        <w:spacing w:line="360" w:lineRule="auto"/>
        <w:jc w:val="center"/>
        <w:rPr>
          <w:rFonts w:hint="eastAsia" w:ascii="宋体" w:hAnsi="宋体" w:cs="宋体"/>
          <w:b/>
          <w:color w:val="auto"/>
          <w:kern w:val="0"/>
          <w:sz w:val="48"/>
          <w:szCs w:val="84"/>
          <w:highlight w:val="none"/>
        </w:rPr>
      </w:pPr>
      <w:r>
        <w:rPr>
          <w:rFonts w:hint="eastAsia" w:ascii="宋体" w:hAnsi="宋体" w:cs="宋体"/>
          <w:b/>
          <w:color w:val="auto"/>
          <w:kern w:val="0"/>
          <w:sz w:val="48"/>
          <w:szCs w:val="84"/>
          <w:highlight w:val="none"/>
        </w:rPr>
        <w:t>（报价文件）</w:t>
      </w:r>
    </w:p>
    <w:p w14:paraId="18C2E41E">
      <w:pPr>
        <w:jc w:val="center"/>
        <w:rPr>
          <w:rFonts w:hint="eastAsia" w:ascii="宋体" w:hAnsi="宋体" w:cs="宋体"/>
          <w:b/>
          <w:color w:val="auto"/>
          <w:kern w:val="0"/>
          <w:sz w:val="48"/>
          <w:szCs w:val="84"/>
          <w:highlight w:val="none"/>
        </w:rPr>
      </w:pPr>
    </w:p>
    <w:tbl>
      <w:tblPr>
        <w:tblStyle w:val="52"/>
        <w:tblW w:w="0" w:type="auto"/>
        <w:tblInd w:w="392" w:type="dxa"/>
        <w:tblLayout w:type="fixed"/>
        <w:tblCellMar>
          <w:top w:w="0" w:type="dxa"/>
          <w:left w:w="108" w:type="dxa"/>
          <w:bottom w:w="0" w:type="dxa"/>
          <w:right w:w="108" w:type="dxa"/>
        </w:tblCellMar>
      </w:tblPr>
      <w:tblGrid>
        <w:gridCol w:w="9204"/>
      </w:tblGrid>
      <w:tr w14:paraId="711EB481">
        <w:tblPrEx>
          <w:tblCellMar>
            <w:top w:w="0" w:type="dxa"/>
            <w:left w:w="108" w:type="dxa"/>
            <w:bottom w:w="0" w:type="dxa"/>
            <w:right w:w="108" w:type="dxa"/>
          </w:tblCellMar>
        </w:tblPrEx>
        <w:trPr>
          <w:trHeight w:val="1058" w:hRule="atLeast"/>
        </w:trPr>
        <w:tc>
          <w:tcPr>
            <w:tcW w:w="9204" w:type="dxa"/>
            <w:vAlign w:val="center"/>
          </w:tcPr>
          <w:p w14:paraId="07B6210D">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项目名称：</w:t>
            </w: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color w:val="auto"/>
                <w:highlight w:val="none"/>
              </w:rPr>
              <w:fldChar w:fldCharType="end"/>
            </w:r>
          </w:p>
        </w:tc>
      </w:tr>
      <w:tr w14:paraId="08F5E3BD">
        <w:tblPrEx>
          <w:tblCellMar>
            <w:top w:w="0" w:type="dxa"/>
            <w:left w:w="108" w:type="dxa"/>
            <w:bottom w:w="0" w:type="dxa"/>
            <w:right w:w="108" w:type="dxa"/>
          </w:tblCellMar>
        </w:tblPrEx>
        <w:trPr>
          <w:trHeight w:val="1222" w:hRule="atLeast"/>
        </w:trPr>
        <w:tc>
          <w:tcPr>
            <w:tcW w:w="9204" w:type="dxa"/>
            <w:vAlign w:val="center"/>
          </w:tcPr>
          <w:p w14:paraId="41FFAF53">
            <w:pPr>
              <w:tabs>
                <w:tab w:val="left" w:pos="2580"/>
                <w:tab w:val="left" w:pos="5940"/>
              </w:tabs>
              <w:autoSpaceDE w:val="0"/>
              <w:autoSpaceDN w:val="0"/>
              <w:adjustRightInd w:val="0"/>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采 购 人：</w:t>
            </w:r>
          </w:p>
        </w:tc>
      </w:tr>
      <w:tr w14:paraId="7F49D076">
        <w:tblPrEx>
          <w:tblCellMar>
            <w:top w:w="0" w:type="dxa"/>
            <w:left w:w="108" w:type="dxa"/>
            <w:bottom w:w="0" w:type="dxa"/>
            <w:right w:w="108" w:type="dxa"/>
          </w:tblCellMar>
        </w:tblPrEx>
        <w:trPr>
          <w:trHeight w:val="1071" w:hRule="atLeast"/>
        </w:trPr>
        <w:tc>
          <w:tcPr>
            <w:tcW w:w="9204" w:type="dxa"/>
            <w:vAlign w:val="center"/>
          </w:tcPr>
          <w:p w14:paraId="5C2E824E">
            <w:pPr>
              <w:spacing w:line="360" w:lineRule="auto"/>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项目编号：</w:t>
            </w:r>
          </w:p>
        </w:tc>
      </w:tr>
      <w:tr w14:paraId="2043A36D">
        <w:tblPrEx>
          <w:tblCellMar>
            <w:top w:w="0" w:type="dxa"/>
            <w:left w:w="108" w:type="dxa"/>
            <w:bottom w:w="0" w:type="dxa"/>
            <w:right w:w="108" w:type="dxa"/>
          </w:tblCellMar>
        </w:tblPrEx>
        <w:trPr>
          <w:trHeight w:val="1992" w:hRule="atLeast"/>
        </w:trPr>
        <w:tc>
          <w:tcPr>
            <w:tcW w:w="9204" w:type="dxa"/>
            <w:vAlign w:val="center"/>
          </w:tcPr>
          <w:p w14:paraId="4DCF2ECF">
            <w:pPr>
              <w:spacing w:line="36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投标人名称（CA签章）：</w:t>
            </w:r>
            <w:r>
              <w:rPr>
                <w:rFonts w:hint="eastAsia" w:ascii="宋体" w:hAnsi="宋体" w:cs="宋体"/>
                <w:color w:val="auto"/>
                <w:w w:val="90"/>
                <w:kern w:val="0"/>
                <w:sz w:val="22"/>
                <w:szCs w:val="22"/>
                <w:highlight w:val="none"/>
              </w:rPr>
              <w:t>_________________________________________________</w:t>
            </w:r>
          </w:p>
        </w:tc>
      </w:tr>
      <w:tr w14:paraId="0C691BBB">
        <w:tblPrEx>
          <w:tblCellMar>
            <w:top w:w="0" w:type="dxa"/>
            <w:left w:w="108" w:type="dxa"/>
            <w:bottom w:w="0" w:type="dxa"/>
            <w:right w:w="108" w:type="dxa"/>
          </w:tblCellMar>
        </w:tblPrEx>
        <w:trPr>
          <w:trHeight w:val="802" w:hRule="atLeast"/>
        </w:trPr>
        <w:tc>
          <w:tcPr>
            <w:tcW w:w="9204" w:type="dxa"/>
            <w:vAlign w:val="center"/>
          </w:tcPr>
          <w:p w14:paraId="5DE15979">
            <w:pPr>
              <w:spacing w:line="360" w:lineRule="auto"/>
              <w:rPr>
                <w:rFonts w:hint="eastAsia" w:ascii="宋体" w:hAnsi="宋体" w:cs="宋体"/>
                <w:b/>
                <w:bCs/>
                <w:color w:val="auto"/>
                <w:sz w:val="28"/>
                <w:szCs w:val="28"/>
                <w:highlight w:val="none"/>
              </w:rPr>
            </w:pPr>
          </w:p>
          <w:p w14:paraId="29325EBC">
            <w:pPr>
              <w:spacing w:line="360" w:lineRule="auto"/>
              <w:rPr>
                <w:rFonts w:hint="eastAsia" w:ascii="宋体" w:hAnsi="宋体" w:cs="宋体"/>
                <w:color w:val="auto"/>
                <w:sz w:val="28"/>
                <w:szCs w:val="28"/>
                <w:highlight w:val="none"/>
              </w:rPr>
            </w:pPr>
            <w:r>
              <w:rPr>
                <w:rFonts w:hint="eastAsia" w:ascii="宋体" w:hAnsi="宋体" w:cs="宋体"/>
                <w:b/>
                <w:bCs/>
                <w:color w:val="auto"/>
                <w:sz w:val="28"/>
                <w:szCs w:val="28"/>
                <w:highlight w:val="none"/>
              </w:rPr>
              <w:t>日期：</w:t>
            </w:r>
            <w:r>
              <w:rPr>
                <w:rFonts w:hint="eastAsia" w:ascii="宋体" w:hAnsi="宋体" w:cs="宋体"/>
                <w:color w:val="auto"/>
                <w:w w:val="90"/>
                <w:kern w:val="0"/>
                <w:sz w:val="22"/>
                <w:szCs w:val="22"/>
                <w:highlight w:val="none"/>
              </w:rPr>
              <w:t>_________________________________________________________________________</w:t>
            </w:r>
          </w:p>
        </w:tc>
      </w:tr>
      <w:tr w14:paraId="7146D3E0">
        <w:tblPrEx>
          <w:tblCellMar>
            <w:top w:w="0" w:type="dxa"/>
            <w:left w:w="108" w:type="dxa"/>
            <w:bottom w:w="0" w:type="dxa"/>
            <w:right w:w="108" w:type="dxa"/>
          </w:tblCellMar>
        </w:tblPrEx>
        <w:trPr>
          <w:trHeight w:val="1152" w:hRule="atLeast"/>
        </w:trPr>
        <w:tc>
          <w:tcPr>
            <w:tcW w:w="9204" w:type="dxa"/>
            <w:vAlign w:val="center"/>
          </w:tcPr>
          <w:p w14:paraId="375988B6">
            <w:pPr>
              <w:spacing w:line="360" w:lineRule="auto"/>
              <w:rPr>
                <w:rFonts w:hint="eastAsia" w:ascii="宋体" w:hAnsi="宋体" w:cs="宋体"/>
                <w:b/>
                <w:bCs/>
                <w:color w:val="auto"/>
                <w:sz w:val="28"/>
                <w:szCs w:val="28"/>
                <w:highlight w:val="none"/>
              </w:rPr>
            </w:pPr>
          </w:p>
          <w:p w14:paraId="00DE754E">
            <w:pPr>
              <w:spacing w:line="360" w:lineRule="auto"/>
              <w:rPr>
                <w:rFonts w:hint="eastAsia" w:ascii="宋体" w:hAnsi="宋体" w:cs="宋体"/>
                <w:b/>
                <w:color w:val="auto"/>
                <w:sz w:val="28"/>
                <w:szCs w:val="28"/>
                <w:highlight w:val="none"/>
              </w:rPr>
            </w:pPr>
            <w:r>
              <w:rPr>
                <w:rFonts w:hint="eastAsia" w:ascii="宋体" w:hAnsi="宋体" w:cs="宋体"/>
                <w:b/>
                <w:bCs/>
                <w:color w:val="auto"/>
                <w:sz w:val="28"/>
                <w:szCs w:val="28"/>
                <w:highlight w:val="none"/>
              </w:rPr>
              <w:t>注：投标截止时间前其他单位或个人不得解密、提取</w:t>
            </w:r>
          </w:p>
        </w:tc>
      </w:tr>
    </w:tbl>
    <w:p w14:paraId="453B2E77">
      <w:pPr>
        <w:ind w:firstLine="482" w:firstLineChars="200"/>
        <w:rPr>
          <w:rFonts w:hint="eastAsia" w:ascii="宋体" w:hAnsi="宋体" w:cs="宋体"/>
          <w:b/>
          <w:bCs/>
          <w:color w:val="auto"/>
          <w:sz w:val="24"/>
          <w:highlight w:val="none"/>
          <w:lang w:val="zh-CN" w:bidi="zh-CN"/>
        </w:rPr>
      </w:pPr>
    </w:p>
    <w:p w14:paraId="0A725470">
      <w:pPr>
        <w:spacing w:line="360" w:lineRule="auto"/>
        <w:ind w:firstLine="1260" w:firstLineChars="600"/>
        <w:jc w:val="center"/>
        <w:outlineLvl w:val="2"/>
        <w:rPr>
          <w:rFonts w:hint="eastAsia" w:ascii="宋体" w:hAnsi="宋体" w:cs="宋体"/>
          <w:b/>
          <w:color w:val="auto"/>
          <w:sz w:val="32"/>
          <w:szCs w:val="32"/>
          <w:highlight w:val="none"/>
        </w:rPr>
      </w:pPr>
      <w:r>
        <w:rPr>
          <w:rFonts w:hint="eastAsia" w:ascii="宋体" w:hAnsi="宋体" w:cs="宋体"/>
          <w:color w:val="auto"/>
          <w:highlight w:val="none"/>
        </w:rPr>
        <w:br w:type="page"/>
      </w:r>
      <w:bookmarkEnd w:id="230"/>
      <w:r>
        <w:rPr>
          <w:rFonts w:hint="eastAsia" w:ascii="宋体" w:hAnsi="宋体" w:cs="宋体"/>
          <w:b/>
          <w:color w:val="auto"/>
          <w:sz w:val="32"/>
          <w:szCs w:val="32"/>
          <w:highlight w:val="none"/>
        </w:rPr>
        <w:t>1、报价书（开标一览表）</w:t>
      </w:r>
    </w:p>
    <w:p w14:paraId="5F1E11EB">
      <w:pPr>
        <w:spacing w:line="360" w:lineRule="auto"/>
        <w:ind w:firstLine="250" w:firstLineChars="100"/>
        <w:rPr>
          <w:rFonts w:hint="eastAsia" w:ascii="宋体" w:hAnsi="宋体" w:cs="宋体"/>
          <w:color w:val="auto"/>
          <w:spacing w:val="20"/>
          <w:szCs w:val="21"/>
          <w:highlight w:val="none"/>
        </w:rPr>
      </w:pPr>
      <w:r>
        <w:rPr>
          <w:rFonts w:hint="eastAsia" w:ascii="宋体" w:hAnsi="宋体" w:cs="宋体"/>
          <w:color w:val="auto"/>
          <w:spacing w:val="20"/>
          <w:szCs w:val="21"/>
          <w:highlight w:val="none"/>
        </w:rPr>
        <w:t>项目编号：</w:t>
      </w:r>
    </w:p>
    <w:p w14:paraId="1FA25E48">
      <w:pPr>
        <w:spacing w:line="360" w:lineRule="auto"/>
        <w:ind w:firstLine="250" w:firstLineChars="100"/>
        <w:rPr>
          <w:rFonts w:hint="eastAsia" w:ascii="宋体" w:hAnsi="宋体" w:cs="宋体"/>
          <w:color w:val="auto"/>
          <w:spacing w:val="20"/>
          <w:szCs w:val="21"/>
          <w:highlight w:val="none"/>
        </w:rPr>
      </w:pPr>
      <w:r>
        <w:rPr>
          <w:rFonts w:hint="eastAsia" w:ascii="宋体" w:hAnsi="宋体" w:cs="宋体"/>
          <w:color w:val="auto"/>
          <w:spacing w:val="20"/>
          <w:szCs w:val="21"/>
          <w:highlight w:val="none"/>
        </w:rPr>
        <w:t xml:space="preserve">项目名称：                                                </w:t>
      </w:r>
    </w:p>
    <w:p w14:paraId="3307B7F0">
      <w:pPr>
        <w:spacing w:line="360" w:lineRule="auto"/>
        <w:ind w:firstLine="6500" w:firstLineChars="2600"/>
        <w:rPr>
          <w:rFonts w:hint="eastAsia" w:ascii="宋体" w:hAnsi="宋体" w:cs="宋体"/>
          <w:color w:val="auto"/>
          <w:spacing w:val="20"/>
          <w:szCs w:val="21"/>
          <w:highlight w:val="none"/>
        </w:rPr>
      </w:pPr>
      <w:r>
        <w:rPr>
          <w:rFonts w:hint="eastAsia" w:ascii="宋体" w:hAnsi="宋体" w:cs="宋体"/>
          <w:color w:val="auto"/>
          <w:spacing w:val="20"/>
          <w:szCs w:val="21"/>
          <w:highlight w:val="none"/>
        </w:rPr>
        <w:t>报价金额单位：人民币元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3854"/>
        <w:gridCol w:w="1118"/>
        <w:gridCol w:w="1023"/>
        <w:gridCol w:w="2600"/>
      </w:tblGrid>
      <w:tr w14:paraId="42A70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62" w:type="dxa"/>
            <w:vAlign w:val="center"/>
          </w:tcPr>
          <w:p w14:paraId="4A284C7A">
            <w:pPr>
              <w:tabs>
                <w:tab w:val="left" w:pos="420"/>
                <w:tab w:val="center" w:pos="4153"/>
                <w:tab w:val="right" w:pos="8306"/>
              </w:tabs>
              <w:snapToGrid w:val="0"/>
              <w:spacing w:line="480" w:lineRule="exact"/>
              <w:jc w:val="center"/>
              <w:textAlignment w:val="baseline"/>
              <w:rPr>
                <w:rFonts w:hint="eastAsia" w:ascii="宋体" w:hAnsi="宋体" w:cs="宋体"/>
                <w:b/>
                <w:caps/>
                <w:color w:val="auto"/>
                <w:spacing w:val="20"/>
                <w:kern w:val="0"/>
                <w:szCs w:val="21"/>
                <w:highlight w:val="none"/>
              </w:rPr>
            </w:pPr>
            <w:r>
              <w:rPr>
                <w:rFonts w:hint="eastAsia" w:ascii="宋体" w:hAnsi="宋体" w:cs="宋体"/>
                <w:b/>
                <w:caps/>
                <w:color w:val="auto"/>
                <w:spacing w:val="20"/>
                <w:kern w:val="0"/>
                <w:szCs w:val="21"/>
                <w:highlight w:val="none"/>
              </w:rPr>
              <w:t>序号</w:t>
            </w:r>
          </w:p>
        </w:tc>
        <w:tc>
          <w:tcPr>
            <w:tcW w:w="3854" w:type="dxa"/>
            <w:vAlign w:val="center"/>
          </w:tcPr>
          <w:p w14:paraId="070AB971">
            <w:pPr>
              <w:tabs>
                <w:tab w:val="left" w:pos="420"/>
                <w:tab w:val="center" w:pos="4153"/>
                <w:tab w:val="right" w:pos="8306"/>
              </w:tabs>
              <w:snapToGrid w:val="0"/>
              <w:spacing w:line="480" w:lineRule="exact"/>
              <w:jc w:val="center"/>
              <w:textAlignment w:val="baseline"/>
              <w:rPr>
                <w:rFonts w:hint="eastAsia" w:ascii="宋体" w:hAnsi="宋体" w:cs="宋体"/>
                <w:b/>
                <w:caps/>
                <w:color w:val="auto"/>
                <w:spacing w:val="20"/>
                <w:kern w:val="0"/>
                <w:szCs w:val="21"/>
                <w:highlight w:val="none"/>
              </w:rPr>
            </w:pPr>
            <w:r>
              <w:rPr>
                <w:rFonts w:hint="eastAsia" w:ascii="宋体" w:hAnsi="宋体" w:cs="宋体"/>
                <w:b/>
                <w:caps/>
                <w:color w:val="auto"/>
                <w:spacing w:val="20"/>
                <w:kern w:val="0"/>
                <w:szCs w:val="21"/>
                <w:highlight w:val="none"/>
              </w:rPr>
              <w:t>标项名称</w:t>
            </w:r>
          </w:p>
        </w:tc>
        <w:tc>
          <w:tcPr>
            <w:tcW w:w="1118" w:type="dxa"/>
            <w:vAlign w:val="center"/>
          </w:tcPr>
          <w:p w14:paraId="4178E4B7">
            <w:pPr>
              <w:tabs>
                <w:tab w:val="left" w:pos="420"/>
                <w:tab w:val="center" w:pos="4153"/>
                <w:tab w:val="right" w:pos="8306"/>
              </w:tabs>
              <w:snapToGrid w:val="0"/>
              <w:spacing w:line="480" w:lineRule="exact"/>
              <w:jc w:val="center"/>
              <w:textAlignment w:val="baseline"/>
              <w:rPr>
                <w:rFonts w:hint="eastAsia" w:ascii="宋体" w:hAnsi="宋体" w:cs="宋体"/>
                <w:b/>
                <w:caps/>
                <w:color w:val="auto"/>
                <w:spacing w:val="20"/>
                <w:kern w:val="0"/>
                <w:szCs w:val="21"/>
                <w:highlight w:val="none"/>
              </w:rPr>
            </w:pPr>
            <w:r>
              <w:rPr>
                <w:rFonts w:hint="eastAsia" w:ascii="宋体" w:hAnsi="宋体" w:cs="宋体"/>
                <w:b/>
                <w:caps/>
                <w:color w:val="auto"/>
                <w:spacing w:val="20"/>
                <w:kern w:val="0"/>
                <w:szCs w:val="21"/>
                <w:highlight w:val="none"/>
              </w:rPr>
              <w:t>数量</w:t>
            </w:r>
          </w:p>
        </w:tc>
        <w:tc>
          <w:tcPr>
            <w:tcW w:w="1023" w:type="dxa"/>
            <w:vAlign w:val="center"/>
          </w:tcPr>
          <w:p w14:paraId="55EB10F4">
            <w:pPr>
              <w:tabs>
                <w:tab w:val="left" w:pos="420"/>
                <w:tab w:val="center" w:pos="4153"/>
                <w:tab w:val="right" w:pos="8306"/>
              </w:tabs>
              <w:snapToGrid w:val="0"/>
              <w:spacing w:line="480" w:lineRule="exact"/>
              <w:jc w:val="center"/>
              <w:textAlignment w:val="baseline"/>
              <w:rPr>
                <w:rFonts w:hint="eastAsia" w:ascii="宋体" w:hAnsi="宋体" w:cs="宋体"/>
                <w:b/>
                <w:caps/>
                <w:color w:val="auto"/>
                <w:spacing w:val="20"/>
                <w:kern w:val="0"/>
                <w:szCs w:val="21"/>
                <w:highlight w:val="none"/>
              </w:rPr>
            </w:pPr>
            <w:r>
              <w:rPr>
                <w:rFonts w:hint="eastAsia" w:ascii="宋体" w:hAnsi="宋体" w:cs="宋体"/>
                <w:b/>
                <w:caps/>
                <w:color w:val="auto"/>
                <w:spacing w:val="20"/>
                <w:kern w:val="0"/>
                <w:szCs w:val="21"/>
                <w:highlight w:val="none"/>
              </w:rPr>
              <w:t>单位</w:t>
            </w:r>
          </w:p>
        </w:tc>
        <w:tc>
          <w:tcPr>
            <w:tcW w:w="2600" w:type="dxa"/>
            <w:vAlign w:val="center"/>
          </w:tcPr>
          <w:p w14:paraId="35F63DA1">
            <w:pPr>
              <w:widowControl/>
              <w:jc w:val="center"/>
              <w:rPr>
                <w:rFonts w:hint="eastAsia" w:ascii="宋体" w:hAnsi="宋体" w:cs="宋体"/>
                <w:b/>
                <w:caps/>
                <w:color w:val="auto"/>
                <w:spacing w:val="20"/>
                <w:szCs w:val="21"/>
                <w:highlight w:val="none"/>
              </w:rPr>
            </w:pPr>
            <w:r>
              <w:rPr>
                <w:rFonts w:hint="eastAsia" w:ascii="宋体" w:hAnsi="宋体" w:cs="宋体"/>
                <w:b/>
                <w:caps/>
                <w:color w:val="auto"/>
                <w:spacing w:val="20"/>
                <w:szCs w:val="21"/>
                <w:highlight w:val="none"/>
              </w:rPr>
              <w:t>服务期限</w:t>
            </w:r>
          </w:p>
        </w:tc>
      </w:tr>
      <w:tr w14:paraId="0441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762" w:type="dxa"/>
            <w:vAlign w:val="center"/>
          </w:tcPr>
          <w:p w14:paraId="1DA7A5DC">
            <w:pPr>
              <w:tabs>
                <w:tab w:val="left" w:pos="420"/>
                <w:tab w:val="center" w:pos="4153"/>
                <w:tab w:val="right" w:pos="8306"/>
              </w:tabs>
              <w:snapToGrid w:val="0"/>
              <w:spacing w:line="480" w:lineRule="exact"/>
              <w:jc w:val="center"/>
              <w:textAlignment w:val="baseline"/>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1</w:t>
            </w:r>
          </w:p>
        </w:tc>
        <w:tc>
          <w:tcPr>
            <w:tcW w:w="3854" w:type="dxa"/>
            <w:vAlign w:val="center"/>
          </w:tcPr>
          <w:p w14:paraId="4392A085">
            <w:pPr>
              <w:snapToGrid w:val="0"/>
              <w:spacing w:line="360" w:lineRule="auto"/>
              <w:ind w:right="42" w:rightChars="20"/>
              <w:jc w:val="center"/>
              <w:rPr>
                <w:rFonts w:hint="eastAsia" w:ascii="宋体" w:hAnsi="宋体" w:cs="宋体"/>
                <w:color w:val="auto"/>
                <w:spacing w:val="20"/>
                <w:szCs w:val="21"/>
                <w:highlight w:val="none"/>
              </w:rPr>
            </w:pPr>
            <w:r>
              <w:rPr>
                <w:rFonts w:hint="eastAsia" w:ascii="宋体" w:hAnsi="宋体" w:cs="宋体"/>
                <w:color w:val="auto"/>
                <w:szCs w:val="21"/>
                <w:highlight w:val="none"/>
              </w:rPr>
              <w:t>丽水市新污染物试点监测项目</w:t>
            </w:r>
          </w:p>
        </w:tc>
        <w:tc>
          <w:tcPr>
            <w:tcW w:w="1118" w:type="dxa"/>
            <w:vAlign w:val="center"/>
          </w:tcPr>
          <w:p w14:paraId="6B24DF9C">
            <w:pPr>
              <w:snapToGrid w:val="0"/>
              <w:spacing w:line="48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1</w:t>
            </w:r>
          </w:p>
        </w:tc>
        <w:tc>
          <w:tcPr>
            <w:tcW w:w="1023" w:type="dxa"/>
            <w:vAlign w:val="center"/>
          </w:tcPr>
          <w:p w14:paraId="00A366F3">
            <w:pPr>
              <w:snapToGrid w:val="0"/>
              <w:spacing w:line="48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项</w:t>
            </w:r>
          </w:p>
        </w:tc>
        <w:tc>
          <w:tcPr>
            <w:tcW w:w="2600" w:type="dxa"/>
            <w:vAlign w:val="center"/>
          </w:tcPr>
          <w:p w14:paraId="17B134BF">
            <w:pPr>
              <w:tabs>
                <w:tab w:val="left" w:pos="420"/>
                <w:tab w:val="center" w:pos="4153"/>
                <w:tab w:val="right" w:pos="8306"/>
              </w:tabs>
              <w:snapToGrid w:val="0"/>
              <w:spacing w:line="480" w:lineRule="exact"/>
              <w:jc w:val="center"/>
              <w:textAlignment w:val="baseline"/>
              <w:rPr>
                <w:rFonts w:hint="eastAsia" w:ascii="宋体" w:hAnsi="宋体" w:cs="宋体"/>
                <w:color w:val="auto"/>
                <w:spacing w:val="20"/>
                <w:szCs w:val="21"/>
                <w:highlight w:val="none"/>
              </w:rPr>
            </w:pPr>
            <w:r>
              <w:rPr>
                <w:rFonts w:hint="eastAsia" w:ascii="宋体" w:hAnsi="宋体" w:cs="宋体"/>
                <w:color w:val="auto"/>
                <w:spacing w:val="20"/>
                <w:szCs w:val="21"/>
                <w:highlight w:val="none"/>
              </w:rPr>
              <w:t>响应招标文件要求</w:t>
            </w:r>
          </w:p>
        </w:tc>
      </w:tr>
      <w:tr w14:paraId="50E1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762" w:type="dxa"/>
            <w:vMerge w:val="restart"/>
            <w:vAlign w:val="center"/>
          </w:tcPr>
          <w:p w14:paraId="583E12CA">
            <w:pPr>
              <w:tabs>
                <w:tab w:val="left" w:pos="420"/>
                <w:tab w:val="center" w:pos="4153"/>
                <w:tab w:val="right" w:pos="8306"/>
              </w:tabs>
              <w:snapToGrid w:val="0"/>
              <w:spacing w:line="480" w:lineRule="exact"/>
              <w:jc w:val="center"/>
              <w:textAlignment w:val="baseline"/>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2</w:t>
            </w:r>
          </w:p>
        </w:tc>
        <w:tc>
          <w:tcPr>
            <w:tcW w:w="3854" w:type="dxa"/>
            <w:vMerge w:val="restart"/>
            <w:vAlign w:val="center"/>
          </w:tcPr>
          <w:p w14:paraId="6063B2D9">
            <w:pPr>
              <w:spacing w:line="360" w:lineRule="auto"/>
              <w:jc w:val="center"/>
              <w:rPr>
                <w:rFonts w:hint="eastAsia" w:ascii="宋体" w:hAnsi="宋体" w:cs="宋体"/>
                <w:b/>
                <w:bCs/>
                <w:color w:val="auto"/>
                <w:szCs w:val="21"/>
                <w:highlight w:val="none"/>
              </w:rPr>
            </w:pPr>
            <w:r>
              <w:rPr>
                <w:rFonts w:hint="eastAsia" w:ascii="宋体" w:hAnsi="宋体" w:cs="宋体"/>
                <w:b/>
                <w:bCs/>
                <w:color w:val="auto"/>
                <w:sz w:val="24"/>
                <w:highlight w:val="none"/>
              </w:rPr>
              <w:t>总    报    价</w:t>
            </w:r>
          </w:p>
        </w:tc>
        <w:tc>
          <w:tcPr>
            <w:tcW w:w="4741" w:type="dxa"/>
            <w:gridSpan w:val="3"/>
            <w:vAlign w:val="center"/>
          </w:tcPr>
          <w:p w14:paraId="6BD120B8">
            <w:pPr>
              <w:adjustRightInd w:val="0"/>
              <w:snapToGrid w:val="0"/>
              <w:spacing w:line="300" w:lineRule="auto"/>
              <w:rPr>
                <w:rFonts w:hint="eastAsia" w:ascii="宋体" w:hAnsi="宋体" w:cs="宋体"/>
                <w:b/>
                <w:bCs/>
                <w:color w:val="auto"/>
                <w:szCs w:val="21"/>
                <w:highlight w:val="none"/>
              </w:rPr>
            </w:pPr>
            <w:r>
              <w:rPr>
                <w:rFonts w:hint="eastAsia" w:ascii="宋体" w:hAnsi="宋体" w:cs="宋体"/>
                <w:b/>
                <w:bCs/>
                <w:color w:val="auto"/>
                <w:szCs w:val="21"/>
                <w:highlight w:val="none"/>
              </w:rPr>
              <w:t>大写：</w:t>
            </w:r>
          </w:p>
        </w:tc>
      </w:tr>
      <w:tr w14:paraId="0CB3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62" w:type="dxa"/>
            <w:vMerge w:val="continue"/>
          </w:tcPr>
          <w:p w14:paraId="6AFA1EE5">
            <w:pPr>
              <w:tabs>
                <w:tab w:val="left" w:pos="420"/>
                <w:tab w:val="center" w:pos="4153"/>
                <w:tab w:val="right" w:pos="8306"/>
              </w:tabs>
              <w:snapToGrid w:val="0"/>
              <w:spacing w:line="480" w:lineRule="exact"/>
              <w:jc w:val="center"/>
              <w:textAlignment w:val="baseline"/>
              <w:rPr>
                <w:rFonts w:hint="eastAsia" w:ascii="宋体" w:hAnsi="宋体" w:cs="宋体"/>
                <w:bCs/>
                <w:caps/>
                <w:color w:val="auto"/>
                <w:spacing w:val="20"/>
                <w:kern w:val="0"/>
                <w:szCs w:val="21"/>
                <w:highlight w:val="none"/>
              </w:rPr>
            </w:pPr>
          </w:p>
        </w:tc>
        <w:tc>
          <w:tcPr>
            <w:tcW w:w="3854" w:type="dxa"/>
            <w:vMerge w:val="continue"/>
          </w:tcPr>
          <w:p w14:paraId="188037EC">
            <w:pPr>
              <w:tabs>
                <w:tab w:val="left" w:pos="420"/>
                <w:tab w:val="center" w:pos="4153"/>
                <w:tab w:val="right" w:pos="8306"/>
              </w:tabs>
              <w:snapToGrid w:val="0"/>
              <w:spacing w:line="480" w:lineRule="exact"/>
              <w:jc w:val="center"/>
              <w:textAlignment w:val="baseline"/>
              <w:rPr>
                <w:rFonts w:hint="eastAsia" w:ascii="宋体" w:hAnsi="宋体" w:cs="宋体"/>
                <w:b/>
                <w:bCs/>
                <w:color w:val="auto"/>
                <w:spacing w:val="20"/>
                <w:sz w:val="24"/>
                <w:highlight w:val="none"/>
              </w:rPr>
            </w:pPr>
          </w:p>
        </w:tc>
        <w:tc>
          <w:tcPr>
            <w:tcW w:w="4741" w:type="dxa"/>
            <w:gridSpan w:val="3"/>
            <w:vAlign w:val="center"/>
          </w:tcPr>
          <w:p w14:paraId="09EE0E9D">
            <w:pPr>
              <w:adjustRightInd w:val="0"/>
              <w:snapToGrid w:val="0"/>
              <w:spacing w:line="300" w:lineRule="auto"/>
              <w:rPr>
                <w:rFonts w:hint="eastAsia" w:ascii="宋体" w:hAnsi="宋体" w:cs="宋体"/>
                <w:b/>
                <w:bCs/>
                <w:color w:val="auto"/>
                <w:szCs w:val="21"/>
                <w:highlight w:val="none"/>
              </w:rPr>
            </w:pPr>
            <w:r>
              <w:rPr>
                <w:rFonts w:hint="eastAsia" w:ascii="宋体" w:hAnsi="宋体" w:cs="宋体"/>
                <w:b/>
                <w:bCs/>
                <w:color w:val="auto"/>
                <w:szCs w:val="21"/>
                <w:highlight w:val="none"/>
              </w:rPr>
              <w:t xml:space="preserve">小写：         </w:t>
            </w:r>
          </w:p>
        </w:tc>
      </w:tr>
      <w:tr w14:paraId="45B2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357" w:type="dxa"/>
            <w:gridSpan w:val="5"/>
          </w:tcPr>
          <w:p w14:paraId="74A8DA15">
            <w:pPr>
              <w:adjustRightInd w:val="0"/>
              <w:snapToGrid w:val="0"/>
              <w:spacing w:line="300" w:lineRule="auto"/>
              <w:rPr>
                <w:rFonts w:hint="eastAsia" w:ascii="宋体" w:hAnsi="宋体" w:cs="宋体"/>
                <w:b/>
                <w:bCs/>
                <w:color w:val="auto"/>
                <w:szCs w:val="21"/>
                <w:highlight w:val="none"/>
              </w:rPr>
            </w:pPr>
            <w:r>
              <w:rPr>
                <w:rFonts w:hint="eastAsia" w:ascii="宋体" w:hAnsi="宋体" w:eastAsia="宋体" w:cs="宋体"/>
                <w:color w:val="auto"/>
                <w:kern w:val="0"/>
                <w:sz w:val="21"/>
                <w:szCs w:val="21"/>
                <w:highlight w:val="none"/>
                <w:lang w:val="en-US" w:eastAsia="zh-CN" w:bidi="ar"/>
              </w:rPr>
              <w:t>其中小型、微型企业承接的金额：</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，承担本项目合同金额的【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tc>
      </w:tr>
    </w:tbl>
    <w:p w14:paraId="53D73DC6">
      <w:pPr>
        <w:spacing w:line="360" w:lineRule="auto"/>
        <w:ind w:firstLine="250" w:firstLineChars="100"/>
        <w:rPr>
          <w:rFonts w:hint="eastAsia" w:ascii="宋体" w:hAnsi="宋体" w:cs="宋体"/>
          <w:color w:val="auto"/>
          <w:spacing w:val="20"/>
          <w:szCs w:val="21"/>
          <w:highlight w:val="none"/>
        </w:rPr>
      </w:pPr>
      <w:r>
        <w:rPr>
          <w:rFonts w:hint="eastAsia" w:ascii="宋体" w:hAnsi="宋体" w:cs="宋体"/>
          <w:color w:val="auto"/>
          <w:spacing w:val="20"/>
          <w:szCs w:val="21"/>
          <w:highlight w:val="none"/>
        </w:rPr>
        <w:t xml:space="preserve">                           </w:t>
      </w:r>
    </w:p>
    <w:p w14:paraId="0369AF26">
      <w:pPr>
        <w:spacing w:line="360" w:lineRule="auto"/>
        <w:ind w:right="-283" w:rightChars="-135" w:firstLine="211" w:firstLineChars="100"/>
        <w:rPr>
          <w:rFonts w:hint="eastAsia" w:ascii="宋体" w:hAnsi="宋体" w:cs="宋体"/>
          <w:b/>
          <w:iCs/>
          <w:color w:val="auto"/>
          <w:szCs w:val="21"/>
          <w:highlight w:val="none"/>
        </w:rPr>
      </w:pPr>
      <w:r>
        <w:rPr>
          <w:rFonts w:hint="eastAsia" w:ascii="宋体" w:hAnsi="宋体" w:cs="宋体"/>
          <w:b/>
          <w:color w:val="auto"/>
          <w:kern w:val="0"/>
          <w:szCs w:val="21"/>
          <w:highlight w:val="none"/>
        </w:rPr>
        <w:t>说明：</w:t>
      </w:r>
    </w:p>
    <w:p w14:paraId="0870EC98">
      <w:pPr>
        <w:spacing w:line="480" w:lineRule="exact"/>
        <w:ind w:firstLine="500" w:firstLineChars="200"/>
        <w:rPr>
          <w:rFonts w:hint="eastAsia" w:ascii="宋体" w:hAnsi="宋体" w:cs="宋体"/>
          <w:bCs/>
          <w:caps/>
          <w:color w:val="auto"/>
          <w:spacing w:val="20"/>
          <w:kern w:val="0"/>
          <w:szCs w:val="21"/>
          <w:highlight w:val="none"/>
        </w:rPr>
      </w:pPr>
      <w:r>
        <w:rPr>
          <w:rFonts w:hint="eastAsia" w:ascii="宋体" w:hAnsi="宋体" w:cs="宋体"/>
          <w:bCs/>
          <w:caps/>
          <w:color w:val="auto"/>
          <w:spacing w:val="20"/>
          <w:kern w:val="0"/>
          <w:szCs w:val="21"/>
          <w:highlight w:val="none"/>
        </w:rPr>
        <w:t>1.投标报价超出项目预算金额（或最高限价）的作无效标处理；</w:t>
      </w:r>
    </w:p>
    <w:p w14:paraId="6F314800">
      <w:pPr>
        <w:spacing w:line="480" w:lineRule="exact"/>
        <w:ind w:firstLine="502" w:firstLineChars="200"/>
        <w:rPr>
          <w:rFonts w:hint="eastAsia" w:ascii="宋体" w:hAnsi="宋体" w:cs="宋体"/>
          <w:b/>
          <w:caps/>
          <w:color w:val="auto"/>
          <w:spacing w:val="20"/>
          <w:kern w:val="0"/>
          <w:szCs w:val="21"/>
          <w:highlight w:val="none"/>
        </w:rPr>
      </w:pPr>
      <w:r>
        <w:rPr>
          <w:rFonts w:hint="eastAsia" w:ascii="宋体" w:hAnsi="宋体" w:cs="宋体"/>
          <w:b/>
          <w:caps/>
          <w:color w:val="auto"/>
          <w:spacing w:val="20"/>
          <w:kern w:val="0"/>
          <w:szCs w:val="21"/>
          <w:highlight w:val="none"/>
        </w:rPr>
        <w:t>2.投标人在“政府采购云平台”进行标书关联时，在“政府采购云平台”上单独填报的开标一览表内容与加密的报价文件中提交的开标一览表内容不一致时，以加密的报价文件中提交的开标一览表为准进行修正。</w:t>
      </w:r>
    </w:p>
    <w:p w14:paraId="50A41E76">
      <w:pPr>
        <w:tabs>
          <w:tab w:val="left" w:pos="420"/>
          <w:tab w:val="center" w:pos="4153"/>
          <w:tab w:val="right" w:pos="8306"/>
        </w:tabs>
        <w:snapToGrid w:val="0"/>
        <w:spacing w:line="480" w:lineRule="exact"/>
        <w:ind w:firstLine="500" w:firstLineChars="200"/>
        <w:jc w:val="left"/>
        <w:textAlignment w:val="baseline"/>
        <w:rPr>
          <w:rFonts w:hint="eastAsia" w:ascii="宋体" w:hAnsi="宋体" w:cs="宋体"/>
          <w:bCs/>
          <w:caps/>
          <w:color w:val="auto"/>
          <w:spacing w:val="20"/>
          <w:kern w:val="0"/>
          <w:szCs w:val="21"/>
          <w:highlight w:val="none"/>
          <w:lang w:val="zh-CN"/>
        </w:rPr>
      </w:pPr>
      <w:r>
        <w:rPr>
          <w:rFonts w:hint="eastAsia" w:ascii="宋体" w:hAnsi="宋体" w:cs="宋体"/>
          <w:bCs/>
          <w:caps/>
          <w:color w:val="auto"/>
          <w:spacing w:val="20"/>
          <w:kern w:val="0"/>
          <w:szCs w:val="21"/>
          <w:highlight w:val="none"/>
        </w:rPr>
        <w:t>3.</w:t>
      </w:r>
      <w:r>
        <w:rPr>
          <w:rFonts w:hint="eastAsia" w:ascii="宋体" w:hAnsi="宋体" w:cs="宋体"/>
          <w:bCs/>
          <w:caps/>
          <w:color w:val="auto"/>
          <w:spacing w:val="20"/>
          <w:kern w:val="0"/>
          <w:szCs w:val="21"/>
          <w:highlight w:val="none"/>
          <w:lang w:val="zh-CN"/>
        </w:rPr>
        <w:t>特别提示：采购机构将对项目名称和项目编号，中标人名称、地址和中标金额，主要中标标的名称、服务要求、服务时间等予以公示。</w:t>
      </w:r>
    </w:p>
    <w:p w14:paraId="43317573">
      <w:pPr>
        <w:pStyle w:val="22"/>
        <w:rPr>
          <w:rFonts w:hint="eastAsia" w:ascii="宋体" w:hAnsi="宋体" w:eastAsia="宋体" w:cs="宋体"/>
          <w:color w:val="auto"/>
          <w:highlight w:val="none"/>
        </w:rPr>
      </w:pPr>
    </w:p>
    <w:p w14:paraId="5B739BC9">
      <w:pPr>
        <w:rPr>
          <w:rFonts w:hint="eastAsia" w:ascii="宋体" w:hAnsi="宋体" w:cs="宋体"/>
          <w:color w:val="auto"/>
          <w:highlight w:val="none"/>
          <w:lang w:val="zh-CN"/>
        </w:rPr>
      </w:pPr>
    </w:p>
    <w:p w14:paraId="7D2C5425">
      <w:pPr>
        <w:rPr>
          <w:rFonts w:hint="eastAsia" w:ascii="宋体" w:hAnsi="宋体" w:cs="宋体"/>
          <w:color w:val="auto"/>
          <w:highlight w:val="none"/>
          <w:lang w:val="zh-CN"/>
        </w:rPr>
      </w:pPr>
    </w:p>
    <w:p w14:paraId="28A4FF63">
      <w:pPr>
        <w:rPr>
          <w:rFonts w:hint="eastAsia" w:ascii="宋体" w:hAnsi="宋体" w:cs="宋体"/>
          <w:color w:val="auto"/>
          <w:highlight w:val="none"/>
          <w:lang w:val="zh-CN"/>
        </w:rPr>
      </w:pPr>
    </w:p>
    <w:p w14:paraId="5CE63AD3">
      <w:pPr>
        <w:rPr>
          <w:rFonts w:hint="eastAsia" w:ascii="宋体" w:hAnsi="宋体" w:cs="宋体"/>
          <w:color w:val="auto"/>
          <w:highlight w:val="none"/>
          <w:lang w:val="zh-CN"/>
        </w:rPr>
      </w:pPr>
    </w:p>
    <w:p w14:paraId="076BA3E5">
      <w:pPr>
        <w:rPr>
          <w:rFonts w:hint="eastAsia" w:ascii="宋体" w:hAnsi="宋体" w:cs="宋体"/>
          <w:color w:val="auto"/>
          <w:highlight w:val="none"/>
          <w:lang w:val="zh-CN"/>
        </w:rPr>
      </w:pPr>
    </w:p>
    <w:p w14:paraId="477B499B">
      <w:pPr>
        <w:rPr>
          <w:rFonts w:hint="eastAsia" w:ascii="宋体" w:hAnsi="宋体" w:cs="宋体"/>
          <w:color w:val="auto"/>
          <w:highlight w:val="none"/>
          <w:lang w:val="zh-CN"/>
        </w:rPr>
      </w:pPr>
    </w:p>
    <w:p w14:paraId="5FC388BD">
      <w:pPr>
        <w:rPr>
          <w:rFonts w:hint="eastAsia" w:ascii="宋体" w:hAnsi="宋体" w:cs="宋体"/>
          <w:color w:val="auto"/>
          <w:highlight w:val="none"/>
          <w:lang w:val="zh-CN"/>
        </w:rPr>
      </w:pPr>
    </w:p>
    <w:p w14:paraId="6B6194CC">
      <w:pPr>
        <w:rPr>
          <w:rFonts w:hint="eastAsia" w:ascii="宋体" w:hAnsi="宋体" w:cs="宋体"/>
          <w:color w:val="auto"/>
          <w:highlight w:val="none"/>
          <w:lang w:val="zh-CN"/>
        </w:rPr>
      </w:pPr>
    </w:p>
    <w:p w14:paraId="199643A8">
      <w:pPr>
        <w:rPr>
          <w:rFonts w:hint="eastAsia" w:ascii="宋体" w:hAnsi="宋体" w:cs="宋体"/>
          <w:color w:val="auto"/>
          <w:highlight w:val="none"/>
          <w:lang w:val="zh-CN"/>
        </w:rPr>
      </w:pPr>
    </w:p>
    <w:p w14:paraId="34AE4D16">
      <w:pPr>
        <w:rPr>
          <w:rFonts w:hint="eastAsia" w:ascii="宋体" w:hAnsi="宋体" w:cs="宋体"/>
          <w:color w:val="auto"/>
          <w:highlight w:val="none"/>
          <w:lang w:val="zh-CN"/>
        </w:rPr>
      </w:pPr>
    </w:p>
    <w:p w14:paraId="1DD022A8">
      <w:pPr>
        <w:rPr>
          <w:rFonts w:hint="eastAsia" w:ascii="宋体" w:hAnsi="宋体" w:cs="宋体"/>
          <w:color w:val="auto"/>
          <w:highlight w:val="none"/>
          <w:lang w:val="zh-CN"/>
        </w:rPr>
      </w:pPr>
    </w:p>
    <w:p w14:paraId="54CE3C74">
      <w:pPr>
        <w:rPr>
          <w:rFonts w:hint="eastAsia" w:ascii="宋体" w:hAnsi="宋体" w:cs="宋体"/>
          <w:color w:val="auto"/>
          <w:highlight w:val="none"/>
          <w:lang w:val="zh-CN"/>
        </w:rPr>
      </w:pPr>
    </w:p>
    <w:p w14:paraId="06F21B8A">
      <w:pPr>
        <w:rPr>
          <w:rFonts w:hint="eastAsia" w:ascii="宋体" w:hAnsi="宋体" w:cs="宋体"/>
          <w:color w:val="auto"/>
          <w:highlight w:val="none"/>
          <w:lang w:val="zh-CN"/>
        </w:rPr>
      </w:pPr>
    </w:p>
    <w:p w14:paraId="1117381B">
      <w:pPr>
        <w:rPr>
          <w:rFonts w:hint="eastAsia" w:ascii="宋体" w:hAnsi="宋体" w:cs="宋体"/>
          <w:color w:val="auto"/>
          <w:highlight w:val="none"/>
          <w:lang w:val="zh-CN"/>
        </w:rPr>
      </w:pPr>
    </w:p>
    <w:p w14:paraId="42D01569">
      <w:pPr>
        <w:spacing w:line="360" w:lineRule="auto"/>
        <w:jc w:val="center"/>
        <w:rPr>
          <w:rFonts w:hint="eastAsia" w:ascii="宋体" w:hAnsi="宋体" w:cs="宋体"/>
          <w:b/>
          <w:color w:val="auto"/>
          <w:sz w:val="30"/>
          <w:highlight w:val="none"/>
        </w:rPr>
      </w:pPr>
      <w:r>
        <w:rPr>
          <w:rFonts w:hint="eastAsia" w:ascii="宋体" w:hAnsi="宋体" w:cs="宋体"/>
          <w:b/>
          <w:color w:val="auto"/>
          <w:sz w:val="30"/>
          <w:highlight w:val="none"/>
        </w:rPr>
        <w:t>2、代理服务费支付承诺书</w:t>
      </w:r>
    </w:p>
    <w:p w14:paraId="43D2406D">
      <w:pPr>
        <w:spacing w:line="360" w:lineRule="auto"/>
        <w:rPr>
          <w:rFonts w:hint="eastAsia" w:ascii="宋体" w:hAnsi="宋体" w:cs="宋体"/>
          <w:b/>
          <w:color w:val="auto"/>
          <w:sz w:val="30"/>
          <w:highlight w:val="none"/>
        </w:rPr>
      </w:pPr>
    </w:p>
    <w:p w14:paraId="73FE62EC">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浙江大兴建设项目管理咨询有限公司：</w:t>
      </w:r>
    </w:p>
    <w:p w14:paraId="0125E2F6">
      <w:pPr>
        <w:spacing w:line="48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确定我公司为该项目中标人，我公司承诺在成交公告发布之日起5个工作日之内向贵公司按采购文件约定一次性支付代理服务费。逾期未支付的，贵公司有权就此事项向我公司提出赔偿，我公司愿意承担由此产生的全部赔偿责任，包括但不限于律师费、诉讼费、交通费、误工费等费用。如我公司放弃中标（成交）资格导致重新采购的，我公司愿意承担支付代理费和专家评审费等费用在内的赔偿责任。</w:t>
      </w:r>
    </w:p>
    <w:p w14:paraId="2580A826">
      <w:pPr>
        <w:spacing w:line="480" w:lineRule="auto"/>
        <w:ind w:firstLine="420" w:firstLineChars="200"/>
        <w:jc w:val="left"/>
        <w:rPr>
          <w:rFonts w:hint="eastAsia" w:ascii="宋体" w:hAnsi="宋体" w:cs="宋体"/>
          <w:color w:val="auto"/>
          <w:szCs w:val="21"/>
          <w:highlight w:val="none"/>
        </w:rPr>
      </w:pPr>
    </w:p>
    <w:p w14:paraId="53BF76CC">
      <w:pPr>
        <w:spacing w:line="360" w:lineRule="auto"/>
        <w:jc w:val="left"/>
        <w:rPr>
          <w:rFonts w:hint="eastAsia" w:ascii="宋体" w:hAnsi="宋体" w:cs="宋体"/>
          <w:b/>
          <w:color w:val="auto"/>
          <w:sz w:val="28"/>
          <w:szCs w:val="28"/>
          <w:highlight w:val="none"/>
        </w:rPr>
      </w:pPr>
    </w:p>
    <w:p w14:paraId="733D4FE7">
      <w:pPr>
        <w:spacing w:line="360" w:lineRule="auto"/>
        <w:jc w:val="left"/>
        <w:rPr>
          <w:rFonts w:hint="eastAsia" w:ascii="宋体" w:hAnsi="宋体" w:cs="宋体"/>
          <w:b/>
          <w:color w:val="auto"/>
          <w:sz w:val="28"/>
          <w:szCs w:val="28"/>
          <w:highlight w:val="none"/>
        </w:rPr>
      </w:pPr>
    </w:p>
    <w:p w14:paraId="122F46B5">
      <w:pPr>
        <w:spacing w:line="360" w:lineRule="auto"/>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注：</w:t>
      </w:r>
    </w:p>
    <w:p w14:paraId="3AB855E9">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代理服务费账户信息：</w:t>
      </w:r>
    </w:p>
    <w:p w14:paraId="4CC4A269">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户名：浙江大兴建设项目管理咨询有限公司</w:t>
      </w:r>
    </w:p>
    <w:p w14:paraId="2E977D06">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账号：33001694400050000430</w:t>
      </w:r>
    </w:p>
    <w:p w14:paraId="04A411B8">
      <w:pPr>
        <w:spacing w:line="48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开户行：丽水市建行瓯江支行 </w:t>
      </w:r>
    </w:p>
    <w:p w14:paraId="25487EB6">
      <w:pPr>
        <w:snapToGrid w:val="0"/>
        <w:spacing w:line="440" w:lineRule="exact"/>
        <w:ind w:left="6598" w:leftChars="342" w:hanging="5880" w:hangingChars="2800"/>
        <w:jc w:val="left"/>
        <w:rPr>
          <w:rFonts w:hint="eastAsia" w:ascii="宋体" w:hAnsi="宋体" w:cs="宋体"/>
          <w:color w:val="auto"/>
          <w:kern w:val="0"/>
          <w:szCs w:val="22"/>
          <w:highlight w:val="none"/>
        </w:rPr>
      </w:pPr>
      <w:r>
        <w:rPr>
          <w:rFonts w:hint="eastAsia" w:ascii="宋体" w:hAnsi="宋体" w:cs="宋体"/>
          <w:color w:val="auto"/>
          <w:kern w:val="0"/>
          <w:szCs w:val="22"/>
          <w:highlight w:val="none"/>
        </w:rPr>
        <w:t xml:space="preserve">                  </w:t>
      </w:r>
    </w:p>
    <w:p w14:paraId="6931CECD">
      <w:pPr>
        <w:pStyle w:val="23"/>
        <w:rPr>
          <w:rFonts w:hint="eastAsia" w:ascii="宋体" w:hAnsi="宋体" w:cs="宋体"/>
          <w:color w:val="auto"/>
          <w:kern w:val="0"/>
          <w:szCs w:val="22"/>
          <w:highlight w:val="none"/>
        </w:rPr>
      </w:pPr>
    </w:p>
    <w:p w14:paraId="36D781A3">
      <w:pPr>
        <w:rPr>
          <w:rFonts w:hint="eastAsia" w:ascii="宋体" w:hAnsi="宋体" w:cs="宋体"/>
          <w:color w:val="auto"/>
          <w:kern w:val="0"/>
          <w:szCs w:val="22"/>
          <w:highlight w:val="none"/>
        </w:rPr>
      </w:pPr>
    </w:p>
    <w:p w14:paraId="04952B07">
      <w:pPr>
        <w:pStyle w:val="23"/>
        <w:rPr>
          <w:rFonts w:hint="eastAsia" w:ascii="宋体" w:hAnsi="宋体" w:cs="宋体"/>
          <w:color w:val="auto"/>
          <w:kern w:val="0"/>
          <w:szCs w:val="22"/>
          <w:highlight w:val="none"/>
        </w:rPr>
      </w:pPr>
    </w:p>
    <w:p w14:paraId="69A052BA">
      <w:pPr>
        <w:rPr>
          <w:rFonts w:hint="eastAsia" w:ascii="宋体" w:hAnsi="宋体" w:cs="宋体"/>
          <w:color w:val="auto"/>
          <w:kern w:val="0"/>
          <w:szCs w:val="22"/>
          <w:highlight w:val="none"/>
        </w:rPr>
      </w:pPr>
    </w:p>
    <w:p w14:paraId="4692A9B3">
      <w:pPr>
        <w:pStyle w:val="23"/>
        <w:rPr>
          <w:rFonts w:hint="eastAsia" w:ascii="宋体" w:hAnsi="宋体" w:cs="宋体"/>
          <w:color w:val="auto"/>
          <w:kern w:val="0"/>
          <w:szCs w:val="22"/>
          <w:highlight w:val="none"/>
        </w:rPr>
      </w:pPr>
    </w:p>
    <w:p w14:paraId="038502BC">
      <w:pPr>
        <w:rPr>
          <w:rFonts w:hint="eastAsia" w:ascii="宋体" w:hAnsi="宋体" w:cs="宋体"/>
          <w:color w:val="auto"/>
          <w:kern w:val="0"/>
          <w:szCs w:val="22"/>
          <w:highlight w:val="none"/>
        </w:rPr>
      </w:pPr>
    </w:p>
    <w:p w14:paraId="20C69D72">
      <w:pPr>
        <w:pStyle w:val="23"/>
        <w:rPr>
          <w:rFonts w:hint="eastAsia" w:ascii="宋体" w:hAnsi="宋体" w:cs="宋体"/>
          <w:color w:val="auto"/>
          <w:kern w:val="0"/>
          <w:szCs w:val="22"/>
          <w:highlight w:val="none"/>
        </w:rPr>
      </w:pPr>
    </w:p>
    <w:p w14:paraId="7E92EC43">
      <w:pPr>
        <w:rPr>
          <w:rFonts w:hint="eastAsia" w:ascii="宋体" w:hAnsi="宋体" w:cs="宋体"/>
          <w:color w:val="auto"/>
          <w:kern w:val="0"/>
          <w:szCs w:val="22"/>
          <w:highlight w:val="none"/>
        </w:rPr>
      </w:pPr>
    </w:p>
    <w:p w14:paraId="657EBBFA">
      <w:pPr>
        <w:pStyle w:val="23"/>
        <w:rPr>
          <w:rFonts w:hint="eastAsia" w:ascii="宋体" w:hAnsi="宋体" w:cs="宋体"/>
          <w:color w:val="auto"/>
          <w:kern w:val="0"/>
          <w:szCs w:val="22"/>
          <w:highlight w:val="none"/>
        </w:rPr>
      </w:pPr>
    </w:p>
    <w:p w14:paraId="49FE468D">
      <w:pPr>
        <w:rPr>
          <w:rFonts w:hint="eastAsia" w:ascii="宋体" w:hAnsi="宋体" w:cs="宋体"/>
          <w:color w:val="auto"/>
          <w:kern w:val="0"/>
          <w:szCs w:val="22"/>
          <w:highlight w:val="none"/>
        </w:rPr>
      </w:pPr>
    </w:p>
    <w:p w14:paraId="3AE57C2B">
      <w:pPr>
        <w:pStyle w:val="23"/>
        <w:rPr>
          <w:rFonts w:hint="eastAsia" w:ascii="宋体" w:hAnsi="宋体" w:cs="宋体"/>
          <w:color w:val="auto"/>
          <w:kern w:val="0"/>
          <w:szCs w:val="22"/>
          <w:highlight w:val="none"/>
        </w:rPr>
      </w:pPr>
    </w:p>
    <w:p w14:paraId="10D95B82">
      <w:pPr>
        <w:rPr>
          <w:rFonts w:hint="eastAsia" w:ascii="宋体" w:hAnsi="宋体" w:cs="宋体"/>
          <w:color w:val="auto"/>
          <w:kern w:val="0"/>
          <w:szCs w:val="22"/>
          <w:highlight w:val="none"/>
        </w:rPr>
      </w:pPr>
    </w:p>
    <w:p w14:paraId="7D98548D">
      <w:pPr>
        <w:pStyle w:val="23"/>
        <w:rPr>
          <w:rFonts w:hint="eastAsia" w:ascii="宋体" w:hAnsi="宋体" w:cs="宋体"/>
          <w:color w:val="auto"/>
          <w:kern w:val="0"/>
          <w:szCs w:val="22"/>
          <w:highlight w:val="none"/>
        </w:rPr>
      </w:pPr>
    </w:p>
    <w:p w14:paraId="57F0AC9E">
      <w:pPr>
        <w:pStyle w:val="23"/>
        <w:rPr>
          <w:rFonts w:hint="eastAsia" w:ascii="宋体" w:hAnsi="宋体" w:cs="宋体"/>
          <w:color w:val="auto"/>
          <w:kern w:val="0"/>
          <w:szCs w:val="22"/>
          <w:highlight w:val="none"/>
        </w:rPr>
      </w:pPr>
    </w:p>
    <w:p w14:paraId="471B0BEE">
      <w:pPr>
        <w:rPr>
          <w:rFonts w:hint="eastAsia" w:ascii="宋体" w:hAnsi="宋体" w:cs="宋体"/>
          <w:color w:val="auto"/>
          <w:kern w:val="0"/>
          <w:szCs w:val="22"/>
          <w:highlight w:val="none"/>
        </w:rPr>
      </w:pPr>
    </w:p>
    <w:p w14:paraId="73A57DD4">
      <w:pPr>
        <w:pStyle w:val="23"/>
        <w:rPr>
          <w:rFonts w:hint="eastAsia" w:ascii="宋体" w:hAnsi="宋体" w:cs="宋体"/>
          <w:color w:val="auto"/>
          <w:kern w:val="0"/>
          <w:szCs w:val="22"/>
          <w:highlight w:val="none"/>
        </w:rPr>
      </w:pPr>
    </w:p>
    <w:p w14:paraId="2ED91C16">
      <w:pPr>
        <w:rPr>
          <w:rFonts w:hint="eastAsia" w:ascii="宋体" w:hAnsi="宋体" w:cs="宋体"/>
          <w:color w:val="auto"/>
          <w:highlight w:val="none"/>
          <w:lang w:val="zh-CN"/>
        </w:rPr>
      </w:pPr>
    </w:p>
    <w:p w14:paraId="5A174B63">
      <w:pPr>
        <w:pStyle w:val="359"/>
        <w:snapToGrid w:val="0"/>
        <w:jc w:val="center"/>
        <w:outlineLvl w:val="4"/>
        <w:rPr>
          <w:rFonts w:hint="eastAsia" w:hAnsi="宋体" w:cs="宋体"/>
          <w:b/>
          <w:color w:val="auto"/>
          <w:sz w:val="30"/>
          <w:highlight w:val="none"/>
        </w:rPr>
      </w:pPr>
      <w:r>
        <w:rPr>
          <w:rFonts w:hint="eastAsia" w:hAnsi="宋体" w:cs="宋体"/>
          <w:b/>
          <w:bCs/>
          <w:color w:val="auto"/>
          <w:sz w:val="30"/>
          <w:highlight w:val="none"/>
        </w:rPr>
        <w:t>▲</w:t>
      </w:r>
      <w:r>
        <w:rPr>
          <w:rFonts w:hint="eastAsia" w:hAnsi="宋体" w:cs="宋体"/>
          <w:b/>
          <w:color w:val="auto"/>
          <w:sz w:val="30"/>
          <w:highlight w:val="none"/>
        </w:rPr>
        <w:t>3、符合政府采购扶持政策的证明材料</w:t>
      </w:r>
    </w:p>
    <w:p w14:paraId="4AB3F52C">
      <w:pPr>
        <w:pStyle w:val="359"/>
        <w:snapToGrid w:val="0"/>
        <w:jc w:val="center"/>
        <w:outlineLvl w:val="1"/>
        <w:rPr>
          <w:rFonts w:hint="eastAsia" w:hAnsi="宋体" w:cs="宋体"/>
          <w:b/>
          <w:bCs/>
          <w:color w:val="auto"/>
          <w:sz w:val="28"/>
          <w:szCs w:val="28"/>
          <w:highlight w:val="none"/>
        </w:rPr>
      </w:pPr>
    </w:p>
    <w:p w14:paraId="74D17B83">
      <w:pPr>
        <w:pStyle w:val="359"/>
        <w:snapToGrid w:val="0"/>
        <w:jc w:val="center"/>
        <w:outlineLvl w:val="1"/>
        <w:rPr>
          <w:rFonts w:hint="eastAsia" w:hAnsi="宋体" w:cs="宋体"/>
          <w:b/>
          <w:color w:val="auto"/>
          <w:sz w:val="30"/>
          <w:highlight w:val="none"/>
        </w:rPr>
      </w:pPr>
      <w:r>
        <w:rPr>
          <w:rFonts w:hint="eastAsia" w:hAnsi="宋体" w:cs="宋体"/>
          <w:b/>
          <w:bCs/>
          <w:color w:val="auto"/>
          <w:sz w:val="28"/>
          <w:szCs w:val="28"/>
          <w:highlight w:val="none"/>
        </w:rPr>
        <w:t>（1）</w:t>
      </w:r>
      <w:r>
        <w:rPr>
          <w:rFonts w:hint="eastAsia" w:hAnsi="宋体" w:cs="宋体"/>
          <w:b/>
          <w:color w:val="auto"/>
          <w:sz w:val="30"/>
          <w:highlight w:val="none"/>
        </w:rPr>
        <w:t>中小企业声明函（服务）</w:t>
      </w:r>
    </w:p>
    <w:p w14:paraId="237C4B53">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采购活动，服务全部由符合政策要求的中小企业承接。相关企业（</w:t>
      </w:r>
      <w:r>
        <w:rPr>
          <w:rFonts w:hint="eastAsia" w:ascii="宋体" w:hAnsi="宋体" w:cs="宋体"/>
          <w:b/>
          <w:bCs/>
          <w:color w:val="auto"/>
          <w:szCs w:val="21"/>
          <w:highlight w:val="none"/>
        </w:rPr>
        <w:t>含联合体中的中小企业、签订分包意向协议的中小企业</w:t>
      </w:r>
      <w:r>
        <w:rPr>
          <w:rFonts w:hint="eastAsia" w:ascii="宋体" w:hAnsi="宋体" w:cs="宋体"/>
          <w:color w:val="auto"/>
          <w:szCs w:val="21"/>
          <w:highlight w:val="none"/>
        </w:rPr>
        <w:t>）的具体情况如下：</w:t>
      </w:r>
    </w:p>
    <w:tbl>
      <w:tblPr>
        <w:tblStyle w:val="52"/>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847"/>
        <w:gridCol w:w="870"/>
        <w:gridCol w:w="1631"/>
        <w:gridCol w:w="828"/>
        <w:gridCol w:w="1128"/>
        <w:gridCol w:w="1128"/>
        <w:gridCol w:w="1793"/>
      </w:tblGrid>
      <w:tr w14:paraId="310BB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52" w:type="dxa"/>
            <w:vAlign w:val="center"/>
          </w:tcPr>
          <w:p w14:paraId="72627701">
            <w:pPr>
              <w:spacing w:line="30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序号</w:t>
            </w:r>
          </w:p>
        </w:tc>
        <w:tc>
          <w:tcPr>
            <w:tcW w:w="1847" w:type="dxa"/>
            <w:vAlign w:val="center"/>
          </w:tcPr>
          <w:p w14:paraId="467C68FC">
            <w:pPr>
              <w:spacing w:line="30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标的名称</w:t>
            </w:r>
          </w:p>
        </w:tc>
        <w:tc>
          <w:tcPr>
            <w:tcW w:w="870" w:type="dxa"/>
            <w:vAlign w:val="center"/>
          </w:tcPr>
          <w:p w14:paraId="2DD45CB2">
            <w:pPr>
              <w:spacing w:line="30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行业</w:t>
            </w:r>
          </w:p>
        </w:tc>
        <w:tc>
          <w:tcPr>
            <w:tcW w:w="1631" w:type="dxa"/>
            <w:vAlign w:val="center"/>
          </w:tcPr>
          <w:p w14:paraId="46F4E7A3">
            <w:pPr>
              <w:spacing w:line="30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承接企业名称</w:t>
            </w:r>
          </w:p>
        </w:tc>
        <w:tc>
          <w:tcPr>
            <w:tcW w:w="828" w:type="dxa"/>
            <w:vAlign w:val="center"/>
          </w:tcPr>
          <w:p w14:paraId="3C67434A">
            <w:pPr>
              <w:spacing w:line="30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从业人员人数</w:t>
            </w:r>
          </w:p>
        </w:tc>
        <w:tc>
          <w:tcPr>
            <w:tcW w:w="1128" w:type="dxa"/>
            <w:vAlign w:val="center"/>
          </w:tcPr>
          <w:p w14:paraId="608D3703">
            <w:pPr>
              <w:spacing w:line="30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营业收入（万元）</w:t>
            </w:r>
          </w:p>
        </w:tc>
        <w:tc>
          <w:tcPr>
            <w:tcW w:w="1128" w:type="dxa"/>
            <w:vAlign w:val="center"/>
          </w:tcPr>
          <w:p w14:paraId="248452B8">
            <w:pPr>
              <w:spacing w:line="300" w:lineRule="auto"/>
              <w:rPr>
                <w:rFonts w:hint="eastAsia" w:ascii="宋体" w:hAnsi="宋体" w:cs="宋体"/>
                <w:color w:val="auto"/>
                <w:sz w:val="18"/>
                <w:szCs w:val="18"/>
                <w:highlight w:val="none"/>
              </w:rPr>
            </w:pPr>
            <w:r>
              <w:rPr>
                <w:rFonts w:hint="eastAsia" w:ascii="宋体" w:hAnsi="宋体" w:cs="宋体"/>
                <w:color w:val="auto"/>
                <w:sz w:val="18"/>
                <w:szCs w:val="18"/>
                <w:highlight w:val="none"/>
              </w:rPr>
              <w:t>资产总额（万元）</w:t>
            </w:r>
          </w:p>
        </w:tc>
        <w:tc>
          <w:tcPr>
            <w:tcW w:w="1793" w:type="dxa"/>
            <w:vAlign w:val="center"/>
          </w:tcPr>
          <w:p w14:paraId="03663484">
            <w:pPr>
              <w:spacing w:line="30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企业类型</w:t>
            </w:r>
          </w:p>
          <w:p w14:paraId="02F94D00">
            <w:pPr>
              <w:spacing w:line="30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w:t>
            </w:r>
            <w:r>
              <w:rPr>
                <w:rFonts w:hint="eastAsia" w:ascii="宋体" w:hAnsi="宋体" w:cs="宋体"/>
                <w:b/>
                <w:bCs/>
                <w:color w:val="auto"/>
                <w:sz w:val="18"/>
                <w:szCs w:val="18"/>
                <w:highlight w:val="none"/>
              </w:rPr>
              <w:t>三选一进行承诺</w:t>
            </w:r>
            <w:r>
              <w:rPr>
                <w:rFonts w:hint="eastAsia" w:ascii="宋体" w:hAnsi="宋体" w:cs="宋体"/>
                <w:color w:val="auto"/>
                <w:sz w:val="18"/>
                <w:szCs w:val="18"/>
                <w:highlight w:val="none"/>
              </w:rPr>
              <w:t>）</w:t>
            </w:r>
          </w:p>
        </w:tc>
      </w:tr>
      <w:tr w14:paraId="04CF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52" w:type="dxa"/>
            <w:vAlign w:val="center"/>
          </w:tcPr>
          <w:p w14:paraId="287CEF24">
            <w:pPr>
              <w:spacing w:line="30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w:t>
            </w:r>
          </w:p>
        </w:tc>
        <w:tc>
          <w:tcPr>
            <w:tcW w:w="1847" w:type="dxa"/>
            <w:vAlign w:val="center"/>
          </w:tcPr>
          <w:p w14:paraId="5BEF0DDF">
            <w:pPr>
              <w:spacing w:line="300" w:lineRule="auto"/>
              <w:jc w:val="center"/>
              <w:rPr>
                <w:rFonts w:hint="eastAsia" w:ascii="宋体" w:hAnsi="宋体" w:cs="宋体"/>
                <w:color w:val="auto"/>
                <w:sz w:val="18"/>
                <w:szCs w:val="18"/>
                <w:highlight w:val="none"/>
              </w:rPr>
            </w:pPr>
            <w:r>
              <w:rPr>
                <w:color w:val="auto"/>
                <w:highlight w:val="none"/>
              </w:rPr>
              <w:fldChar w:fldCharType="begin"/>
            </w:r>
            <w:r>
              <w:rPr>
                <w:color w:val="auto"/>
                <w:highlight w:val="none"/>
              </w:rPr>
              <w:instrText xml:space="preserve"> HYPERLINK "https://bidding.zcygov.cn/xmgl/projectQuery/queryDetail?projectUuid=5c859e260a927c18" \l "/purchaseFileMake/_blank" \t "https://www.zcygov.cn/bidding-entrust/" </w:instrText>
            </w:r>
            <w:r>
              <w:rPr>
                <w:color w:val="auto"/>
                <w:highlight w:val="none"/>
              </w:rPr>
              <w:fldChar w:fldCharType="separate"/>
            </w:r>
            <w:r>
              <w:rPr>
                <w:rFonts w:hint="eastAsia" w:ascii="宋体" w:hAnsi="宋体" w:cs="宋体"/>
                <w:color w:val="auto"/>
                <w:sz w:val="18"/>
                <w:szCs w:val="18"/>
                <w:highlight w:val="none"/>
              </w:rPr>
              <w:t>丽水市新污染物试点监测项目</w:t>
            </w:r>
            <w:r>
              <w:rPr>
                <w:rFonts w:hint="eastAsia" w:ascii="宋体" w:hAnsi="宋体" w:cs="宋体"/>
                <w:color w:val="auto"/>
                <w:sz w:val="18"/>
                <w:szCs w:val="18"/>
                <w:highlight w:val="none"/>
              </w:rPr>
              <w:fldChar w:fldCharType="end"/>
            </w:r>
          </w:p>
        </w:tc>
        <w:tc>
          <w:tcPr>
            <w:tcW w:w="870" w:type="dxa"/>
            <w:vAlign w:val="center"/>
          </w:tcPr>
          <w:p w14:paraId="7CF3FD06">
            <w:pPr>
              <w:spacing w:line="300" w:lineRule="auto"/>
              <w:jc w:val="center"/>
              <w:rPr>
                <w:rFonts w:hint="eastAsia" w:ascii="宋体" w:hAnsi="宋体" w:cs="宋体"/>
                <w:color w:val="auto"/>
                <w:sz w:val="18"/>
                <w:szCs w:val="18"/>
                <w:highlight w:val="none"/>
              </w:rPr>
            </w:pPr>
            <w:r>
              <w:rPr>
                <w:rFonts w:hint="eastAsia" w:ascii="宋体" w:hAnsi="宋体" w:cs="宋体"/>
                <w:bCs/>
                <w:color w:val="auto"/>
                <w:sz w:val="18"/>
                <w:szCs w:val="18"/>
                <w:highlight w:val="none"/>
              </w:rPr>
              <w:t xml:space="preserve">其他未列明行业 </w:t>
            </w:r>
          </w:p>
        </w:tc>
        <w:tc>
          <w:tcPr>
            <w:tcW w:w="1631" w:type="dxa"/>
            <w:vAlign w:val="center"/>
          </w:tcPr>
          <w:p w14:paraId="373EC74A">
            <w:pPr>
              <w:spacing w:line="300" w:lineRule="auto"/>
              <w:rPr>
                <w:rFonts w:hint="eastAsia" w:ascii="宋体" w:hAnsi="宋体" w:cs="宋体"/>
                <w:color w:val="auto"/>
                <w:sz w:val="18"/>
                <w:szCs w:val="18"/>
                <w:highlight w:val="none"/>
              </w:rPr>
            </w:pPr>
          </w:p>
        </w:tc>
        <w:tc>
          <w:tcPr>
            <w:tcW w:w="828" w:type="dxa"/>
            <w:vAlign w:val="center"/>
          </w:tcPr>
          <w:p w14:paraId="7E704250">
            <w:pPr>
              <w:spacing w:line="300" w:lineRule="auto"/>
              <w:rPr>
                <w:rFonts w:hint="eastAsia" w:ascii="宋体" w:hAnsi="宋体" w:cs="宋体"/>
                <w:color w:val="auto"/>
                <w:sz w:val="18"/>
                <w:szCs w:val="18"/>
                <w:highlight w:val="none"/>
              </w:rPr>
            </w:pPr>
          </w:p>
        </w:tc>
        <w:tc>
          <w:tcPr>
            <w:tcW w:w="1128" w:type="dxa"/>
            <w:vAlign w:val="center"/>
          </w:tcPr>
          <w:p w14:paraId="33ACEE80">
            <w:pPr>
              <w:spacing w:line="300" w:lineRule="auto"/>
              <w:rPr>
                <w:rFonts w:hint="eastAsia" w:ascii="宋体" w:hAnsi="宋体" w:cs="宋体"/>
                <w:color w:val="auto"/>
                <w:sz w:val="18"/>
                <w:szCs w:val="18"/>
                <w:highlight w:val="none"/>
              </w:rPr>
            </w:pPr>
          </w:p>
        </w:tc>
        <w:tc>
          <w:tcPr>
            <w:tcW w:w="1128" w:type="dxa"/>
            <w:vAlign w:val="center"/>
          </w:tcPr>
          <w:p w14:paraId="0C466CA9">
            <w:pPr>
              <w:spacing w:line="300" w:lineRule="auto"/>
              <w:rPr>
                <w:rFonts w:hint="eastAsia" w:ascii="宋体" w:hAnsi="宋体" w:cs="宋体"/>
                <w:color w:val="auto"/>
                <w:sz w:val="18"/>
                <w:szCs w:val="18"/>
                <w:highlight w:val="none"/>
              </w:rPr>
            </w:pPr>
          </w:p>
        </w:tc>
        <w:tc>
          <w:tcPr>
            <w:tcW w:w="1793" w:type="dxa"/>
            <w:vAlign w:val="center"/>
          </w:tcPr>
          <w:p w14:paraId="04C33FCD">
            <w:pPr>
              <w:spacing w:line="300" w:lineRule="auto"/>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□中</w:t>
            </w:r>
            <w:r>
              <w:rPr>
                <w:rFonts w:hint="eastAsia" w:ascii="宋体" w:hAnsi="宋体" w:cs="宋体"/>
                <w:color w:val="auto"/>
                <w:sz w:val="18"/>
                <w:szCs w:val="18"/>
                <w:highlight w:val="none"/>
              </w:rPr>
              <w:t>型</w:t>
            </w:r>
          </w:p>
          <w:p w14:paraId="51735BFC">
            <w:pPr>
              <w:spacing w:line="300" w:lineRule="auto"/>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小型</w:t>
            </w:r>
          </w:p>
          <w:p w14:paraId="519CBB72">
            <w:pPr>
              <w:spacing w:line="300" w:lineRule="auto"/>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rPr>
              <w:t>□</w:t>
            </w:r>
            <w:r>
              <w:rPr>
                <w:rFonts w:hint="eastAsia" w:ascii="宋体" w:hAnsi="宋体" w:cs="宋体"/>
                <w:color w:val="auto"/>
                <w:sz w:val="18"/>
                <w:szCs w:val="18"/>
                <w:highlight w:val="none"/>
              </w:rPr>
              <w:t>微型</w:t>
            </w:r>
          </w:p>
        </w:tc>
      </w:tr>
    </w:tbl>
    <w:p w14:paraId="374321A1">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w:t>
      </w:r>
    </w:p>
    <w:p w14:paraId="256DEA4B">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04C1F9B2">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2094C8DB">
      <w:pPr>
        <w:pStyle w:val="38"/>
        <w:rPr>
          <w:rFonts w:hint="eastAsia" w:eastAsia="宋体" w:cs="宋体"/>
          <w:color w:val="auto"/>
          <w:sz w:val="21"/>
          <w:szCs w:val="21"/>
          <w:highlight w:val="none"/>
        </w:rPr>
      </w:pPr>
    </w:p>
    <w:p w14:paraId="06EA2CF7">
      <w:pPr>
        <w:spacing w:line="480" w:lineRule="exact"/>
        <w:ind w:right="112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14:paraId="60CBA412">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7F62240C">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14:paraId="730DD492">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（2）本项目仅对符合《政府采购促进中小企业发展管理办法》（财库﹝2020﹞46号）的规定的小型、微型企业进行价格扣除，不属于小型、微型企业，不用提供此函。</w:t>
      </w:r>
    </w:p>
    <w:p w14:paraId="74A0DAC0">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（3）应如实、完整填报从业人员、营业收入和资产总额等信息，并按照国务院批准的中小企业划型标准和采购标的所属行业，声明企业类型。否则不予认可。</w:t>
      </w:r>
    </w:p>
    <w:p w14:paraId="59F4DF60">
      <w:pPr>
        <w:spacing w:line="500" w:lineRule="exact"/>
        <w:ind w:firstLine="630" w:firstLineChars="300"/>
        <w:jc w:val="left"/>
        <w:outlineLvl w:val="1"/>
        <w:rPr>
          <w:rFonts w:hint="eastAsia" w:ascii="宋体" w:hAnsi="宋体" w:cs="宋体"/>
          <w:color w:val="auto"/>
          <w:szCs w:val="21"/>
          <w:highlight w:val="none"/>
        </w:rPr>
      </w:pPr>
      <w:bookmarkStart w:id="231" w:name="_Toc29037"/>
      <w:r>
        <w:rPr>
          <w:rFonts w:hint="eastAsia" w:ascii="宋体" w:hAnsi="宋体" w:cs="宋体"/>
          <w:color w:val="auto"/>
          <w:szCs w:val="21"/>
          <w:highlight w:val="none"/>
        </w:rPr>
        <w:t>（4）表格内行业栏名称不得擅自调整。</w:t>
      </w:r>
      <w:bookmarkEnd w:id="231"/>
    </w:p>
    <w:p w14:paraId="222A47CF">
      <w:pPr>
        <w:spacing w:line="500" w:lineRule="exact"/>
        <w:ind w:firstLine="630" w:firstLineChars="300"/>
        <w:jc w:val="left"/>
        <w:rPr>
          <w:rFonts w:hint="eastAsia" w:ascii="宋体" w:hAnsi="宋体" w:cs="宋体"/>
          <w:color w:val="auto"/>
          <w:sz w:val="24"/>
          <w:highlight w:val="none"/>
        </w:rPr>
      </w:pPr>
      <w:r>
        <w:rPr>
          <w:rFonts w:hint="eastAsia" w:ascii="宋体" w:hAnsi="宋体" w:cs="宋体"/>
          <w:color w:val="auto"/>
          <w:szCs w:val="21"/>
          <w:highlight w:val="none"/>
        </w:rPr>
        <w:t>（5）如联合体响应，提供联合协议书。如有分包，提供分包意向协议书。</w:t>
      </w:r>
    </w:p>
    <w:p w14:paraId="4B11932F">
      <w:pPr>
        <w:pStyle w:val="38"/>
        <w:rPr>
          <w:rFonts w:hint="eastAsia" w:eastAsia="宋体" w:cs="宋体"/>
          <w:color w:val="auto"/>
          <w:sz w:val="24"/>
          <w:highlight w:val="none"/>
        </w:rPr>
      </w:pPr>
      <w:r>
        <w:rPr>
          <w:rFonts w:hint="eastAsia" w:eastAsia="宋体" w:cs="宋体"/>
          <w:color w:val="auto"/>
          <w:sz w:val="24"/>
          <w:highlight w:val="none"/>
        </w:rPr>
        <w:t xml:space="preserve"> </w:t>
      </w:r>
    </w:p>
    <w:tbl>
      <w:tblPr>
        <w:tblStyle w:val="52"/>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7229F176">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vAlign w:val="center"/>
          </w:tcPr>
          <w:p w14:paraId="7C485ABF">
            <w:pPr>
              <w:widowControl/>
              <w:spacing w:line="240" w:lineRule="exact"/>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行业名称</w:t>
            </w:r>
          </w:p>
        </w:tc>
        <w:tc>
          <w:tcPr>
            <w:tcW w:w="1369" w:type="dxa"/>
            <w:tcBorders>
              <w:top w:val="single" w:color="auto" w:sz="4" w:space="0"/>
              <w:left w:val="single" w:color="auto" w:sz="4" w:space="0"/>
              <w:bottom w:val="single" w:color="auto" w:sz="4" w:space="0"/>
              <w:right w:val="single" w:color="auto" w:sz="4" w:space="0"/>
            </w:tcBorders>
            <w:vAlign w:val="center"/>
          </w:tcPr>
          <w:p w14:paraId="7ECE4812">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指标名称</w:t>
            </w:r>
          </w:p>
        </w:tc>
        <w:tc>
          <w:tcPr>
            <w:tcW w:w="709" w:type="dxa"/>
            <w:tcBorders>
              <w:top w:val="single" w:color="auto" w:sz="4" w:space="0"/>
              <w:left w:val="single" w:color="auto" w:sz="4" w:space="0"/>
              <w:bottom w:val="single" w:color="auto" w:sz="4" w:space="0"/>
              <w:right w:val="single" w:color="auto" w:sz="4" w:space="0"/>
            </w:tcBorders>
            <w:vAlign w:val="center"/>
          </w:tcPr>
          <w:p w14:paraId="4AAFCFF4">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计量</w:t>
            </w:r>
          </w:p>
          <w:p w14:paraId="55C98F64">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1125" w:type="dxa"/>
            <w:tcBorders>
              <w:top w:val="single" w:color="auto" w:sz="4" w:space="0"/>
              <w:left w:val="single" w:color="auto" w:sz="4" w:space="0"/>
              <w:bottom w:val="single" w:color="auto" w:sz="4" w:space="0"/>
              <w:right w:val="single" w:color="auto" w:sz="4" w:space="0"/>
            </w:tcBorders>
            <w:vAlign w:val="center"/>
          </w:tcPr>
          <w:p w14:paraId="308EE1AC">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大型</w:t>
            </w:r>
          </w:p>
        </w:tc>
        <w:tc>
          <w:tcPr>
            <w:tcW w:w="1701" w:type="dxa"/>
            <w:tcBorders>
              <w:top w:val="single" w:color="auto" w:sz="4" w:space="0"/>
              <w:left w:val="single" w:color="auto" w:sz="4" w:space="0"/>
              <w:bottom w:val="single" w:color="auto" w:sz="4" w:space="0"/>
              <w:right w:val="single" w:color="auto" w:sz="4" w:space="0"/>
            </w:tcBorders>
            <w:vAlign w:val="center"/>
          </w:tcPr>
          <w:p w14:paraId="74743E00">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中型</w:t>
            </w:r>
          </w:p>
        </w:tc>
        <w:tc>
          <w:tcPr>
            <w:tcW w:w="1426" w:type="dxa"/>
            <w:tcBorders>
              <w:top w:val="single" w:color="auto" w:sz="4" w:space="0"/>
              <w:left w:val="single" w:color="auto" w:sz="4" w:space="0"/>
              <w:bottom w:val="single" w:color="auto" w:sz="4" w:space="0"/>
              <w:right w:val="single" w:color="auto" w:sz="4" w:space="0"/>
            </w:tcBorders>
            <w:vAlign w:val="center"/>
          </w:tcPr>
          <w:p w14:paraId="2A7B80E2">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小型</w:t>
            </w:r>
          </w:p>
        </w:tc>
        <w:tc>
          <w:tcPr>
            <w:tcW w:w="992" w:type="dxa"/>
            <w:tcBorders>
              <w:top w:val="single" w:color="auto" w:sz="4" w:space="0"/>
              <w:left w:val="single" w:color="auto" w:sz="4" w:space="0"/>
              <w:bottom w:val="single" w:color="auto" w:sz="4" w:space="0"/>
              <w:right w:val="single" w:color="auto" w:sz="4" w:space="0"/>
            </w:tcBorders>
            <w:vAlign w:val="center"/>
          </w:tcPr>
          <w:p w14:paraId="5F0C33BE">
            <w:pPr>
              <w:widowControl/>
              <w:jc w:val="center"/>
              <w:rPr>
                <w:rFonts w:hint="eastAsia"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微型</w:t>
            </w:r>
          </w:p>
        </w:tc>
      </w:tr>
      <w:tr w14:paraId="0067C2E3">
        <w:tblPrEx>
          <w:tblCellMar>
            <w:top w:w="0" w:type="dxa"/>
            <w:left w:w="108" w:type="dxa"/>
            <w:bottom w:w="0" w:type="dxa"/>
            <w:right w:w="108" w:type="dxa"/>
          </w:tblCellMar>
        </w:tblPrEx>
        <w:trPr>
          <w:trHeight w:val="622" w:hRule="exact"/>
          <w:jc w:val="center"/>
        </w:trPr>
        <w:tc>
          <w:tcPr>
            <w:tcW w:w="2113" w:type="dxa"/>
            <w:tcBorders>
              <w:top w:val="single" w:color="auto" w:sz="4" w:space="0"/>
              <w:left w:val="single" w:color="auto" w:sz="4" w:space="0"/>
              <w:bottom w:val="single" w:color="auto" w:sz="4" w:space="0"/>
              <w:right w:val="single" w:color="auto" w:sz="4" w:space="0"/>
            </w:tcBorders>
            <w:vAlign w:val="center"/>
          </w:tcPr>
          <w:p w14:paraId="4E213C38">
            <w:pPr>
              <w:widowControl/>
              <w:spacing w:line="240" w:lineRule="exact"/>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tcBorders>
              <w:top w:val="single" w:color="auto" w:sz="4" w:space="0"/>
              <w:left w:val="single" w:color="auto" w:sz="4" w:space="0"/>
              <w:bottom w:val="single" w:color="auto" w:sz="4" w:space="0"/>
              <w:right w:val="single" w:color="auto" w:sz="4" w:space="0"/>
            </w:tcBorders>
            <w:vAlign w:val="center"/>
          </w:tcPr>
          <w:p w14:paraId="6C101006">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tcBorders>
              <w:top w:val="single" w:color="auto" w:sz="4" w:space="0"/>
              <w:left w:val="single" w:color="auto" w:sz="4" w:space="0"/>
              <w:bottom w:val="single" w:color="auto" w:sz="4" w:space="0"/>
              <w:right w:val="single" w:color="auto" w:sz="4" w:space="0"/>
            </w:tcBorders>
            <w:vAlign w:val="center"/>
          </w:tcPr>
          <w:p w14:paraId="3F43B4A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tcBorders>
              <w:top w:val="single" w:color="auto" w:sz="4" w:space="0"/>
              <w:left w:val="single" w:color="auto" w:sz="4" w:space="0"/>
              <w:bottom w:val="single" w:color="auto" w:sz="4" w:space="0"/>
              <w:right w:val="single" w:color="auto" w:sz="4" w:space="0"/>
            </w:tcBorders>
            <w:vAlign w:val="center"/>
          </w:tcPr>
          <w:p w14:paraId="23768240">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tcBorders>
              <w:top w:val="single" w:color="auto" w:sz="4" w:space="0"/>
              <w:left w:val="single" w:color="auto" w:sz="4" w:space="0"/>
              <w:bottom w:val="single" w:color="auto" w:sz="4" w:space="0"/>
              <w:right w:val="single" w:color="auto" w:sz="4" w:space="0"/>
            </w:tcBorders>
            <w:vAlign w:val="center"/>
          </w:tcPr>
          <w:p w14:paraId="146F9656">
            <w:pPr>
              <w:widowControl/>
              <w:ind w:left="1" w:leftChars="-51" w:hanging="108" w:hangingChars="60"/>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tcBorders>
              <w:top w:val="single" w:color="auto" w:sz="4" w:space="0"/>
              <w:left w:val="single" w:color="auto" w:sz="4" w:space="0"/>
              <w:bottom w:val="single" w:color="auto" w:sz="4" w:space="0"/>
              <w:right w:val="single" w:color="auto" w:sz="4" w:space="0"/>
            </w:tcBorders>
            <w:vAlign w:val="center"/>
          </w:tcPr>
          <w:p w14:paraId="17E726DA">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tcBorders>
              <w:top w:val="single" w:color="auto" w:sz="4" w:space="0"/>
              <w:left w:val="single" w:color="auto" w:sz="4" w:space="0"/>
              <w:bottom w:val="single" w:color="auto" w:sz="4" w:space="0"/>
              <w:right w:val="single" w:color="auto" w:sz="4" w:space="0"/>
            </w:tcBorders>
            <w:vAlign w:val="center"/>
          </w:tcPr>
          <w:p w14:paraId="19CA4939">
            <w:pPr>
              <w:widowControl/>
              <w:jc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27AC3444">
      <w:pPr>
        <w:pStyle w:val="21"/>
        <w:rPr>
          <w:rFonts w:hint="eastAsia" w:ascii="宋体" w:hAnsi="宋体" w:eastAsia="宋体" w:cs="宋体"/>
          <w:b/>
          <w:color w:val="auto"/>
          <w:sz w:val="21"/>
          <w:szCs w:val="21"/>
          <w:highlight w:val="none"/>
        </w:rPr>
      </w:pPr>
    </w:p>
    <w:p w14:paraId="145DD838">
      <w:pPr>
        <w:pStyle w:val="22"/>
        <w:rPr>
          <w:rFonts w:hint="eastAsia" w:ascii="宋体" w:hAnsi="宋体" w:eastAsia="宋体" w:cs="宋体"/>
          <w:color w:val="auto"/>
          <w:highlight w:val="none"/>
        </w:rPr>
      </w:pPr>
    </w:p>
    <w:p w14:paraId="6F3C9117">
      <w:pPr>
        <w:spacing w:before="15" w:line="572" w:lineRule="exact"/>
        <w:ind w:right="125"/>
        <w:jc w:val="center"/>
        <w:outlineLvl w:val="1"/>
        <w:rPr>
          <w:rFonts w:hint="eastAsia" w:ascii="宋体" w:hAnsi="宋体" w:cs="宋体"/>
          <w:b/>
          <w:color w:val="auto"/>
          <w:sz w:val="30"/>
          <w:szCs w:val="20"/>
          <w:highlight w:val="none"/>
        </w:rPr>
      </w:pPr>
      <w:r>
        <w:rPr>
          <w:rFonts w:hint="eastAsia" w:ascii="宋体" w:hAnsi="宋体" w:cs="宋体"/>
          <w:b/>
          <w:bCs/>
          <w:color w:val="auto"/>
          <w:sz w:val="28"/>
          <w:szCs w:val="28"/>
          <w:highlight w:val="none"/>
        </w:rPr>
        <w:t>（2）</w:t>
      </w:r>
      <w:r>
        <w:rPr>
          <w:rFonts w:hint="eastAsia" w:ascii="宋体" w:hAnsi="宋体" w:cs="宋体"/>
          <w:b/>
          <w:color w:val="auto"/>
          <w:sz w:val="30"/>
          <w:szCs w:val="20"/>
          <w:highlight w:val="none"/>
        </w:rPr>
        <w:t>监狱企业证明材料</w:t>
      </w:r>
    </w:p>
    <w:p w14:paraId="01971AC4">
      <w:pPr>
        <w:spacing w:line="600" w:lineRule="exact"/>
        <w:ind w:firstLine="3162" w:firstLineChars="1500"/>
        <w:jc w:val="left"/>
        <w:rPr>
          <w:rFonts w:hint="eastAsia" w:ascii="宋体" w:hAnsi="宋体" w:cs="宋体"/>
          <w:b/>
          <w:color w:val="auto"/>
          <w:szCs w:val="21"/>
          <w:highlight w:val="none"/>
        </w:rPr>
      </w:pPr>
      <w:r>
        <w:rPr>
          <w:rFonts w:hint="eastAsia" w:ascii="宋体" w:hAnsi="宋体" w:cs="宋体"/>
          <w:b/>
          <w:color w:val="auto"/>
          <w:szCs w:val="21"/>
          <w:highlight w:val="none"/>
        </w:rPr>
        <w:t>【不属于监狱企业的无需填写、递交】</w:t>
      </w:r>
    </w:p>
    <w:p w14:paraId="1CEA8AFA">
      <w:pPr>
        <w:spacing w:line="500" w:lineRule="exact"/>
        <w:ind w:firstLine="630" w:firstLineChars="300"/>
        <w:jc w:val="left"/>
        <w:rPr>
          <w:rFonts w:hint="eastAsia" w:ascii="宋体" w:hAnsi="宋体" w:cs="宋体"/>
          <w:color w:val="auto"/>
          <w:szCs w:val="21"/>
          <w:highlight w:val="none"/>
        </w:rPr>
      </w:pPr>
    </w:p>
    <w:p w14:paraId="6CE24E05">
      <w:pPr>
        <w:spacing w:line="500" w:lineRule="exact"/>
        <w:ind w:firstLine="630" w:firstLineChars="300"/>
        <w:jc w:val="left"/>
        <w:rPr>
          <w:rFonts w:hint="eastAsia" w:ascii="宋体" w:hAnsi="宋体" w:cs="宋体"/>
          <w:color w:val="auto"/>
          <w:szCs w:val="21"/>
          <w:highlight w:val="none"/>
        </w:rPr>
      </w:pPr>
    </w:p>
    <w:p w14:paraId="40D7F9CF">
      <w:pPr>
        <w:spacing w:line="500" w:lineRule="exact"/>
        <w:ind w:firstLine="630" w:firstLineChars="300"/>
        <w:jc w:val="left"/>
        <w:rPr>
          <w:rFonts w:hint="eastAsia" w:ascii="宋体" w:hAnsi="宋体" w:cs="宋体"/>
          <w:color w:val="auto"/>
          <w:szCs w:val="21"/>
          <w:highlight w:val="none"/>
        </w:rPr>
      </w:pPr>
    </w:p>
    <w:p w14:paraId="3897504B">
      <w:pPr>
        <w:spacing w:line="500" w:lineRule="exact"/>
        <w:ind w:firstLine="630" w:firstLineChars="300"/>
        <w:jc w:val="left"/>
        <w:rPr>
          <w:rFonts w:hint="eastAsia" w:ascii="宋体" w:hAnsi="宋体" w:cs="宋体"/>
          <w:color w:val="auto"/>
          <w:szCs w:val="21"/>
          <w:highlight w:val="none"/>
        </w:rPr>
      </w:pPr>
    </w:p>
    <w:p w14:paraId="1FF01BC6">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注：监狱企业参加政府采购活动时，应当提供由省级以上监狱管理局、戒毒管理局（含新疆生产建设兵团）出具的属于监狱企业的证明文件。</w:t>
      </w:r>
    </w:p>
    <w:p w14:paraId="59663C31">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监狱企业：是指由司法部认定的为罪犯、戒毒人员提供生产项目和劳动对象，且全部产权属于司法部监狱管理局、戒毒管理局、直属煤矿管理局，各省、自治 区、直辖市监狱管理局、戒毒管理局，各地（设区的市）监狱、强制隔离戒毒 所、戒毒康复所，以及新疆生产建设兵团监狱管理局、戒毒管理局的企业。</w:t>
      </w:r>
    </w:p>
    <w:p w14:paraId="422005A8">
      <w:pPr>
        <w:spacing w:line="500" w:lineRule="exact"/>
        <w:ind w:firstLine="630" w:firstLineChars="300"/>
        <w:jc w:val="left"/>
        <w:rPr>
          <w:rFonts w:hint="eastAsia" w:ascii="宋体" w:hAnsi="宋体" w:cs="宋体"/>
          <w:color w:val="auto"/>
          <w:szCs w:val="21"/>
          <w:highlight w:val="none"/>
        </w:rPr>
      </w:pPr>
    </w:p>
    <w:p w14:paraId="6185E069">
      <w:pPr>
        <w:pStyle w:val="15"/>
        <w:rPr>
          <w:rFonts w:hint="eastAsia" w:ascii="宋体" w:hAnsi="宋体" w:cs="宋体"/>
          <w:color w:val="auto"/>
          <w:sz w:val="24"/>
          <w:highlight w:val="none"/>
        </w:rPr>
      </w:pPr>
    </w:p>
    <w:p w14:paraId="67FF08F0">
      <w:pPr>
        <w:rPr>
          <w:rFonts w:hint="eastAsia" w:ascii="宋体" w:hAnsi="宋体" w:cs="宋体"/>
          <w:color w:val="auto"/>
          <w:sz w:val="24"/>
          <w:highlight w:val="none"/>
        </w:rPr>
      </w:pPr>
    </w:p>
    <w:p w14:paraId="3E06D580">
      <w:pPr>
        <w:pStyle w:val="38"/>
        <w:rPr>
          <w:rFonts w:hint="eastAsia" w:eastAsia="宋体" w:cs="宋体"/>
          <w:color w:val="auto"/>
          <w:sz w:val="24"/>
          <w:highlight w:val="none"/>
        </w:rPr>
      </w:pPr>
    </w:p>
    <w:p w14:paraId="27396213">
      <w:pPr>
        <w:rPr>
          <w:rFonts w:hint="eastAsia" w:ascii="宋体" w:hAnsi="宋体" w:cs="宋体"/>
          <w:color w:val="auto"/>
          <w:sz w:val="24"/>
          <w:highlight w:val="none"/>
        </w:rPr>
      </w:pPr>
    </w:p>
    <w:p w14:paraId="5F742CD2">
      <w:pPr>
        <w:pStyle w:val="15"/>
        <w:rPr>
          <w:rFonts w:hint="eastAsia" w:ascii="宋体" w:hAnsi="宋体" w:cs="宋体"/>
          <w:color w:val="auto"/>
          <w:sz w:val="24"/>
          <w:highlight w:val="none"/>
        </w:rPr>
      </w:pPr>
    </w:p>
    <w:p w14:paraId="06E85DCB">
      <w:pPr>
        <w:pStyle w:val="15"/>
        <w:rPr>
          <w:rFonts w:hint="eastAsia" w:ascii="宋体" w:hAnsi="宋体" w:cs="宋体"/>
          <w:color w:val="auto"/>
          <w:sz w:val="24"/>
          <w:highlight w:val="none"/>
        </w:rPr>
      </w:pPr>
    </w:p>
    <w:p w14:paraId="1B62DEA2">
      <w:pPr>
        <w:pStyle w:val="15"/>
        <w:rPr>
          <w:rFonts w:hint="eastAsia" w:ascii="宋体" w:hAnsi="宋体" w:cs="宋体"/>
          <w:color w:val="auto"/>
          <w:sz w:val="24"/>
          <w:highlight w:val="none"/>
        </w:rPr>
      </w:pPr>
    </w:p>
    <w:p w14:paraId="3B03B4EF">
      <w:pPr>
        <w:pStyle w:val="15"/>
        <w:rPr>
          <w:rFonts w:hint="eastAsia" w:ascii="宋体" w:hAnsi="宋体" w:cs="宋体"/>
          <w:color w:val="auto"/>
          <w:sz w:val="24"/>
          <w:highlight w:val="none"/>
        </w:rPr>
      </w:pPr>
    </w:p>
    <w:p w14:paraId="184104A0">
      <w:pPr>
        <w:pStyle w:val="15"/>
        <w:rPr>
          <w:rFonts w:hint="eastAsia" w:ascii="宋体" w:hAnsi="宋体" w:cs="宋体"/>
          <w:color w:val="auto"/>
          <w:sz w:val="24"/>
          <w:highlight w:val="none"/>
        </w:rPr>
      </w:pPr>
    </w:p>
    <w:p w14:paraId="115B32C3">
      <w:pPr>
        <w:pStyle w:val="15"/>
        <w:rPr>
          <w:rFonts w:hint="eastAsia" w:ascii="宋体" w:hAnsi="宋体" w:cs="宋体"/>
          <w:color w:val="auto"/>
          <w:sz w:val="24"/>
          <w:highlight w:val="none"/>
        </w:rPr>
      </w:pPr>
    </w:p>
    <w:p w14:paraId="72B72500">
      <w:pPr>
        <w:pStyle w:val="15"/>
        <w:rPr>
          <w:rFonts w:hint="eastAsia" w:ascii="宋体" w:hAnsi="宋体" w:cs="宋体"/>
          <w:color w:val="auto"/>
          <w:sz w:val="24"/>
          <w:highlight w:val="none"/>
        </w:rPr>
      </w:pPr>
    </w:p>
    <w:p w14:paraId="771359BF">
      <w:pPr>
        <w:pStyle w:val="15"/>
        <w:rPr>
          <w:rFonts w:hint="eastAsia" w:ascii="宋体" w:hAnsi="宋体" w:cs="宋体"/>
          <w:color w:val="auto"/>
          <w:sz w:val="24"/>
          <w:highlight w:val="none"/>
        </w:rPr>
      </w:pPr>
    </w:p>
    <w:p w14:paraId="3C66F231">
      <w:pPr>
        <w:pStyle w:val="15"/>
        <w:rPr>
          <w:rFonts w:hint="eastAsia" w:ascii="宋体" w:hAnsi="宋体" w:cs="宋体"/>
          <w:color w:val="auto"/>
          <w:sz w:val="24"/>
          <w:highlight w:val="none"/>
        </w:rPr>
      </w:pPr>
    </w:p>
    <w:p w14:paraId="54661ABD">
      <w:pPr>
        <w:rPr>
          <w:rFonts w:hint="eastAsia" w:ascii="宋体" w:hAnsi="宋体" w:cs="宋体"/>
          <w:color w:val="auto"/>
          <w:sz w:val="24"/>
          <w:highlight w:val="none"/>
        </w:rPr>
      </w:pPr>
    </w:p>
    <w:p w14:paraId="6C1CB5CD">
      <w:pPr>
        <w:rPr>
          <w:rFonts w:hint="eastAsia" w:ascii="宋体" w:hAnsi="宋体" w:cs="宋体"/>
          <w:color w:val="auto"/>
          <w:highlight w:val="none"/>
        </w:rPr>
      </w:pPr>
    </w:p>
    <w:p w14:paraId="24775DF4">
      <w:pPr>
        <w:rPr>
          <w:rFonts w:hint="eastAsia" w:ascii="宋体" w:hAnsi="宋体" w:cs="宋体"/>
          <w:color w:val="auto"/>
          <w:highlight w:val="none"/>
        </w:rPr>
      </w:pPr>
    </w:p>
    <w:p w14:paraId="125C2373">
      <w:pPr>
        <w:rPr>
          <w:rFonts w:hint="eastAsia" w:ascii="宋体" w:hAnsi="宋体" w:cs="宋体"/>
          <w:color w:val="auto"/>
          <w:highlight w:val="none"/>
        </w:rPr>
      </w:pPr>
    </w:p>
    <w:p w14:paraId="73C8A307">
      <w:pPr>
        <w:rPr>
          <w:rFonts w:hint="eastAsia" w:ascii="宋体" w:hAnsi="宋体" w:cs="宋体"/>
          <w:color w:val="auto"/>
          <w:highlight w:val="none"/>
        </w:rPr>
      </w:pPr>
    </w:p>
    <w:p w14:paraId="732342D8">
      <w:pPr>
        <w:rPr>
          <w:rFonts w:hint="eastAsia" w:ascii="宋体" w:hAnsi="宋体" w:cs="宋体"/>
          <w:color w:val="auto"/>
          <w:highlight w:val="none"/>
        </w:rPr>
      </w:pPr>
    </w:p>
    <w:p w14:paraId="2AC849B0">
      <w:pPr>
        <w:rPr>
          <w:rFonts w:hint="eastAsia" w:ascii="宋体" w:hAnsi="宋体" w:cs="宋体"/>
          <w:color w:val="auto"/>
          <w:highlight w:val="none"/>
        </w:rPr>
      </w:pPr>
    </w:p>
    <w:p w14:paraId="60BFAA18">
      <w:pPr>
        <w:rPr>
          <w:rFonts w:hint="eastAsia" w:ascii="宋体" w:hAnsi="宋体" w:cs="宋体"/>
          <w:color w:val="auto"/>
          <w:highlight w:val="none"/>
        </w:rPr>
      </w:pPr>
    </w:p>
    <w:p w14:paraId="33ED4DA9">
      <w:pPr>
        <w:rPr>
          <w:rFonts w:hint="eastAsia" w:ascii="宋体" w:hAnsi="宋体" w:cs="宋体"/>
          <w:color w:val="auto"/>
          <w:highlight w:val="none"/>
        </w:rPr>
      </w:pPr>
    </w:p>
    <w:p w14:paraId="31C9184C">
      <w:pPr>
        <w:rPr>
          <w:rFonts w:hint="eastAsia" w:ascii="宋体" w:hAnsi="宋体" w:cs="宋体"/>
          <w:color w:val="auto"/>
          <w:highlight w:val="none"/>
        </w:rPr>
      </w:pPr>
    </w:p>
    <w:p w14:paraId="0AB5F587">
      <w:pPr>
        <w:rPr>
          <w:rFonts w:hint="eastAsia" w:ascii="宋体" w:hAnsi="宋体" w:cs="宋体"/>
          <w:color w:val="auto"/>
          <w:highlight w:val="none"/>
        </w:rPr>
      </w:pPr>
    </w:p>
    <w:p w14:paraId="0198EE53">
      <w:pPr>
        <w:rPr>
          <w:rFonts w:hint="eastAsia" w:ascii="宋体" w:hAnsi="宋体" w:cs="宋体"/>
          <w:color w:val="auto"/>
          <w:highlight w:val="none"/>
        </w:rPr>
      </w:pPr>
    </w:p>
    <w:p w14:paraId="62FB950E">
      <w:pPr>
        <w:pStyle w:val="15"/>
        <w:rPr>
          <w:rFonts w:hint="eastAsia" w:ascii="宋体" w:hAnsi="宋体" w:cs="宋体"/>
          <w:color w:val="auto"/>
          <w:sz w:val="24"/>
          <w:highlight w:val="none"/>
        </w:rPr>
      </w:pPr>
    </w:p>
    <w:p w14:paraId="68922F0C">
      <w:pPr>
        <w:spacing w:before="15" w:line="572" w:lineRule="exact"/>
        <w:ind w:right="125"/>
        <w:jc w:val="center"/>
        <w:outlineLvl w:val="1"/>
        <w:rPr>
          <w:rFonts w:hint="eastAsia" w:ascii="宋体" w:hAnsi="宋体" w:cs="宋体"/>
          <w:b/>
          <w:color w:val="auto"/>
          <w:sz w:val="30"/>
          <w:szCs w:val="20"/>
          <w:highlight w:val="none"/>
        </w:rPr>
      </w:pPr>
      <w:r>
        <w:rPr>
          <w:rFonts w:hint="eastAsia" w:ascii="宋体" w:hAnsi="宋体" w:cs="宋体"/>
          <w:b/>
          <w:bCs/>
          <w:color w:val="auto"/>
          <w:sz w:val="28"/>
          <w:szCs w:val="28"/>
          <w:highlight w:val="none"/>
        </w:rPr>
        <w:t>（3）</w:t>
      </w:r>
      <w:r>
        <w:rPr>
          <w:rFonts w:hint="eastAsia" w:ascii="宋体" w:hAnsi="宋体" w:cs="宋体"/>
          <w:b/>
          <w:color w:val="auto"/>
          <w:sz w:val="30"/>
          <w:szCs w:val="20"/>
          <w:highlight w:val="none"/>
        </w:rPr>
        <w:t xml:space="preserve"> 残疾人福利性单位声明函</w:t>
      </w:r>
    </w:p>
    <w:p w14:paraId="4B23D96B">
      <w:pPr>
        <w:pStyle w:val="15"/>
        <w:spacing w:line="600" w:lineRule="exact"/>
        <w:ind w:firstLine="3162" w:firstLineChars="1500"/>
        <w:rPr>
          <w:rFonts w:hint="eastAsia" w:ascii="宋体" w:hAnsi="宋体" w:cs="宋体"/>
          <w:color w:val="auto"/>
          <w:sz w:val="24"/>
          <w:highlight w:val="none"/>
        </w:rPr>
      </w:pPr>
      <w:r>
        <w:rPr>
          <w:rFonts w:hint="eastAsia" w:ascii="宋体" w:hAnsi="宋体" w:cs="宋体"/>
          <w:b/>
          <w:color w:val="auto"/>
          <w:szCs w:val="21"/>
          <w:highlight w:val="none"/>
        </w:rPr>
        <w:t>【非残疾人福利性单位不用提供】</w:t>
      </w:r>
    </w:p>
    <w:p w14:paraId="3958B397">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cs="宋体"/>
          <w:color w:val="auto"/>
          <w:szCs w:val="21"/>
          <w:highlight w:val="none"/>
          <w:u w:val="single"/>
        </w:rPr>
        <w:t xml:space="preserve"> （采购人名称）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项目采购活动并由本单位为本项目提供服务。</w:t>
      </w:r>
    </w:p>
    <w:p w14:paraId="1AEE79E8">
      <w:pPr>
        <w:spacing w:line="500" w:lineRule="exact"/>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49C768C9">
      <w:pPr>
        <w:pStyle w:val="236"/>
        <w:jc w:val="center"/>
        <w:rPr>
          <w:rFonts w:hint="eastAsia" w:ascii="宋体" w:hAnsi="宋体" w:cs="宋体"/>
          <w:b/>
          <w:bCs/>
          <w:color w:val="auto"/>
          <w:sz w:val="30"/>
          <w:highlight w:val="none"/>
        </w:rPr>
      </w:pPr>
    </w:p>
    <w:p w14:paraId="020BC702">
      <w:pPr>
        <w:pStyle w:val="236"/>
        <w:jc w:val="center"/>
        <w:rPr>
          <w:rFonts w:hint="eastAsia" w:ascii="宋体" w:hAnsi="宋体" w:cs="宋体"/>
          <w:b/>
          <w:bCs/>
          <w:color w:val="auto"/>
          <w:sz w:val="30"/>
          <w:highlight w:val="none"/>
        </w:rPr>
      </w:pPr>
    </w:p>
    <w:p w14:paraId="18DE3EFE">
      <w:pPr>
        <w:pStyle w:val="236"/>
        <w:jc w:val="center"/>
        <w:rPr>
          <w:rFonts w:hint="eastAsia" w:ascii="宋体" w:hAnsi="宋体" w:cs="宋体"/>
          <w:b/>
          <w:bCs/>
          <w:color w:val="auto"/>
          <w:sz w:val="30"/>
          <w:highlight w:val="none"/>
        </w:rPr>
      </w:pPr>
    </w:p>
    <w:p w14:paraId="212350A6">
      <w:pPr>
        <w:pStyle w:val="236"/>
        <w:jc w:val="center"/>
        <w:rPr>
          <w:rFonts w:hint="eastAsia" w:ascii="宋体" w:hAnsi="宋体" w:cs="宋体"/>
          <w:b/>
          <w:bCs/>
          <w:color w:val="auto"/>
          <w:sz w:val="30"/>
          <w:highlight w:val="none"/>
        </w:rPr>
      </w:pPr>
    </w:p>
    <w:p w14:paraId="62D9A786">
      <w:pPr>
        <w:pStyle w:val="236"/>
        <w:jc w:val="center"/>
        <w:rPr>
          <w:rFonts w:hint="eastAsia" w:ascii="宋体" w:hAnsi="宋体" w:cs="宋体"/>
          <w:b/>
          <w:bCs/>
          <w:color w:val="auto"/>
          <w:sz w:val="30"/>
          <w:highlight w:val="none"/>
        </w:rPr>
      </w:pPr>
    </w:p>
    <w:p w14:paraId="52FCBADC">
      <w:pPr>
        <w:pStyle w:val="236"/>
        <w:jc w:val="center"/>
        <w:rPr>
          <w:rFonts w:hint="eastAsia" w:ascii="宋体" w:hAnsi="宋体" w:cs="宋体"/>
          <w:b/>
          <w:bCs/>
          <w:color w:val="auto"/>
          <w:sz w:val="30"/>
          <w:highlight w:val="none"/>
        </w:rPr>
      </w:pPr>
    </w:p>
    <w:p w14:paraId="44997B70">
      <w:pPr>
        <w:pStyle w:val="236"/>
        <w:jc w:val="center"/>
        <w:rPr>
          <w:rFonts w:hint="eastAsia" w:ascii="宋体" w:hAnsi="宋体" w:cs="宋体"/>
          <w:b/>
          <w:bCs/>
          <w:color w:val="auto"/>
          <w:sz w:val="30"/>
          <w:highlight w:val="none"/>
        </w:rPr>
      </w:pPr>
    </w:p>
    <w:p w14:paraId="4F2158A5">
      <w:pPr>
        <w:rPr>
          <w:rFonts w:hint="eastAsia" w:ascii="宋体" w:hAnsi="宋体" w:cs="宋体"/>
          <w:b/>
          <w:bCs/>
          <w:color w:val="auto"/>
          <w:sz w:val="30"/>
          <w:highlight w:val="none"/>
        </w:rPr>
      </w:pPr>
    </w:p>
    <w:p w14:paraId="4D528D6E">
      <w:pPr>
        <w:pStyle w:val="21"/>
        <w:rPr>
          <w:rFonts w:hint="eastAsia" w:ascii="宋体" w:hAnsi="宋体" w:eastAsia="宋体" w:cs="宋体"/>
          <w:b/>
          <w:bCs/>
          <w:color w:val="auto"/>
          <w:sz w:val="30"/>
          <w:highlight w:val="none"/>
        </w:rPr>
      </w:pPr>
    </w:p>
    <w:p w14:paraId="7308867B">
      <w:pPr>
        <w:rPr>
          <w:rFonts w:hint="eastAsia" w:ascii="宋体" w:hAnsi="宋体" w:cs="宋体"/>
          <w:b/>
          <w:bCs/>
          <w:color w:val="auto"/>
          <w:sz w:val="30"/>
          <w:highlight w:val="none"/>
        </w:rPr>
      </w:pPr>
    </w:p>
    <w:p w14:paraId="291C0E80">
      <w:pPr>
        <w:pStyle w:val="21"/>
        <w:rPr>
          <w:rFonts w:hint="eastAsia" w:ascii="宋体" w:hAnsi="宋体" w:eastAsia="宋体" w:cs="宋体"/>
          <w:b/>
          <w:bCs/>
          <w:color w:val="auto"/>
          <w:sz w:val="30"/>
          <w:highlight w:val="none"/>
        </w:rPr>
      </w:pPr>
    </w:p>
    <w:p w14:paraId="34651B0B">
      <w:pPr>
        <w:pStyle w:val="22"/>
        <w:rPr>
          <w:rFonts w:hint="eastAsia" w:ascii="宋体" w:hAnsi="宋体" w:eastAsia="宋体" w:cs="宋体"/>
          <w:color w:val="auto"/>
          <w:highlight w:val="none"/>
        </w:rPr>
      </w:pPr>
    </w:p>
    <w:p w14:paraId="25CB46F8">
      <w:pPr>
        <w:pStyle w:val="29"/>
        <w:rPr>
          <w:rFonts w:hint="eastAsia" w:hAnsi="宋体" w:cs="宋体"/>
          <w:b/>
          <w:color w:val="auto"/>
          <w:highlight w:val="none"/>
        </w:rPr>
      </w:pPr>
    </w:p>
    <w:p w14:paraId="026E66FF">
      <w:pPr>
        <w:pStyle w:val="21"/>
        <w:rPr>
          <w:rFonts w:hint="eastAsia" w:ascii="宋体" w:hAnsi="宋体" w:eastAsia="宋体" w:cs="宋体"/>
          <w:b/>
          <w:color w:val="auto"/>
          <w:highlight w:val="none"/>
        </w:rPr>
      </w:pPr>
    </w:p>
    <w:p w14:paraId="60720260">
      <w:pPr>
        <w:pStyle w:val="22"/>
        <w:rPr>
          <w:rFonts w:hint="eastAsia" w:ascii="宋体" w:hAnsi="宋体" w:eastAsia="宋体" w:cs="宋体"/>
          <w:b/>
          <w:color w:val="auto"/>
          <w:highlight w:val="none"/>
        </w:rPr>
      </w:pPr>
    </w:p>
    <w:p w14:paraId="10D2107F">
      <w:pPr>
        <w:rPr>
          <w:rFonts w:hint="eastAsia" w:ascii="宋体" w:hAnsi="宋体" w:cs="宋体"/>
          <w:b/>
          <w:color w:val="auto"/>
          <w:highlight w:val="none"/>
        </w:rPr>
      </w:pPr>
    </w:p>
    <w:p w14:paraId="65CF86AA">
      <w:pPr>
        <w:pStyle w:val="21"/>
        <w:rPr>
          <w:rFonts w:hint="eastAsia" w:ascii="宋体" w:hAnsi="宋体" w:eastAsia="宋体" w:cs="宋体"/>
          <w:b/>
          <w:color w:val="auto"/>
          <w:highlight w:val="none"/>
        </w:rPr>
      </w:pPr>
    </w:p>
    <w:p w14:paraId="656E203E">
      <w:pPr>
        <w:snapToGrid w:val="0"/>
        <w:spacing w:line="360" w:lineRule="auto"/>
        <w:ind w:firstLine="3614" w:firstLineChars="1200"/>
        <w:outlineLvl w:val="2"/>
        <w:rPr>
          <w:rFonts w:hint="eastAsia" w:ascii="宋体" w:hAnsi="宋体" w:cs="宋体"/>
          <w:b/>
          <w:color w:val="auto"/>
          <w:sz w:val="30"/>
          <w:szCs w:val="20"/>
          <w:highlight w:val="none"/>
        </w:rPr>
      </w:pPr>
    </w:p>
    <w:p w14:paraId="4CD7C75C">
      <w:pPr>
        <w:snapToGrid w:val="0"/>
        <w:spacing w:line="360" w:lineRule="auto"/>
        <w:ind w:firstLine="3614" w:firstLineChars="1200"/>
        <w:outlineLvl w:val="2"/>
        <w:rPr>
          <w:rFonts w:hint="eastAsia" w:ascii="宋体" w:hAnsi="宋体" w:cs="宋体"/>
          <w:b/>
          <w:color w:val="auto"/>
          <w:sz w:val="30"/>
          <w:szCs w:val="20"/>
          <w:highlight w:val="none"/>
        </w:rPr>
      </w:pPr>
    </w:p>
    <w:p w14:paraId="0D07F04A">
      <w:pPr>
        <w:snapToGrid w:val="0"/>
        <w:spacing w:line="360" w:lineRule="auto"/>
        <w:ind w:firstLine="3614" w:firstLineChars="1200"/>
        <w:outlineLvl w:val="2"/>
        <w:rPr>
          <w:rFonts w:hint="eastAsia" w:ascii="宋体" w:hAnsi="宋体" w:cs="宋体"/>
          <w:b/>
          <w:color w:val="auto"/>
          <w:sz w:val="30"/>
          <w:szCs w:val="20"/>
          <w:highlight w:val="none"/>
        </w:rPr>
      </w:pPr>
    </w:p>
    <w:p w14:paraId="0499EE86">
      <w:pPr>
        <w:snapToGrid w:val="0"/>
        <w:spacing w:line="360" w:lineRule="auto"/>
        <w:ind w:firstLine="3614" w:firstLineChars="1200"/>
        <w:outlineLvl w:val="2"/>
        <w:rPr>
          <w:rFonts w:hint="eastAsia" w:ascii="宋体" w:hAnsi="宋体" w:cs="宋体"/>
          <w:b/>
          <w:color w:val="auto"/>
          <w:sz w:val="30"/>
          <w:szCs w:val="20"/>
          <w:highlight w:val="none"/>
        </w:rPr>
      </w:pPr>
      <w:r>
        <w:rPr>
          <w:rFonts w:hint="eastAsia" w:ascii="宋体" w:hAnsi="宋体" w:cs="宋体"/>
          <w:b/>
          <w:color w:val="auto"/>
          <w:sz w:val="30"/>
          <w:szCs w:val="20"/>
          <w:highlight w:val="none"/>
        </w:rPr>
        <w:t>4、分包意向协议书</w:t>
      </w:r>
    </w:p>
    <w:p w14:paraId="20604188">
      <w:pPr>
        <w:widowControl/>
        <w:spacing w:line="360" w:lineRule="auto"/>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Cs w:val="21"/>
          <w:highlight w:val="none"/>
        </w:rPr>
        <w:t>）</w:t>
      </w:r>
    </w:p>
    <w:p w14:paraId="27BEB063">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甲方（投标人）：【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59817F5C">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乙方（分包投标人）：【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57FFCB81">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各方经协商，就响应</w:t>
      </w:r>
      <w:r>
        <w:rPr>
          <w:rFonts w:hint="eastAsia" w:ascii="宋体" w:hAnsi="宋体" w:cs="宋体"/>
          <w:color w:val="auto"/>
          <w:spacing w:val="6"/>
          <w:szCs w:val="21"/>
          <w:highlight w:val="none"/>
          <w:u w:val="single"/>
        </w:rPr>
        <w:t>（项目名称）（项目编号）</w:t>
      </w:r>
      <w:r>
        <w:rPr>
          <w:rFonts w:hint="eastAsia" w:ascii="宋体" w:hAnsi="宋体" w:cs="宋体"/>
          <w:color w:val="auto"/>
          <w:szCs w:val="21"/>
          <w:highlight w:val="none"/>
        </w:rPr>
        <w:t>政府采购活动</w:t>
      </w:r>
      <w:r>
        <w:rPr>
          <w:rFonts w:hint="eastAsia" w:ascii="宋体" w:hAnsi="宋体" w:cs="宋体"/>
          <w:color w:val="auto"/>
          <w:kern w:val="0"/>
          <w:szCs w:val="21"/>
          <w:highlight w:val="none"/>
          <w:lang w:bidi="ar"/>
        </w:rPr>
        <w:t xml:space="preserve">，达成如下分包意向协议： </w:t>
      </w:r>
    </w:p>
    <w:p w14:paraId="0B2F00F6">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一、【</w:t>
      </w:r>
      <w:r>
        <w:rPr>
          <w:rFonts w:hint="eastAsia" w:ascii="宋体" w:hAnsi="宋体" w:cs="宋体"/>
          <w:color w:val="auto"/>
          <w:kern w:val="0"/>
          <w:szCs w:val="21"/>
          <w:highlight w:val="none"/>
          <w:u w:val="single"/>
          <w:lang w:bidi="ar"/>
        </w:rPr>
        <w:t>甲方名称</w:t>
      </w:r>
      <w:r>
        <w:rPr>
          <w:rFonts w:hint="eastAsia" w:ascii="宋体" w:hAnsi="宋体" w:cs="宋体"/>
          <w:color w:val="auto"/>
          <w:kern w:val="0"/>
          <w:szCs w:val="21"/>
          <w:highlight w:val="none"/>
          <w:lang w:bidi="ar"/>
        </w:rPr>
        <w:t>】为</w:t>
      </w:r>
      <w:r>
        <w:rPr>
          <w:rFonts w:hint="eastAsia" w:ascii="宋体" w:hAnsi="宋体" w:cs="宋体"/>
          <w:color w:val="auto"/>
          <w:spacing w:val="6"/>
          <w:szCs w:val="21"/>
          <w:highlight w:val="none"/>
          <w:u w:val="single"/>
        </w:rPr>
        <w:t>（项目名称）（项目编号）</w:t>
      </w:r>
      <w:r>
        <w:rPr>
          <w:rFonts w:hint="eastAsia" w:ascii="宋体" w:hAnsi="宋体" w:cs="宋体"/>
          <w:color w:val="auto"/>
          <w:szCs w:val="21"/>
          <w:highlight w:val="none"/>
        </w:rPr>
        <w:t>的投标人</w:t>
      </w:r>
      <w:r>
        <w:rPr>
          <w:rFonts w:hint="eastAsia" w:ascii="宋体" w:hAnsi="宋体" w:cs="宋体"/>
          <w:color w:val="auto"/>
          <w:kern w:val="0"/>
          <w:szCs w:val="21"/>
          <w:highlight w:val="none"/>
          <w:lang w:bidi="ar"/>
        </w:rPr>
        <w:t xml:space="preserve">，参与项目的响应、并签订合同。 </w:t>
      </w:r>
    </w:p>
    <w:p w14:paraId="2544A2D4">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二、根据采购文件规定，甲方有意向将本项目中的非主体、非关键性工作分包给乙方实施。乙方有意向承接此部分分包内容。 </w:t>
      </w:r>
    </w:p>
    <w:p w14:paraId="5527611A">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三、甲方就采购项目和分包内容向采购人负责，乙方就分包内容承担责任。 </w:t>
      </w:r>
    </w:p>
    <w:p w14:paraId="62C5043A">
      <w:pPr>
        <w:widowControl/>
        <w:spacing w:line="440" w:lineRule="exact"/>
        <w:jc w:val="left"/>
        <w:outlineLvl w:val="3"/>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四、甲方要求乙方承担分包内容，不得再分包给其他单位。 </w:t>
      </w:r>
    </w:p>
    <w:p w14:paraId="3B40007C">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五、乙方承担的工作和义务为：【</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215F5F9A">
      <w:pPr>
        <w:widowControl/>
        <w:spacing w:line="440" w:lineRule="exact"/>
        <w:jc w:val="left"/>
        <w:outlineLvl w:val="3"/>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六、中小企业承接金额比例如下： </w:t>
      </w:r>
    </w:p>
    <w:p w14:paraId="62E36684">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w:t>
      </w:r>
      <w:r>
        <w:rPr>
          <w:rFonts w:hint="eastAsia" w:ascii="宋体" w:hAnsi="宋体" w:cs="宋体"/>
          <w:color w:val="auto"/>
          <w:kern w:val="0"/>
          <w:szCs w:val="21"/>
          <w:highlight w:val="none"/>
          <w:u w:val="single"/>
          <w:lang w:bidi="ar"/>
        </w:rPr>
        <w:t>其中之一分包投标人名称</w:t>
      </w:r>
      <w:r>
        <w:rPr>
          <w:rFonts w:hint="eastAsia" w:ascii="宋体" w:hAnsi="宋体" w:cs="宋体"/>
          <w:color w:val="auto"/>
          <w:kern w:val="0"/>
          <w:szCs w:val="21"/>
          <w:highlight w:val="none"/>
          <w:lang w:bidi="ar"/>
        </w:rPr>
        <w:t>】属于【</w:t>
      </w:r>
      <w:r>
        <w:rPr>
          <w:rFonts w:hint="eastAsia" w:ascii="宋体" w:hAnsi="宋体" w:cs="宋体"/>
          <w:color w:val="auto"/>
          <w:kern w:val="0"/>
          <w:szCs w:val="21"/>
          <w:highlight w:val="none"/>
          <w:u w:val="single"/>
          <w:lang w:bidi="ar"/>
        </w:rPr>
        <w:sym w:font="Wingdings" w:char="00A8"/>
      </w:r>
      <w:r>
        <w:rPr>
          <w:rFonts w:hint="eastAsia" w:ascii="宋体" w:hAnsi="宋体" w:cs="宋体"/>
          <w:color w:val="auto"/>
          <w:kern w:val="0"/>
          <w:szCs w:val="21"/>
          <w:highlight w:val="none"/>
          <w:u w:val="single"/>
          <w:lang w:bidi="ar"/>
        </w:rPr>
        <w:t>小型企业/</w:t>
      </w:r>
      <w:r>
        <w:rPr>
          <w:rFonts w:hint="eastAsia" w:ascii="宋体" w:hAnsi="宋体" w:cs="宋体"/>
          <w:color w:val="auto"/>
          <w:kern w:val="0"/>
          <w:szCs w:val="21"/>
          <w:highlight w:val="none"/>
          <w:u w:val="single"/>
          <w:lang w:bidi="ar"/>
        </w:rPr>
        <w:sym w:font="Wingdings" w:char="00A8"/>
      </w:r>
      <w:r>
        <w:rPr>
          <w:rFonts w:hint="eastAsia" w:ascii="宋体" w:hAnsi="宋体" w:cs="宋体"/>
          <w:color w:val="auto"/>
          <w:kern w:val="0"/>
          <w:szCs w:val="21"/>
          <w:highlight w:val="none"/>
          <w:u w:val="single"/>
          <w:lang w:bidi="ar"/>
        </w:rPr>
        <w:t>微型企业</w:t>
      </w:r>
      <w:r>
        <w:rPr>
          <w:rFonts w:hint="eastAsia" w:ascii="宋体" w:hAnsi="宋体" w:cs="宋体"/>
          <w:color w:val="auto"/>
          <w:kern w:val="0"/>
          <w:szCs w:val="21"/>
          <w:highlight w:val="none"/>
          <w:lang w:bidi="ar"/>
        </w:rPr>
        <w:t>】，承担本项目合同金额的【</w:t>
      </w:r>
      <w:r>
        <w:rPr>
          <w:rFonts w:hint="eastAsia" w:ascii="宋体" w:hAnsi="宋体" w:cs="宋体"/>
          <w:color w:val="auto"/>
          <w:kern w:val="0"/>
          <w:szCs w:val="21"/>
          <w:highlight w:val="none"/>
          <w:u w:val="single"/>
          <w:lang w:bidi="ar"/>
        </w:rPr>
        <w:t xml:space="preserve">           %</w:t>
      </w:r>
      <w:r>
        <w:rPr>
          <w:rFonts w:hint="eastAsia" w:ascii="宋体" w:hAnsi="宋体" w:cs="宋体"/>
          <w:color w:val="auto"/>
          <w:kern w:val="0"/>
          <w:szCs w:val="21"/>
          <w:highlight w:val="none"/>
          <w:lang w:bidi="ar"/>
        </w:rPr>
        <w:t xml:space="preserve">】， </w:t>
      </w:r>
    </w:p>
    <w:p w14:paraId="48E0D269">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我与承担本项目的其他投标人（大中型企业）之间【</w:t>
      </w:r>
      <w:r>
        <w:rPr>
          <w:rFonts w:hint="eastAsia" w:ascii="宋体" w:hAnsi="宋体" w:cs="宋体"/>
          <w:color w:val="auto"/>
          <w:kern w:val="0"/>
          <w:szCs w:val="21"/>
          <w:highlight w:val="none"/>
          <w:u w:val="single"/>
          <w:lang w:bidi="ar"/>
        </w:rPr>
        <w:sym w:font="Wingdings" w:char="00A8"/>
      </w:r>
      <w:r>
        <w:rPr>
          <w:rFonts w:hint="eastAsia" w:ascii="宋体" w:hAnsi="宋体" w:cs="宋体"/>
          <w:color w:val="auto"/>
          <w:kern w:val="0"/>
          <w:szCs w:val="21"/>
          <w:highlight w:val="none"/>
          <w:u w:val="single"/>
          <w:lang w:bidi="ar"/>
        </w:rPr>
        <w:t>是/</w:t>
      </w:r>
      <w:r>
        <w:rPr>
          <w:rFonts w:hint="eastAsia" w:ascii="宋体" w:hAnsi="宋体" w:cs="宋体"/>
          <w:color w:val="auto"/>
          <w:kern w:val="0"/>
          <w:szCs w:val="21"/>
          <w:highlight w:val="none"/>
          <w:u w:val="single"/>
          <w:lang w:bidi="ar"/>
        </w:rPr>
        <w:sym w:font="Wingdings" w:char="00A8"/>
      </w:r>
      <w:r>
        <w:rPr>
          <w:rFonts w:hint="eastAsia" w:ascii="宋体" w:hAnsi="宋体" w:cs="宋体"/>
          <w:color w:val="auto"/>
          <w:kern w:val="0"/>
          <w:szCs w:val="21"/>
          <w:highlight w:val="none"/>
          <w:u w:val="single"/>
          <w:lang w:bidi="ar"/>
        </w:rPr>
        <w:t>否</w:t>
      </w:r>
      <w:r>
        <w:rPr>
          <w:rFonts w:hint="eastAsia" w:ascii="宋体" w:hAnsi="宋体" w:cs="宋体"/>
          <w:color w:val="auto"/>
          <w:kern w:val="0"/>
          <w:szCs w:val="21"/>
          <w:highlight w:val="none"/>
          <w:lang w:bidi="ar"/>
        </w:rPr>
        <w:t xml:space="preserve">】存在直接控股、管理关系。 </w:t>
      </w:r>
    </w:p>
    <w:p w14:paraId="73F4D4AB">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七、本协议提交采购人后，协议各方不得以任何形式对上述实质内容进行修改或撤销。 </w:t>
      </w:r>
    </w:p>
    <w:p w14:paraId="128F8BC0">
      <w:pPr>
        <w:widowControl/>
        <w:spacing w:line="440" w:lineRule="exact"/>
        <w:jc w:val="left"/>
        <w:rPr>
          <w:rFonts w:hint="eastAsia" w:ascii="宋体" w:hAnsi="宋体" w:cs="宋体"/>
          <w:color w:val="auto"/>
          <w:kern w:val="0"/>
          <w:szCs w:val="21"/>
          <w:highlight w:val="none"/>
          <w:lang w:bidi="ar"/>
        </w:rPr>
      </w:pPr>
    </w:p>
    <w:p w14:paraId="27F10052">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甲方（投标人）： （单位公章）               乙方（分包投标人）： （单位公章） </w:t>
      </w:r>
    </w:p>
    <w:p w14:paraId="63A60CC6">
      <w:pPr>
        <w:widowControl/>
        <w:spacing w:line="440" w:lineRule="exact"/>
        <w:jc w:val="left"/>
        <w:rPr>
          <w:rFonts w:hint="eastAsia" w:ascii="宋体" w:hAnsi="宋体" w:cs="宋体"/>
          <w:color w:val="auto"/>
          <w:szCs w:val="21"/>
          <w:highlight w:val="none"/>
        </w:rPr>
      </w:pPr>
    </w:p>
    <w:p w14:paraId="7444F09A">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签署日期： 年 月 日                     签署日期： 年 月 日 </w:t>
      </w:r>
    </w:p>
    <w:p w14:paraId="13CF3AA2">
      <w:pPr>
        <w:widowControl/>
        <w:spacing w:line="440" w:lineRule="exact"/>
        <w:jc w:val="left"/>
        <w:rPr>
          <w:rFonts w:hint="eastAsia" w:ascii="宋体" w:hAnsi="宋体" w:cs="宋体"/>
          <w:color w:val="auto"/>
          <w:kern w:val="0"/>
          <w:szCs w:val="21"/>
          <w:highlight w:val="none"/>
          <w:lang w:bidi="ar"/>
        </w:rPr>
      </w:pPr>
    </w:p>
    <w:p w14:paraId="100927E7">
      <w:pPr>
        <w:widowControl/>
        <w:spacing w:line="4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说明： </w:t>
      </w:r>
    </w:p>
    <w:p w14:paraId="4A4C9498">
      <w:pPr>
        <w:widowControl/>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（1）如需享受政府采购扶持政策，分包意向协议书应对政策要求的内容进行声明。 </w:t>
      </w:r>
    </w:p>
    <w:p w14:paraId="76ED7697">
      <w:pPr>
        <w:widowControl/>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（2）本协议格式供参考。 </w:t>
      </w:r>
    </w:p>
    <w:p w14:paraId="0EEB63DD">
      <w:pPr>
        <w:widowControl/>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（3）不分包不需提供此协议书。 </w:t>
      </w:r>
    </w:p>
    <w:p w14:paraId="7762C310">
      <w:pPr>
        <w:widowControl/>
        <w:spacing w:line="440" w:lineRule="exact"/>
        <w:ind w:firstLine="210" w:firstLineChars="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（4）如投标人为联合体，应由所有联合体各成员方签署本协议。 </w:t>
      </w:r>
    </w:p>
    <w:p w14:paraId="22E23C58">
      <w:pPr>
        <w:widowControl/>
        <w:spacing w:line="440" w:lineRule="exact"/>
        <w:ind w:firstLine="210" w:firstLineChars="1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（5）涉及分包投标人情况资料。</w:t>
      </w:r>
    </w:p>
    <w:p w14:paraId="5C31B570">
      <w:pPr>
        <w:widowControl/>
        <w:spacing w:line="440" w:lineRule="exact"/>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 </w:t>
      </w:r>
    </w:p>
    <w:p w14:paraId="7A0A6FBD">
      <w:pPr>
        <w:rPr>
          <w:rFonts w:hint="eastAsia" w:ascii="宋体" w:hAnsi="宋体" w:cs="宋体"/>
          <w:color w:val="auto"/>
          <w:sz w:val="24"/>
          <w:szCs w:val="15"/>
          <w:highlight w:val="none"/>
        </w:rPr>
      </w:pPr>
    </w:p>
    <w:p w14:paraId="7D6D8EA2">
      <w:pPr>
        <w:pStyle w:val="21"/>
        <w:rPr>
          <w:rFonts w:hint="eastAsia" w:ascii="宋体" w:hAnsi="宋体" w:eastAsia="宋体" w:cs="宋体"/>
          <w:color w:val="auto"/>
          <w:highlight w:val="none"/>
        </w:rPr>
      </w:pPr>
    </w:p>
    <w:p w14:paraId="6F05C91F">
      <w:pPr>
        <w:pStyle w:val="22"/>
        <w:rPr>
          <w:rFonts w:hint="eastAsia" w:ascii="宋体" w:hAnsi="宋体" w:eastAsia="宋体" w:cs="宋体"/>
          <w:color w:val="auto"/>
          <w:highlight w:val="none"/>
        </w:rPr>
      </w:pPr>
    </w:p>
    <w:p w14:paraId="4C01963C">
      <w:pPr>
        <w:pStyle w:val="4"/>
        <w:numPr>
          <w:ilvl w:val="0"/>
          <w:numId w:val="13"/>
        </w:numPr>
        <w:spacing w:line="560" w:lineRule="exact"/>
        <w:rPr>
          <w:rFonts w:hint="eastAsia" w:ascii="宋体" w:hAnsi="宋体" w:eastAsia="宋体" w:cs="宋体"/>
          <w:color w:val="auto"/>
          <w:sz w:val="32"/>
          <w:szCs w:val="32"/>
          <w:highlight w:val="none"/>
        </w:rPr>
      </w:pPr>
      <w:bookmarkStart w:id="232" w:name="_Toc16870"/>
      <w:bookmarkStart w:id="233" w:name="_Toc28310"/>
      <w:r>
        <w:rPr>
          <w:rFonts w:hint="eastAsia" w:ascii="宋体" w:hAnsi="宋体" w:eastAsia="宋体" w:cs="宋体"/>
          <w:color w:val="auto"/>
          <w:sz w:val="32"/>
          <w:szCs w:val="32"/>
          <w:highlight w:val="none"/>
        </w:rPr>
        <w:t>评标办法和细则</w:t>
      </w:r>
      <w:bookmarkEnd w:id="211"/>
      <w:r>
        <w:rPr>
          <w:rFonts w:hint="eastAsia" w:ascii="宋体" w:hAnsi="宋体" w:eastAsia="宋体" w:cs="宋体"/>
          <w:color w:val="auto"/>
          <w:sz w:val="32"/>
          <w:szCs w:val="32"/>
          <w:highlight w:val="none"/>
        </w:rPr>
        <w:t>（综合评分法）</w:t>
      </w:r>
      <w:bookmarkEnd w:id="232"/>
      <w:bookmarkEnd w:id="233"/>
    </w:p>
    <w:p w14:paraId="73ED4BE4">
      <w:pPr>
        <w:pStyle w:val="32"/>
        <w:snapToGrid/>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根据《中华人民共和国政府采购法》等有关法律法规的规定，并结合本项目的实际，按照公正、公平、科学、择优的原则选择中标人，特制定本办法。</w:t>
      </w:r>
    </w:p>
    <w:p w14:paraId="718570B2">
      <w:pPr>
        <w:pStyle w:val="5"/>
        <w:spacing w:line="440" w:lineRule="exact"/>
        <w:ind w:firstLine="211" w:firstLineChars="100"/>
        <w:rPr>
          <w:rFonts w:hint="eastAsia" w:ascii="宋体" w:hAnsi="宋体" w:eastAsia="宋体" w:cs="宋体"/>
          <w:color w:val="auto"/>
          <w:sz w:val="21"/>
          <w:szCs w:val="21"/>
          <w:highlight w:val="none"/>
        </w:rPr>
      </w:pPr>
      <w:bookmarkStart w:id="234" w:name="_Toc55212811"/>
      <w:r>
        <w:rPr>
          <w:rFonts w:hint="eastAsia" w:ascii="宋体" w:hAnsi="宋体" w:eastAsia="宋体" w:cs="宋体"/>
          <w:color w:val="auto"/>
          <w:sz w:val="21"/>
          <w:szCs w:val="21"/>
          <w:highlight w:val="none"/>
        </w:rPr>
        <w:t>一   总则</w:t>
      </w:r>
      <w:bookmarkEnd w:id="234"/>
    </w:p>
    <w:p w14:paraId="27415B1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114F858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2C14FAD">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1名预中标人，由采购人确定本项目中标人。</w:t>
      </w:r>
    </w:p>
    <w:p w14:paraId="3D1A60F6">
      <w:pPr>
        <w:pStyle w:val="5"/>
        <w:spacing w:line="440" w:lineRule="exact"/>
        <w:ind w:firstLine="211" w:firstLineChars="100"/>
        <w:rPr>
          <w:rFonts w:hint="eastAsia" w:ascii="宋体" w:hAnsi="宋体" w:eastAsia="宋体" w:cs="宋体"/>
          <w:color w:val="auto"/>
          <w:sz w:val="21"/>
          <w:szCs w:val="21"/>
          <w:highlight w:val="none"/>
        </w:rPr>
      </w:pPr>
      <w:bookmarkStart w:id="235" w:name="_Toc55212812"/>
      <w:r>
        <w:rPr>
          <w:rFonts w:hint="eastAsia" w:ascii="宋体" w:hAnsi="宋体" w:eastAsia="宋体" w:cs="宋体"/>
          <w:color w:val="auto"/>
          <w:sz w:val="21"/>
          <w:szCs w:val="21"/>
          <w:highlight w:val="none"/>
        </w:rPr>
        <w:t>二   评审委员会</w:t>
      </w:r>
      <w:bookmarkEnd w:id="235"/>
    </w:p>
    <w:p w14:paraId="3806914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成员：由采购人代表和评审专家组成五人及以上单数，其中评审专家不得少于评审委员会总人数的三分之二。除国务院财政部门规定的情形外，评审专家由采购代理机构在政府采购专家库中随机抽取。评审委员会对投标文件进行符合性审查、询标、评价和推荐中标候选人。</w:t>
      </w:r>
    </w:p>
    <w:p w14:paraId="6F00882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（二）职责：严格按政府采购法律法规的有关规定执行，评审专家应按招标文件规定的评审要求、评审程序、评审内容、评审方法和评审标准进行评审，对评审意见承担个人责任。</w:t>
      </w:r>
    </w:p>
    <w:p w14:paraId="0273B921">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（三）评审专家的评审情况和评审意见受监督人员和采购代理机构审查，如发现评审专家的评审意见带有明显倾向性，或不按规定程序和标准评审、计分的，可要求评审专家进行书面澄清和说明。</w:t>
      </w:r>
    </w:p>
    <w:p w14:paraId="2C91D7C5">
      <w:pPr>
        <w:pStyle w:val="5"/>
        <w:spacing w:line="440" w:lineRule="exact"/>
        <w:ind w:firstLine="211" w:firstLineChars="100"/>
        <w:rPr>
          <w:rFonts w:hint="eastAsia" w:ascii="宋体" w:hAnsi="宋体" w:eastAsia="宋体" w:cs="宋体"/>
          <w:color w:val="auto"/>
          <w:sz w:val="21"/>
          <w:szCs w:val="21"/>
          <w:highlight w:val="none"/>
        </w:rPr>
      </w:pPr>
      <w:bookmarkStart w:id="236" w:name="_Toc55212813"/>
      <w:r>
        <w:rPr>
          <w:rFonts w:hint="eastAsia" w:ascii="宋体" w:hAnsi="宋体" w:eastAsia="宋体" w:cs="宋体"/>
          <w:color w:val="auto"/>
          <w:sz w:val="21"/>
          <w:szCs w:val="21"/>
          <w:highlight w:val="none"/>
        </w:rPr>
        <w:t>三   评标程序</w:t>
      </w:r>
      <w:bookmarkEnd w:id="236"/>
    </w:p>
    <w:p w14:paraId="720F5D8F">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（一）符合性审查</w:t>
      </w:r>
    </w:p>
    <w:p w14:paraId="5285223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587FA8EC">
      <w:pPr>
        <w:adjustRightInd w:val="0"/>
        <w:snapToGrid w:val="0"/>
        <w:spacing w:line="44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1.资格及响应符合性审查</w:t>
      </w:r>
    </w:p>
    <w:p w14:paraId="34803E00">
      <w:pPr>
        <w:autoSpaceDE w:val="0"/>
        <w:autoSpaceDN w:val="0"/>
        <w:snapToGrid w:val="0"/>
        <w:spacing w:line="440" w:lineRule="exact"/>
        <w:ind w:firstLine="422" w:firstLineChars="200"/>
        <w:rPr>
          <w:rFonts w:hint="eastAsia" w:ascii="宋体" w:hAnsi="宋体" w:cs="宋体"/>
          <w:color w:val="auto"/>
          <w:kern w:val="0"/>
          <w:szCs w:val="21"/>
          <w:highlight w:val="none"/>
        </w:rPr>
      </w:pPr>
      <w:r>
        <w:rPr>
          <w:rFonts w:hint="eastAsia" w:ascii="宋体" w:hAnsi="宋体" w:cs="宋体"/>
          <w:b/>
          <w:bCs/>
          <w:color w:val="auto"/>
          <w:kern w:val="0"/>
          <w:szCs w:val="21"/>
          <w:highlight w:val="none"/>
          <w:u w:val="single"/>
        </w:rPr>
        <w:t>投标文件如存在以下情况之一的，经评标委员会审核认定，作为符合性审查未通过，判定为无效标，不进入后续评审：</w:t>
      </w:r>
    </w:p>
    <w:p w14:paraId="36D75ECA">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（1）投标文件中提供的资料无法证明投标人满足招标文件载明的投标人资格要求；</w:t>
      </w:r>
    </w:p>
    <w:p w14:paraId="7F5C4E96">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（2）投标文件标明的商务、技术响应与事实不符或虚假响应的；</w:t>
      </w:r>
    </w:p>
    <w:p w14:paraId="133FBD37">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（3）未按招标文件的要求签署和盖章的；</w:t>
      </w:r>
    </w:p>
    <w:p w14:paraId="0F4AB00A">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（4）未实质性响应招标文件规定的实质性内容的；</w:t>
      </w:r>
    </w:p>
    <w:p w14:paraId="3F5026EE">
      <w:pPr>
        <w:adjustRightInd w:val="0"/>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（5）投标文件提出了不能满足招标文件要求的验收、工期、质保期等要求的；</w:t>
      </w:r>
    </w:p>
    <w:p w14:paraId="00F25441">
      <w:pPr>
        <w:adjustRightInd w:val="0"/>
        <w:snapToGrid w:val="0"/>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（6）存在法律、法规、规章、招标文件规定的其它无效情况的。</w:t>
      </w:r>
    </w:p>
    <w:p w14:paraId="6B96E248">
      <w:pPr>
        <w:adjustRightInd w:val="0"/>
        <w:snapToGrid w:val="0"/>
        <w:spacing w:line="440" w:lineRule="exact"/>
        <w:ind w:firstLine="422" w:firstLineChars="200"/>
        <w:outlineLvl w:val="2"/>
        <w:rPr>
          <w:rFonts w:hint="eastAsia" w:ascii="宋体" w:hAnsi="宋体" w:cs="宋体"/>
          <w:b/>
          <w:color w:val="auto"/>
          <w:szCs w:val="21"/>
          <w:highlight w:val="none"/>
        </w:rPr>
      </w:pPr>
      <w:bookmarkStart w:id="237" w:name="_Toc419708030"/>
      <w:r>
        <w:rPr>
          <w:rFonts w:hint="eastAsia" w:ascii="宋体" w:hAnsi="宋体" w:cs="宋体"/>
          <w:b/>
          <w:color w:val="auto"/>
          <w:szCs w:val="21"/>
          <w:highlight w:val="none"/>
        </w:rPr>
        <w:t>2.技术</w:t>
      </w:r>
      <w:bookmarkEnd w:id="237"/>
      <w:r>
        <w:rPr>
          <w:rFonts w:hint="eastAsia" w:ascii="宋体" w:hAnsi="宋体" w:cs="宋体"/>
          <w:b/>
          <w:color w:val="auto"/>
          <w:szCs w:val="21"/>
          <w:highlight w:val="none"/>
        </w:rPr>
        <w:t>符合性审查</w:t>
      </w:r>
    </w:p>
    <w:p w14:paraId="1673C57E">
      <w:pPr>
        <w:autoSpaceDE w:val="0"/>
        <w:autoSpaceDN w:val="0"/>
        <w:snapToGrid w:val="0"/>
        <w:spacing w:line="440" w:lineRule="exact"/>
        <w:ind w:firstLine="426" w:firstLineChars="202"/>
        <w:rPr>
          <w:rFonts w:hint="eastAsia" w:ascii="宋体" w:hAnsi="宋体" w:cs="宋体"/>
          <w:color w:val="auto"/>
          <w:kern w:val="0"/>
          <w:szCs w:val="21"/>
          <w:highlight w:val="none"/>
        </w:rPr>
      </w:pPr>
      <w:r>
        <w:rPr>
          <w:rFonts w:hint="eastAsia" w:ascii="宋体" w:hAnsi="宋体" w:cs="宋体"/>
          <w:b/>
          <w:bCs/>
          <w:color w:val="auto"/>
          <w:kern w:val="0"/>
          <w:szCs w:val="21"/>
          <w:highlight w:val="none"/>
          <w:u w:val="single"/>
        </w:rPr>
        <w:t>投标文件如存在以下情况之一的，经评标委员会审核认定，作为符合性审查未通过，判定为无效标，不进入后续评审：</w:t>
      </w:r>
    </w:p>
    <w:p w14:paraId="726C2FFD">
      <w:pPr>
        <w:pStyle w:val="305"/>
        <w:tabs>
          <w:tab w:val="left" w:pos="454"/>
        </w:tabs>
        <w:snapToGrid w:val="0"/>
        <w:spacing w:line="360" w:lineRule="auto"/>
        <w:ind w:left="253"/>
        <w:rPr>
          <w:rStyle w:val="191"/>
          <w:rFonts w:hint="eastAsia" w:hAnsi="宋体" w:cs="宋体"/>
          <w:color w:val="auto"/>
          <w:szCs w:val="21"/>
          <w:highlight w:val="none"/>
        </w:rPr>
      </w:pPr>
      <w:bookmarkStart w:id="238" w:name="_Toc419708029"/>
      <w:r>
        <w:rPr>
          <w:rStyle w:val="191"/>
          <w:rFonts w:hint="eastAsia" w:hAnsi="宋体" w:cs="宋体"/>
          <w:color w:val="auto"/>
          <w:highlight w:val="none"/>
        </w:rPr>
        <w:t>（1）仅提交“备份投标文件”的；</w:t>
      </w:r>
    </w:p>
    <w:p w14:paraId="3B79E61C">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（2）投标人不符合招标资格条件的；</w:t>
      </w:r>
    </w:p>
    <w:p w14:paraId="4E7D9AE9">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highlight w:val="none"/>
        </w:rPr>
        <w:t>（3）投标文件存在一个或一个以上备选（替代）投标方案的；</w:t>
      </w:r>
    </w:p>
    <w:p w14:paraId="43ACB536">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（4）获取文件的投标人与参加投标的投标人发生实质性变更的且未提供有效证明的；</w:t>
      </w:r>
    </w:p>
    <w:p w14:paraId="53B0A6EB">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highlight w:val="none"/>
        </w:rPr>
        <w:t>（5）投标文件未有效授权，</w:t>
      </w:r>
      <w:r>
        <w:rPr>
          <w:rStyle w:val="191"/>
          <w:rFonts w:hint="eastAsia" w:hAnsi="宋体" w:cs="宋体"/>
          <w:color w:val="auto"/>
          <w:szCs w:val="21"/>
          <w:highlight w:val="none"/>
        </w:rPr>
        <w:t>未提供或提供无效的负责人资格证明书或负责人授权书的；</w:t>
      </w:r>
    </w:p>
    <w:p w14:paraId="3B005818">
      <w:pPr>
        <w:pStyle w:val="305"/>
        <w:tabs>
          <w:tab w:val="left" w:pos="454"/>
        </w:tabs>
        <w:snapToGrid w:val="0"/>
        <w:spacing w:line="360" w:lineRule="auto"/>
        <w:ind w:left="253"/>
        <w:outlineLvl w:val="3"/>
        <w:rPr>
          <w:rStyle w:val="191"/>
          <w:rFonts w:hint="eastAsia" w:hAnsi="宋体" w:cs="宋体"/>
          <w:color w:val="auto"/>
          <w:szCs w:val="21"/>
          <w:highlight w:val="none"/>
        </w:rPr>
      </w:pPr>
      <w:r>
        <w:rPr>
          <w:rStyle w:val="191"/>
          <w:rFonts w:hint="eastAsia" w:hAnsi="宋体" w:cs="宋体"/>
          <w:color w:val="auto"/>
          <w:szCs w:val="21"/>
          <w:highlight w:val="none"/>
        </w:rPr>
        <w:t>（6）投标文件内容未按招标文件规定签字或盖章的；</w:t>
      </w:r>
    </w:p>
    <w:p w14:paraId="17405894">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（7）投标文件组成漏项或未按规定的格式编制，内容不全或内容字迹模糊辨认不清的而导致评审活动无法正常进行；</w:t>
      </w:r>
    </w:p>
    <w:p w14:paraId="1A92E0A9">
      <w:pPr>
        <w:pStyle w:val="305"/>
        <w:tabs>
          <w:tab w:val="left" w:pos="454"/>
        </w:tabs>
        <w:snapToGrid w:val="0"/>
        <w:spacing w:line="360" w:lineRule="auto"/>
        <w:ind w:left="253"/>
        <w:outlineLvl w:val="3"/>
        <w:rPr>
          <w:rStyle w:val="191"/>
          <w:rFonts w:hint="eastAsia" w:hAnsi="宋体" w:cs="宋体"/>
          <w:color w:val="auto"/>
          <w:szCs w:val="21"/>
          <w:highlight w:val="none"/>
        </w:rPr>
      </w:pPr>
      <w:r>
        <w:rPr>
          <w:rStyle w:val="191"/>
          <w:rFonts w:hint="eastAsia" w:hAnsi="宋体" w:cs="宋体"/>
          <w:color w:val="auto"/>
          <w:szCs w:val="21"/>
          <w:highlight w:val="none"/>
        </w:rPr>
        <w:t>（8）未实质性响应招标文件中带“▲”条款要求的投标文件；</w:t>
      </w:r>
    </w:p>
    <w:p w14:paraId="0FC18465">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（9）不符合招标范围、技术规格、技术标准的要求无法满足采购人使用要求；</w:t>
      </w:r>
    </w:p>
    <w:p w14:paraId="0E00D7BC">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（10）投标文件附有采购人不能接受的条款；</w:t>
      </w:r>
    </w:p>
    <w:p w14:paraId="5160EDE2">
      <w:pPr>
        <w:pStyle w:val="305"/>
        <w:tabs>
          <w:tab w:val="left" w:pos="454"/>
        </w:tabs>
        <w:snapToGrid w:val="0"/>
        <w:spacing w:line="360" w:lineRule="auto"/>
        <w:ind w:left="253"/>
        <w:rPr>
          <w:rStyle w:val="191"/>
          <w:rFonts w:hint="eastAsia" w:hAnsi="宋体" w:cs="宋体"/>
          <w:color w:val="auto"/>
          <w:szCs w:val="21"/>
          <w:highlight w:val="none"/>
        </w:rPr>
      </w:pPr>
      <w:r>
        <w:rPr>
          <w:rStyle w:val="191"/>
          <w:rFonts w:hint="eastAsia" w:hAnsi="宋体" w:cs="宋体"/>
          <w:color w:val="auto"/>
          <w:szCs w:val="21"/>
          <w:highlight w:val="none"/>
        </w:rPr>
        <w:t>（11）存在串标、抬标或弄虚作假情况的；</w:t>
      </w:r>
    </w:p>
    <w:p w14:paraId="0E92E5D9">
      <w:pPr>
        <w:pStyle w:val="305"/>
        <w:tabs>
          <w:tab w:val="left" w:pos="454"/>
        </w:tabs>
        <w:snapToGrid w:val="0"/>
        <w:spacing w:line="360" w:lineRule="auto"/>
        <w:ind w:left="253"/>
        <w:rPr>
          <w:rStyle w:val="191"/>
          <w:rFonts w:hint="eastAsia" w:hAnsi="宋体" w:cs="宋体"/>
          <w:color w:val="auto"/>
          <w:highlight w:val="none"/>
        </w:rPr>
      </w:pPr>
      <w:r>
        <w:rPr>
          <w:rStyle w:val="191"/>
          <w:rFonts w:hint="eastAsia" w:hAnsi="宋体" w:cs="宋体"/>
          <w:color w:val="auto"/>
          <w:szCs w:val="21"/>
          <w:highlight w:val="none"/>
        </w:rPr>
        <w:t>（12）违反国家及</w:t>
      </w:r>
      <w:r>
        <w:rPr>
          <w:rStyle w:val="191"/>
          <w:rFonts w:hint="eastAsia" w:hAnsi="宋体" w:cs="宋体"/>
          <w:color w:val="auto"/>
          <w:highlight w:val="none"/>
        </w:rPr>
        <w:t>政府部门相关法律、法规、文件规定或经评标委员会认定的其他属于重大偏离。</w:t>
      </w:r>
    </w:p>
    <w:p w14:paraId="34887B24">
      <w:pPr>
        <w:adjustRightInd w:val="0"/>
        <w:snapToGrid w:val="0"/>
        <w:spacing w:line="44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3.报价符合性审查</w:t>
      </w:r>
      <w:bookmarkEnd w:id="238"/>
    </w:p>
    <w:p w14:paraId="72E8EE97">
      <w:pPr>
        <w:adjustRightInd w:val="0"/>
        <w:snapToGrid w:val="0"/>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（1）报价错误修正</w:t>
      </w:r>
    </w:p>
    <w:p w14:paraId="6D1600E0">
      <w:p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评标委员会将对报价文件进行校核，报价出现前后不一致的，</w:t>
      </w:r>
      <w:r>
        <w:rPr>
          <w:rFonts w:hint="eastAsia" w:ascii="宋体" w:hAnsi="宋体" w:cs="宋体"/>
          <w:bCs/>
          <w:color w:val="auto"/>
          <w:szCs w:val="21"/>
          <w:highlight w:val="none"/>
        </w:rPr>
        <w:t>按照下列规定修正：</w:t>
      </w:r>
    </w:p>
    <w:p w14:paraId="002C927B">
      <w:pPr>
        <w:numPr>
          <w:ilvl w:val="0"/>
          <w:numId w:val="16"/>
        </w:num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正本与副本不一致时，以正本为准；</w:t>
      </w:r>
    </w:p>
    <w:p w14:paraId="48FC2AF6">
      <w:pPr>
        <w:numPr>
          <w:ilvl w:val="0"/>
          <w:numId w:val="16"/>
        </w:num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开标一览表（报价表）内容与投标文件中相应内容不一致的，以开标一览表（报价表）为准；</w:t>
      </w:r>
    </w:p>
    <w:p w14:paraId="0D08F4A4">
      <w:pPr>
        <w:numPr>
          <w:ilvl w:val="0"/>
          <w:numId w:val="16"/>
        </w:num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大写金额和小写金额不一致的，以大写金额为准；</w:t>
      </w:r>
    </w:p>
    <w:p w14:paraId="2B9DEE34">
      <w:pPr>
        <w:numPr>
          <w:ilvl w:val="0"/>
          <w:numId w:val="16"/>
        </w:num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单价金额小数点或者百分比有明显错位的，以开标一览表的总价为准，并修改单价；</w:t>
      </w:r>
    </w:p>
    <w:p w14:paraId="64C80453">
      <w:pPr>
        <w:numPr>
          <w:ilvl w:val="0"/>
          <w:numId w:val="16"/>
        </w:num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总价金额与按单价汇总金额不一致的，以单价金额计算结果为准。                             </w:t>
      </w:r>
    </w:p>
    <w:p w14:paraId="685AD046">
      <w:p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 同时出现两种以上不一致的，按照前款规定的顺序修正。修正后的报价以澄清方式经投标人确认后产生约束力，投标人不确认的，评标委员会应判定其为无效标。</w:t>
      </w:r>
    </w:p>
    <w:p w14:paraId="7EF4EB63">
      <w:pPr>
        <w:adjustRightInd w:val="0"/>
        <w:snapToGrid w:val="0"/>
        <w:spacing w:line="440" w:lineRule="exact"/>
        <w:ind w:firstLine="420" w:firstLineChars="200"/>
        <w:outlineLvl w:val="3"/>
        <w:rPr>
          <w:rFonts w:hint="eastAsia" w:ascii="宋体" w:hAnsi="宋体" w:cs="宋体"/>
          <w:bCs/>
          <w:color w:val="auto"/>
          <w:szCs w:val="21"/>
          <w:highlight w:val="none"/>
        </w:rPr>
      </w:pPr>
      <w:r>
        <w:rPr>
          <w:rFonts w:hint="eastAsia" w:ascii="宋体" w:hAnsi="宋体" w:cs="宋体"/>
          <w:bCs/>
          <w:color w:val="auto"/>
          <w:szCs w:val="21"/>
          <w:highlight w:val="none"/>
        </w:rPr>
        <w:t>（2）合理报价澄清说明</w:t>
      </w:r>
    </w:p>
    <w:p w14:paraId="14F72CA1">
      <w:pPr>
        <w:adjustRightInd w:val="0"/>
        <w:snapToGrid w:val="0"/>
        <w:spacing w:line="44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评标委员会认为投标人的报价明显低于其他通过符合性审查投标人的报价，有可能影响产品质量或者不能诚信履约的，应当要求投标人在评审现场30分钟内提供书面说明，必要时可要求投标人提交相关证明材料；评标委员会（少数服从多数原则）认为投标人不能证明其报价合理性的，应当将其作为无效标处理。</w:t>
      </w:r>
    </w:p>
    <w:p w14:paraId="6977D31C">
      <w:pPr>
        <w:adjustRightInd w:val="0"/>
        <w:snapToGrid w:val="0"/>
        <w:spacing w:line="44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（3）投标文件如存在以下情况之一的，经评标委员会审核认定，作为符合性审查未通过，判定为无效标，不进入后续评审：</w:t>
      </w:r>
    </w:p>
    <w:p w14:paraId="34EAC2F9">
      <w:pPr>
        <w:adjustRightInd w:val="0"/>
        <w:snapToGrid w:val="0"/>
        <w:spacing w:line="440" w:lineRule="exact"/>
        <w:ind w:firstLine="630" w:firstLineChars="300"/>
        <w:rPr>
          <w:rFonts w:hint="eastAsia" w:ascii="宋体" w:hAnsi="宋体" w:cs="宋体"/>
          <w:color w:val="auto"/>
          <w:kern w:val="0"/>
          <w:szCs w:val="21"/>
          <w:highlight w:val="none"/>
        </w:rPr>
      </w:pPr>
      <w:r>
        <w:rPr>
          <w:rFonts w:hint="eastAsia" w:ascii="宋体" w:hAnsi="宋体" w:cs="宋体"/>
          <w:bCs/>
          <w:color w:val="auto"/>
          <w:szCs w:val="21"/>
          <w:highlight w:val="none"/>
        </w:rPr>
        <w:t>1）投标人未按招标文件实质性规定要求</w:t>
      </w:r>
      <w:r>
        <w:rPr>
          <w:rFonts w:hint="eastAsia" w:ascii="宋体" w:hAnsi="宋体" w:cs="宋体"/>
          <w:color w:val="auto"/>
          <w:kern w:val="0"/>
          <w:szCs w:val="21"/>
          <w:highlight w:val="none"/>
        </w:rPr>
        <w:t>进行报价或拒绝修正不平衡报价；</w:t>
      </w:r>
    </w:p>
    <w:p w14:paraId="2D469037">
      <w:pPr>
        <w:autoSpaceDE w:val="0"/>
        <w:autoSpaceDN w:val="0"/>
        <w:snapToGrid w:val="0"/>
        <w:spacing w:line="440" w:lineRule="exact"/>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2）改变采购人提供的清单内容；</w:t>
      </w:r>
    </w:p>
    <w:p w14:paraId="07176BF2">
      <w:pPr>
        <w:autoSpaceDE w:val="0"/>
        <w:autoSpaceDN w:val="0"/>
        <w:snapToGrid w:val="0"/>
        <w:spacing w:line="440" w:lineRule="exact"/>
        <w:ind w:firstLine="630" w:firstLineChars="300"/>
        <w:rPr>
          <w:rFonts w:hint="eastAsia" w:ascii="宋体" w:hAnsi="宋体" w:cs="宋体"/>
          <w:color w:val="auto"/>
          <w:kern w:val="0"/>
          <w:szCs w:val="21"/>
          <w:highlight w:val="none"/>
        </w:rPr>
      </w:pPr>
      <w:r>
        <w:rPr>
          <w:rFonts w:hint="eastAsia" w:ascii="宋体" w:hAnsi="宋体" w:cs="宋体"/>
          <w:color w:val="auto"/>
          <w:szCs w:val="21"/>
          <w:highlight w:val="none"/>
        </w:rPr>
        <w:t>3）评标委员会不调整采购内容及需求的情况下，投标人的最终报价高于初次报价；</w:t>
      </w:r>
    </w:p>
    <w:p w14:paraId="2894CDDA">
      <w:pPr>
        <w:autoSpaceDE w:val="0"/>
        <w:autoSpaceDN w:val="0"/>
        <w:snapToGrid w:val="0"/>
        <w:spacing w:line="440" w:lineRule="exact"/>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szCs w:val="21"/>
          <w:highlight w:val="none"/>
        </w:rPr>
        <w:t>报价超过招标文件规定的预算价或最高限价；</w:t>
      </w:r>
    </w:p>
    <w:p w14:paraId="6FA9DABE">
      <w:pPr>
        <w:autoSpaceDE w:val="0"/>
        <w:autoSpaceDN w:val="0"/>
        <w:snapToGrid w:val="0"/>
        <w:spacing w:line="440" w:lineRule="exact"/>
        <w:ind w:firstLine="630" w:firstLineChars="300"/>
        <w:rPr>
          <w:rFonts w:hint="eastAsia" w:ascii="宋体" w:hAnsi="宋体" w:cs="宋体"/>
          <w:color w:val="auto"/>
          <w:szCs w:val="21"/>
          <w:highlight w:val="none"/>
        </w:rPr>
      </w:pPr>
      <w:r>
        <w:rPr>
          <w:rFonts w:hint="eastAsia" w:ascii="宋体" w:hAnsi="宋体" w:cs="宋体"/>
          <w:color w:val="auto"/>
          <w:kern w:val="0"/>
          <w:szCs w:val="21"/>
          <w:highlight w:val="none"/>
        </w:rPr>
        <w:t>5）</w:t>
      </w:r>
      <w:r>
        <w:rPr>
          <w:rFonts w:hint="eastAsia" w:ascii="宋体" w:hAnsi="宋体" w:cs="宋体"/>
          <w:color w:val="auto"/>
          <w:szCs w:val="21"/>
          <w:highlight w:val="none"/>
        </w:rPr>
        <w:t>评标委员会认为投标人报价不符合“合理报价澄清说明”情形的；</w:t>
      </w:r>
    </w:p>
    <w:p w14:paraId="62398DDA">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（二）商务技术文件评审</w:t>
      </w:r>
    </w:p>
    <w:p w14:paraId="5503D48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商务部分进行评审，对客观分应统一意见后统一给分。</w:t>
      </w:r>
    </w:p>
    <w:p w14:paraId="0EFC8A26">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2.评审委员会依据招标文件的规定，对各</w:t>
      </w:r>
      <w:r>
        <w:rPr>
          <w:rFonts w:hint="eastAsia" w:ascii="宋体" w:hAnsi="宋体" w:cs="宋体"/>
          <w:color w:val="auto"/>
          <w:kern w:val="0"/>
          <w:szCs w:val="21"/>
          <w:highlight w:val="none"/>
        </w:rPr>
        <w:t>投标人的</w:t>
      </w:r>
      <w:r>
        <w:rPr>
          <w:rFonts w:hint="eastAsia" w:ascii="宋体" w:hAnsi="宋体" w:cs="宋体"/>
          <w:color w:val="auto"/>
          <w:szCs w:val="21"/>
          <w:highlight w:val="none"/>
        </w:rPr>
        <w:t>技术部分进行独立评审，对各</w:t>
      </w:r>
      <w:r>
        <w:rPr>
          <w:rFonts w:hint="eastAsia" w:ascii="宋体" w:hAnsi="宋体" w:cs="宋体"/>
          <w:color w:val="auto"/>
          <w:kern w:val="0"/>
          <w:szCs w:val="21"/>
          <w:highlight w:val="none"/>
        </w:rPr>
        <w:t>投标文件</w:t>
      </w:r>
      <w:r>
        <w:rPr>
          <w:rFonts w:hint="eastAsia" w:ascii="宋体" w:hAnsi="宋体" w:cs="宋体"/>
          <w:color w:val="auto"/>
          <w:szCs w:val="21"/>
          <w:highlight w:val="none"/>
        </w:rPr>
        <w:t>进行比较和必要的澄清，若有演示（或述标）、样品要求和技术文件评审同步进行，演示（或述标）顺序</w:t>
      </w:r>
      <w:r>
        <w:rPr>
          <w:rFonts w:hint="eastAsia" w:ascii="宋体" w:hAnsi="宋体" w:cs="宋体"/>
          <w:b/>
          <w:color w:val="auto"/>
          <w:szCs w:val="21"/>
          <w:highlight w:val="none"/>
        </w:rPr>
        <w:t>为电子交易平台解密后自动生成的“投标（响应）文件签收登记表”名单顺序</w:t>
      </w:r>
      <w:r>
        <w:rPr>
          <w:rFonts w:hint="eastAsia" w:ascii="宋体" w:hAnsi="宋体" w:cs="宋体"/>
          <w:color w:val="auto"/>
          <w:szCs w:val="21"/>
          <w:highlight w:val="none"/>
        </w:rPr>
        <w:t>，并根据审查、澄清、演示（或述标）、样品等情况结合评审办法进行独立打分；</w:t>
      </w:r>
    </w:p>
    <w:p w14:paraId="094C7E2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3.各投标人的商务技术得分，为各评审专家对该投标人的评分汇总后的算术平均数。</w:t>
      </w:r>
    </w:p>
    <w:p w14:paraId="568FF69B">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通过政采云平台公布各投标人的商务技术得分，开启有效投标人的报价文件。</w:t>
      </w:r>
    </w:p>
    <w:p w14:paraId="6BF475BE">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（三）报价文件评审</w:t>
      </w:r>
    </w:p>
    <w:p w14:paraId="1C55E74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1.评审委员会依据招标文件的规定，对各投标人的报价的合理性进行审查，必要时可要求投标人对其报价做出澄清、说明；</w:t>
      </w:r>
    </w:p>
    <w:p w14:paraId="2696159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2.政府采购政策价格扣除；</w:t>
      </w:r>
    </w:p>
    <w:p w14:paraId="66C7EF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3.报价修正；</w:t>
      </w:r>
    </w:p>
    <w:p w14:paraId="1F47FF3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4.评审委员会根据投标人的报价和评审标准，计算各投标人的报价得分。</w:t>
      </w:r>
    </w:p>
    <w:p w14:paraId="2816B61A">
      <w:pPr>
        <w:spacing w:line="440" w:lineRule="exact"/>
        <w:ind w:firstLine="422" w:firstLineChars="200"/>
        <w:outlineLvl w:val="1"/>
        <w:rPr>
          <w:rFonts w:hint="eastAsia" w:ascii="宋体" w:hAnsi="宋体" w:cs="宋体"/>
          <w:b/>
          <w:color w:val="auto"/>
          <w:szCs w:val="21"/>
          <w:highlight w:val="none"/>
        </w:rPr>
      </w:pPr>
      <w:r>
        <w:rPr>
          <w:rFonts w:hint="eastAsia" w:ascii="宋体" w:hAnsi="宋体" w:cs="宋体"/>
          <w:b/>
          <w:color w:val="auto"/>
          <w:szCs w:val="21"/>
          <w:highlight w:val="none"/>
        </w:rPr>
        <w:t>（四）评标结果</w:t>
      </w:r>
    </w:p>
    <w:p w14:paraId="0A54C41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1.评审结果汇总，相同品牌认定，投标人结果排序；</w:t>
      </w:r>
    </w:p>
    <w:p w14:paraId="70F436A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2.起草评标报告，确定中标候选人；</w:t>
      </w:r>
    </w:p>
    <w:p w14:paraId="63E134ED">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2.1评标报告应包括以下内容：</w:t>
      </w:r>
    </w:p>
    <w:p w14:paraId="51B851F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（1）招标公告刊登的媒体名称、开标日期和地点；</w:t>
      </w:r>
    </w:p>
    <w:p w14:paraId="272D8A2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（2）投标人名单和评审委员会成员名单；</w:t>
      </w:r>
    </w:p>
    <w:p w14:paraId="191B06E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（3）评审方法和标准；</w:t>
      </w:r>
    </w:p>
    <w:p w14:paraId="3CE510A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（4）资格审查记录；</w:t>
      </w:r>
    </w:p>
    <w:p w14:paraId="3ABDBC9A">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（5）开标记录和评审情况及说明，包括无效投标人名单及原因；</w:t>
      </w:r>
    </w:p>
    <w:p w14:paraId="1BF92E2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（6）评审结果，确定的中标候选人名单。</w:t>
      </w:r>
    </w:p>
    <w:p w14:paraId="416D19B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（7）其他需要说明的情况，包括评审过程中投标人根据评审委员会要求进行的澄清、说明或者补正，评审委员会成员的更换等。</w:t>
      </w:r>
    </w:p>
    <w:p w14:paraId="118133A4">
      <w:pPr>
        <w:spacing w:line="440" w:lineRule="exact"/>
        <w:ind w:firstLine="420" w:firstLineChars="200"/>
        <w:outlineLvl w:val="3"/>
        <w:rPr>
          <w:rFonts w:hint="eastAsia" w:ascii="宋体" w:hAnsi="宋体" w:cs="宋体"/>
          <w:color w:val="auto"/>
          <w:szCs w:val="21"/>
          <w:highlight w:val="none"/>
        </w:rPr>
      </w:pPr>
      <w:r>
        <w:rPr>
          <w:rFonts w:hint="eastAsia" w:ascii="宋体" w:hAnsi="宋体" w:cs="宋体"/>
          <w:color w:val="auto"/>
          <w:szCs w:val="21"/>
          <w:highlight w:val="none"/>
        </w:rPr>
        <w:t>3.评标报告由全体评审委员会成员确认后提交。</w:t>
      </w:r>
    </w:p>
    <w:p w14:paraId="24A6D51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4.评审结束后，由电子交易平台自动生成评审结果，采购人确定中标人后2个工作日内，发出中标通知书，并在相关媒体上公告中标结果。</w:t>
      </w:r>
    </w:p>
    <w:p w14:paraId="2F49F49A">
      <w:pPr>
        <w:pStyle w:val="5"/>
        <w:spacing w:line="440" w:lineRule="exact"/>
        <w:ind w:firstLine="211" w:firstLineChars="100"/>
        <w:rPr>
          <w:rFonts w:hint="eastAsia" w:ascii="宋体" w:hAnsi="宋体" w:eastAsia="宋体" w:cs="宋体"/>
          <w:color w:val="auto"/>
          <w:sz w:val="21"/>
          <w:szCs w:val="21"/>
          <w:highlight w:val="none"/>
        </w:rPr>
      </w:pPr>
      <w:bookmarkStart w:id="239" w:name="_Toc55212814"/>
      <w:bookmarkStart w:id="240" w:name="_Toc19583"/>
      <w:bookmarkStart w:id="241" w:name="_Toc55212816"/>
      <w:bookmarkStart w:id="242" w:name="_Toc335664301"/>
      <w:bookmarkStart w:id="243" w:name="_Toc494555896"/>
      <w:bookmarkStart w:id="244" w:name="_Toc493956082"/>
      <w:r>
        <w:rPr>
          <w:rFonts w:hint="eastAsia" w:ascii="宋体" w:hAnsi="宋体" w:eastAsia="宋体" w:cs="宋体"/>
          <w:color w:val="auto"/>
          <w:sz w:val="21"/>
          <w:szCs w:val="21"/>
          <w:highlight w:val="none"/>
        </w:rPr>
        <w:t>四   评标一般规定</w:t>
      </w:r>
      <w:bookmarkEnd w:id="239"/>
    </w:p>
    <w:p w14:paraId="43398D97">
      <w:pPr>
        <w:spacing w:line="440" w:lineRule="exact"/>
        <w:ind w:firstLine="420" w:firstLineChars="200"/>
        <w:outlineLvl w:val="1"/>
        <w:rPr>
          <w:rFonts w:hint="eastAsia" w:ascii="宋体" w:hAnsi="宋体" w:cs="宋体"/>
          <w:color w:val="auto"/>
          <w:szCs w:val="21"/>
          <w:highlight w:val="none"/>
        </w:rPr>
      </w:pPr>
      <w:r>
        <w:rPr>
          <w:rFonts w:hint="eastAsia" w:ascii="宋体" w:hAnsi="宋体" w:cs="宋体"/>
          <w:color w:val="auto"/>
          <w:szCs w:val="21"/>
          <w:highlight w:val="none"/>
        </w:rPr>
        <w:t>（一）本评标办法采用综合评分法,总分100分。</w:t>
      </w:r>
    </w:p>
    <w:p w14:paraId="11F9A4F0">
      <w:pPr>
        <w:spacing w:line="44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1.商务技术权重为90%，分值为90分。</w:t>
      </w:r>
    </w:p>
    <w:p w14:paraId="31393ED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（1）商务权重为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%，分值为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分，评委在规定的分值内统一打分。</w:t>
      </w:r>
    </w:p>
    <w:p w14:paraId="7C2B912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（2）技术权重为</w:t>
      </w:r>
      <w:r>
        <w:rPr>
          <w:rFonts w:hint="eastAsia" w:ascii="宋体" w:hAnsi="宋体" w:cs="宋体"/>
          <w:color w:val="auto"/>
          <w:szCs w:val="21"/>
          <w:highlight w:val="none"/>
          <w:lang w:val="en-US" w:eastAsia="zh-CN"/>
        </w:rPr>
        <w:t>87</w:t>
      </w:r>
      <w:r>
        <w:rPr>
          <w:rFonts w:hint="eastAsia" w:ascii="宋体" w:hAnsi="宋体" w:cs="宋体"/>
          <w:color w:val="auto"/>
          <w:szCs w:val="21"/>
          <w:highlight w:val="none"/>
        </w:rPr>
        <w:t>%,分值为</w:t>
      </w:r>
      <w:r>
        <w:rPr>
          <w:rFonts w:hint="eastAsia" w:ascii="宋体" w:hAnsi="宋体" w:cs="宋体"/>
          <w:color w:val="auto"/>
          <w:szCs w:val="21"/>
          <w:highlight w:val="none"/>
          <w:lang w:val="en-US" w:eastAsia="zh-CN"/>
        </w:rPr>
        <w:t>87</w:t>
      </w:r>
      <w:r>
        <w:rPr>
          <w:rFonts w:hint="eastAsia" w:ascii="宋体" w:hAnsi="宋体" w:cs="宋体"/>
          <w:color w:val="auto"/>
          <w:szCs w:val="21"/>
          <w:highlight w:val="none"/>
        </w:rPr>
        <w:t>分，评委在规定的分值内由评委单独评定打分。如果某个单项的打分超过所规定的分值范围，则该张打分表无效。</w:t>
      </w:r>
    </w:p>
    <w:p w14:paraId="2E6D1622">
      <w:pPr>
        <w:spacing w:line="44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2.报价权重为10%，分值为10分，</w:t>
      </w:r>
      <w:r>
        <w:rPr>
          <w:rFonts w:hint="eastAsia" w:ascii="宋体" w:hAnsi="宋体" w:cs="宋体"/>
          <w:color w:val="auto"/>
          <w:szCs w:val="21"/>
          <w:highlight w:val="none"/>
        </w:rPr>
        <w:t>由评委按各投标人的报价统一计算。</w:t>
      </w:r>
    </w:p>
    <w:p w14:paraId="29F6E567">
      <w:pPr>
        <w:spacing w:line="440" w:lineRule="exact"/>
        <w:ind w:firstLine="420" w:firstLineChars="200"/>
        <w:outlineLvl w:val="2"/>
        <w:rPr>
          <w:rFonts w:hint="eastAsia" w:ascii="宋体" w:hAnsi="宋体" w:cs="宋体"/>
          <w:color w:val="auto"/>
          <w:szCs w:val="21"/>
          <w:highlight w:val="none"/>
        </w:rPr>
      </w:pPr>
      <w:r>
        <w:rPr>
          <w:rFonts w:hint="eastAsia" w:ascii="宋体" w:hAnsi="宋体" w:cs="宋体"/>
          <w:color w:val="auto"/>
          <w:szCs w:val="21"/>
          <w:highlight w:val="none"/>
        </w:rPr>
        <w:t>3.评审专家在规定的分值范围内独立打分。</w:t>
      </w:r>
    </w:p>
    <w:p w14:paraId="7FCB6C18">
      <w:pPr>
        <w:pStyle w:val="5"/>
        <w:spacing w:line="440" w:lineRule="exact"/>
        <w:ind w:firstLine="211" w:firstLineChars="100"/>
        <w:rPr>
          <w:rFonts w:hint="eastAsia" w:ascii="宋体" w:hAnsi="宋体" w:eastAsia="宋体" w:cs="宋体"/>
          <w:b w:val="0"/>
          <w:bCs w:val="0"/>
          <w:color w:val="auto"/>
          <w:sz w:val="21"/>
          <w:szCs w:val="21"/>
          <w:highlight w:val="none"/>
        </w:rPr>
      </w:pPr>
      <w:bookmarkStart w:id="245" w:name="_Toc55212815"/>
      <w:r>
        <w:rPr>
          <w:rFonts w:hint="eastAsia" w:ascii="宋体" w:hAnsi="宋体" w:eastAsia="宋体" w:cs="宋体"/>
          <w:color w:val="auto"/>
          <w:sz w:val="21"/>
          <w:szCs w:val="21"/>
          <w:highlight w:val="none"/>
        </w:rPr>
        <w:t>五   评标办法和细则</w:t>
      </w:r>
      <w:bookmarkEnd w:id="245"/>
      <w:r>
        <w:rPr>
          <w:rFonts w:hint="eastAsia" w:ascii="宋体" w:hAnsi="宋体" w:eastAsia="宋体" w:cs="宋体"/>
          <w:color w:val="auto"/>
          <w:sz w:val="21"/>
          <w:szCs w:val="21"/>
          <w:highlight w:val="none"/>
        </w:rPr>
        <w:t xml:space="preserve"> </w:t>
      </w:r>
      <w:r>
        <w:rPr>
          <w:rFonts w:hint="eastAsia" w:ascii="宋体" w:hAnsi="宋体" w:eastAsia="宋体" w:cs="宋体"/>
          <w:b w:val="0"/>
          <w:bCs w:val="0"/>
          <w:color w:val="auto"/>
          <w:sz w:val="21"/>
          <w:szCs w:val="21"/>
          <w:highlight w:val="none"/>
        </w:rPr>
        <w:t xml:space="preserve"> </w:t>
      </w:r>
    </w:p>
    <w:p w14:paraId="39FEC017">
      <w:pPr>
        <w:pStyle w:val="5"/>
        <w:numPr>
          <w:ilvl w:val="0"/>
          <w:numId w:val="17"/>
        </w:numPr>
        <w:spacing w:line="440" w:lineRule="exact"/>
        <w:ind w:firstLine="42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商务技术分</w:t>
      </w:r>
    </w:p>
    <w:tbl>
      <w:tblPr>
        <w:tblStyle w:val="52"/>
        <w:tblW w:w="967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631"/>
        <w:gridCol w:w="6555"/>
        <w:gridCol w:w="764"/>
      </w:tblGrid>
      <w:tr w14:paraId="1AB5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25" w:type="dxa"/>
            <w:noWrap w:val="0"/>
            <w:vAlign w:val="center"/>
          </w:tcPr>
          <w:p w14:paraId="52E6D4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631" w:type="dxa"/>
            <w:noWrap w:val="0"/>
            <w:vAlign w:val="center"/>
          </w:tcPr>
          <w:p w14:paraId="0CF0E7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555" w:type="dxa"/>
            <w:noWrap w:val="0"/>
            <w:vAlign w:val="center"/>
          </w:tcPr>
          <w:p w14:paraId="4952763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评审细则</w:t>
            </w:r>
          </w:p>
          <w:p w14:paraId="73CA37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（电子投标文件中提供的证明材料（证书、合同等）应清晰可辨，如无法辨识，将不予给分。）</w:t>
            </w:r>
          </w:p>
        </w:tc>
        <w:tc>
          <w:tcPr>
            <w:tcW w:w="764" w:type="dxa"/>
            <w:noWrap w:val="0"/>
            <w:vAlign w:val="center"/>
          </w:tcPr>
          <w:p w14:paraId="464F624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14:paraId="03D8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5" w:type="dxa"/>
            <w:noWrap w:val="0"/>
            <w:vAlign w:val="center"/>
          </w:tcPr>
          <w:p w14:paraId="482B9E1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w:t>
            </w:r>
          </w:p>
        </w:tc>
        <w:tc>
          <w:tcPr>
            <w:tcW w:w="1631" w:type="dxa"/>
            <w:noWrap w:val="0"/>
            <w:vAlign w:val="center"/>
          </w:tcPr>
          <w:p w14:paraId="2A63208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商务履约能力</w:t>
            </w:r>
          </w:p>
        </w:tc>
        <w:tc>
          <w:tcPr>
            <w:tcW w:w="6555" w:type="dxa"/>
            <w:noWrap w:val="0"/>
            <w:vAlign w:val="center"/>
          </w:tcPr>
          <w:p w14:paraId="2014E4D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1"/>
                <w:szCs w:val="21"/>
                <w:highlight w:val="none"/>
              </w:rPr>
            </w:pPr>
          </w:p>
        </w:tc>
        <w:tc>
          <w:tcPr>
            <w:tcW w:w="764" w:type="dxa"/>
            <w:noWrap w:val="0"/>
            <w:vAlign w:val="center"/>
          </w:tcPr>
          <w:p w14:paraId="783F39F8">
            <w:pPr>
              <w:pStyle w:val="236"/>
              <w:keepNext w:val="0"/>
              <w:keepLines w:val="0"/>
              <w:pageBreakBefore w:val="0"/>
              <w:widowControl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14:paraId="08EB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25" w:type="dxa"/>
            <w:noWrap w:val="0"/>
            <w:vAlign w:val="center"/>
          </w:tcPr>
          <w:p w14:paraId="4C47B07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1631" w:type="dxa"/>
            <w:noWrap w:val="0"/>
            <w:vAlign w:val="center"/>
          </w:tcPr>
          <w:p w14:paraId="29EA66FF">
            <w:pPr>
              <w:pStyle w:val="38"/>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center"/>
              <w:textAlignment w:val="auto"/>
              <w:rPr>
                <w:rFonts w:hint="eastAsia" w:ascii="宋体" w:hAnsi="宋体" w:eastAsia="宋体" w:cs="宋体"/>
                <w:b/>
                <w:color w:val="auto"/>
                <w:kern w:val="2"/>
                <w:sz w:val="21"/>
                <w:szCs w:val="21"/>
                <w:highlight w:val="none"/>
                <w:lang w:bidi="ar-SA"/>
              </w:rPr>
            </w:pPr>
            <w:r>
              <w:rPr>
                <w:rFonts w:hint="eastAsia" w:ascii="宋体" w:hAnsi="宋体" w:eastAsia="宋体" w:cs="宋体"/>
                <w:b w:val="0"/>
                <w:bCs w:val="0"/>
                <w:color w:val="auto"/>
                <w:sz w:val="21"/>
                <w:szCs w:val="21"/>
                <w:highlight w:val="none"/>
                <w:lang w:val="en-US" w:eastAsia="zh-CN"/>
              </w:rPr>
              <w:t>投标人业绩</w:t>
            </w:r>
          </w:p>
        </w:tc>
        <w:tc>
          <w:tcPr>
            <w:tcW w:w="6555" w:type="dxa"/>
            <w:noWrap w:val="0"/>
            <w:vAlign w:val="center"/>
          </w:tcPr>
          <w:p w14:paraId="07C27411">
            <w:pPr>
              <w:pStyle w:val="32"/>
              <w:keepNext w:val="0"/>
              <w:keepLines w:val="0"/>
              <w:pageBreakBefore w:val="0"/>
              <w:widowControl w:val="0"/>
              <w:kinsoku/>
              <w:wordWrap w:val="0"/>
              <w:overflowPunct/>
              <w:topLinePunct w:val="0"/>
              <w:autoSpaceDE/>
              <w:autoSpaceDN/>
              <w:bidi w:val="0"/>
              <w:adjustRightInd/>
              <w:snapToGrid/>
              <w:spacing w:line="440" w:lineRule="exact"/>
              <w:ind w:firstLine="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投标人自2022年1月1日至投标截止时间（以合同签订日期为准），完成过的新污染物环境监测工作业绩，每个得0.5分，最高得1分。</w:t>
            </w:r>
          </w:p>
          <w:p w14:paraId="34378885">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val="en-US" w:eastAsia="zh-CN"/>
              </w:rPr>
              <w:t>注：①</w:t>
            </w:r>
            <w:r>
              <w:rPr>
                <w:rFonts w:hint="eastAsia" w:ascii="宋体" w:hAnsi="宋体" w:eastAsia="宋体" w:cs="宋体"/>
                <w:b/>
                <w:color w:val="auto"/>
                <w:sz w:val="21"/>
                <w:szCs w:val="21"/>
                <w:highlight w:val="none"/>
              </w:rPr>
              <w:t>合同扫描件导入商务技术文件中，否则不得分。</w:t>
            </w:r>
          </w:p>
          <w:p w14:paraId="7126925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bCs/>
                <w:color w:val="auto"/>
                <w:sz w:val="21"/>
                <w:szCs w:val="21"/>
                <w:highlight w:val="none"/>
                <w:lang w:val="en-US" w:eastAsia="zh-CN"/>
              </w:rPr>
              <w:t>②</w:t>
            </w:r>
            <w:r>
              <w:rPr>
                <w:rFonts w:hint="eastAsia" w:ascii="宋体" w:hAnsi="宋体" w:eastAsia="宋体" w:cs="宋体"/>
                <w:b/>
                <w:bCs/>
                <w:color w:val="auto"/>
                <w:sz w:val="21"/>
                <w:szCs w:val="21"/>
                <w:highlight w:val="none"/>
                <w:lang w:eastAsia="zh-CN"/>
              </w:rPr>
              <w:t>是否属于类似业绩由</w:t>
            </w:r>
            <w:r>
              <w:rPr>
                <w:rFonts w:hint="eastAsia" w:ascii="宋体" w:hAnsi="宋体" w:eastAsia="宋体" w:cs="宋体"/>
                <w:b/>
                <w:bCs/>
                <w:color w:val="auto"/>
                <w:sz w:val="21"/>
                <w:szCs w:val="21"/>
                <w:highlight w:val="none"/>
                <w:lang w:val="en-US" w:eastAsia="zh-CN"/>
              </w:rPr>
              <w:t>评标委员会</w:t>
            </w:r>
            <w:r>
              <w:rPr>
                <w:rFonts w:hint="eastAsia" w:ascii="宋体" w:hAnsi="宋体" w:eastAsia="宋体" w:cs="宋体"/>
                <w:b/>
                <w:bCs/>
                <w:color w:val="auto"/>
                <w:sz w:val="21"/>
                <w:szCs w:val="21"/>
                <w:highlight w:val="none"/>
                <w:lang w:eastAsia="zh-CN"/>
              </w:rPr>
              <w:t>根据合同的内容（</w:t>
            </w:r>
            <w:r>
              <w:rPr>
                <w:rFonts w:hint="eastAsia" w:ascii="宋体" w:hAnsi="宋体" w:eastAsia="宋体" w:cs="宋体"/>
                <w:b/>
                <w:bCs/>
                <w:color w:val="auto"/>
                <w:sz w:val="21"/>
                <w:szCs w:val="21"/>
                <w:highlight w:val="none"/>
                <w:lang w:val="en-US" w:eastAsia="zh-CN"/>
              </w:rPr>
              <w:t>包含设计制作安装</w:t>
            </w:r>
            <w:r>
              <w:rPr>
                <w:rFonts w:hint="eastAsia" w:ascii="宋体" w:hAnsi="宋体" w:eastAsia="宋体" w:cs="宋体"/>
                <w:b/>
                <w:bCs/>
                <w:color w:val="auto"/>
                <w:sz w:val="21"/>
                <w:szCs w:val="21"/>
                <w:highlight w:val="none"/>
                <w:lang w:eastAsia="zh-CN"/>
              </w:rPr>
              <w:t>）、特点等与本项目的类似程度进行认定。</w:t>
            </w:r>
          </w:p>
        </w:tc>
        <w:tc>
          <w:tcPr>
            <w:tcW w:w="764" w:type="dxa"/>
            <w:noWrap w:val="0"/>
            <w:vAlign w:val="center"/>
          </w:tcPr>
          <w:p w14:paraId="53F1FC7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r>
      <w:tr w14:paraId="620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25" w:type="dxa"/>
            <w:noWrap w:val="0"/>
            <w:vAlign w:val="center"/>
          </w:tcPr>
          <w:p w14:paraId="4B43656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631" w:type="dxa"/>
            <w:noWrap w:val="0"/>
            <w:vAlign w:val="center"/>
          </w:tcPr>
          <w:p w14:paraId="05020C81">
            <w:pPr>
              <w:widowControl/>
              <w:kinsoku w:val="0"/>
              <w:overflowPunct w:val="0"/>
              <w:snapToGrid w:val="0"/>
              <w:spacing w:line="36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企业认证</w:t>
            </w:r>
          </w:p>
        </w:tc>
        <w:tc>
          <w:tcPr>
            <w:tcW w:w="6555" w:type="dxa"/>
            <w:noWrap w:val="0"/>
            <w:vAlign w:val="center"/>
          </w:tcPr>
          <w:p w14:paraId="2F94B473">
            <w:pPr>
              <w:widowControl/>
              <w:kinsoku w:val="0"/>
              <w:overflowPunct w:val="0"/>
              <w:snapToGrid w:val="0"/>
              <w:spacing w:line="360" w:lineRule="exac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投标人具有市场监督管理部门颁发的资质认定证书（CMA）的得2分。</w:t>
            </w:r>
          </w:p>
          <w:p w14:paraId="688BFBE0">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注：提供有效期内证书扫描件导入商务技术文件中，否则不得分。</w:t>
            </w:r>
          </w:p>
        </w:tc>
        <w:tc>
          <w:tcPr>
            <w:tcW w:w="764" w:type="dxa"/>
            <w:noWrap w:val="0"/>
            <w:vAlign w:val="center"/>
          </w:tcPr>
          <w:p w14:paraId="0CA3ACC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r>
      <w:tr w14:paraId="6A4A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0C017C8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p>
        </w:tc>
        <w:tc>
          <w:tcPr>
            <w:tcW w:w="1631" w:type="dxa"/>
            <w:noWrap w:val="0"/>
            <w:vAlign w:val="center"/>
          </w:tcPr>
          <w:p w14:paraId="37F19E8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技术服务水平（实施方案）</w:t>
            </w:r>
          </w:p>
        </w:tc>
        <w:tc>
          <w:tcPr>
            <w:tcW w:w="6555" w:type="dxa"/>
            <w:noWrap w:val="0"/>
            <w:vAlign w:val="center"/>
          </w:tcPr>
          <w:p w14:paraId="4A48A472">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rPr>
            </w:pPr>
          </w:p>
        </w:tc>
        <w:tc>
          <w:tcPr>
            <w:tcW w:w="764" w:type="dxa"/>
            <w:noWrap w:val="0"/>
            <w:vAlign w:val="center"/>
          </w:tcPr>
          <w:p w14:paraId="11E3EB9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w:t>
            </w:r>
          </w:p>
        </w:tc>
      </w:tr>
      <w:tr w14:paraId="5D3C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57D2AE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p>
        </w:tc>
        <w:tc>
          <w:tcPr>
            <w:tcW w:w="1631" w:type="dxa"/>
            <w:noWrap w:val="0"/>
            <w:vAlign w:val="center"/>
          </w:tcPr>
          <w:p w14:paraId="72327B4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imes New Roman" w:hAnsi="Times New Roman"/>
                <w:color w:val="auto"/>
                <w:szCs w:val="21"/>
                <w:highlight w:val="none"/>
              </w:rPr>
            </w:pPr>
            <w:r>
              <w:rPr>
                <w:rFonts w:ascii="Times New Roman" w:hAnsi="Times New Roman"/>
                <w:color w:val="auto"/>
                <w:szCs w:val="21"/>
                <w:highlight w:val="none"/>
              </w:rPr>
              <w:t>对本项目的</w:t>
            </w:r>
          </w:p>
          <w:p w14:paraId="3D28F98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rPr>
            </w:pPr>
            <w:r>
              <w:rPr>
                <w:rFonts w:ascii="Times New Roman" w:hAnsi="Times New Roman"/>
                <w:color w:val="auto"/>
                <w:szCs w:val="21"/>
                <w:highlight w:val="none"/>
              </w:rPr>
              <w:t>总体理解</w:t>
            </w:r>
          </w:p>
        </w:tc>
        <w:tc>
          <w:tcPr>
            <w:tcW w:w="6555" w:type="dxa"/>
            <w:noWrap w:val="0"/>
            <w:vAlign w:val="center"/>
          </w:tcPr>
          <w:p w14:paraId="222AA1F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olor w:val="auto"/>
                <w:szCs w:val="21"/>
                <w:highlight w:val="none"/>
              </w:rPr>
              <w:t>根据</w:t>
            </w:r>
            <w:r>
              <w:rPr>
                <w:rFonts w:hint="eastAsia" w:ascii="宋体" w:hAnsi="宋体"/>
                <w:color w:val="auto"/>
                <w:szCs w:val="21"/>
                <w:highlight w:val="none"/>
                <w:lang w:val="en-US" w:eastAsia="zh-CN"/>
              </w:rPr>
              <w:t>投标人</w:t>
            </w:r>
            <w:r>
              <w:rPr>
                <w:rFonts w:ascii="Times New Roman" w:hAnsi="Times New Roman"/>
                <w:bCs/>
                <w:color w:val="auto"/>
                <w:spacing w:val="-4"/>
                <w:szCs w:val="21"/>
                <w:highlight w:val="none"/>
              </w:rPr>
              <w:t>对项目的理解，对重点难点的分析、提出相应的解决思路</w:t>
            </w:r>
            <w:r>
              <w:rPr>
                <w:rFonts w:hint="eastAsia" w:ascii="Times New Roman" w:hAnsi="Times New Roman"/>
                <w:bCs/>
                <w:color w:val="auto"/>
                <w:spacing w:val="-4"/>
                <w:szCs w:val="21"/>
                <w:highlight w:val="none"/>
                <w:lang w:eastAsia="zh-CN"/>
              </w:rPr>
              <w:t>，</w:t>
            </w:r>
            <w:r>
              <w:rPr>
                <w:rFonts w:hint="eastAsia" w:ascii="宋体" w:hAnsi="宋体" w:eastAsia="宋体" w:cs="宋体"/>
                <w:color w:val="auto"/>
                <w:sz w:val="21"/>
                <w:szCs w:val="21"/>
                <w:highlight w:val="none"/>
                <w:lang w:val="en-US" w:eastAsia="zh-CN"/>
              </w:rPr>
              <w:t>内容详实，科学合理，逻辑缜密，具有针对性，</w:t>
            </w:r>
            <w:r>
              <w:rPr>
                <w:rFonts w:ascii="Arial" w:hAnsi="Arial" w:cs="Arial"/>
                <w:color w:val="auto"/>
                <w:szCs w:val="21"/>
                <w:highlight w:val="none"/>
              </w:rPr>
              <w:t>以及业务熟悉</w:t>
            </w:r>
            <w:r>
              <w:rPr>
                <w:rFonts w:hint="eastAsia" w:ascii="Arial" w:hAnsi="Arial" w:cs="Arial"/>
                <w:color w:val="auto"/>
                <w:szCs w:val="21"/>
                <w:highlight w:val="none"/>
              </w:rPr>
              <w:t>程度</w:t>
            </w:r>
            <w:r>
              <w:rPr>
                <w:rFonts w:hint="eastAsia" w:ascii="宋体" w:hAnsi="宋体" w:eastAsia="宋体" w:cs="宋体"/>
                <w:color w:val="auto"/>
                <w:sz w:val="21"/>
                <w:szCs w:val="21"/>
                <w:highlight w:val="none"/>
                <w:lang w:val="en-US" w:eastAsia="zh-CN"/>
              </w:rPr>
              <w:t>。</w:t>
            </w:r>
          </w:p>
          <w:p w14:paraId="1208A52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5FEECE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074D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190F178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p>
        </w:tc>
        <w:tc>
          <w:tcPr>
            <w:tcW w:w="1631" w:type="dxa"/>
            <w:noWrap w:val="0"/>
            <w:vAlign w:val="center"/>
          </w:tcPr>
          <w:p w14:paraId="376C103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Times New Roman" w:hAnsi="Times New Roman"/>
                <w:color w:val="auto"/>
                <w:szCs w:val="21"/>
                <w:highlight w:val="none"/>
              </w:rPr>
            </w:pPr>
            <w:r>
              <w:rPr>
                <w:rFonts w:ascii="Times New Roman" w:hAnsi="Times New Roman"/>
                <w:color w:val="auto"/>
                <w:szCs w:val="21"/>
                <w:highlight w:val="none"/>
              </w:rPr>
              <w:t>分析项目认证</w:t>
            </w:r>
          </w:p>
        </w:tc>
        <w:tc>
          <w:tcPr>
            <w:tcW w:w="6555" w:type="dxa"/>
            <w:noWrap w:val="0"/>
            <w:vAlign w:val="center"/>
          </w:tcPr>
          <w:p w14:paraId="5A3B7DA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投标人具备</w:t>
            </w:r>
            <w:r>
              <w:rPr>
                <w:rFonts w:hint="eastAsia" w:ascii="宋体" w:hAnsi="宋体" w:cs="Times New Roman"/>
                <w:color w:val="auto"/>
                <w:szCs w:val="21"/>
                <w:highlight w:val="none"/>
                <w:lang w:val="en-US" w:eastAsia="zh-CN"/>
              </w:rPr>
              <w:t>附</w:t>
            </w:r>
            <w:r>
              <w:rPr>
                <w:rFonts w:hint="eastAsia" w:ascii="宋体" w:hAnsi="宋体" w:eastAsia="宋体" w:cs="Times New Roman"/>
                <w:color w:val="auto"/>
                <w:szCs w:val="21"/>
                <w:highlight w:val="none"/>
                <w:lang w:val="en-US" w:eastAsia="zh-CN"/>
              </w:rPr>
              <w:t>表2所列监测项目的CMA或CNAS资质，或按浙江省统一作业指导书要求完成方法验证：</w:t>
            </w:r>
          </w:p>
          <w:p w14:paraId="6272C18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4.1</w:t>
            </w:r>
            <w:r>
              <w:rPr>
                <w:rFonts w:hint="eastAsia" w:ascii="宋体" w:hAnsi="宋体" w:eastAsia="宋体" w:cs="Times New Roman"/>
                <w:color w:val="auto"/>
                <w:szCs w:val="21"/>
                <w:highlight w:val="none"/>
                <w:lang w:val="en-US" w:eastAsia="zh-CN"/>
              </w:rPr>
              <w:t>对于全氟化合物和全氟磺酸类均具备资质或完成方法验证的，得4分。</w:t>
            </w:r>
          </w:p>
          <w:p w14:paraId="3EFF346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4.2</w:t>
            </w:r>
            <w:r>
              <w:rPr>
                <w:rFonts w:hint="eastAsia" w:ascii="宋体" w:hAnsi="宋体" w:eastAsia="宋体" w:cs="Times New Roman"/>
                <w:color w:val="auto"/>
                <w:szCs w:val="21"/>
                <w:highlight w:val="none"/>
                <w:lang w:val="en-US" w:eastAsia="zh-CN"/>
              </w:rPr>
              <w:t>对于抗生素，喹诺酮类等均具备资质或完成方法验证的，得4分。</w:t>
            </w:r>
          </w:p>
          <w:p w14:paraId="37A3ABB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4.3</w:t>
            </w:r>
            <w:r>
              <w:rPr>
                <w:rFonts w:hint="eastAsia" w:ascii="宋体" w:hAnsi="宋体" w:eastAsia="宋体" w:cs="Times New Roman"/>
                <w:color w:val="auto"/>
                <w:szCs w:val="21"/>
                <w:highlight w:val="none"/>
                <w:lang w:val="en-US" w:eastAsia="zh-CN"/>
              </w:rPr>
              <w:t>对于已淘汰类（六溴环十二烷、氯丹、灭蚁灵、六氯苯、滴滴涕、α-六氯环己烷、β六氯环己烷、林丹、硫丹原药及其相关异构体）下同，有机氯农药类和多氯联苯具备资质或完成方法验证的，得4分。</w:t>
            </w:r>
          </w:p>
          <w:p w14:paraId="7529D95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4.4</w:t>
            </w:r>
            <w:r>
              <w:rPr>
                <w:rFonts w:hint="eastAsia" w:ascii="宋体" w:hAnsi="宋体" w:eastAsia="宋体" w:cs="Times New Roman"/>
                <w:color w:val="auto"/>
                <w:szCs w:val="21"/>
                <w:highlight w:val="none"/>
                <w:lang w:val="en-US" w:eastAsia="zh-CN"/>
              </w:rPr>
              <w:t>对于</w:t>
            </w:r>
            <w:r>
              <w:rPr>
                <w:rFonts w:hint="eastAsia" w:ascii="宋体" w:hAnsi="宋体" w:cs="Times New Roman"/>
                <w:color w:val="auto"/>
                <w:szCs w:val="21"/>
                <w:highlight w:val="none"/>
                <w:lang w:val="en-US" w:eastAsia="zh-CN"/>
              </w:rPr>
              <w:t>附</w:t>
            </w:r>
            <w:r>
              <w:rPr>
                <w:rFonts w:hint="eastAsia" w:ascii="宋体" w:hAnsi="宋体" w:eastAsia="宋体" w:cs="Times New Roman"/>
                <w:color w:val="auto"/>
                <w:szCs w:val="21"/>
                <w:highlight w:val="none"/>
                <w:lang w:val="en-US" w:eastAsia="zh-CN"/>
              </w:rPr>
              <w:t>表2中除全氟化合物、抗生素及已淘汰类的其他项目，具备资质或完成方法验证的，每项得0.2分，最高得5分。</w:t>
            </w:r>
          </w:p>
          <w:p w14:paraId="1DA1AB0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Times New Roman" w:hAnsi="Times New Roman" w:eastAsia="宋体" w:cs="Times New Roman"/>
                <w:b/>
                <w:bCs/>
                <w:color w:val="auto"/>
                <w:szCs w:val="21"/>
                <w:highlight w:val="none"/>
                <w:lang w:val="en-US" w:eastAsia="zh-CN"/>
              </w:rPr>
              <w:t>注：</w:t>
            </w:r>
            <w:r>
              <w:rPr>
                <w:rFonts w:ascii="Times New Roman" w:hAnsi="Times New Roman" w:eastAsia="宋体" w:cs="Times New Roman"/>
                <w:b/>
                <w:bCs/>
                <w:color w:val="auto"/>
                <w:szCs w:val="21"/>
                <w:highlight w:val="none"/>
              </w:rPr>
              <w:t>提供有效期内资质证书或方法验证仪器清晰谱图</w:t>
            </w:r>
            <w:r>
              <w:rPr>
                <w:rFonts w:hint="eastAsia" w:ascii="Times New Roman" w:hAnsi="Times New Roman" w:eastAsia="宋体" w:cs="Times New Roman"/>
                <w:b/>
                <w:bCs/>
                <w:color w:val="auto"/>
                <w:szCs w:val="21"/>
                <w:highlight w:val="none"/>
              </w:rPr>
              <w:t>等导入商务技术文件中，否则不得分。</w:t>
            </w:r>
          </w:p>
        </w:tc>
        <w:tc>
          <w:tcPr>
            <w:tcW w:w="764" w:type="dxa"/>
            <w:noWrap w:val="0"/>
            <w:vAlign w:val="center"/>
          </w:tcPr>
          <w:p w14:paraId="235E383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r>
      <w:tr w14:paraId="159B0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restart"/>
            <w:noWrap w:val="0"/>
            <w:vAlign w:val="center"/>
          </w:tcPr>
          <w:p w14:paraId="60CA10F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p>
        </w:tc>
        <w:tc>
          <w:tcPr>
            <w:tcW w:w="1631" w:type="dxa"/>
            <w:vMerge w:val="restart"/>
            <w:noWrap w:val="0"/>
            <w:vAlign w:val="center"/>
          </w:tcPr>
          <w:p w14:paraId="68C1725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color w:val="auto"/>
                <w:szCs w:val="21"/>
                <w:highlight w:val="none"/>
              </w:rPr>
              <w:t>组织</w:t>
            </w:r>
            <w:r>
              <w:rPr>
                <w:rFonts w:hint="default" w:ascii="Calibri" w:hAnsi="Calibri" w:eastAsia="宋体" w:cs="Calibri"/>
                <w:color w:val="auto"/>
                <w:sz w:val="21"/>
                <w:szCs w:val="21"/>
                <w:highlight w:val="none"/>
                <w:lang w:val="zh-CN"/>
              </w:rPr>
              <w:t>实施方案</w:t>
            </w:r>
          </w:p>
        </w:tc>
        <w:tc>
          <w:tcPr>
            <w:tcW w:w="6555" w:type="dxa"/>
            <w:noWrap w:val="0"/>
            <w:vAlign w:val="center"/>
          </w:tcPr>
          <w:p w14:paraId="1434303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bCs/>
                <w:color w:val="auto"/>
                <w:spacing w:val="-4"/>
                <w:szCs w:val="21"/>
                <w:highlight w:val="none"/>
                <w:lang w:val="en-US" w:eastAsia="zh-CN"/>
              </w:rPr>
              <w:t>5.1</w:t>
            </w:r>
            <w:r>
              <w:rPr>
                <w:rFonts w:ascii="Times New Roman" w:hAnsi="Times New Roman"/>
                <w:bCs/>
                <w:color w:val="auto"/>
                <w:spacing w:val="-4"/>
                <w:szCs w:val="21"/>
                <w:highlight w:val="none"/>
              </w:rPr>
              <w:t>根据投标人对本项目实施的技术方案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内容完整详细、科学合理、可行的，满足采购需求的。（满分5分，评分范围：5，4，3，2，1，0）</w:t>
            </w:r>
          </w:p>
        </w:tc>
        <w:tc>
          <w:tcPr>
            <w:tcW w:w="764" w:type="dxa"/>
            <w:noWrap w:val="0"/>
            <w:vAlign w:val="center"/>
          </w:tcPr>
          <w:p w14:paraId="613F923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215C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14:paraId="638E350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631" w:type="dxa"/>
            <w:vMerge w:val="continue"/>
            <w:noWrap w:val="0"/>
            <w:vAlign w:val="center"/>
          </w:tcPr>
          <w:p w14:paraId="5E7B18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Calibri" w:hAnsi="Calibri" w:eastAsia="宋体" w:cs="Calibri"/>
                <w:color w:val="auto"/>
                <w:sz w:val="21"/>
                <w:szCs w:val="21"/>
                <w:highlight w:val="none"/>
                <w:lang w:val="zh-CN"/>
              </w:rPr>
            </w:pPr>
          </w:p>
        </w:tc>
        <w:tc>
          <w:tcPr>
            <w:tcW w:w="6555" w:type="dxa"/>
            <w:noWrap w:val="0"/>
            <w:vAlign w:val="center"/>
          </w:tcPr>
          <w:p w14:paraId="52A2BA3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bCs/>
                <w:color w:val="auto"/>
                <w:spacing w:val="-4"/>
                <w:szCs w:val="21"/>
                <w:highlight w:val="none"/>
                <w:lang w:val="en-US" w:eastAsia="zh-CN"/>
              </w:rPr>
              <w:t>5.2</w:t>
            </w:r>
            <w:r>
              <w:rPr>
                <w:rFonts w:ascii="Times New Roman" w:hAnsi="Times New Roman"/>
                <w:bCs/>
                <w:color w:val="auto"/>
                <w:spacing w:val="-4"/>
                <w:szCs w:val="21"/>
                <w:highlight w:val="none"/>
              </w:rPr>
              <w:t>根据投标人对本项目实施的计划安排方案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w:t>
            </w:r>
          </w:p>
          <w:p w14:paraId="7359F34B">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13EF48F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51FC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14:paraId="282DAD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631" w:type="dxa"/>
            <w:vMerge w:val="continue"/>
            <w:noWrap w:val="0"/>
            <w:vAlign w:val="center"/>
          </w:tcPr>
          <w:p w14:paraId="087C50D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Calibri" w:hAnsi="Calibri" w:eastAsia="宋体" w:cs="Calibri"/>
                <w:color w:val="auto"/>
                <w:sz w:val="21"/>
                <w:szCs w:val="21"/>
                <w:highlight w:val="none"/>
                <w:lang w:val="zh-CN"/>
              </w:rPr>
            </w:pPr>
          </w:p>
        </w:tc>
        <w:tc>
          <w:tcPr>
            <w:tcW w:w="6555" w:type="dxa"/>
            <w:noWrap w:val="0"/>
            <w:vAlign w:val="center"/>
          </w:tcPr>
          <w:p w14:paraId="1996335F">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bCs/>
                <w:color w:val="auto"/>
                <w:spacing w:val="-4"/>
                <w:szCs w:val="21"/>
                <w:highlight w:val="none"/>
                <w:lang w:val="en-US" w:eastAsia="zh-CN"/>
              </w:rPr>
              <w:t>5.3</w:t>
            </w:r>
            <w:r>
              <w:rPr>
                <w:rFonts w:ascii="Times New Roman" w:hAnsi="Times New Roman"/>
                <w:bCs/>
                <w:color w:val="auto"/>
                <w:spacing w:val="-4"/>
                <w:szCs w:val="21"/>
                <w:highlight w:val="none"/>
              </w:rPr>
              <w:t>根据投标人对本项目实施的</w:t>
            </w:r>
            <w:r>
              <w:rPr>
                <w:rFonts w:ascii="Times New Roman" w:hAnsi="Times New Roman"/>
                <w:color w:val="auto"/>
                <w:szCs w:val="21"/>
                <w:highlight w:val="none"/>
              </w:rPr>
              <w:t>质量保证措施</w:t>
            </w:r>
            <w:r>
              <w:rPr>
                <w:rFonts w:hint="eastAsia" w:ascii="宋体" w:hAnsi="宋体" w:eastAsia="宋体" w:cs="Times New Roman"/>
                <w:color w:val="auto"/>
                <w:szCs w:val="21"/>
                <w:highlight w:val="none"/>
              </w:rPr>
              <w:t>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w:t>
            </w:r>
          </w:p>
          <w:p w14:paraId="6CC12EF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5D62F68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6C47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14:paraId="7EA1510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631" w:type="dxa"/>
            <w:vMerge w:val="continue"/>
            <w:noWrap w:val="0"/>
            <w:vAlign w:val="center"/>
          </w:tcPr>
          <w:p w14:paraId="1265B25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Calibri" w:hAnsi="Calibri" w:eastAsia="宋体" w:cs="Calibri"/>
                <w:color w:val="auto"/>
                <w:sz w:val="21"/>
                <w:szCs w:val="21"/>
                <w:highlight w:val="none"/>
                <w:lang w:val="zh-CN"/>
              </w:rPr>
            </w:pPr>
          </w:p>
        </w:tc>
        <w:tc>
          <w:tcPr>
            <w:tcW w:w="6555" w:type="dxa"/>
            <w:noWrap w:val="0"/>
            <w:vAlign w:val="center"/>
          </w:tcPr>
          <w:p w14:paraId="293745C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bCs/>
                <w:color w:val="auto"/>
                <w:spacing w:val="-4"/>
                <w:szCs w:val="21"/>
                <w:highlight w:val="none"/>
                <w:lang w:val="en-US" w:eastAsia="zh-CN"/>
              </w:rPr>
              <w:t>5.4</w:t>
            </w:r>
            <w:r>
              <w:rPr>
                <w:rFonts w:ascii="Times New Roman" w:hAnsi="Times New Roman"/>
                <w:bCs/>
                <w:color w:val="auto"/>
                <w:spacing w:val="-4"/>
                <w:szCs w:val="21"/>
                <w:highlight w:val="none"/>
              </w:rPr>
              <w:t>根据投标人对本项目实施的</w:t>
            </w:r>
            <w:r>
              <w:rPr>
                <w:rFonts w:ascii="Times New Roman" w:hAnsi="Times New Roman"/>
                <w:color w:val="auto"/>
                <w:szCs w:val="21"/>
                <w:highlight w:val="none"/>
              </w:rPr>
              <w:t>内部校审管理制度</w:t>
            </w:r>
            <w:r>
              <w:rPr>
                <w:rFonts w:hint="eastAsia" w:ascii="宋体" w:hAnsi="宋体" w:eastAsia="宋体" w:cs="Times New Roman"/>
                <w:color w:val="auto"/>
                <w:szCs w:val="21"/>
                <w:highlight w:val="none"/>
              </w:rPr>
              <w:t>方案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w:t>
            </w:r>
          </w:p>
          <w:p w14:paraId="13F188A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51664C9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4EBE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25" w:type="dxa"/>
            <w:noWrap w:val="0"/>
            <w:vAlign w:val="center"/>
          </w:tcPr>
          <w:p w14:paraId="7CD471A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p>
        </w:tc>
        <w:tc>
          <w:tcPr>
            <w:tcW w:w="1631" w:type="dxa"/>
            <w:noWrap w:val="0"/>
            <w:vAlign w:val="center"/>
          </w:tcPr>
          <w:p w14:paraId="069A2F1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实验室情况</w:t>
            </w:r>
          </w:p>
        </w:tc>
        <w:tc>
          <w:tcPr>
            <w:tcW w:w="6555" w:type="dxa"/>
            <w:noWrap w:val="0"/>
            <w:vAlign w:val="center"/>
          </w:tcPr>
          <w:p w14:paraId="32BF36F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ascii="Times New Roman" w:hAnsi="Times New Roman"/>
                <w:bCs/>
                <w:color w:val="auto"/>
                <w:spacing w:val="-4"/>
                <w:szCs w:val="21"/>
                <w:highlight w:val="none"/>
              </w:rPr>
              <w:t>根据投标人具备的前处理设备配置</w:t>
            </w:r>
            <w:r>
              <w:rPr>
                <w:rFonts w:hint="eastAsia" w:ascii="Times New Roman" w:hAnsi="Times New Roman"/>
                <w:bCs/>
                <w:color w:val="auto"/>
                <w:spacing w:val="-4"/>
                <w:szCs w:val="21"/>
                <w:highlight w:val="none"/>
                <w:lang w:eastAsia="zh-CN"/>
              </w:rPr>
              <w:t>（</w:t>
            </w:r>
            <w:r>
              <w:rPr>
                <w:rFonts w:ascii="Times New Roman" w:hAnsi="Times New Roman"/>
                <w:color w:val="auto"/>
                <w:szCs w:val="21"/>
                <w:highlight w:val="none"/>
              </w:rPr>
              <w:t>自动化程度、</w:t>
            </w:r>
            <w:r>
              <w:rPr>
                <w:rFonts w:hint="eastAsia" w:ascii="Times New Roman" w:hAnsi="Times New Roman"/>
                <w:color w:val="auto"/>
                <w:szCs w:val="21"/>
                <w:highlight w:val="none"/>
                <w:lang w:val="en-US" w:eastAsia="zh-CN"/>
              </w:rPr>
              <w:t>新旧程度、</w:t>
            </w:r>
            <w:r>
              <w:rPr>
                <w:rFonts w:ascii="Times New Roman" w:hAnsi="Times New Roman"/>
                <w:color w:val="auto"/>
                <w:szCs w:val="21"/>
                <w:highlight w:val="none"/>
              </w:rPr>
              <w:t>数量</w:t>
            </w:r>
            <w:r>
              <w:rPr>
                <w:rFonts w:hint="eastAsia" w:ascii="Times New Roman" w:hAnsi="Times New Roman"/>
                <w:color w:val="auto"/>
                <w:szCs w:val="21"/>
                <w:highlight w:val="none"/>
                <w:lang w:val="en-US" w:eastAsia="zh-CN"/>
              </w:rPr>
              <w:t>等</w:t>
            </w:r>
            <w:r>
              <w:rPr>
                <w:rFonts w:hint="eastAsia" w:ascii="Times New Roman" w:hAnsi="Times New Roman"/>
                <w:bCs/>
                <w:color w:val="auto"/>
                <w:spacing w:val="-4"/>
                <w:szCs w:val="21"/>
                <w:highlight w:val="none"/>
                <w:lang w:eastAsia="zh-CN"/>
              </w:rPr>
              <w:t>）</w:t>
            </w:r>
            <w:r>
              <w:rPr>
                <w:rFonts w:ascii="Times New Roman" w:hAnsi="Times New Roman"/>
                <w:bCs/>
                <w:color w:val="auto"/>
                <w:spacing w:val="-4"/>
                <w:szCs w:val="21"/>
                <w:highlight w:val="none"/>
              </w:rPr>
              <w:t>、实验房间分区</w:t>
            </w:r>
            <w:r>
              <w:rPr>
                <w:rFonts w:hint="eastAsia" w:ascii="宋体" w:hAnsi="宋体" w:eastAsia="宋体" w:cs="Times New Roman"/>
                <w:color w:val="auto"/>
                <w:szCs w:val="21"/>
                <w:highlight w:val="none"/>
                <w:lang w:val="en-US" w:eastAsia="zh-CN"/>
              </w:rPr>
              <w:t>等情况，内容完整详细、科学合理、可行的，满足采购需求的。（满分5分，评分范围：5，4，3，2，1，0）</w:t>
            </w:r>
          </w:p>
          <w:p w14:paraId="17F0477F">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 w:val="21"/>
                <w:szCs w:val="21"/>
                <w:highlight w:val="none"/>
              </w:rPr>
              <w:t>提供前处理设备清单（名称、数量、编号）、现场照片、实验室平面布置图等导入商务技术文件中，否则不得分。</w:t>
            </w:r>
          </w:p>
        </w:tc>
        <w:tc>
          <w:tcPr>
            <w:tcW w:w="764" w:type="dxa"/>
            <w:noWrap w:val="0"/>
            <w:vAlign w:val="center"/>
          </w:tcPr>
          <w:p w14:paraId="08B4161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78A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56A9E21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p>
        </w:tc>
        <w:tc>
          <w:tcPr>
            <w:tcW w:w="1631" w:type="dxa"/>
            <w:noWrap w:val="0"/>
            <w:vAlign w:val="center"/>
          </w:tcPr>
          <w:p w14:paraId="26491F2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投入检测设备</w:t>
            </w:r>
          </w:p>
        </w:tc>
        <w:tc>
          <w:tcPr>
            <w:tcW w:w="6555" w:type="dxa"/>
            <w:noWrap w:val="0"/>
            <w:vAlign w:val="center"/>
          </w:tcPr>
          <w:p w14:paraId="4A064D61">
            <w:pPr>
              <w:widowControl/>
              <w:kinsoku w:val="0"/>
              <w:overflowPunct w:val="0"/>
              <w:snapToGrid w:val="0"/>
              <w:spacing w:line="360" w:lineRule="exact"/>
              <w:textAlignment w:val="center"/>
              <w:rPr>
                <w:rFonts w:ascii="Times New Roman" w:hAnsi="Times New Roman"/>
                <w:bCs/>
                <w:color w:val="auto"/>
                <w:spacing w:val="-4"/>
                <w:szCs w:val="21"/>
                <w:highlight w:val="none"/>
              </w:rPr>
            </w:pPr>
            <w:r>
              <w:rPr>
                <w:rFonts w:hint="eastAsia"/>
                <w:bCs/>
                <w:color w:val="auto"/>
                <w:spacing w:val="-4"/>
                <w:szCs w:val="21"/>
                <w:highlight w:val="none"/>
                <w:lang w:val="en-US" w:eastAsia="zh-CN"/>
              </w:rPr>
              <w:t>7.1</w:t>
            </w:r>
            <w:r>
              <w:rPr>
                <w:rFonts w:ascii="Times New Roman" w:hAnsi="Times New Roman"/>
                <w:bCs/>
                <w:color w:val="auto"/>
                <w:spacing w:val="-4"/>
                <w:szCs w:val="21"/>
                <w:highlight w:val="none"/>
              </w:rPr>
              <w:t>配备满足本项目分析要求的液相色谱三重四极杆质谱仪的，每配备一台得</w:t>
            </w:r>
            <w:r>
              <w:rPr>
                <w:rFonts w:hint="eastAsia" w:ascii="Times New Roman" w:hAnsi="Times New Roman"/>
                <w:bCs/>
                <w:color w:val="auto"/>
                <w:spacing w:val="-4"/>
                <w:szCs w:val="21"/>
                <w:highlight w:val="none"/>
                <w:lang w:val="en-US" w:eastAsia="zh-CN"/>
              </w:rPr>
              <w:t>3</w:t>
            </w:r>
            <w:r>
              <w:rPr>
                <w:rFonts w:ascii="Times New Roman" w:hAnsi="Times New Roman"/>
                <w:bCs/>
                <w:color w:val="auto"/>
                <w:spacing w:val="-4"/>
                <w:szCs w:val="21"/>
                <w:highlight w:val="none"/>
              </w:rPr>
              <w:t>分，</w:t>
            </w:r>
            <w:r>
              <w:rPr>
                <w:rFonts w:ascii="Times New Roman" w:hAnsi="Times New Roman"/>
                <w:color w:val="auto"/>
                <w:szCs w:val="21"/>
                <w:highlight w:val="none"/>
              </w:rPr>
              <w:t>最高得</w:t>
            </w:r>
            <w:r>
              <w:rPr>
                <w:rFonts w:hint="eastAsia" w:ascii="Times New Roman" w:hAnsi="Times New Roman"/>
                <w:bCs/>
                <w:color w:val="auto"/>
                <w:spacing w:val="-4"/>
                <w:szCs w:val="21"/>
                <w:highlight w:val="none"/>
                <w:lang w:val="en-US" w:eastAsia="zh-CN"/>
              </w:rPr>
              <w:t>9</w:t>
            </w:r>
            <w:r>
              <w:rPr>
                <w:rFonts w:ascii="Times New Roman" w:hAnsi="Times New Roman"/>
                <w:bCs/>
                <w:color w:val="auto"/>
                <w:spacing w:val="-4"/>
                <w:szCs w:val="21"/>
                <w:highlight w:val="none"/>
              </w:rPr>
              <w:t>分。</w:t>
            </w:r>
          </w:p>
          <w:p w14:paraId="00184F4A">
            <w:pPr>
              <w:spacing w:line="360" w:lineRule="exact"/>
              <w:rPr>
                <w:rFonts w:ascii="Times New Roman" w:hAnsi="Times New Roman"/>
                <w:bCs/>
                <w:color w:val="auto"/>
                <w:spacing w:val="-4"/>
                <w:szCs w:val="21"/>
                <w:highlight w:val="none"/>
              </w:rPr>
            </w:pPr>
            <w:r>
              <w:rPr>
                <w:rFonts w:hint="eastAsia"/>
                <w:color w:val="auto"/>
                <w:szCs w:val="21"/>
                <w:highlight w:val="none"/>
                <w:lang w:val="en-US" w:eastAsia="zh-CN"/>
              </w:rPr>
              <w:t>7.2</w:t>
            </w:r>
            <w:r>
              <w:rPr>
                <w:rFonts w:ascii="Times New Roman" w:hAnsi="Times New Roman"/>
                <w:bCs/>
                <w:color w:val="auto"/>
                <w:spacing w:val="-4"/>
                <w:szCs w:val="21"/>
                <w:highlight w:val="none"/>
              </w:rPr>
              <w:t>配备满足本项目挥发性有机物分析要求的气相色谱质谱仪的，每配备一台得1分，</w:t>
            </w:r>
            <w:r>
              <w:rPr>
                <w:rFonts w:ascii="Times New Roman" w:hAnsi="Times New Roman"/>
                <w:color w:val="auto"/>
                <w:szCs w:val="21"/>
                <w:highlight w:val="none"/>
              </w:rPr>
              <w:t>最高得</w:t>
            </w:r>
            <w:r>
              <w:rPr>
                <w:rFonts w:ascii="Times New Roman" w:hAnsi="Times New Roman"/>
                <w:bCs/>
                <w:color w:val="auto"/>
                <w:spacing w:val="-4"/>
                <w:szCs w:val="21"/>
                <w:highlight w:val="none"/>
              </w:rPr>
              <w:t>3分。</w:t>
            </w:r>
          </w:p>
          <w:p w14:paraId="1EFBDC89">
            <w:pPr>
              <w:widowControl/>
              <w:kinsoku w:val="0"/>
              <w:overflowPunct w:val="0"/>
              <w:snapToGrid w:val="0"/>
              <w:spacing w:line="360" w:lineRule="exact"/>
              <w:textAlignment w:val="center"/>
              <w:rPr>
                <w:rFonts w:ascii="Times New Roman" w:hAnsi="Times New Roman"/>
                <w:bCs/>
                <w:color w:val="auto"/>
                <w:spacing w:val="-4"/>
                <w:szCs w:val="21"/>
                <w:highlight w:val="none"/>
              </w:rPr>
            </w:pPr>
            <w:r>
              <w:rPr>
                <w:rFonts w:hint="eastAsia"/>
                <w:color w:val="auto"/>
                <w:szCs w:val="21"/>
                <w:highlight w:val="none"/>
                <w:lang w:val="en-US" w:eastAsia="zh-CN"/>
              </w:rPr>
              <w:t>7.3</w:t>
            </w:r>
            <w:r>
              <w:rPr>
                <w:rFonts w:ascii="Times New Roman" w:hAnsi="Times New Roman"/>
                <w:bCs/>
                <w:color w:val="auto"/>
                <w:spacing w:val="-4"/>
                <w:szCs w:val="21"/>
                <w:highlight w:val="none"/>
              </w:rPr>
              <w:t>配备满足本项目半挥发性有机物分析要求的气相色谱质谱仪的，每配备一台得1分，</w:t>
            </w:r>
            <w:r>
              <w:rPr>
                <w:rFonts w:ascii="Times New Roman" w:hAnsi="Times New Roman"/>
                <w:color w:val="auto"/>
                <w:szCs w:val="21"/>
                <w:highlight w:val="none"/>
              </w:rPr>
              <w:t>最高得</w:t>
            </w:r>
            <w:r>
              <w:rPr>
                <w:rFonts w:ascii="Times New Roman" w:hAnsi="Times New Roman"/>
                <w:bCs/>
                <w:color w:val="auto"/>
                <w:spacing w:val="-4"/>
                <w:szCs w:val="21"/>
                <w:highlight w:val="none"/>
              </w:rPr>
              <w:t>3分。</w:t>
            </w:r>
          </w:p>
          <w:p w14:paraId="7F028A5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default" w:ascii="宋体" w:hAnsi="宋体" w:eastAsia="宋体" w:cs="Times New Roman"/>
                <w:color w:val="auto"/>
                <w:szCs w:val="21"/>
                <w:highlight w:val="none"/>
                <w:lang w:val="en-US" w:eastAsia="zh-CN"/>
              </w:rPr>
            </w:pPr>
            <w:r>
              <w:rPr>
                <w:rFonts w:hint="eastAsia" w:ascii="宋体" w:hAnsi="宋体" w:eastAsia="宋体" w:cs="宋体"/>
                <w:b/>
                <w:color w:val="auto"/>
                <w:sz w:val="21"/>
                <w:szCs w:val="21"/>
                <w:highlight w:val="none"/>
                <w:lang w:val="en-US" w:eastAsia="zh-CN"/>
              </w:rPr>
              <w:t>注：提供以上设备名称、数量、规格型号、照片和仪器校准证书等证明材料导入商务技术文件中，否则不得分。</w:t>
            </w:r>
          </w:p>
        </w:tc>
        <w:tc>
          <w:tcPr>
            <w:tcW w:w="764" w:type="dxa"/>
            <w:noWrap w:val="0"/>
            <w:vAlign w:val="center"/>
          </w:tcPr>
          <w:p w14:paraId="715F17D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1B48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725" w:type="dxa"/>
            <w:vMerge w:val="restart"/>
            <w:noWrap w:val="0"/>
            <w:vAlign w:val="center"/>
          </w:tcPr>
          <w:p w14:paraId="32B5D59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p>
        </w:tc>
        <w:tc>
          <w:tcPr>
            <w:tcW w:w="1631" w:type="dxa"/>
            <w:vMerge w:val="restart"/>
            <w:noWrap w:val="0"/>
            <w:vAlign w:val="center"/>
          </w:tcPr>
          <w:p w14:paraId="5D58D80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项目成员配备情况</w:t>
            </w:r>
          </w:p>
        </w:tc>
        <w:tc>
          <w:tcPr>
            <w:tcW w:w="6555" w:type="dxa"/>
            <w:noWrap w:val="0"/>
            <w:vAlign w:val="center"/>
          </w:tcPr>
          <w:p w14:paraId="6DCCAD2A">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8.1</w:t>
            </w:r>
            <w:r>
              <w:rPr>
                <w:rFonts w:hint="eastAsia" w:ascii="宋体" w:hAnsi="宋体" w:eastAsia="宋体" w:cs="Times New Roman"/>
                <w:color w:val="auto"/>
                <w:szCs w:val="21"/>
                <w:highlight w:val="none"/>
                <w:lang w:val="en-US" w:eastAsia="zh-CN"/>
              </w:rPr>
              <w:t>项目负责人具有环境相关专业正高级职称的，得3分。</w:t>
            </w:r>
          </w:p>
          <w:p w14:paraId="3C558BC4">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宋体"/>
                <w:b/>
                <w:color w:val="auto"/>
                <w:sz w:val="21"/>
                <w:szCs w:val="21"/>
                <w:highlight w:val="none"/>
                <w:lang w:val="en-US" w:eastAsia="zh-CN"/>
              </w:rPr>
              <w:t>注：上述人员为供应商在职职工，提供职称证书证明材料和为本单位在职人员的证明材料扫描件进入商务技术文件，否则不得分。</w:t>
            </w:r>
          </w:p>
        </w:tc>
        <w:tc>
          <w:tcPr>
            <w:tcW w:w="764" w:type="dxa"/>
            <w:noWrap w:val="0"/>
            <w:vAlign w:val="center"/>
          </w:tcPr>
          <w:p w14:paraId="60ECFBE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EE7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vMerge w:val="continue"/>
            <w:noWrap w:val="0"/>
            <w:vAlign w:val="center"/>
          </w:tcPr>
          <w:p w14:paraId="6376432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color w:val="auto"/>
                <w:sz w:val="21"/>
                <w:szCs w:val="21"/>
                <w:highlight w:val="none"/>
                <w:lang w:val="en-US" w:eastAsia="zh-CN"/>
              </w:rPr>
            </w:pPr>
          </w:p>
        </w:tc>
        <w:tc>
          <w:tcPr>
            <w:tcW w:w="1631" w:type="dxa"/>
            <w:vMerge w:val="continue"/>
            <w:noWrap w:val="0"/>
            <w:vAlign w:val="center"/>
          </w:tcPr>
          <w:p w14:paraId="47C99489">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p>
        </w:tc>
        <w:tc>
          <w:tcPr>
            <w:tcW w:w="6555" w:type="dxa"/>
            <w:noWrap w:val="0"/>
            <w:vAlign w:val="center"/>
          </w:tcPr>
          <w:p w14:paraId="419EBBE2">
            <w:pPr>
              <w:kinsoku w:val="0"/>
              <w:overflowPunct w:val="0"/>
              <w:snapToGrid w:val="0"/>
              <w:spacing w:line="360" w:lineRule="exact"/>
              <w:rPr>
                <w:rFonts w:ascii="Times New Roman" w:hAnsi="Times New Roman"/>
                <w:color w:val="auto"/>
                <w:szCs w:val="21"/>
                <w:highlight w:val="none"/>
              </w:rPr>
            </w:pPr>
            <w:r>
              <w:rPr>
                <w:rFonts w:hint="eastAsia"/>
                <w:color w:val="auto"/>
                <w:szCs w:val="21"/>
                <w:highlight w:val="none"/>
                <w:lang w:val="en-US" w:eastAsia="zh-CN"/>
              </w:rPr>
              <w:t>8.2</w:t>
            </w:r>
            <w:r>
              <w:rPr>
                <w:rFonts w:ascii="Times New Roman" w:hAnsi="Times New Roman"/>
                <w:color w:val="auto"/>
                <w:szCs w:val="21"/>
                <w:highlight w:val="none"/>
              </w:rPr>
              <w:t>项目组成员（项目负责人除外）。</w:t>
            </w:r>
          </w:p>
          <w:p w14:paraId="7055BD9E">
            <w:pPr>
              <w:widowControl/>
              <w:kinsoku w:val="0"/>
              <w:overflowPunct w:val="0"/>
              <w:snapToGrid w:val="0"/>
              <w:spacing w:line="360" w:lineRule="exact"/>
              <w:textAlignment w:val="center"/>
              <w:rPr>
                <w:rFonts w:hint="eastAsia" w:ascii="Times New Roman" w:hAnsi="Times New Roman" w:eastAsia="宋体" w:cs="Times New Roman"/>
                <w:bCs/>
                <w:color w:val="auto"/>
                <w:spacing w:val="-4"/>
                <w:szCs w:val="21"/>
                <w:highlight w:val="none"/>
                <w:lang w:val="en-US" w:eastAsia="zh-CN"/>
              </w:rPr>
            </w:pPr>
            <w:r>
              <w:rPr>
                <w:rFonts w:hint="eastAsia" w:cs="Times New Roman"/>
                <w:bCs/>
                <w:color w:val="auto"/>
                <w:spacing w:val="-4"/>
                <w:szCs w:val="21"/>
                <w:highlight w:val="none"/>
                <w:lang w:val="en-US" w:eastAsia="zh-CN"/>
              </w:rPr>
              <w:t>8.2.1</w:t>
            </w:r>
            <w:r>
              <w:rPr>
                <w:rFonts w:ascii="Times New Roman" w:hAnsi="Times New Roman" w:eastAsia="宋体" w:cs="Times New Roman"/>
                <w:bCs/>
                <w:color w:val="auto"/>
                <w:spacing w:val="-4"/>
                <w:szCs w:val="21"/>
                <w:highlight w:val="none"/>
              </w:rPr>
              <w:t>具有环境相关专业正高级职称的，每人得</w:t>
            </w:r>
            <w:r>
              <w:rPr>
                <w:rFonts w:hint="eastAsia" w:ascii="Times New Roman" w:hAnsi="Times New Roman" w:eastAsia="宋体" w:cs="Times New Roman"/>
                <w:bCs/>
                <w:color w:val="auto"/>
                <w:spacing w:val="-4"/>
                <w:szCs w:val="21"/>
                <w:highlight w:val="none"/>
                <w:lang w:val="en-US" w:eastAsia="zh-CN"/>
              </w:rPr>
              <w:t>3</w:t>
            </w:r>
            <w:r>
              <w:rPr>
                <w:rFonts w:ascii="Times New Roman" w:hAnsi="Times New Roman" w:eastAsia="宋体" w:cs="Times New Roman"/>
                <w:bCs/>
                <w:color w:val="auto"/>
                <w:spacing w:val="-4"/>
                <w:szCs w:val="21"/>
                <w:highlight w:val="none"/>
              </w:rPr>
              <w:t>分，最高得</w:t>
            </w:r>
            <w:r>
              <w:rPr>
                <w:rFonts w:hint="eastAsia" w:ascii="Times New Roman" w:hAnsi="Times New Roman" w:eastAsia="宋体" w:cs="Times New Roman"/>
                <w:bCs/>
                <w:color w:val="auto"/>
                <w:spacing w:val="-4"/>
                <w:szCs w:val="21"/>
                <w:highlight w:val="none"/>
                <w:lang w:val="en-US" w:eastAsia="zh-CN"/>
              </w:rPr>
              <w:t>6</w:t>
            </w:r>
            <w:r>
              <w:rPr>
                <w:rFonts w:ascii="Times New Roman" w:hAnsi="Times New Roman" w:eastAsia="宋体" w:cs="Times New Roman"/>
                <w:bCs/>
                <w:color w:val="auto"/>
                <w:spacing w:val="-4"/>
                <w:szCs w:val="21"/>
                <w:highlight w:val="none"/>
              </w:rPr>
              <w:t>分。</w:t>
            </w:r>
          </w:p>
          <w:p w14:paraId="608DE631">
            <w:pPr>
              <w:widowControl/>
              <w:kinsoku w:val="0"/>
              <w:overflowPunct w:val="0"/>
              <w:snapToGrid w:val="0"/>
              <w:spacing w:line="360" w:lineRule="exact"/>
              <w:textAlignment w:val="center"/>
              <w:rPr>
                <w:rFonts w:ascii="Times New Roman" w:hAnsi="Times New Roman" w:eastAsia="宋体" w:cs="Times New Roman"/>
                <w:bCs/>
                <w:color w:val="auto"/>
                <w:spacing w:val="-4"/>
                <w:szCs w:val="21"/>
                <w:highlight w:val="none"/>
              </w:rPr>
            </w:pPr>
            <w:r>
              <w:rPr>
                <w:rFonts w:hint="eastAsia" w:cs="Times New Roman"/>
                <w:bCs/>
                <w:color w:val="auto"/>
                <w:spacing w:val="-4"/>
                <w:szCs w:val="21"/>
                <w:highlight w:val="none"/>
                <w:lang w:val="en-US" w:eastAsia="zh-CN"/>
              </w:rPr>
              <w:t>8.2.2</w:t>
            </w:r>
            <w:r>
              <w:rPr>
                <w:rFonts w:ascii="Times New Roman" w:hAnsi="Times New Roman" w:eastAsia="宋体" w:cs="Times New Roman"/>
                <w:bCs/>
                <w:color w:val="auto"/>
                <w:spacing w:val="-4"/>
                <w:szCs w:val="21"/>
                <w:highlight w:val="none"/>
              </w:rPr>
              <w:t>具有环境相关专业高级职称的，每人得1.5分；具有环保相关专业中级工程师职称的，每人得0.5分。最高得6分。</w:t>
            </w:r>
          </w:p>
          <w:p w14:paraId="5E5BF981">
            <w:pPr>
              <w:snapToGrid w:val="0"/>
              <w:spacing w:line="400" w:lineRule="exac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注：</w:t>
            </w:r>
            <w:r>
              <w:rPr>
                <w:rFonts w:hint="eastAsia" w:ascii="宋体" w:hAnsi="宋体" w:eastAsia="宋体" w:cs="宋体"/>
                <w:b/>
                <w:color w:val="auto"/>
                <w:szCs w:val="21"/>
                <w:highlight w:val="none"/>
              </w:rPr>
              <w:t>①同一人员拥有多个证书采用就高原则，不重复计分。</w:t>
            </w:r>
          </w:p>
          <w:p w14:paraId="70ED0483">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Times New Roman"/>
                <w:color w:val="auto"/>
                <w:szCs w:val="21"/>
                <w:highlight w:val="none"/>
                <w:lang w:val="en-US" w:eastAsia="zh-CN"/>
              </w:rPr>
            </w:pPr>
            <w:r>
              <w:rPr>
                <w:rFonts w:hint="eastAsia" w:ascii="宋体" w:hAnsi="宋体" w:cs="宋体"/>
                <w:b/>
                <w:color w:val="auto"/>
                <w:sz w:val="21"/>
                <w:szCs w:val="21"/>
                <w:highlight w:val="none"/>
                <w:lang w:val="en-US" w:eastAsia="zh-CN"/>
              </w:rPr>
              <w:t>②</w:t>
            </w:r>
            <w:r>
              <w:rPr>
                <w:rFonts w:hint="eastAsia" w:ascii="宋体" w:hAnsi="宋体" w:eastAsia="宋体" w:cs="宋体"/>
                <w:b/>
                <w:color w:val="auto"/>
                <w:sz w:val="21"/>
                <w:szCs w:val="21"/>
                <w:highlight w:val="none"/>
                <w:lang w:val="en-US" w:eastAsia="zh-CN"/>
              </w:rPr>
              <w:t>上述人员为供应商在职职工，提供职称证书证明材料和为本单位在职人员的证明材料扫描件进入商务技术文件，否则不得分。</w:t>
            </w:r>
          </w:p>
        </w:tc>
        <w:tc>
          <w:tcPr>
            <w:tcW w:w="764" w:type="dxa"/>
            <w:noWrap w:val="0"/>
            <w:vAlign w:val="center"/>
          </w:tcPr>
          <w:p w14:paraId="29104E2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r>
      <w:tr w14:paraId="385A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3BCF6F8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p>
        </w:tc>
        <w:tc>
          <w:tcPr>
            <w:tcW w:w="1631" w:type="dxa"/>
            <w:noWrap w:val="0"/>
            <w:vAlign w:val="center"/>
          </w:tcPr>
          <w:p w14:paraId="1359773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color w:val="auto"/>
                <w:sz w:val="21"/>
                <w:szCs w:val="21"/>
                <w:highlight w:val="none"/>
              </w:rPr>
            </w:pPr>
            <w:r>
              <w:rPr>
                <w:rFonts w:hint="eastAsia" w:ascii="宋体" w:hAnsi="宋体"/>
                <w:color w:val="auto"/>
                <w:szCs w:val="21"/>
                <w:highlight w:val="none"/>
              </w:rPr>
              <w:t>应急预案</w:t>
            </w:r>
          </w:p>
        </w:tc>
        <w:tc>
          <w:tcPr>
            <w:tcW w:w="6555" w:type="dxa"/>
            <w:noWrap w:val="0"/>
            <w:vAlign w:val="center"/>
          </w:tcPr>
          <w:p w14:paraId="1CDFA61B">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rPr>
              <w:t>根据投标人提供的</w:t>
            </w:r>
            <w:r>
              <w:rPr>
                <w:rFonts w:ascii="Times New Roman" w:hAnsi="Times New Roman"/>
                <w:color w:val="auto"/>
                <w:szCs w:val="21"/>
                <w:highlight w:val="none"/>
              </w:rPr>
              <w:t>应急预案和对应的解决措施</w:t>
            </w:r>
            <w:r>
              <w:rPr>
                <w:rFonts w:hint="eastAsia" w:ascii="宋体" w:hAnsi="宋体"/>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w:t>
            </w:r>
          </w:p>
          <w:p w14:paraId="428F5150">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42979F1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1554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25" w:type="dxa"/>
            <w:noWrap w:val="0"/>
            <w:vAlign w:val="center"/>
          </w:tcPr>
          <w:p w14:paraId="393821A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w:t>
            </w:r>
          </w:p>
        </w:tc>
        <w:tc>
          <w:tcPr>
            <w:tcW w:w="1631" w:type="dxa"/>
            <w:noWrap w:val="0"/>
            <w:vAlign w:val="center"/>
          </w:tcPr>
          <w:p w14:paraId="53EF597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合理化建议</w:t>
            </w:r>
          </w:p>
        </w:tc>
        <w:tc>
          <w:tcPr>
            <w:tcW w:w="6555" w:type="dxa"/>
            <w:noWrap w:val="0"/>
            <w:vAlign w:val="center"/>
          </w:tcPr>
          <w:p w14:paraId="43860D9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imes New Roman"/>
                <w:color w:val="auto"/>
                <w:szCs w:val="21"/>
                <w:highlight w:val="none"/>
                <w:lang w:val="en-US" w:eastAsia="zh-CN"/>
              </w:rPr>
            </w:pPr>
            <w:r>
              <w:rPr>
                <w:rFonts w:ascii="Times New Roman" w:hAnsi="Times New Roman"/>
                <w:color w:val="auto"/>
                <w:szCs w:val="21"/>
                <w:highlight w:val="none"/>
              </w:rPr>
              <w:t>根据投标人针对本项目提出的合理化建议</w:t>
            </w:r>
            <w:r>
              <w:rPr>
                <w:rFonts w:hint="eastAsia" w:ascii="Times New Roman" w:hAnsi="Times New Roman"/>
                <w:color w:val="auto"/>
                <w:szCs w:val="21"/>
                <w:highlight w:val="none"/>
                <w:lang w:eastAsia="zh-CN"/>
              </w:rPr>
              <w:t>，</w:t>
            </w:r>
            <w:r>
              <w:rPr>
                <w:rFonts w:hint="eastAsia" w:ascii="宋体" w:hAnsi="宋体" w:eastAsia="宋体" w:cs="Times New Roman"/>
                <w:color w:val="auto"/>
                <w:szCs w:val="21"/>
                <w:highlight w:val="none"/>
                <w:lang w:val="en-US" w:eastAsia="zh-CN"/>
              </w:rPr>
              <w:t>内容完整详细、科学合理、可行的，满足采购需求的。</w:t>
            </w:r>
          </w:p>
          <w:p w14:paraId="5583E24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（满分5分，评分范围：5，4，3，2，1，0）</w:t>
            </w:r>
          </w:p>
        </w:tc>
        <w:tc>
          <w:tcPr>
            <w:tcW w:w="764" w:type="dxa"/>
            <w:noWrap w:val="0"/>
            <w:vAlign w:val="center"/>
          </w:tcPr>
          <w:p w14:paraId="7E9BA864">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bl>
    <w:p w14:paraId="25C53B35">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（二）价格分</w:t>
      </w:r>
    </w:p>
    <w:p w14:paraId="1A7D2172">
      <w:pPr>
        <w:spacing w:line="4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1.报价分值为10分，报价权重为10%，由评审委员会根据以下内容统一打分：</w:t>
      </w:r>
    </w:p>
    <w:p w14:paraId="4D78C6F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报价评分应在投标报价范围口径一致的评标价基础上进行。属招标文件不清楚引起的报价内容和口径不一致的，则按有关规定统一调整投标报价内容和口径，计算出投标人的最终评标价。属投标人失误造成的报价差错和遗漏，不得调整。</w:t>
      </w:r>
    </w:p>
    <w:p w14:paraId="2D74CBB1">
      <w:pPr>
        <w:spacing w:line="44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▲（2）投标报价高于最高限价的投标人作无效标处理。</w:t>
      </w:r>
    </w:p>
    <w:p w14:paraId="74B70B5B">
      <w:pPr>
        <w:spacing w:line="440" w:lineRule="exact"/>
        <w:ind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2.报价得分计算：</w:t>
      </w:r>
    </w:p>
    <w:p w14:paraId="2D3B9BE5">
      <w:pPr>
        <w:pStyle w:val="100"/>
        <w:spacing w:line="440" w:lineRule="exact"/>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价格分采用低价优先法计算，即</w:t>
      </w:r>
      <w:r>
        <w:rPr>
          <w:rFonts w:hint="eastAsia" w:ascii="宋体" w:hAnsi="宋体" w:cs="宋体"/>
          <w:color w:val="auto"/>
          <w:szCs w:val="21"/>
          <w:highlight w:val="none"/>
        </w:rPr>
        <w:t>评标基准价指的是满足招标文件要求且最低的参与评审的价格。（2）参与评审的价格=因落实政府采购政策需要进行价格调整的，以调整后的价格计算评标基准价和</w:t>
      </w:r>
    </w:p>
    <w:p w14:paraId="62D86127">
      <w:pPr>
        <w:pStyle w:val="100"/>
        <w:spacing w:line="440" w:lineRule="exact"/>
        <w:ind w:left="420" w:leftChars="200" w:firstLine="0" w:firstLineChars="0"/>
        <w:rPr>
          <w:rFonts w:hint="eastAsia" w:ascii="宋体" w:hAnsi="宋体" w:cs="宋体"/>
          <w:color w:val="auto"/>
          <w:szCs w:val="21"/>
          <w:highlight w:val="none"/>
        </w:rPr>
      </w:pPr>
      <w:r>
        <w:rPr>
          <w:rFonts w:hint="eastAsia" w:ascii="宋体" w:hAnsi="宋体" w:cs="宋体"/>
          <w:color w:val="auto"/>
          <w:szCs w:val="21"/>
          <w:highlight w:val="none"/>
        </w:rPr>
        <w:t>有效投标报价。</w:t>
      </w:r>
    </w:p>
    <w:p w14:paraId="22140184">
      <w:pPr>
        <w:pStyle w:val="100"/>
        <w:spacing w:line="440" w:lineRule="exact"/>
        <w:rPr>
          <w:rFonts w:hint="eastAsia" w:ascii="宋体" w:hAnsi="宋体" w:cs="宋体"/>
          <w:color w:val="auto"/>
          <w:szCs w:val="21"/>
          <w:highlight w:val="none"/>
        </w:rPr>
      </w:pPr>
      <w:r>
        <w:rPr>
          <w:rFonts w:hint="eastAsia" w:ascii="宋体" w:hAnsi="宋体" w:cs="宋体"/>
          <w:color w:val="auto"/>
          <w:szCs w:val="21"/>
          <w:highlight w:val="none"/>
        </w:rPr>
        <w:t>（3）参与评审的价格等于评标基准价的其价格分得满分10分。</w:t>
      </w:r>
    </w:p>
    <w:p w14:paraId="748AF174">
      <w:pPr>
        <w:pStyle w:val="100"/>
        <w:spacing w:line="440" w:lineRule="exact"/>
        <w:rPr>
          <w:rFonts w:hint="eastAsia" w:ascii="宋体" w:hAnsi="宋体" w:cs="宋体"/>
          <w:color w:val="auto"/>
          <w:szCs w:val="21"/>
          <w:highlight w:val="none"/>
        </w:rPr>
      </w:pPr>
      <w:r>
        <w:rPr>
          <w:rFonts w:hint="eastAsia" w:ascii="宋体" w:hAnsi="宋体" w:cs="宋体"/>
          <w:color w:val="auto"/>
          <w:szCs w:val="21"/>
          <w:highlight w:val="none"/>
        </w:rPr>
        <w:t>（4）其他投标人价格得分按照下列公式计算：</w:t>
      </w:r>
    </w:p>
    <w:p w14:paraId="115DDA71">
      <w:pPr>
        <w:pStyle w:val="100"/>
        <w:spacing w:line="440" w:lineRule="exact"/>
        <w:rPr>
          <w:rFonts w:hint="eastAsia" w:ascii="宋体" w:hAnsi="宋体" w:cs="宋体"/>
          <w:color w:val="auto"/>
          <w:szCs w:val="21"/>
          <w:highlight w:val="none"/>
        </w:rPr>
      </w:pPr>
      <w:r>
        <w:rPr>
          <w:rFonts w:hint="eastAsia" w:ascii="宋体" w:hAnsi="宋体" w:cs="宋体"/>
          <w:color w:val="auto"/>
          <w:szCs w:val="21"/>
          <w:highlight w:val="none"/>
        </w:rPr>
        <w:t>价格得分=（评标基准价/各投标人参与评审的价格）×10％×100。</w:t>
      </w:r>
    </w:p>
    <w:p w14:paraId="5891D8B9">
      <w:pPr>
        <w:pStyle w:val="100"/>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注：此项由评标委员会成员集体核实后统一打分。</w:t>
      </w:r>
    </w:p>
    <w:p w14:paraId="6E340978">
      <w:pPr>
        <w:numPr>
          <w:ilvl w:val="0"/>
          <w:numId w:val="18"/>
        </w:numPr>
        <w:spacing w:line="5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落实政府采购扶持政策说明：</w:t>
      </w:r>
    </w:p>
    <w:p w14:paraId="5D5C3FBF">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本项目执行财政部工业和信息化部关于印发《政府采购促进中小企业发展管理办法》的通知（财 库〔2020〕46 号）的规定，对小型、微型企业的最后报价进行价格评审优惠扶持。 </w:t>
      </w:r>
    </w:p>
    <w:p w14:paraId="370665AB">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（1）根据财库〔2020〕46号的相关规定，在评审时对符合本办法规定的小微企业报价给予</w:t>
      </w:r>
      <w:r>
        <w:rPr>
          <w:rFonts w:hint="eastAsia" w:ascii="宋体" w:hAnsi="宋体" w:cs="宋体"/>
          <w:b/>
          <w:bCs/>
          <w:color w:val="auto"/>
          <w:szCs w:val="21"/>
          <w:highlight w:val="none"/>
          <w:u w:val="single"/>
        </w:rPr>
        <w:t xml:space="preserve">10% </w:t>
      </w:r>
      <w:r>
        <w:rPr>
          <w:rFonts w:hint="eastAsia" w:ascii="宋体" w:hAnsi="宋体" w:cs="宋体"/>
          <w:color w:val="auto"/>
          <w:szCs w:val="21"/>
          <w:highlight w:val="none"/>
        </w:rPr>
        <w:t>的扣除，取扣除后的价格作为最终响应报价（此最终响应报价仅作为价格分计算）。中小企业参加政府采购活动，应当出具本办法规定的《中小企业声明函》，否则不得享受相关中小企业扶持政策。</w:t>
      </w:r>
    </w:p>
    <w:p w14:paraId="0B771E73">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（2）接受大中型企业与小微企业组成联合体或者允许大中型企业向一家或者多家小微企业分包的采购项目，对于联合协议或者分包意向协议约定小微企业的合同份额占到合同总金额</w:t>
      </w:r>
      <w:r>
        <w:rPr>
          <w:rFonts w:hint="eastAsia" w:ascii="宋体" w:hAnsi="宋体" w:cs="宋体"/>
          <w:b/>
          <w:bCs/>
          <w:color w:val="auto"/>
          <w:szCs w:val="21"/>
          <w:highlight w:val="none"/>
          <w:u w:val="single"/>
        </w:rPr>
        <w:t>30%</w:t>
      </w:r>
      <w:r>
        <w:rPr>
          <w:rFonts w:hint="eastAsia" w:ascii="宋体" w:hAnsi="宋体" w:cs="宋体"/>
          <w:color w:val="auto"/>
          <w:szCs w:val="21"/>
          <w:highlight w:val="none"/>
        </w:rPr>
        <w:t>以上的，对联合体或者大中型企业的报价给予</w:t>
      </w:r>
      <w:r>
        <w:rPr>
          <w:rFonts w:hint="eastAsia" w:ascii="宋体" w:hAnsi="宋体" w:cs="宋体"/>
          <w:b/>
          <w:bCs/>
          <w:color w:val="auto"/>
          <w:szCs w:val="21"/>
          <w:highlight w:val="none"/>
          <w:u w:val="single"/>
        </w:rPr>
        <w:t xml:space="preserve"> 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的扣除，用扣除后的价格参加评审。</w:t>
      </w:r>
    </w:p>
    <w:p w14:paraId="73D7E6A2">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注：组成联合体或者接受分包的小微企业与联合体内其他企业、分包企业之间存在直接控股、管理关系的，不享受价格扣除优惠政策。</w:t>
      </w:r>
    </w:p>
    <w:p w14:paraId="3CB7D248">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（3）满足以下之一条件，视为小型、微型企业。</w:t>
      </w:r>
    </w:p>
    <w:p w14:paraId="730AF0B1">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3.1按照工业和信息化部 国家统计局 国家发展和改革委员会财政部关于印发《中小企业划型标准规定》的通知（工信部联企业〔2011〕300 号）的规定，所涉企业属于采购标的对应的中小企业划分标准所属行业（</w:t>
      </w:r>
      <w:r>
        <w:rPr>
          <w:rFonts w:hint="eastAsia" w:ascii="宋体" w:hAnsi="宋体" w:cs="宋体"/>
          <w:b/>
          <w:bCs/>
          <w:color w:val="auto"/>
          <w:szCs w:val="21"/>
          <w:highlight w:val="none"/>
        </w:rPr>
        <w:t>其他未列明行业）</w:t>
      </w:r>
      <w:r>
        <w:rPr>
          <w:rFonts w:hint="eastAsia" w:ascii="宋体" w:hAnsi="宋体" w:cs="宋体"/>
          <w:color w:val="auto"/>
          <w:szCs w:val="21"/>
          <w:highlight w:val="none"/>
        </w:rPr>
        <w:t>的小型、微型企业，并按财政部工业和信息化部关于印发《政府采购促进中小企业发展管理办法》的通知（财库〔2020〕46 号）的规定在响应文件中提供了【《中小企业声明函》】。</w:t>
      </w:r>
    </w:p>
    <w:p w14:paraId="05C09CA8">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3.2按照财政部司法部关于《政府采购支持监狱企业发展有关问题》的通知（财库〔2014〕68 号） 的规定，所涉企业属于监狱企业，并在响应文件中提供了【监狱企业的证明文件】，监狱企业视为小型、微型企业，享受价格评审优惠扶持。监狱企业属于小型、微型企业的，不重复享受价格评审优惠扶持。 </w:t>
      </w:r>
    </w:p>
    <w:p w14:paraId="4946914D">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3.3按照财政部民政部中国残疾人联合会关于《促进残疾人就业政府采购政策》的通知（财库 〔2017〕141 号）的规定，所涉单位属于残疾人福利性单位，并在响应文件中提供了【《残疾人福利性单位声明函》】，视为小型、微型企业，享受价格评审优惠扶持。残疾人福利性单位属于小型、微 型企业的，不重复享受价格评审优惠扶持。</w:t>
      </w:r>
    </w:p>
    <w:p w14:paraId="3341209F">
      <w:pPr>
        <w:spacing w:line="500" w:lineRule="exact"/>
        <w:ind w:firstLine="420" w:firstLineChars="200"/>
        <w:rPr>
          <w:rFonts w:hint="eastAsia" w:ascii="宋体" w:hAnsi="宋体" w:cs="宋体"/>
          <w:color w:val="auto"/>
          <w:highlight w:val="none"/>
        </w:rPr>
      </w:pPr>
      <w:r>
        <w:rPr>
          <w:rFonts w:hint="eastAsia" w:ascii="宋体" w:hAnsi="宋体" w:cs="宋体"/>
          <w:color w:val="auto"/>
          <w:szCs w:val="21"/>
          <w:highlight w:val="none"/>
        </w:rPr>
        <w:t xml:space="preserve"> 此项由评标委员会集体核实后统一打分。</w:t>
      </w:r>
    </w:p>
    <w:p w14:paraId="648D51F2">
      <w:pPr>
        <w:pStyle w:val="100"/>
        <w:spacing w:line="440" w:lineRule="exact"/>
        <w:rPr>
          <w:rFonts w:hint="eastAsia" w:ascii="宋体" w:hAnsi="宋体" w:cs="宋体"/>
          <w:color w:val="auto"/>
          <w:szCs w:val="21"/>
          <w:highlight w:val="none"/>
        </w:rPr>
      </w:pPr>
      <w:r>
        <w:rPr>
          <w:rFonts w:hint="eastAsia" w:ascii="宋体" w:hAnsi="宋体" w:cs="宋体"/>
          <w:color w:val="auto"/>
          <w:szCs w:val="21"/>
          <w:highlight w:val="none"/>
        </w:rPr>
        <w:t>（6）本项目最终得分=商务技术得分＋报价得分；</w:t>
      </w:r>
    </w:p>
    <w:p w14:paraId="1C8D971E">
      <w:pPr>
        <w:pStyle w:val="100"/>
        <w:spacing w:line="440" w:lineRule="exact"/>
        <w:rPr>
          <w:rFonts w:hint="eastAsia" w:ascii="宋体" w:hAnsi="宋体" w:cs="宋体"/>
          <w:color w:val="auto"/>
          <w:highlight w:val="none"/>
        </w:rPr>
      </w:pPr>
      <w:r>
        <w:rPr>
          <w:rFonts w:hint="eastAsia" w:ascii="宋体" w:hAnsi="宋体" w:cs="宋体"/>
          <w:color w:val="auto"/>
          <w:szCs w:val="21"/>
          <w:highlight w:val="none"/>
        </w:rPr>
        <w:t xml:space="preserve">（7）计分过程中，四舍五入，保留二位小数。 </w:t>
      </w:r>
    </w:p>
    <w:p w14:paraId="7EEB2A71">
      <w:pPr>
        <w:pStyle w:val="5"/>
        <w:spacing w:before="240" w:after="240"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   修改评标结果</w:t>
      </w:r>
      <w:bookmarkEnd w:id="240"/>
    </w:p>
    <w:p w14:paraId="1EC83B5F">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（一）评标结果汇总完成后，除下列情形外，任何人不得修改评标结果：</w:t>
      </w:r>
    </w:p>
    <w:p w14:paraId="029A6AFB">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（1）分值汇总计算错误的；</w:t>
      </w:r>
    </w:p>
    <w:p w14:paraId="7906CCE3">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（2）分项评分超出评分标准范围的；</w:t>
      </w:r>
    </w:p>
    <w:p w14:paraId="14EF1908">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（3）评标委员会成员对客观评审因素评分不一致的；</w:t>
      </w:r>
    </w:p>
    <w:p w14:paraId="339FF5FD">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（4）经评标委员会认定评分畸高、畸低的。</w:t>
      </w:r>
    </w:p>
    <w:p w14:paraId="1AACB996">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评标报告签署前，经复核发现存在以上情形之一的，评标委员会将当场修改评标结果，并在评标报告中记载。</w:t>
      </w:r>
    </w:p>
    <w:p w14:paraId="6F587EB0">
      <w:pPr>
        <w:pStyle w:val="138"/>
        <w:spacing w:line="440" w:lineRule="exact"/>
        <w:rPr>
          <w:rFonts w:hint="eastAsia" w:ascii="宋体" w:hAnsi="宋体" w:cs="宋体"/>
          <w:color w:val="auto"/>
          <w:szCs w:val="21"/>
          <w:highlight w:val="none"/>
        </w:rPr>
      </w:pPr>
      <w:r>
        <w:rPr>
          <w:rFonts w:hint="eastAsia" w:ascii="宋体" w:hAnsi="宋体" w:cs="宋体"/>
          <w:color w:val="auto"/>
          <w:szCs w:val="21"/>
          <w:highlight w:val="none"/>
        </w:rPr>
        <w:t>（二）评标委员会认为投标人报价明显低于其他合格投标人的报价，有可能影响产品质量或者不能诚信履约的，应当要求其在评审现场合理时间内提供书面说明，必要时提供相关证明材料；投标人不能证明其报价合理性的，评标委员会应当将其作为无效投标或者无效响应处理。</w:t>
      </w:r>
    </w:p>
    <w:p w14:paraId="310125EB">
      <w:pPr>
        <w:pStyle w:val="5"/>
        <w:spacing w:before="240" w:after="240" w:line="440" w:lineRule="exact"/>
        <w:ind w:firstLine="0" w:firstLineChars="0"/>
        <w:rPr>
          <w:rFonts w:hint="eastAsia" w:ascii="宋体" w:hAnsi="宋体" w:eastAsia="宋体" w:cs="宋体"/>
          <w:bCs w:val="0"/>
          <w:color w:val="auto"/>
          <w:sz w:val="21"/>
          <w:szCs w:val="21"/>
          <w:highlight w:val="none"/>
        </w:rPr>
      </w:pPr>
      <w:bookmarkStart w:id="246" w:name="_Toc26425"/>
      <w:r>
        <w:rPr>
          <w:rFonts w:hint="eastAsia" w:ascii="宋体" w:hAnsi="宋体" w:eastAsia="宋体" w:cs="宋体"/>
          <w:bCs w:val="0"/>
          <w:color w:val="auto"/>
          <w:sz w:val="21"/>
          <w:szCs w:val="21"/>
          <w:highlight w:val="none"/>
        </w:rPr>
        <w:t>七   评审纪律和要求</w:t>
      </w:r>
      <w:bookmarkEnd w:id="241"/>
      <w:bookmarkEnd w:id="242"/>
      <w:bookmarkEnd w:id="243"/>
      <w:bookmarkEnd w:id="244"/>
      <w:bookmarkEnd w:id="246"/>
    </w:p>
    <w:p w14:paraId="14186524">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（一）评审专家必须公平、公正评审，遵纪守法，客观、廉洁地履行职责。</w:t>
      </w:r>
    </w:p>
    <w:p w14:paraId="06ECD5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（二）评审专家在评审开始前，应关闭并上交随身携带的各种通信工具。</w:t>
      </w:r>
    </w:p>
    <w:p w14:paraId="46C629B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（三）评审专家在评审过程中，未经许可不得中途离开评审现场，不得迟到早退。</w:t>
      </w:r>
    </w:p>
    <w:p w14:paraId="3B3A67FB">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 评审专家和工作人员不得透露评审过程中的讨论情况和评审结果。</w:t>
      </w:r>
    </w:p>
    <w:p w14:paraId="4AB3EB9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362C14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（六）采购人、采购代理机构不得向评审委员会的评审专家作倾向性、误导性的解释或者说明。</w:t>
      </w:r>
    </w:p>
    <w:p w14:paraId="2E9E6397">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0D5F6F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（八）评审专家在评审过程中不得将自己的观点强加给其他评审专家，评审专家应自主发表见解，对评审意见承担个人责任。</w:t>
      </w:r>
    </w:p>
    <w:p w14:paraId="214ECEB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675C7A7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（十）评审专家应当独立、客观、公正地提出评审意见，不得带有倾向性，不得影响其他评审专家评审，并在评审报告上签字；如对评审报告有异议的，可在报告上签署不同意见，并说明理由，否则将视为同意。</w:t>
      </w:r>
    </w:p>
    <w:p w14:paraId="61D35EC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（十一）评审专家应当遵守评审工作纪律，不得泄露评审文件、评审情况和评审中获悉的商业秘密。</w:t>
      </w:r>
    </w:p>
    <w:p w14:paraId="04E8DF6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评审委员会在评审过程中发现投标人有行贿、提供虚假材料或者串通等违法行为的，应当及时向财政部门报告。</w:t>
      </w:r>
    </w:p>
    <w:p w14:paraId="74D02339">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（十二）招标文件内容违反国家有关强制性规定的，评审委员会应当停止评审并向采购代理机构说明情况。</w:t>
      </w:r>
    </w:p>
    <w:p w14:paraId="6FE43E9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（十三）评审专家应当配合采购代理机构答复投标人提出的质疑。</w:t>
      </w:r>
    </w:p>
    <w:p w14:paraId="2242DF1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（十四）评审专家应当配合财政部门的投诉处理工作。</w:t>
      </w:r>
    </w:p>
    <w:p w14:paraId="7A74FE92">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（十五）评审专家有如下行为之一的，责令改正，给予警告，可以并处一千元以下的罚款：</w:t>
      </w:r>
    </w:p>
    <w:p w14:paraId="75570DF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1)明知应当回避而未主动回避的；</w:t>
      </w:r>
    </w:p>
    <w:p w14:paraId="27C092EE">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2)在知道自己为评审专家身份后至评审结束前的时段内私下接触投标人的；</w:t>
      </w:r>
    </w:p>
    <w:p w14:paraId="21D17D38">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3)在评审过程中擅离职守，影响评审程序正常进行的；</w:t>
      </w:r>
    </w:p>
    <w:p w14:paraId="7CBD8F21">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4)在评审过程有明显不合理或者不正当倾向性的；</w:t>
      </w:r>
    </w:p>
    <w:p w14:paraId="0F28D14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5)未按招标文件规定的评审方法和标准进行评审的。</w:t>
      </w:r>
    </w:p>
    <w:p w14:paraId="2BF0BCF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6)上述7.15.1至7.15.5行为影响中标结果的，中标结果无效。</w:t>
      </w:r>
    </w:p>
    <w:p w14:paraId="4D8D864D">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(十六)采购代理机构可对各评审专家的专业技术水平和职业道德素质等情况进行评价，并可将评价意见在评审结束后2个工作日内反馈给财政部门，财政部门以此作为对评审专家的考核管理依据。</w:t>
      </w:r>
    </w:p>
    <w:p w14:paraId="49661183">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十七）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BBAAAC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政府采购评审专家与投标人存在利害关系未回避的，处2万元以上5万元以下的罚款，禁止其参加政府采购评审活动。</w:t>
      </w:r>
    </w:p>
    <w:p w14:paraId="7335719F">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6454D3ED">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政府采购评审专家有上述违法行为的，其评审意见无效，不得获取评审费；有违法所得的，没收违法所得；给他人造成损失的，依法承担民事责任。</w:t>
      </w:r>
      <w:r>
        <w:rPr>
          <w:rFonts w:hint="eastAsia" w:ascii="宋体" w:hAnsi="宋体" w:cs="宋体"/>
          <w:color w:val="auto"/>
          <w:highlight w:val="none"/>
        </w:rPr>
        <w:tab/>
      </w:r>
    </w:p>
    <w:sectPr>
      <w:pgSz w:w="11906" w:h="16838"/>
      <w:pgMar w:top="1276" w:right="1020" w:bottom="1276"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1C172">
    <w:pPr>
      <w:pStyle w:val="34"/>
      <w:pBdr>
        <w:top w:val="thinThickSmallGap" w:color="auto" w:sz="24" w:space="1"/>
      </w:pBdr>
      <w:ind w:right="40" w:firstLine="105" w:firstLineChars="50"/>
      <w:rPr>
        <w:rFonts w:hint="eastAsia"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B0C3C6C">
                          <w:pPr>
                            <w:pStyle w:val="34"/>
                          </w:pPr>
                        </w:p>
                      </w:txbxContent>
                    </wps:txbx>
                    <wps:bodyPr wrap="none" lIns="0" tIns="0" rIns="0" bIns="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Bq2cl3NAQAAmgMAAA4AAAAAAAAAAQAgAAAAIgEAAGRy&#10;cy9lMm9Eb2MueG1sUEsFBgAAAAAGAAYAWQEAAGEFAAAAAA==&#10;">
              <v:fill on="f" focussize="0,0"/>
              <v:stroke on="f" weight="1.25pt"/>
              <v:imagedata o:title=""/>
              <o:lock v:ext="edit" aspectratio="f"/>
              <v:textbox inset="0mm,0mm,0mm,0mm" style="mso-fit-shape-to-text:t;">
                <w:txbxContent>
                  <w:p w14:paraId="3B0C3C6C">
                    <w:pPr>
                      <w:pStyle w:val="34"/>
                    </w:pPr>
                  </w:p>
                </w:txbxContent>
              </v:textbox>
            </v:shape>
          </w:pict>
        </mc:Fallback>
      </mc:AlternateContent>
    </w:r>
    <w:r>
      <w:rPr>
        <w:rFonts w:hint="eastAsia" w:ascii="宋体" w:hAnsi="宋体" w:cs="宋体"/>
        <w:kern w:val="0"/>
        <w:sz w:val="21"/>
        <w:szCs w:val="21"/>
      </w:rPr>
      <w:t>2151491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E953B">
    <w:pPr>
      <w:pStyle w:val="34"/>
      <w:pBdr>
        <w:top w:val="thinThickSmallGap" w:color="auto" w:sz="24" w:space="1"/>
      </w:pBdr>
      <w:ind w:right="40" w:firstLine="105" w:firstLineChars="50"/>
      <w:rPr>
        <w:rFonts w:hint="eastAsia" w:ascii="宋体" w:hAnsi="宋体"/>
        <w:kern w:val="0"/>
        <w:sz w:val="21"/>
        <w:szCs w:val="21"/>
      </w:rPr>
    </w:pPr>
    <w:r>
      <w:rPr>
        <w:rFonts w:hint="eastAsia" w:ascii="宋体" w:hAnsi="宋体" w:cs="宋体"/>
        <w:kern w:val="0"/>
        <w:sz w:val="21"/>
        <w:szCs w:val="21"/>
      </w:rPr>
      <w:t>代理机构：浙江大兴建设项目管理咨询有限公司      电话：0578-2151491     传真：0578-</w: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125564">
                          <w:pPr>
                            <w:pStyle w:val="34"/>
                          </w:pPr>
                        </w:p>
                      </w:txbxContent>
                    </wps:txbx>
                    <wps:bodyPr wrap="none" lIns="0" tIns="0" rIns="0" bIns="0">
                      <a:spAutoFit/>
                    </wps:bodyPr>
                  </wps:wsp>
                </a:graphicData>
              </a:graphic>
            </wp:anchor>
          </w:drawing>
        </mc:Choice>
        <mc:Fallback>
          <w:pict>
            <v:shape id="文本框 105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C9rlY/NAQAAmgMAAA4AAAAAAAAAAQAgAAAAIgEAAGRy&#10;cy9lMm9Eb2MueG1sUEsFBgAAAAAGAAYAWQEAAGEFAAAAAA==&#10;">
              <v:fill on="f" focussize="0,0"/>
              <v:stroke on="f" weight="1.25pt"/>
              <v:imagedata o:title=""/>
              <o:lock v:ext="edit" aspectratio="f"/>
              <v:textbox inset="0mm,0mm,0mm,0mm" style="mso-fit-shape-to-text:t;">
                <w:txbxContent>
                  <w:p w14:paraId="61125564">
                    <w:pPr>
                      <w:pStyle w:val="34"/>
                    </w:pPr>
                  </w:p>
                </w:txbxContent>
              </v:textbox>
            </v:shape>
          </w:pict>
        </mc:Fallback>
      </mc:AlternateContent>
    </w:r>
    <w:r>
      <w:rPr>
        <w:rFonts w:hint="eastAsia" w:ascii="宋体" w:hAnsi="宋体" w:cs="宋体"/>
        <w:kern w:val="0"/>
        <w:sz w:val="21"/>
        <w:szCs w:val="21"/>
      </w:rPr>
      <w:t>2151491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C317A">
    <w:pPr>
      <w:pStyle w:val="3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16225C">
                          <w:pPr>
                            <w:pStyle w:val="34"/>
                          </w:pPr>
                          <w:r>
                            <w:t xml:space="preserve">第 </w:t>
                          </w:r>
                          <w:r>
                            <w:fldChar w:fldCharType="begin"/>
                          </w:r>
                          <w:r>
                            <w:instrText xml:space="preserve"> PAGE  \* MERGEFORMAT </w:instrText>
                          </w:r>
                          <w:r>
                            <w:fldChar w:fldCharType="separate"/>
                          </w:r>
                          <w:r>
                            <w:t>0</w:t>
                          </w:r>
                          <w:r>
                            <w:fldChar w:fldCharType="end"/>
                          </w:r>
                          <w:r>
                            <w:t xml:space="preserve"> 页</w:t>
                          </w:r>
                        </w:p>
                      </w:txbxContent>
                    </wps:txbx>
                    <wps:bodyPr wrap="none" lIns="0" tIns="0" rIns="0" bIns="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um83NAQAAm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izXy6RQ76HGxHuPqXF47wbcm/ke8DIRH2Qw6YuUCMZR3/NVXzFEwtOjalVVJYY4xmYH8YvH&#10;5z5A/CCcIcloaMABZl3Z6RPEMXVOSdWsu1Na5yFqS3pEXVfv1vnFNYTo2mKRxGLsNllx2A8Ttb1r&#10;z8isxy1oqMWlp0R/tChyWpjZCLOxn4xUHvztMWILubOEOkJNxXBkmdu0Xmkn/vVz1u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Uum83NAQAAmgMAAA4AAAAAAAAAAQAgAAAAIgEAAGRy&#10;cy9lMm9Eb2MueG1sUEsFBgAAAAAGAAYAWQEAAGEFAAAAAA==&#10;">
              <v:fill on="f" focussize="0,0"/>
              <v:stroke on="f" weight="1.25pt"/>
              <v:imagedata o:title=""/>
              <o:lock v:ext="edit" aspectratio="f"/>
              <v:textbox inset="0mm,0mm,0mm,0mm" style="mso-fit-shape-to-text:t;">
                <w:txbxContent>
                  <w:p w14:paraId="6916225C">
                    <w:pPr>
                      <w:pStyle w:val="34"/>
                    </w:pPr>
                    <w:r>
                      <w:t xml:space="preserve">第 </w:t>
                    </w:r>
                    <w:r>
                      <w:fldChar w:fldCharType="begin"/>
                    </w:r>
                    <w:r>
                      <w:instrText xml:space="preserve"> PAGE  \* MERGEFORMAT </w:instrText>
                    </w:r>
                    <w:r>
                      <w:fldChar w:fldCharType="separate"/>
                    </w:r>
                    <w:r>
                      <w:t>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DFBD8">
    <w:pPr>
      <w:pStyle w:val="36"/>
      <w:pBdr>
        <w:bottom w:val="none" w:color="auto" w:sz="0" w:space="1"/>
      </w:pBdr>
      <w:jc w:val="both"/>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5F920A">
                          <w:pPr>
                            <w:pStyle w:val="36"/>
                            <w:jc w:val="both"/>
                          </w:pPr>
                        </w:p>
                      </w:txbxContent>
                    </wps:txbx>
                    <wps:bodyPr wrap="none" lIns="0" tIns="0" rIns="0" bIns="0">
                      <a:spAutoFit/>
                    </wps:bodyPr>
                  </wps:wsp>
                </a:graphicData>
              </a:graphic>
            </wp:anchor>
          </w:drawing>
        </mc:Choice>
        <mc:Fallback>
          <w:pict>
            <v:shape id="文本框 4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DdUKbswBAACYAwAADgAAAAAAAAABACAAAAAiAQAAZHJz&#10;L2Uyb0RvYy54bWxQSwUGAAAAAAYABgBZAQAAYAUAAAAA&#10;">
              <v:fill on="f" focussize="0,0"/>
              <v:stroke on="f" weight="1.25pt"/>
              <v:imagedata o:title=""/>
              <o:lock v:ext="edit" aspectratio="f"/>
              <v:textbox inset="0mm,0mm,0mm,0mm" style="mso-fit-shape-to-text:t;">
                <w:txbxContent>
                  <w:p w14:paraId="2F5F920A">
                    <w:pPr>
                      <w:pStyle w:val="36"/>
                      <w:jc w:val="both"/>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26EA">
    <w:pPr>
      <w:pStyle w:val="36"/>
      <w:pBdr>
        <w:bottom w:val="thinThickSmallGap" w:color="auto" w:sz="24" w:space="1"/>
      </w:pBdr>
      <w:jc w:val="left"/>
    </w:pPr>
    <w:r>
      <w:rPr>
        <w:rFonts w:hint="eastAsia" w:ascii="宋体" w:hAnsi="宋体" w:cs="宋体"/>
        <w:sz w:val="21"/>
        <w:szCs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79251">
                          <w:pPr>
                            <w:pStyle w:val="36"/>
                          </w:pPr>
                          <w:r>
                            <w:t xml:space="preserve">第 </w:t>
                          </w:r>
                          <w:r>
                            <w:fldChar w:fldCharType="begin"/>
                          </w:r>
                          <w:r>
                            <w:instrText xml:space="preserve"> PAGE  \* MERGEFORMAT </w:instrText>
                          </w:r>
                          <w:r>
                            <w:fldChar w:fldCharType="separate"/>
                          </w:r>
                          <w:r>
                            <w:t>74</w:t>
                          </w:r>
                          <w:r>
                            <w:fldChar w:fldCharType="end"/>
                          </w:r>
                          <w:r>
                            <w:t xml:space="preserve"> 页</w:t>
                          </w:r>
                        </w:p>
                      </w:txbxContent>
                    </wps:txbx>
                    <wps:bodyPr wrap="none" lIns="0" tIns="0" rIns="0" bIns="0">
                      <a:spAutoFit/>
                    </wps:bodyPr>
                  </wps:wsp>
                </a:graphicData>
              </a:graphic>
            </wp:anchor>
          </w:drawing>
        </mc:Choice>
        <mc:Fallback>
          <w:pict>
            <v:shape id="文本框 37"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OgK5z8wBAACYAwAADgAAAAAAAAABACAAAAAiAQAAZHJz&#10;L2Uyb0RvYy54bWxQSwUGAAAAAAYABgBZAQAAYAUAAAAA&#10;">
              <v:fill on="f" focussize="0,0"/>
              <v:stroke on="f" weight="1.25pt"/>
              <v:imagedata o:title=""/>
              <o:lock v:ext="edit" aspectratio="f"/>
              <v:textbox inset="0mm,0mm,0mm,0mm" style="mso-fit-shape-to-text:t;">
                <w:txbxContent>
                  <w:p w14:paraId="23D79251">
                    <w:pPr>
                      <w:pStyle w:val="36"/>
                    </w:pPr>
                    <w:r>
                      <w:t xml:space="preserve">第 </w:t>
                    </w:r>
                    <w:r>
                      <w:fldChar w:fldCharType="begin"/>
                    </w:r>
                    <w:r>
                      <w:instrText xml:space="preserve"> PAGE  \* MERGEFORMAT </w:instrText>
                    </w:r>
                    <w:r>
                      <w:fldChar w:fldCharType="separate"/>
                    </w:r>
                    <w:r>
                      <w:t>74</w:t>
                    </w:r>
                    <w:r>
                      <w:fldChar w:fldCharType="end"/>
                    </w:r>
                    <w:r>
                      <w:t xml:space="preserve"> 页</w:t>
                    </w:r>
                  </w:p>
                </w:txbxContent>
              </v:textbox>
            </v:shape>
          </w:pict>
        </mc:Fallback>
      </mc:AlternateContent>
    </w:r>
    <w:r>
      <w:rPr>
        <w:rFonts w:hint="eastAsia" w:ascii="宋体" w:hAnsi="宋体" w:cs="宋体"/>
        <w:sz w:val="21"/>
        <w:szCs w:val="21"/>
      </w:rPr>
      <w:t>招标文件（电子交易）</w:t>
    </w:r>
    <w:r>
      <w:rPr>
        <w:rFonts w:hint="eastAsia" w:ascii="宋体" w:hAnsi="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49F26"/>
    <w:multiLevelType w:val="singleLevel"/>
    <w:tmpl w:val="88A49F26"/>
    <w:lvl w:ilvl="0" w:tentative="0">
      <w:start w:val="5"/>
      <w:numFmt w:val="chineseCounting"/>
      <w:suff w:val="space"/>
      <w:lvlText w:val="第%1条"/>
      <w:lvlJc w:val="left"/>
      <w:rPr>
        <w:rFonts w:hint="eastAsia"/>
      </w:rPr>
    </w:lvl>
  </w:abstractNum>
  <w:abstractNum w:abstractNumId="1">
    <w:nsid w:val="90921DC9"/>
    <w:multiLevelType w:val="singleLevel"/>
    <w:tmpl w:val="90921DC9"/>
    <w:lvl w:ilvl="0" w:tentative="0">
      <w:start w:val="1"/>
      <w:numFmt w:val="decimal"/>
      <w:suff w:val="nothing"/>
      <w:lvlText w:val="%1、"/>
      <w:lvlJc w:val="left"/>
    </w:lvl>
  </w:abstractNum>
  <w:abstractNum w:abstractNumId="2">
    <w:nsid w:val="952026F0"/>
    <w:multiLevelType w:val="singleLevel"/>
    <w:tmpl w:val="952026F0"/>
    <w:lvl w:ilvl="0" w:tentative="0">
      <w:start w:val="8"/>
      <w:numFmt w:val="decimal"/>
      <w:suff w:val="nothing"/>
      <w:lvlText w:val="%1、"/>
      <w:lvlJc w:val="left"/>
    </w:lvl>
  </w:abstractNum>
  <w:abstractNum w:abstractNumId="3">
    <w:nsid w:val="96188FDE"/>
    <w:multiLevelType w:val="singleLevel"/>
    <w:tmpl w:val="96188FDE"/>
    <w:lvl w:ilvl="0" w:tentative="0">
      <w:start w:val="3"/>
      <w:numFmt w:val="chineseCounting"/>
      <w:suff w:val="space"/>
      <w:lvlText w:val="第%1部分"/>
      <w:lvlJc w:val="left"/>
      <w:rPr>
        <w:rFonts w:hint="eastAsia"/>
      </w:rPr>
    </w:lvl>
  </w:abstractNum>
  <w:abstractNum w:abstractNumId="4">
    <w:nsid w:val="96BF2F45"/>
    <w:multiLevelType w:val="singleLevel"/>
    <w:tmpl w:val="96BF2F45"/>
    <w:lvl w:ilvl="0" w:tentative="0">
      <w:start w:val="1"/>
      <w:numFmt w:val="decimal"/>
      <w:suff w:val="nothing"/>
      <w:lvlText w:val="%1、"/>
      <w:lvlJc w:val="left"/>
    </w:lvl>
  </w:abstractNum>
  <w:abstractNum w:abstractNumId="5">
    <w:nsid w:val="C34E0A97"/>
    <w:multiLevelType w:val="singleLevel"/>
    <w:tmpl w:val="C34E0A97"/>
    <w:lvl w:ilvl="0" w:tentative="0">
      <w:start w:val="5"/>
      <w:numFmt w:val="decimal"/>
      <w:lvlText w:val="(%1)"/>
      <w:lvlJc w:val="left"/>
      <w:pPr>
        <w:tabs>
          <w:tab w:val="left" w:pos="312"/>
        </w:tabs>
      </w:pPr>
    </w:lvl>
  </w:abstractNum>
  <w:abstractNum w:abstractNumId="6">
    <w:nsid w:val="E74408BC"/>
    <w:multiLevelType w:val="singleLevel"/>
    <w:tmpl w:val="E74408BC"/>
    <w:lvl w:ilvl="0" w:tentative="0">
      <w:start w:val="1"/>
      <w:numFmt w:val="chineseCounting"/>
      <w:suff w:val="nothing"/>
      <w:lvlText w:val="（%1）"/>
      <w:lvlJc w:val="left"/>
      <w:pPr>
        <w:ind w:left="-2"/>
      </w:pPr>
      <w:rPr>
        <w:rFonts w:hint="eastAsia"/>
      </w:rPr>
    </w:lvl>
  </w:abstractNum>
  <w:abstractNum w:abstractNumId="7">
    <w:nsid w:val="E7EAA4DA"/>
    <w:multiLevelType w:val="singleLevel"/>
    <w:tmpl w:val="E7EAA4DA"/>
    <w:lvl w:ilvl="0" w:tentative="0">
      <w:start w:val="1"/>
      <w:numFmt w:val="decimal"/>
      <w:suff w:val="nothing"/>
      <w:lvlText w:val="（%1）"/>
      <w:lvlJc w:val="left"/>
    </w:lvl>
  </w:abstractNum>
  <w:abstractNum w:abstractNumId="8">
    <w:nsid w:val="EE944678"/>
    <w:multiLevelType w:val="singleLevel"/>
    <w:tmpl w:val="EE944678"/>
    <w:lvl w:ilvl="0" w:tentative="0">
      <w:start w:val="1"/>
      <w:numFmt w:val="decimal"/>
      <w:suff w:val="nothing"/>
      <w:lvlText w:val="%1）"/>
      <w:lvlJc w:val="left"/>
    </w:lvl>
  </w:abstractNum>
  <w:abstractNum w:abstractNumId="9">
    <w:nsid w:val="F8723996"/>
    <w:multiLevelType w:val="singleLevel"/>
    <w:tmpl w:val="F8723996"/>
    <w:lvl w:ilvl="0" w:tentative="0">
      <w:start w:val="5"/>
      <w:numFmt w:val="chineseCounting"/>
      <w:suff w:val="nothing"/>
      <w:lvlText w:val="第%1章　"/>
      <w:lvlJc w:val="left"/>
      <w:rPr>
        <w:rFonts w:hint="eastAsia"/>
      </w:rPr>
    </w:lvl>
  </w:abstractNum>
  <w:abstractNum w:abstractNumId="10">
    <w:nsid w:val="FEBC55C4"/>
    <w:multiLevelType w:val="singleLevel"/>
    <w:tmpl w:val="FEBC55C4"/>
    <w:lvl w:ilvl="0" w:tentative="0">
      <w:start w:val="1"/>
      <w:numFmt w:val="chineseCounting"/>
      <w:suff w:val="space"/>
      <w:lvlText w:val="第%1章"/>
      <w:lvlJc w:val="left"/>
      <w:pPr>
        <w:ind w:left="2310"/>
      </w:pPr>
      <w:rPr>
        <w:rFonts w:hint="eastAsia"/>
      </w:rPr>
    </w:lvl>
  </w:abstractNum>
  <w:abstractNum w:abstractNumId="11">
    <w:nsid w:val="FFDE4BEC"/>
    <w:multiLevelType w:val="singleLevel"/>
    <w:tmpl w:val="FFDE4BEC"/>
    <w:lvl w:ilvl="0" w:tentative="0">
      <w:start w:val="1"/>
      <w:numFmt w:val="chineseCounting"/>
      <w:suff w:val="nothing"/>
      <w:lvlText w:val="%1、"/>
      <w:lvlJc w:val="left"/>
      <w:rPr>
        <w:rFonts w:hint="eastAsia"/>
      </w:rPr>
    </w:lvl>
  </w:abstractNum>
  <w:abstractNum w:abstractNumId="12">
    <w:nsid w:val="074054F6"/>
    <w:multiLevelType w:val="multilevel"/>
    <w:tmpl w:val="074054F6"/>
    <w:lvl w:ilvl="0" w:tentative="0">
      <w:start w:val="1"/>
      <w:numFmt w:val="decimal"/>
      <w:pStyle w:val="29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23A952C5"/>
    <w:multiLevelType w:val="multilevel"/>
    <w:tmpl w:val="23A952C5"/>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7EEE143"/>
    <w:multiLevelType w:val="singleLevel"/>
    <w:tmpl w:val="27EEE143"/>
    <w:lvl w:ilvl="0" w:tentative="0">
      <w:start w:val="4"/>
      <w:numFmt w:val="chineseCounting"/>
      <w:suff w:val="space"/>
      <w:lvlText w:val="第%1条"/>
      <w:lvlJc w:val="left"/>
      <w:rPr>
        <w:rFonts w:hint="eastAsia"/>
      </w:rPr>
    </w:lvl>
  </w:abstractNum>
  <w:abstractNum w:abstractNumId="15">
    <w:nsid w:val="31F74077"/>
    <w:multiLevelType w:val="singleLevel"/>
    <w:tmpl w:val="31F74077"/>
    <w:lvl w:ilvl="0" w:tentative="0">
      <w:start w:val="6"/>
      <w:numFmt w:val="chineseCounting"/>
      <w:suff w:val="nothing"/>
      <w:lvlText w:val="%1、"/>
      <w:lvlJc w:val="left"/>
      <w:rPr>
        <w:rFonts w:hint="eastAsia"/>
      </w:rPr>
    </w:lvl>
  </w:abstractNum>
  <w:abstractNum w:abstractNumId="16">
    <w:nsid w:val="376F4EEB"/>
    <w:multiLevelType w:val="multilevel"/>
    <w:tmpl w:val="376F4EEB"/>
    <w:lvl w:ilvl="0" w:tentative="0">
      <w:start w:val="3"/>
      <w:numFmt w:val="decimal"/>
      <w:lvlText w:val="%1"/>
      <w:lvlJc w:val="left"/>
      <w:pPr>
        <w:ind w:left="360" w:hanging="360"/>
      </w:pPr>
      <w:rPr>
        <w:rFonts w:hint="default"/>
      </w:rPr>
    </w:lvl>
    <w:lvl w:ilvl="1" w:tentative="0">
      <w:start w:val="1"/>
      <w:numFmt w:val="decimal"/>
      <w:pStyle w:val="205"/>
      <w:lvlText w:val="%1.%2"/>
      <w:lvlJc w:val="left"/>
      <w:pPr>
        <w:ind w:left="644" w:hanging="360"/>
      </w:pPr>
      <w:rPr>
        <w:rFonts w:hint="default" w:ascii="Times New Roman" w:hAnsi="Times New Roman" w:cs="Times New Roman"/>
        <w:b w:val="0"/>
      </w:rPr>
    </w:lvl>
    <w:lvl w:ilvl="2" w:tentative="0">
      <w:start w:val="1"/>
      <w:numFmt w:val="decimal"/>
      <w:pStyle w:val="137"/>
      <w:lvlText w:val="%1.%2.%3"/>
      <w:lvlJc w:val="left"/>
      <w:pPr>
        <w:ind w:left="720" w:hanging="720"/>
      </w:pPr>
      <w:rPr>
        <w:rFonts w:hint="default"/>
        <w:b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7">
    <w:nsid w:val="6E6A9245"/>
    <w:multiLevelType w:val="singleLevel"/>
    <w:tmpl w:val="6E6A9245"/>
    <w:lvl w:ilvl="0" w:tentative="0">
      <w:start w:val="1"/>
      <w:numFmt w:val="decimal"/>
      <w:suff w:val="nothing"/>
      <w:lvlText w:val="%1、"/>
      <w:lvlJc w:val="left"/>
    </w:lvl>
  </w:abstractNum>
  <w:num w:numId="1">
    <w:abstractNumId w:val="16"/>
  </w:num>
  <w:num w:numId="2">
    <w:abstractNumId w:val="12"/>
  </w:num>
  <w:num w:numId="3">
    <w:abstractNumId w:val="10"/>
  </w:num>
  <w:num w:numId="4">
    <w:abstractNumId w:val="11"/>
  </w:num>
  <w:num w:numId="5">
    <w:abstractNumId w:val="15"/>
  </w:num>
  <w:num w:numId="6">
    <w:abstractNumId w:val="7"/>
  </w:num>
  <w:num w:numId="7">
    <w:abstractNumId w:val="3"/>
  </w:num>
  <w:num w:numId="8">
    <w:abstractNumId w:val="1"/>
  </w:num>
  <w:num w:numId="9">
    <w:abstractNumId w:val="17"/>
  </w:num>
  <w:num w:numId="10">
    <w:abstractNumId w:val="13"/>
  </w:num>
  <w:num w:numId="11">
    <w:abstractNumId w:val="14"/>
  </w:num>
  <w:num w:numId="12">
    <w:abstractNumId w:val="0"/>
  </w:num>
  <w:num w:numId="13">
    <w:abstractNumId w:val="9"/>
  </w:num>
  <w:num w:numId="14">
    <w:abstractNumId w:val="4"/>
  </w:num>
  <w:num w:numId="15">
    <w:abstractNumId w:val="2"/>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N2I1ZTMzYjhiNmNlNDE1OGQ5NTlkMzVmZGQ0NjQifQ=="/>
  </w:docVars>
  <w:rsids>
    <w:rsidRoot w:val="00172A27"/>
    <w:rsid w:val="00075B4C"/>
    <w:rsid w:val="00093CE4"/>
    <w:rsid w:val="000A002F"/>
    <w:rsid w:val="000D7960"/>
    <w:rsid w:val="00172A27"/>
    <w:rsid w:val="0018483D"/>
    <w:rsid w:val="001D3A51"/>
    <w:rsid w:val="002411FE"/>
    <w:rsid w:val="002C4073"/>
    <w:rsid w:val="002E4EFE"/>
    <w:rsid w:val="00407432"/>
    <w:rsid w:val="00456E51"/>
    <w:rsid w:val="00547418"/>
    <w:rsid w:val="005A4408"/>
    <w:rsid w:val="00623076"/>
    <w:rsid w:val="006337B5"/>
    <w:rsid w:val="00666CCB"/>
    <w:rsid w:val="006B3618"/>
    <w:rsid w:val="00723FE5"/>
    <w:rsid w:val="00752139"/>
    <w:rsid w:val="007B6C8D"/>
    <w:rsid w:val="007E5056"/>
    <w:rsid w:val="00806608"/>
    <w:rsid w:val="00880C06"/>
    <w:rsid w:val="008A6D3F"/>
    <w:rsid w:val="008D4443"/>
    <w:rsid w:val="00912AE3"/>
    <w:rsid w:val="009D79D6"/>
    <w:rsid w:val="00A369E8"/>
    <w:rsid w:val="00B5125A"/>
    <w:rsid w:val="00B749A5"/>
    <w:rsid w:val="00BE2270"/>
    <w:rsid w:val="00BF0CE5"/>
    <w:rsid w:val="00C9754A"/>
    <w:rsid w:val="00CB661D"/>
    <w:rsid w:val="00D35A90"/>
    <w:rsid w:val="00D519D5"/>
    <w:rsid w:val="00DA4150"/>
    <w:rsid w:val="00E450F5"/>
    <w:rsid w:val="00EB316C"/>
    <w:rsid w:val="00ED509E"/>
    <w:rsid w:val="00F20429"/>
    <w:rsid w:val="00FD7C22"/>
    <w:rsid w:val="015679D0"/>
    <w:rsid w:val="01C310A5"/>
    <w:rsid w:val="01CF7782"/>
    <w:rsid w:val="01D94A0C"/>
    <w:rsid w:val="025B2DC4"/>
    <w:rsid w:val="032F6A13"/>
    <w:rsid w:val="03356AD2"/>
    <w:rsid w:val="03922815"/>
    <w:rsid w:val="03B40A04"/>
    <w:rsid w:val="03E92685"/>
    <w:rsid w:val="040C25C7"/>
    <w:rsid w:val="04730898"/>
    <w:rsid w:val="054D2E98"/>
    <w:rsid w:val="05A4631F"/>
    <w:rsid w:val="0634052F"/>
    <w:rsid w:val="06BE3C9E"/>
    <w:rsid w:val="070D0A94"/>
    <w:rsid w:val="071F4C74"/>
    <w:rsid w:val="089F0588"/>
    <w:rsid w:val="08D31906"/>
    <w:rsid w:val="08E27D9B"/>
    <w:rsid w:val="09464B35"/>
    <w:rsid w:val="0A0D0E47"/>
    <w:rsid w:val="0AA7304A"/>
    <w:rsid w:val="0AC9510A"/>
    <w:rsid w:val="0AE93662"/>
    <w:rsid w:val="0B114967"/>
    <w:rsid w:val="0B5A4560"/>
    <w:rsid w:val="0B646712"/>
    <w:rsid w:val="0C040028"/>
    <w:rsid w:val="0CB456F6"/>
    <w:rsid w:val="0CD1246A"/>
    <w:rsid w:val="0D097FEC"/>
    <w:rsid w:val="0DA10224"/>
    <w:rsid w:val="0DC61A39"/>
    <w:rsid w:val="0E016F15"/>
    <w:rsid w:val="0E0463DC"/>
    <w:rsid w:val="0E213AB4"/>
    <w:rsid w:val="0E696B18"/>
    <w:rsid w:val="0E8335E0"/>
    <w:rsid w:val="0E910299"/>
    <w:rsid w:val="0EC960E1"/>
    <w:rsid w:val="0F1D1B2D"/>
    <w:rsid w:val="0F696B20"/>
    <w:rsid w:val="0F6D0931"/>
    <w:rsid w:val="0FEB5787"/>
    <w:rsid w:val="1078513B"/>
    <w:rsid w:val="10CF7DAE"/>
    <w:rsid w:val="113413B0"/>
    <w:rsid w:val="11673155"/>
    <w:rsid w:val="11F508E9"/>
    <w:rsid w:val="122356AC"/>
    <w:rsid w:val="122D3399"/>
    <w:rsid w:val="123F5C9F"/>
    <w:rsid w:val="130927E0"/>
    <w:rsid w:val="131266A8"/>
    <w:rsid w:val="13672E02"/>
    <w:rsid w:val="138B3C44"/>
    <w:rsid w:val="13CF3809"/>
    <w:rsid w:val="13D529D6"/>
    <w:rsid w:val="140C19E9"/>
    <w:rsid w:val="14357918"/>
    <w:rsid w:val="14776934"/>
    <w:rsid w:val="14C63AA5"/>
    <w:rsid w:val="14F275B8"/>
    <w:rsid w:val="14FC42DE"/>
    <w:rsid w:val="1598133F"/>
    <w:rsid w:val="16CB1E6E"/>
    <w:rsid w:val="16DF5CF5"/>
    <w:rsid w:val="16E64EFA"/>
    <w:rsid w:val="17650515"/>
    <w:rsid w:val="17A76E15"/>
    <w:rsid w:val="180970F2"/>
    <w:rsid w:val="18437C28"/>
    <w:rsid w:val="184F4EBB"/>
    <w:rsid w:val="18583624"/>
    <w:rsid w:val="189D5A8C"/>
    <w:rsid w:val="189F7482"/>
    <w:rsid w:val="18A07861"/>
    <w:rsid w:val="18E65685"/>
    <w:rsid w:val="194D300E"/>
    <w:rsid w:val="197233CD"/>
    <w:rsid w:val="19B7283D"/>
    <w:rsid w:val="19CD04BD"/>
    <w:rsid w:val="1A2A15A2"/>
    <w:rsid w:val="1A395C40"/>
    <w:rsid w:val="1A40444E"/>
    <w:rsid w:val="1A594013"/>
    <w:rsid w:val="1A7975BC"/>
    <w:rsid w:val="1AB53561"/>
    <w:rsid w:val="1ACF26C9"/>
    <w:rsid w:val="1ADA6B24"/>
    <w:rsid w:val="1B7C407F"/>
    <w:rsid w:val="1B8B54DB"/>
    <w:rsid w:val="1BBD6EDA"/>
    <w:rsid w:val="1BED604B"/>
    <w:rsid w:val="1D3A646D"/>
    <w:rsid w:val="1DD8782A"/>
    <w:rsid w:val="1DE026A3"/>
    <w:rsid w:val="1E2106D1"/>
    <w:rsid w:val="1E2C3B3A"/>
    <w:rsid w:val="1E3A2BFE"/>
    <w:rsid w:val="1E4569AA"/>
    <w:rsid w:val="1ED235F2"/>
    <w:rsid w:val="1F356A1F"/>
    <w:rsid w:val="1FB913FE"/>
    <w:rsid w:val="200B777F"/>
    <w:rsid w:val="20270A5D"/>
    <w:rsid w:val="21374CD0"/>
    <w:rsid w:val="21AD4F92"/>
    <w:rsid w:val="21EF0982"/>
    <w:rsid w:val="21F67E46"/>
    <w:rsid w:val="23891855"/>
    <w:rsid w:val="23C43604"/>
    <w:rsid w:val="23F21382"/>
    <w:rsid w:val="2426102C"/>
    <w:rsid w:val="246A106E"/>
    <w:rsid w:val="24B614D4"/>
    <w:rsid w:val="24E67129"/>
    <w:rsid w:val="24ED7C79"/>
    <w:rsid w:val="25052271"/>
    <w:rsid w:val="259D531E"/>
    <w:rsid w:val="266F6CBA"/>
    <w:rsid w:val="27097FE1"/>
    <w:rsid w:val="27406978"/>
    <w:rsid w:val="274145A1"/>
    <w:rsid w:val="27504E64"/>
    <w:rsid w:val="277F8E4B"/>
    <w:rsid w:val="278A40C7"/>
    <w:rsid w:val="27CB6172"/>
    <w:rsid w:val="27CF4D06"/>
    <w:rsid w:val="27D019DA"/>
    <w:rsid w:val="28090A48"/>
    <w:rsid w:val="2810627B"/>
    <w:rsid w:val="28A61504"/>
    <w:rsid w:val="29533CED"/>
    <w:rsid w:val="296750C0"/>
    <w:rsid w:val="2973086F"/>
    <w:rsid w:val="297840D8"/>
    <w:rsid w:val="29826D04"/>
    <w:rsid w:val="298567F4"/>
    <w:rsid w:val="29B80978"/>
    <w:rsid w:val="2A100050"/>
    <w:rsid w:val="2A5537FE"/>
    <w:rsid w:val="2A666952"/>
    <w:rsid w:val="2A7004E4"/>
    <w:rsid w:val="2B3744FC"/>
    <w:rsid w:val="2B4849E6"/>
    <w:rsid w:val="2B930A63"/>
    <w:rsid w:val="2B9E594C"/>
    <w:rsid w:val="2D1C72D6"/>
    <w:rsid w:val="2D3E1194"/>
    <w:rsid w:val="2D652BC5"/>
    <w:rsid w:val="2DAB388B"/>
    <w:rsid w:val="2E3B56D4"/>
    <w:rsid w:val="2EDD4D22"/>
    <w:rsid w:val="2F266D26"/>
    <w:rsid w:val="304A7E50"/>
    <w:rsid w:val="305A21E1"/>
    <w:rsid w:val="307E2F06"/>
    <w:rsid w:val="307F0AAE"/>
    <w:rsid w:val="30B9065A"/>
    <w:rsid w:val="30F85AFE"/>
    <w:rsid w:val="31130176"/>
    <w:rsid w:val="311C22A0"/>
    <w:rsid w:val="31215055"/>
    <w:rsid w:val="31A041CB"/>
    <w:rsid w:val="321476CC"/>
    <w:rsid w:val="32797196"/>
    <w:rsid w:val="32B179C4"/>
    <w:rsid w:val="32BD2B5B"/>
    <w:rsid w:val="33165A2E"/>
    <w:rsid w:val="331D3164"/>
    <w:rsid w:val="33C3310E"/>
    <w:rsid w:val="33CEFE78"/>
    <w:rsid w:val="33EB11AA"/>
    <w:rsid w:val="340E0587"/>
    <w:rsid w:val="34790D04"/>
    <w:rsid w:val="34825E0A"/>
    <w:rsid w:val="34CC3529"/>
    <w:rsid w:val="35B732FB"/>
    <w:rsid w:val="36111DEF"/>
    <w:rsid w:val="36CB6E86"/>
    <w:rsid w:val="36CE2405"/>
    <w:rsid w:val="36F40B16"/>
    <w:rsid w:val="3705179D"/>
    <w:rsid w:val="37066572"/>
    <w:rsid w:val="375E1E9F"/>
    <w:rsid w:val="37C55920"/>
    <w:rsid w:val="380F5C07"/>
    <w:rsid w:val="38105BAB"/>
    <w:rsid w:val="38947E72"/>
    <w:rsid w:val="38FB43DD"/>
    <w:rsid w:val="39495D61"/>
    <w:rsid w:val="396543B9"/>
    <w:rsid w:val="39743AD8"/>
    <w:rsid w:val="39924D42"/>
    <w:rsid w:val="39BC4DC8"/>
    <w:rsid w:val="3A003FB1"/>
    <w:rsid w:val="3A0B0650"/>
    <w:rsid w:val="3A206A5C"/>
    <w:rsid w:val="3A411671"/>
    <w:rsid w:val="3A8A4029"/>
    <w:rsid w:val="3AFA61C6"/>
    <w:rsid w:val="3B031229"/>
    <w:rsid w:val="3B0F5F1E"/>
    <w:rsid w:val="3B292648"/>
    <w:rsid w:val="3B6D576D"/>
    <w:rsid w:val="3B7641EF"/>
    <w:rsid w:val="3B8701AA"/>
    <w:rsid w:val="3B90705F"/>
    <w:rsid w:val="3C1B22B6"/>
    <w:rsid w:val="3C241E9D"/>
    <w:rsid w:val="3C860462"/>
    <w:rsid w:val="3CCD64AA"/>
    <w:rsid w:val="3D937C66"/>
    <w:rsid w:val="3DB7BD6F"/>
    <w:rsid w:val="3E2E2399"/>
    <w:rsid w:val="3E833A85"/>
    <w:rsid w:val="3E8E2455"/>
    <w:rsid w:val="3EBE2135"/>
    <w:rsid w:val="3F5B7984"/>
    <w:rsid w:val="3FB45881"/>
    <w:rsid w:val="3FCD2E50"/>
    <w:rsid w:val="400C45AD"/>
    <w:rsid w:val="401B6060"/>
    <w:rsid w:val="40730CFD"/>
    <w:rsid w:val="40B840DE"/>
    <w:rsid w:val="40FC5196"/>
    <w:rsid w:val="40FD0BB4"/>
    <w:rsid w:val="4177481D"/>
    <w:rsid w:val="41EA3241"/>
    <w:rsid w:val="420C1409"/>
    <w:rsid w:val="42192AA5"/>
    <w:rsid w:val="422F5681"/>
    <w:rsid w:val="424F2EEF"/>
    <w:rsid w:val="427445AB"/>
    <w:rsid w:val="43503578"/>
    <w:rsid w:val="44384737"/>
    <w:rsid w:val="44603F0C"/>
    <w:rsid w:val="446C6901"/>
    <w:rsid w:val="44E26451"/>
    <w:rsid w:val="450725D3"/>
    <w:rsid w:val="452B7DF8"/>
    <w:rsid w:val="454838C2"/>
    <w:rsid w:val="45521829"/>
    <w:rsid w:val="45610914"/>
    <w:rsid w:val="458D25B3"/>
    <w:rsid w:val="4594599D"/>
    <w:rsid w:val="461172DE"/>
    <w:rsid w:val="46210E43"/>
    <w:rsid w:val="46641814"/>
    <w:rsid w:val="46681FDB"/>
    <w:rsid w:val="46B1257F"/>
    <w:rsid w:val="46C95D77"/>
    <w:rsid w:val="46DF4C12"/>
    <w:rsid w:val="479E0D55"/>
    <w:rsid w:val="47BB409F"/>
    <w:rsid w:val="481728B6"/>
    <w:rsid w:val="48770CD0"/>
    <w:rsid w:val="48B00D40"/>
    <w:rsid w:val="48C93DBE"/>
    <w:rsid w:val="4911104B"/>
    <w:rsid w:val="491648AC"/>
    <w:rsid w:val="491F5EC6"/>
    <w:rsid w:val="499D56A1"/>
    <w:rsid w:val="4A2F6276"/>
    <w:rsid w:val="4A3115EB"/>
    <w:rsid w:val="4A7E6E1B"/>
    <w:rsid w:val="4AB904B0"/>
    <w:rsid w:val="4B0914FD"/>
    <w:rsid w:val="4B3317B5"/>
    <w:rsid w:val="4B780BB6"/>
    <w:rsid w:val="4B895521"/>
    <w:rsid w:val="4BBA2895"/>
    <w:rsid w:val="4BC95C91"/>
    <w:rsid w:val="4C5B0FC3"/>
    <w:rsid w:val="4C7E2F03"/>
    <w:rsid w:val="4CAF44E7"/>
    <w:rsid w:val="4D553A1C"/>
    <w:rsid w:val="4D866514"/>
    <w:rsid w:val="4DC3520D"/>
    <w:rsid w:val="4E66524B"/>
    <w:rsid w:val="4EAF18C4"/>
    <w:rsid w:val="4EBF27DF"/>
    <w:rsid w:val="4EC512BE"/>
    <w:rsid w:val="4ED30923"/>
    <w:rsid w:val="4F270AD2"/>
    <w:rsid w:val="4F4514B9"/>
    <w:rsid w:val="4F5C15BB"/>
    <w:rsid w:val="4F7F146C"/>
    <w:rsid w:val="4F9B30AA"/>
    <w:rsid w:val="4FDBFFC3"/>
    <w:rsid w:val="4FFD6342"/>
    <w:rsid w:val="50201934"/>
    <w:rsid w:val="503A038F"/>
    <w:rsid w:val="50753B17"/>
    <w:rsid w:val="508D5E0B"/>
    <w:rsid w:val="50BB5FAD"/>
    <w:rsid w:val="514E7348"/>
    <w:rsid w:val="517C7926"/>
    <w:rsid w:val="5187285A"/>
    <w:rsid w:val="51C15D6C"/>
    <w:rsid w:val="5212481A"/>
    <w:rsid w:val="52790FFD"/>
    <w:rsid w:val="52990A97"/>
    <w:rsid w:val="52C27FEE"/>
    <w:rsid w:val="52E95A9C"/>
    <w:rsid w:val="531161FD"/>
    <w:rsid w:val="535A6478"/>
    <w:rsid w:val="53855B33"/>
    <w:rsid w:val="538A6632"/>
    <w:rsid w:val="53957AD0"/>
    <w:rsid w:val="53DC5215"/>
    <w:rsid w:val="53F17CF4"/>
    <w:rsid w:val="53FDEE6C"/>
    <w:rsid w:val="545611FE"/>
    <w:rsid w:val="54CA318A"/>
    <w:rsid w:val="54DC2F6B"/>
    <w:rsid w:val="54DC516B"/>
    <w:rsid w:val="553A364E"/>
    <w:rsid w:val="55872D72"/>
    <w:rsid w:val="559A23C6"/>
    <w:rsid w:val="55A34096"/>
    <w:rsid w:val="55DE69A2"/>
    <w:rsid w:val="55F90C9D"/>
    <w:rsid w:val="564771EE"/>
    <w:rsid w:val="575D6537"/>
    <w:rsid w:val="576A7E1B"/>
    <w:rsid w:val="57836E27"/>
    <w:rsid w:val="57B8376D"/>
    <w:rsid w:val="58002D9F"/>
    <w:rsid w:val="58240E03"/>
    <w:rsid w:val="586D09FC"/>
    <w:rsid w:val="58B92264"/>
    <w:rsid w:val="58D0673C"/>
    <w:rsid w:val="595158B5"/>
    <w:rsid w:val="596D6AFD"/>
    <w:rsid w:val="59E77046"/>
    <w:rsid w:val="5A1275EA"/>
    <w:rsid w:val="5AD308BE"/>
    <w:rsid w:val="5AFE3CC6"/>
    <w:rsid w:val="5BF92475"/>
    <w:rsid w:val="5C2A3405"/>
    <w:rsid w:val="5C325D5F"/>
    <w:rsid w:val="5C4750C0"/>
    <w:rsid w:val="5C602626"/>
    <w:rsid w:val="5C9330CF"/>
    <w:rsid w:val="5CEE378D"/>
    <w:rsid w:val="5D0A4149"/>
    <w:rsid w:val="5D137698"/>
    <w:rsid w:val="5D2D075A"/>
    <w:rsid w:val="5E102EB2"/>
    <w:rsid w:val="5E111E29"/>
    <w:rsid w:val="5EA031AD"/>
    <w:rsid w:val="5EDC4502"/>
    <w:rsid w:val="5EE72B8A"/>
    <w:rsid w:val="5F6EADE3"/>
    <w:rsid w:val="5F7A0302"/>
    <w:rsid w:val="5F8C6334"/>
    <w:rsid w:val="5F942D12"/>
    <w:rsid w:val="5F9C495D"/>
    <w:rsid w:val="5FB7393F"/>
    <w:rsid w:val="5FBFC963"/>
    <w:rsid w:val="5FFC2665"/>
    <w:rsid w:val="5FFF7365"/>
    <w:rsid w:val="60057E9D"/>
    <w:rsid w:val="602260EC"/>
    <w:rsid w:val="60526F72"/>
    <w:rsid w:val="60A056E7"/>
    <w:rsid w:val="60E31582"/>
    <w:rsid w:val="616D0B85"/>
    <w:rsid w:val="61BA4586"/>
    <w:rsid w:val="61D83D19"/>
    <w:rsid w:val="62205FAA"/>
    <w:rsid w:val="62550AF8"/>
    <w:rsid w:val="626C2523"/>
    <w:rsid w:val="62E21FE6"/>
    <w:rsid w:val="63035AB9"/>
    <w:rsid w:val="63422717"/>
    <w:rsid w:val="634265E1"/>
    <w:rsid w:val="635264B5"/>
    <w:rsid w:val="63A66B70"/>
    <w:rsid w:val="63AC3AE7"/>
    <w:rsid w:val="63FDC83E"/>
    <w:rsid w:val="641631D0"/>
    <w:rsid w:val="64177A9F"/>
    <w:rsid w:val="643D128A"/>
    <w:rsid w:val="6441217E"/>
    <w:rsid w:val="6477050C"/>
    <w:rsid w:val="64AF29A7"/>
    <w:rsid w:val="64C64642"/>
    <w:rsid w:val="64EF79A5"/>
    <w:rsid w:val="6518584B"/>
    <w:rsid w:val="656A1E1F"/>
    <w:rsid w:val="65716C11"/>
    <w:rsid w:val="65850CB8"/>
    <w:rsid w:val="65AA44C4"/>
    <w:rsid w:val="65C23CA9"/>
    <w:rsid w:val="65E37512"/>
    <w:rsid w:val="65EE5CFC"/>
    <w:rsid w:val="6623094C"/>
    <w:rsid w:val="663E5786"/>
    <w:rsid w:val="664A4EC4"/>
    <w:rsid w:val="66C832A1"/>
    <w:rsid w:val="66D25ECE"/>
    <w:rsid w:val="66D460EA"/>
    <w:rsid w:val="66D71736"/>
    <w:rsid w:val="67191D4F"/>
    <w:rsid w:val="67430B7A"/>
    <w:rsid w:val="674B49AB"/>
    <w:rsid w:val="6755E350"/>
    <w:rsid w:val="67B47682"/>
    <w:rsid w:val="681E77D5"/>
    <w:rsid w:val="687E00BB"/>
    <w:rsid w:val="688F051A"/>
    <w:rsid w:val="68CC4ED9"/>
    <w:rsid w:val="69B26789"/>
    <w:rsid w:val="69DD7064"/>
    <w:rsid w:val="69FD3262"/>
    <w:rsid w:val="6A42067F"/>
    <w:rsid w:val="6A5FB01B"/>
    <w:rsid w:val="6A75735A"/>
    <w:rsid w:val="6A7B77FA"/>
    <w:rsid w:val="6B5E41D4"/>
    <w:rsid w:val="6C654842"/>
    <w:rsid w:val="6C93567D"/>
    <w:rsid w:val="6D0B3EE8"/>
    <w:rsid w:val="6D3E606B"/>
    <w:rsid w:val="6D54588F"/>
    <w:rsid w:val="6D8234F2"/>
    <w:rsid w:val="6D91263F"/>
    <w:rsid w:val="6DD719D6"/>
    <w:rsid w:val="6DDF271A"/>
    <w:rsid w:val="6E153FB5"/>
    <w:rsid w:val="6E3775FD"/>
    <w:rsid w:val="6E5933DE"/>
    <w:rsid w:val="6E5A26CC"/>
    <w:rsid w:val="6E64614F"/>
    <w:rsid w:val="6E9E78DE"/>
    <w:rsid w:val="6F1A6664"/>
    <w:rsid w:val="6F525298"/>
    <w:rsid w:val="6F5D4637"/>
    <w:rsid w:val="6FCF2F80"/>
    <w:rsid w:val="6FDE7692"/>
    <w:rsid w:val="6FDFA720"/>
    <w:rsid w:val="6FF39C55"/>
    <w:rsid w:val="6FF70753"/>
    <w:rsid w:val="702F4D40"/>
    <w:rsid w:val="71741B15"/>
    <w:rsid w:val="71815018"/>
    <w:rsid w:val="71A1180B"/>
    <w:rsid w:val="726B4CDD"/>
    <w:rsid w:val="73C337A4"/>
    <w:rsid w:val="73D1550B"/>
    <w:rsid w:val="74145D78"/>
    <w:rsid w:val="741B5358"/>
    <w:rsid w:val="747A27FD"/>
    <w:rsid w:val="74974875"/>
    <w:rsid w:val="749A08E5"/>
    <w:rsid w:val="74CA05DB"/>
    <w:rsid w:val="75492857"/>
    <w:rsid w:val="75653163"/>
    <w:rsid w:val="75671ED7"/>
    <w:rsid w:val="756E3266"/>
    <w:rsid w:val="75BC21E9"/>
    <w:rsid w:val="75DB3255"/>
    <w:rsid w:val="75EEF3E9"/>
    <w:rsid w:val="75FDFA0B"/>
    <w:rsid w:val="763907B8"/>
    <w:rsid w:val="765D3A06"/>
    <w:rsid w:val="766F54E7"/>
    <w:rsid w:val="766F725C"/>
    <w:rsid w:val="768F4FA1"/>
    <w:rsid w:val="76936B89"/>
    <w:rsid w:val="769F5385"/>
    <w:rsid w:val="76D7D00B"/>
    <w:rsid w:val="773801AB"/>
    <w:rsid w:val="77534E09"/>
    <w:rsid w:val="777A4144"/>
    <w:rsid w:val="778C092D"/>
    <w:rsid w:val="77A967D7"/>
    <w:rsid w:val="77AE0291"/>
    <w:rsid w:val="77F194C7"/>
    <w:rsid w:val="77FF7A05"/>
    <w:rsid w:val="784757B7"/>
    <w:rsid w:val="786F7A21"/>
    <w:rsid w:val="78A82F32"/>
    <w:rsid w:val="78D843B0"/>
    <w:rsid w:val="78ED5B09"/>
    <w:rsid w:val="791E4094"/>
    <w:rsid w:val="794E0A83"/>
    <w:rsid w:val="79E81839"/>
    <w:rsid w:val="79FF1495"/>
    <w:rsid w:val="7A0BC17D"/>
    <w:rsid w:val="7A6905C4"/>
    <w:rsid w:val="7A7210FD"/>
    <w:rsid w:val="7AAD2AD4"/>
    <w:rsid w:val="7B7D0832"/>
    <w:rsid w:val="7BEA7D1C"/>
    <w:rsid w:val="7BFF1A3E"/>
    <w:rsid w:val="7C043085"/>
    <w:rsid w:val="7C232FFC"/>
    <w:rsid w:val="7C986784"/>
    <w:rsid w:val="7CE168BD"/>
    <w:rsid w:val="7D265609"/>
    <w:rsid w:val="7D2A660C"/>
    <w:rsid w:val="7D401F06"/>
    <w:rsid w:val="7D555C3A"/>
    <w:rsid w:val="7D5D41E9"/>
    <w:rsid w:val="7D796C4C"/>
    <w:rsid w:val="7DEB456D"/>
    <w:rsid w:val="7DF6FD71"/>
    <w:rsid w:val="7DFF504B"/>
    <w:rsid w:val="7E4F43A6"/>
    <w:rsid w:val="7E7ED144"/>
    <w:rsid w:val="7E927026"/>
    <w:rsid w:val="7EC905C2"/>
    <w:rsid w:val="7EF57BDB"/>
    <w:rsid w:val="7F1B445E"/>
    <w:rsid w:val="7F73429A"/>
    <w:rsid w:val="7F7C675E"/>
    <w:rsid w:val="7F82CC2E"/>
    <w:rsid w:val="7FAF2919"/>
    <w:rsid w:val="7FB94785"/>
    <w:rsid w:val="7FED42B2"/>
    <w:rsid w:val="7FFFAB0D"/>
    <w:rsid w:val="8BC78E8C"/>
    <w:rsid w:val="9BF9AF27"/>
    <w:rsid w:val="9F768C8D"/>
    <w:rsid w:val="A7FD2F9D"/>
    <w:rsid w:val="AD4B4442"/>
    <w:rsid w:val="ADCF0BE4"/>
    <w:rsid w:val="AE566269"/>
    <w:rsid w:val="AF9E9284"/>
    <w:rsid w:val="AFFFFFB7"/>
    <w:rsid w:val="B2F7FCD8"/>
    <w:rsid w:val="B49F8B6B"/>
    <w:rsid w:val="B6FF2248"/>
    <w:rsid w:val="B7EF9E83"/>
    <w:rsid w:val="BA6B0E46"/>
    <w:rsid w:val="BFF6460E"/>
    <w:rsid w:val="BFFB9AEC"/>
    <w:rsid w:val="BFFBF337"/>
    <w:rsid w:val="D969227F"/>
    <w:rsid w:val="DC6E623F"/>
    <w:rsid w:val="DFAE2E36"/>
    <w:rsid w:val="E736840B"/>
    <w:rsid w:val="EBFFA42E"/>
    <w:rsid w:val="EDFFD10E"/>
    <w:rsid w:val="EEFA50BF"/>
    <w:rsid w:val="EFEF28FD"/>
    <w:rsid w:val="EFF597F2"/>
    <w:rsid w:val="F59BC853"/>
    <w:rsid w:val="F7BEA985"/>
    <w:rsid w:val="FAFE432D"/>
    <w:rsid w:val="FB3768AF"/>
    <w:rsid w:val="FBAFC91E"/>
    <w:rsid w:val="FBFFE260"/>
    <w:rsid w:val="FDA59F70"/>
    <w:rsid w:val="FDBBF1B5"/>
    <w:rsid w:val="FDD91DFE"/>
    <w:rsid w:val="FE7F43BE"/>
    <w:rsid w:val="FF6F9E32"/>
    <w:rsid w:val="FF7ACBA5"/>
    <w:rsid w:val="FFE84822"/>
    <w:rsid w:val="FFF40E96"/>
    <w:rsid w:val="FFF7E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link w:val="73"/>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1"/>
    <w:link w:val="74"/>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75"/>
    <w:qFormat/>
    <w:uiPriority w:val="0"/>
    <w:pPr>
      <w:keepLines/>
      <w:widowControl/>
      <w:spacing w:before="280" w:after="290" w:line="372" w:lineRule="auto"/>
      <w:outlineLvl w:val="3"/>
    </w:pPr>
    <w:rPr>
      <w:rFonts w:ascii="Arial" w:hAnsi="Arial" w:eastAsia="黑体"/>
      <w:b/>
      <w:color w:val="000000"/>
      <w:sz w:val="28"/>
      <w:szCs w:val="20"/>
    </w:rPr>
  </w:style>
  <w:style w:type="paragraph" w:styleId="7">
    <w:name w:val="heading 5"/>
    <w:basedOn w:val="3"/>
    <w:next w:val="1"/>
    <w:link w:val="76"/>
    <w:qFormat/>
    <w:uiPriority w:val="0"/>
    <w:pPr>
      <w:keepLines/>
      <w:widowControl/>
      <w:spacing w:before="280" w:after="290" w:line="372" w:lineRule="auto"/>
      <w:outlineLvl w:val="4"/>
    </w:pPr>
    <w:rPr>
      <w:b w:val="0"/>
      <w:color w:val="000000"/>
      <w:sz w:val="28"/>
      <w:szCs w:val="20"/>
    </w:rPr>
  </w:style>
  <w:style w:type="paragraph" w:styleId="8">
    <w:name w:val="heading 6"/>
    <w:basedOn w:val="1"/>
    <w:next w:val="1"/>
    <w:link w:val="77"/>
    <w:qFormat/>
    <w:uiPriority w:val="0"/>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78"/>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79"/>
    <w:qFormat/>
    <w:uiPriority w:val="0"/>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80"/>
    <w:qFormat/>
    <w:uiPriority w:val="0"/>
    <w:pPr>
      <w:keepLines/>
      <w:widowControl/>
      <w:spacing w:before="240" w:after="64" w:line="312" w:lineRule="auto"/>
      <w:outlineLvl w:val="8"/>
    </w:pPr>
    <w:rPr>
      <w:rFonts w:ascii="Arial" w:hAnsi="Arial" w:eastAsia="黑体"/>
      <w:color w:val="000000"/>
      <w:szCs w:val="20"/>
    </w:rPr>
  </w:style>
  <w:style w:type="character" w:default="1" w:styleId="56">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table of authorities"/>
    <w:basedOn w:val="1"/>
    <w:next w:val="1"/>
    <w:unhideWhenUsed/>
    <w:qFormat/>
    <w:uiPriority w:val="99"/>
    <w:pPr>
      <w:ind w:left="420" w:leftChars="200"/>
    </w:pPr>
  </w:style>
  <w:style w:type="paragraph" w:styleId="14">
    <w:name w:val="index 8"/>
    <w:basedOn w:val="1"/>
    <w:next w:val="1"/>
    <w:qFormat/>
    <w:uiPriority w:val="0"/>
    <w:pPr>
      <w:spacing w:line="276" w:lineRule="auto"/>
      <w:jc w:val="left"/>
    </w:pPr>
    <w:rPr>
      <w:rFonts w:ascii="宋体"/>
      <w:color w:val="FF0000"/>
      <w:szCs w:val="21"/>
    </w:rPr>
  </w:style>
  <w:style w:type="paragraph" w:styleId="15">
    <w:name w:val="Normal Indent"/>
    <w:basedOn w:val="1"/>
    <w:link w:val="81"/>
    <w:qFormat/>
    <w:uiPriority w:val="0"/>
    <w:pPr>
      <w:ind w:firstLine="420"/>
    </w:pPr>
    <w:rPr>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List Bullet"/>
    <w:basedOn w:val="1"/>
    <w:qFormat/>
    <w:uiPriority w:val="0"/>
    <w:pPr>
      <w:tabs>
        <w:tab w:val="left" w:pos="360"/>
      </w:tabs>
      <w:ind w:left="360" w:hanging="360"/>
    </w:pPr>
    <w:rPr>
      <w:szCs w:val="20"/>
    </w:rPr>
  </w:style>
  <w:style w:type="paragraph" w:styleId="18">
    <w:name w:val="Document Map"/>
    <w:basedOn w:val="1"/>
    <w:link w:val="82"/>
    <w:qFormat/>
    <w:uiPriority w:val="99"/>
    <w:pPr>
      <w:widowControl/>
      <w:adjustRightInd w:val="0"/>
      <w:snapToGrid w:val="0"/>
      <w:spacing w:after="200"/>
      <w:jc w:val="left"/>
    </w:pPr>
    <w:rPr>
      <w:rFonts w:ascii="宋体" w:hAnsi="Tahoma"/>
      <w:kern w:val="0"/>
      <w:sz w:val="18"/>
      <w:szCs w:val="18"/>
    </w:rPr>
  </w:style>
  <w:style w:type="paragraph" w:styleId="19">
    <w:name w:val="annotation text"/>
    <w:basedOn w:val="1"/>
    <w:link w:val="83"/>
    <w:qFormat/>
    <w:uiPriority w:val="0"/>
    <w:pPr>
      <w:jc w:val="left"/>
    </w:pPr>
  </w:style>
  <w:style w:type="paragraph" w:styleId="20">
    <w:name w:val="Body Text 3"/>
    <w:basedOn w:val="1"/>
    <w:qFormat/>
    <w:uiPriority w:val="0"/>
    <w:pPr>
      <w:widowControl/>
      <w:spacing w:line="360" w:lineRule="auto"/>
    </w:pPr>
    <w:rPr>
      <w:rFonts w:ascii="仿宋_GB2312" w:eastAsia="仿宋_GB2312"/>
      <w:sz w:val="24"/>
      <w:szCs w:val="20"/>
    </w:rPr>
  </w:style>
  <w:style w:type="paragraph" w:styleId="21">
    <w:name w:val="Body Text"/>
    <w:basedOn w:val="1"/>
    <w:next w:val="22"/>
    <w:link w:val="70"/>
    <w:qFormat/>
    <w:uiPriority w:val="0"/>
    <w:pPr>
      <w:tabs>
        <w:tab w:val="left" w:pos="208"/>
      </w:tabs>
      <w:spacing w:line="432" w:lineRule="auto"/>
    </w:pPr>
    <w:rPr>
      <w:rFonts w:ascii="仿宋_GB2312" w:eastAsia="仿宋_GB2312"/>
      <w:sz w:val="28"/>
    </w:rPr>
  </w:style>
  <w:style w:type="paragraph" w:styleId="22">
    <w:name w:val="Body Text First Indent"/>
    <w:basedOn w:val="21"/>
    <w:link w:val="71"/>
    <w:qFormat/>
    <w:uiPriority w:val="0"/>
    <w:pPr>
      <w:spacing w:after="120" w:line="240" w:lineRule="auto"/>
      <w:ind w:firstLine="420"/>
    </w:pPr>
    <w:rPr>
      <w:lang w:val="zh-CN"/>
    </w:rPr>
  </w:style>
  <w:style w:type="paragraph" w:styleId="23">
    <w:name w:val="Body Text Indent"/>
    <w:basedOn w:val="1"/>
    <w:link w:val="84"/>
    <w:qFormat/>
    <w:uiPriority w:val="0"/>
    <w:pPr>
      <w:ind w:firstLine="540"/>
    </w:pPr>
    <w:rPr>
      <w:sz w:val="28"/>
      <w:szCs w:val="20"/>
    </w:rPr>
  </w:style>
  <w:style w:type="paragraph" w:styleId="24">
    <w:name w:val="List Number 3"/>
    <w:basedOn w:val="1"/>
    <w:qFormat/>
    <w:uiPriority w:val="0"/>
    <w:pPr>
      <w:tabs>
        <w:tab w:val="left" w:pos="1200"/>
      </w:tabs>
      <w:spacing w:beforeLines="40" w:afterLines="40" w:line="300" w:lineRule="auto"/>
      <w:ind w:left="1200" w:hanging="360"/>
    </w:pPr>
    <w:rPr>
      <w:sz w:val="24"/>
    </w:rPr>
  </w:style>
  <w:style w:type="paragraph" w:styleId="25">
    <w:name w:val="List 2"/>
    <w:basedOn w:val="1"/>
    <w:qFormat/>
    <w:uiPriority w:val="0"/>
    <w:pPr>
      <w:widowControl/>
      <w:spacing w:after="160"/>
      <w:ind w:left="100" w:leftChars="200" w:hanging="200" w:hangingChars="200"/>
      <w:jc w:val="left"/>
    </w:pPr>
    <w:rPr>
      <w:kern w:val="0"/>
      <w:szCs w:val="20"/>
      <w:lang w:eastAsia="en-US"/>
    </w:rPr>
  </w:style>
  <w:style w:type="paragraph" w:styleId="26">
    <w:name w:val="Block Text"/>
    <w:basedOn w:val="1"/>
    <w:qFormat/>
    <w:uiPriority w:val="0"/>
    <w:pPr>
      <w:spacing w:after="120"/>
      <w:ind w:left="1440" w:leftChars="700" w:right="1440" w:rightChars="700"/>
    </w:pPr>
    <w:rPr>
      <w:rFonts w:ascii="Calibri" w:hAnsi="Calibri"/>
    </w:rPr>
  </w:style>
  <w:style w:type="paragraph" w:styleId="27">
    <w:name w:val="toc 5"/>
    <w:basedOn w:val="1"/>
    <w:next w:val="1"/>
    <w:unhideWhenUsed/>
    <w:qFormat/>
    <w:uiPriority w:val="39"/>
    <w:pPr>
      <w:ind w:left="1680" w:leftChars="800"/>
    </w:pPr>
    <w:rPr>
      <w:rFonts w:ascii="Calibri" w:hAnsi="Calibri"/>
      <w:szCs w:val="22"/>
    </w:rPr>
  </w:style>
  <w:style w:type="paragraph" w:styleId="28">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29">
    <w:name w:val="Plain Text"/>
    <w:basedOn w:val="1"/>
    <w:next w:val="1"/>
    <w:link w:val="85"/>
    <w:qFormat/>
    <w:uiPriority w:val="0"/>
    <w:rPr>
      <w:rFonts w:ascii="宋体" w:hAnsi="Courier New"/>
      <w:szCs w:val="20"/>
    </w:rPr>
  </w:style>
  <w:style w:type="paragraph" w:styleId="30">
    <w:name w:val="toc 8"/>
    <w:basedOn w:val="1"/>
    <w:next w:val="1"/>
    <w:unhideWhenUsed/>
    <w:qFormat/>
    <w:uiPriority w:val="39"/>
    <w:pPr>
      <w:ind w:left="2940" w:leftChars="1400"/>
    </w:pPr>
    <w:rPr>
      <w:rFonts w:ascii="Calibri" w:hAnsi="Calibri"/>
      <w:szCs w:val="22"/>
    </w:rPr>
  </w:style>
  <w:style w:type="paragraph" w:styleId="31">
    <w:name w:val="Date"/>
    <w:basedOn w:val="1"/>
    <w:next w:val="1"/>
    <w:link w:val="86"/>
    <w:qFormat/>
    <w:uiPriority w:val="0"/>
    <w:pPr>
      <w:adjustRightInd w:val="0"/>
      <w:spacing w:line="312" w:lineRule="atLeast"/>
    </w:pPr>
    <w:rPr>
      <w:rFonts w:ascii="仿宋_GB2312" w:eastAsia="仿宋_GB2312"/>
      <w:kern w:val="0"/>
      <w:sz w:val="28"/>
      <w:szCs w:val="20"/>
    </w:rPr>
  </w:style>
  <w:style w:type="paragraph" w:styleId="32">
    <w:name w:val="Body Text Indent 2"/>
    <w:basedOn w:val="1"/>
    <w:link w:val="87"/>
    <w:qFormat/>
    <w:uiPriority w:val="0"/>
    <w:pPr>
      <w:snapToGrid w:val="0"/>
      <w:spacing w:line="400" w:lineRule="exact"/>
      <w:ind w:firstLine="480"/>
    </w:pPr>
    <w:rPr>
      <w:rFonts w:eastAsia="仿宋_GB2312"/>
      <w:sz w:val="24"/>
    </w:rPr>
  </w:style>
  <w:style w:type="paragraph" w:styleId="33">
    <w:name w:val="Balloon Text"/>
    <w:basedOn w:val="1"/>
    <w:link w:val="88"/>
    <w:qFormat/>
    <w:uiPriority w:val="0"/>
    <w:rPr>
      <w:sz w:val="18"/>
      <w:szCs w:val="18"/>
    </w:rPr>
  </w:style>
  <w:style w:type="paragraph" w:styleId="34">
    <w:name w:val="footer"/>
    <w:basedOn w:val="1"/>
    <w:link w:val="89"/>
    <w:qFormat/>
    <w:uiPriority w:val="99"/>
    <w:pPr>
      <w:tabs>
        <w:tab w:val="center" w:pos="4153"/>
        <w:tab w:val="right" w:pos="8306"/>
      </w:tabs>
      <w:snapToGrid w:val="0"/>
      <w:jc w:val="left"/>
    </w:pPr>
    <w:rPr>
      <w:sz w:val="18"/>
      <w:szCs w:val="18"/>
    </w:rPr>
  </w:style>
  <w:style w:type="paragraph" w:styleId="35">
    <w:name w:val="envelope return"/>
    <w:basedOn w:val="1"/>
    <w:qFormat/>
    <w:uiPriority w:val="99"/>
    <w:pPr>
      <w:snapToGrid w:val="0"/>
    </w:pPr>
    <w:rPr>
      <w:rFonts w:ascii="Arial" w:hAnsi="Arial" w:cs="Arial"/>
    </w:rPr>
  </w:style>
  <w:style w:type="paragraph" w:styleId="36">
    <w:name w:val="header"/>
    <w:basedOn w:val="1"/>
    <w:link w:val="90"/>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37">
    <w:name w:val="Signature"/>
    <w:basedOn w:val="1"/>
    <w:next w:val="1"/>
    <w:link w:val="91"/>
    <w:qFormat/>
    <w:uiPriority w:val="0"/>
    <w:pPr>
      <w:keepNext/>
      <w:widowControl/>
      <w:tabs>
        <w:tab w:val="left" w:pos="780"/>
      </w:tabs>
      <w:adjustRightInd w:val="0"/>
      <w:spacing w:line="220" w:lineRule="atLeast"/>
      <w:ind w:hanging="360"/>
      <w:jc w:val="right"/>
      <w:textAlignment w:val="baseline"/>
    </w:pPr>
    <w:rPr>
      <w:rFonts w:ascii="Arial" w:hAnsi="Arial"/>
      <w:spacing w:val="-5"/>
      <w:kern w:val="0"/>
      <w:sz w:val="24"/>
      <w:szCs w:val="20"/>
    </w:rPr>
  </w:style>
  <w:style w:type="paragraph" w:styleId="38">
    <w:name w:val="toc 1"/>
    <w:basedOn w:val="1"/>
    <w:next w:val="1"/>
    <w:qFormat/>
    <w:uiPriority w:val="39"/>
    <w:pPr>
      <w:tabs>
        <w:tab w:val="left" w:pos="1470"/>
        <w:tab w:val="right" w:leader="dot" w:pos="9016"/>
      </w:tabs>
      <w:ind w:firstLine="480"/>
    </w:pPr>
    <w:rPr>
      <w:rFonts w:ascii="宋体" w:hAnsi="宋体" w:eastAsia="仿宋_GB2312"/>
      <w:b/>
      <w:sz w:val="30"/>
      <w:szCs w:val="30"/>
    </w:rPr>
  </w:style>
  <w:style w:type="paragraph" w:styleId="39">
    <w:name w:val="toc 4"/>
    <w:basedOn w:val="1"/>
    <w:next w:val="1"/>
    <w:unhideWhenUsed/>
    <w:qFormat/>
    <w:uiPriority w:val="39"/>
    <w:pPr>
      <w:ind w:left="1260" w:leftChars="600"/>
    </w:pPr>
    <w:rPr>
      <w:rFonts w:ascii="Calibri" w:hAnsi="Calibri"/>
      <w:szCs w:val="22"/>
    </w:rPr>
  </w:style>
  <w:style w:type="paragraph" w:styleId="40">
    <w:name w:val="Subtitle"/>
    <w:basedOn w:val="1"/>
    <w:link w:val="92"/>
    <w:qFormat/>
    <w:uiPriority w:val="11"/>
    <w:pPr>
      <w:spacing w:before="240" w:after="60" w:line="312" w:lineRule="auto"/>
      <w:jc w:val="center"/>
      <w:outlineLvl w:val="1"/>
    </w:pPr>
    <w:rPr>
      <w:rFonts w:ascii="Cambria" w:hAnsi="Cambria"/>
      <w:b/>
      <w:bCs/>
      <w:kern w:val="28"/>
      <w:sz w:val="32"/>
      <w:szCs w:val="32"/>
    </w:rPr>
  </w:style>
  <w:style w:type="paragraph" w:styleId="41">
    <w:name w:val="List"/>
    <w:basedOn w:val="1"/>
    <w:qFormat/>
    <w:uiPriority w:val="0"/>
    <w:pPr>
      <w:ind w:left="200" w:hanging="200" w:hangingChars="200"/>
    </w:pPr>
  </w:style>
  <w:style w:type="paragraph" w:styleId="42">
    <w:name w:val="toc 6"/>
    <w:basedOn w:val="1"/>
    <w:next w:val="1"/>
    <w:unhideWhenUsed/>
    <w:qFormat/>
    <w:uiPriority w:val="39"/>
    <w:pPr>
      <w:ind w:left="2100" w:leftChars="1000"/>
    </w:pPr>
    <w:rPr>
      <w:rFonts w:ascii="Calibri" w:hAnsi="Calibri"/>
      <w:szCs w:val="22"/>
    </w:rPr>
  </w:style>
  <w:style w:type="paragraph" w:styleId="43">
    <w:name w:val="Body Text Indent 3"/>
    <w:basedOn w:val="1"/>
    <w:qFormat/>
    <w:uiPriority w:val="0"/>
    <w:pPr>
      <w:spacing w:line="360" w:lineRule="auto"/>
      <w:ind w:left="220"/>
      <w:jc w:val="left"/>
    </w:pPr>
    <w:rPr>
      <w:rFonts w:ascii="仿宋_GB2312" w:eastAsia="仿宋_GB2312"/>
      <w:color w:val="000000"/>
      <w:sz w:val="24"/>
    </w:rPr>
  </w:style>
  <w:style w:type="paragraph" w:styleId="44">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45">
    <w:name w:val="toc 9"/>
    <w:basedOn w:val="1"/>
    <w:next w:val="1"/>
    <w:unhideWhenUsed/>
    <w:qFormat/>
    <w:uiPriority w:val="39"/>
    <w:pPr>
      <w:ind w:left="3360" w:leftChars="1600"/>
    </w:pPr>
    <w:rPr>
      <w:rFonts w:ascii="Calibri" w:hAnsi="Calibri"/>
      <w:szCs w:val="22"/>
    </w:rPr>
  </w:style>
  <w:style w:type="paragraph" w:styleId="46">
    <w:name w:val="Body Text 2"/>
    <w:basedOn w:val="1"/>
    <w:qFormat/>
    <w:uiPriority w:val="0"/>
    <w:pPr>
      <w:spacing w:line="560" w:lineRule="exact"/>
    </w:pPr>
    <w:rPr>
      <w:rFonts w:ascii="仿宋_GB2312" w:eastAsia="仿宋_GB2312"/>
      <w:sz w:val="24"/>
    </w:rPr>
  </w:style>
  <w:style w:type="paragraph" w:styleId="47">
    <w:name w:val="HTML Preformatted"/>
    <w:basedOn w:val="1"/>
    <w:link w:val="93"/>
    <w:qFormat/>
    <w:uiPriority w:val="99"/>
    <w:rPr>
      <w:rFonts w:ascii="Arial Unicode MS" w:hAnsi="Arial Unicode MS" w:eastAsia="Arial Unicode MS"/>
      <w:kern w:val="0"/>
      <w:sz w:val="20"/>
      <w:szCs w:val="20"/>
    </w:rPr>
  </w:style>
  <w:style w:type="paragraph" w:styleId="48">
    <w:name w:val="Normal (Web)"/>
    <w:basedOn w:val="1"/>
    <w:link w:val="94"/>
    <w:qFormat/>
    <w:uiPriority w:val="0"/>
    <w:pPr>
      <w:widowControl/>
      <w:jc w:val="left"/>
    </w:pPr>
    <w:rPr>
      <w:rFonts w:ascii="宋体" w:hAnsi="宋体"/>
      <w:kern w:val="0"/>
      <w:sz w:val="24"/>
    </w:rPr>
  </w:style>
  <w:style w:type="paragraph" w:styleId="49">
    <w:name w:val="Title"/>
    <w:basedOn w:val="1"/>
    <w:next w:val="1"/>
    <w:link w:val="95"/>
    <w:qFormat/>
    <w:uiPriority w:val="1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50">
    <w:name w:val="annotation subject"/>
    <w:basedOn w:val="19"/>
    <w:next w:val="19"/>
    <w:link w:val="96"/>
    <w:unhideWhenUsed/>
    <w:qFormat/>
    <w:uiPriority w:val="99"/>
    <w:rPr>
      <w:rFonts w:ascii="Calibri" w:hAnsi="Calibri"/>
      <w:b/>
      <w:bCs/>
      <w:szCs w:val="22"/>
    </w:rPr>
  </w:style>
  <w:style w:type="paragraph" w:styleId="51">
    <w:name w:val="Body Text First Indent 2"/>
    <w:basedOn w:val="23"/>
    <w:qFormat/>
    <w:uiPriority w:val="0"/>
    <w:pPr>
      <w:spacing w:after="120"/>
      <w:ind w:left="420" w:leftChars="200" w:firstLine="420" w:firstLineChars="200"/>
    </w:pPr>
    <w:rPr>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Elegant"/>
    <w:basedOn w:val="5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4"/>
    <w:basedOn w:val="52"/>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7">
    <w:name w:val="Strong"/>
    <w:qFormat/>
    <w:uiPriority w:val="22"/>
  </w:style>
  <w:style w:type="character" w:styleId="58">
    <w:name w:val="page number"/>
    <w:qFormat/>
    <w:uiPriority w:val="0"/>
  </w:style>
  <w:style w:type="character" w:styleId="59">
    <w:name w:val="FollowedHyperlink"/>
    <w:qFormat/>
    <w:uiPriority w:val="0"/>
    <w:rPr>
      <w:rFonts w:hint="eastAsia" w:ascii="微软雅黑" w:hAnsi="微软雅黑" w:eastAsia="微软雅黑" w:cs="微软雅黑"/>
      <w:color w:val="02396F"/>
      <w:u w:val="single"/>
    </w:rPr>
  </w:style>
  <w:style w:type="character" w:styleId="60">
    <w:name w:val="Emphasis"/>
    <w:qFormat/>
    <w:uiPriority w:val="0"/>
    <w:rPr>
      <w:color w:val="CC0000"/>
    </w:rPr>
  </w:style>
  <w:style w:type="character" w:styleId="61">
    <w:name w:val="HTML Definition"/>
    <w:qFormat/>
    <w:uiPriority w:val="0"/>
  </w:style>
  <w:style w:type="character" w:styleId="62">
    <w:name w:val="HTML Acronym"/>
    <w:qFormat/>
    <w:uiPriority w:val="0"/>
  </w:style>
  <w:style w:type="character" w:styleId="63">
    <w:name w:val="HTML Variable"/>
    <w:qFormat/>
    <w:uiPriority w:val="0"/>
  </w:style>
  <w:style w:type="character" w:styleId="64">
    <w:name w:val="Hyperlink"/>
    <w:qFormat/>
    <w:uiPriority w:val="99"/>
    <w:rPr>
      <w:rFonts w:hint="eastAsia" w:ascii="微软雅黑" w:hAnsi="微软雅黑" w:eastAsia="微软雅黑" w:cs="微软雅黑"/>
      <w:color w:val="02396F"/>
      <w:u w:val="single"/>
    </w:rPr>
  </w:style>
  <w:style w:type="character" w:styleId="65">
    <w:name w:val="HTML Code"/>
    <w:qFormat/>
    <w:uiPriority w:val="0"/>
    <w:rPr>
      <w:rFonts w:ascii="Courier New" w:hAnsi="Courier New"/>
      <w:sz w:val="20"/>
    </w:rPr>
  </w:style>
  <w:style w:type="character" w:styleId="66">
    <w:name w:val="annotation reference"/>
    <w:qFormat/>
    <w:uiPriority w:val="99"/>
    <w:rPr>
      <w:sz w:val="21"/>
      <w:szCs w:val="21"/>
    </w:rPr>
  </w:style>
  <w:style w:type="character" w:styleId="67">
    <w:name w:val="HTML Cite"/>
    <w:qFormat/>
    <w:uiPriority w:val="0"/>
  </w:style>
  <w:style w:type="character" w:styleId="68">
    <w:name w:val="HTML Sample"/>
    <w:qFormat/>
    <w:uiPriority w:val="0"/>
    <w:rPr>
      <w:rFonts w:ascii="Courier New" w:hAnsi="Courier New"/>
    </w:rPr>
  </w:style>
  <w:style w:type="paragraph" w:customStyle="1" w:styleId="69">
    <w:name w:val="_Style 10"/>
    <w:basedOn w:val="1"/>
    <w:qFormat/>
    <w:uiPriority w:val="0"/>
    <w:rPr>
      <w:rFonts w:ascii="仿宋_GB2312" w:eastAsia="仿宋_GB2312"/>
      <w:b/>
      <w:sz w:val="32"/>
      <w:szCs w:val="32"/>
    </w:rPr>
  </w:style>
  <w:style w:type="character" w:customStyle="1" w:styleId="70">
    <w:name w:val="正文文本 字符"/>
    <w:link w:val="21"/>
    <w:qFormat/>
    <w:uiPriority w:val="0"/>
    <w:rPr>
      <w:rFonts w:ascii="仿宋_GB2312" w:eastAsia="仿宋_GB2312"/>
      <w:kern w:val="2"/>
      <w:sz w:val="28"/>
      <w:szCs w:val="24"/>
    </w:rPr>
  </w:style>
  <w:style w:type="character" w:customStyle="1" w:styleId="71">
    <w:name w:val="正文文本首行缩进 字符"/>
    <w:link w:val="22"/>
    <w:qFormat/>
    <w:uiPriority w:val="0"/>
    <w:rPr>
      <w:rFonts w:ascii="仿宋_GB2312" w:eastAsia="仿宋_GB2312"/>
      <w:kern w:val="2"/>
      <w:sz w:val="28"/>
      <w:szCs w:val="24"/>
      <w:lang w:val="zh-CN"/>
    </w:rPr>
  </w:style>
  <w:style w:type="character" w:customStyle="1" w:styleId="72">
    <w:name w:val="标题 1 字符"/>
    <w:link w:val="3"/>
    <w:qFormat/>
    <w:uiPriority w:val="0"/>
    <w:rPr>
      <w:rFonts w:ascii="仿宋_GB2312" w:eastAsia="仿宋_GB2312"/>
      <w:b/>
      <w:kern w:val="2"/>
      <w:sz w:val="44"/>
      <w:szCs w:val="24"/>
      <w:lang w:val="en-US" w:eastAsia="zh-CN" w:bidi="ar-SA"/>
    </w:rPr>
  </w:style>
  <w:style w:type="character" w:customStyle="1" w:styleId="73">
    <w:name w:val="标题 2 字符"/>
    <w:link w:val="4"/>
    <w:qFormat/>
    <w:uiPriority w:val="0"/>
    <w:rPr>
      <w:rFonts w:ascii="仿宋_GB2312" w:eastAsia="仿宋_GB2312"/>
      <w:b/>
      <w:sz w:val="36"/>
    </w:rPr>
  </w:style>
  <w:style w:type="character" w:customStyle="1" w:styleId="74">
    <w:name w:val="标题 3 字符1"/>
    <w:link w:val="5"/>
    <w:qFormat/>
    <w:uiPriority w:val="0"/>
    <w:rPr>
      <w:rFonts w:ascii="仿宋_GB2312" w:eastAsia="仿宋_GB2312"/>
      <w:b/>
      <w:bCs/>
      <w:kern w:val="2"/>
      <w:sz w:val="30"/>
    </w:rPr>
  </w:style>
  <w:style w:type="character" w:customStyle="1" w:styleId="75">
    <w:name w:val="标题 4 字符"/>
    <w:link w:val="6"/>
    <w:qFormat/>
    <w:uiPriority w:val="0"/>
    <w:rPr>
      <w:rFonts w:ascii="Arial" w:hAnsi="Arial" w:eastAsia="黑体"/>
      <w:b/>
      <w:color w:val="000000"/>
      <w:kern w:val="2"/>
      <w:sz w:val="28"/>
    </w:rPr>
  </w:style>
  <w:style w:type="character" w:customStyle="1" w:styleId="76">
    <w:name w:val="标题 5 字符"/>
    <w:link w:val="7"/>
    <w:qFormat/>
    <w:uiPriority w:val="0"/>
    <w:rPr>
      <w:b/>
      <w:color w:val="000000"/>
      <w:kern w:val="2"/>
      <w:sz w:val="28"/>
    </w:rPr>
  </w:style>
  <w:style w:type="character" w:customStyle="1" w:styleId="77">
    <w:name w:val="标题 6 字符"/>
    <w:link w:val="8"/>
    <w:qFormat/>
    <w:uiPriority w:val="0"/>
    <w:rPr>
      <w:rFonts w:ascii="Arial" w:hAnsi="Arial" w:eastAsia="黑体"/>
      <w:b/>
      <w:color w:val="000000"/>
      <w:kern w:val="2"/>
      <w:sz w:val="24"/>
    </w:rPr>
  </w:style>
  <w:style w:type="character" w:customStyle="1" w:styleId="78">
    <w:name w:val="标题 7 字符"/>
    <w:link w:val="9"/>
    <w:qFormat/>
    <w:uiPriority w:val="9"/>
    <w:rPr>
      <w:b/>
      <w:color w:val="000000"/>
      <w:kern w:val="2"/>
      <w:sz w:val="24"/>
    </w:rPr>
  </w:style>
  <w:style w:type="character" w:customStyle="1" w:styleId="79">
    <w:name w:val="标题 8 字符"/>
    <w:link w:val="10"/>
    <w:qFormat/>
    <w:uiPriority w:val="0"/>
    <w:rPr>
      <w:rFonts w:ascii="Arial" w:hAnsi="Arial" w:eastAsia="黑体"/>
      <w:color w:val="000000"/>
      <w:kern w:val="2"/>
      <w:sz w:val="24"/>
    </w:rPr>
  </w:style>
  <w:style w:type="character" w:customStyle="1" w:styleId="80">
    <w:name w:val="标题 9 字符"/>
    <w:link w:val="11"/>
    <w:qFormat/>
    <w:uiPriority w:val="0"/>
    <w:rPr>
      <w:rFonts w:ascii="Arial" w:hAnsi="Arial" w:eastAsia="黑体"/>
      <w:color w:val="000000"/>
      <w:kern w:val="2"/>
      <w:sz w:val="21"/>
    </w:rPr>
  </w:style>
  <w:style w:type="character" w:customStyle="1" w:styleId="81">
    <w:name w:val="正文缩进 字符1"/>
    <w:link w:val="15"/>
    <w:qFormat/>
    <w:uiPriority w:val="0"/>
    <w:rPr>
      <w:kern w:val="2"/>
      <w:sz w:val="21"/>
    </w:rPr>
  </w:style>
  <w:style w:type="character" w:customStyle="1" w:styleId="82">
    <w:name w:val="文档结构图 字符"/>
    <w:link w:val="18"/>
    <w:qFormat/>
    <w:uiPriority w:val="99"/>
    <w:rPr>
      <w:rFonts w:ascii="宋体" w:hAnsi="Tahoma" w:cs="黑体"/>
      <w:sz w:val="18"/>
      <w:szCs w:val="18"/>
    </w:rPr>
  </w:style>
  <w:style w:type="character" w:customStyle="1" w:styleId="83">
    <w:name w:val="批注文字 字符"/>
    <w:link w:val="19"/>
    <w:qFormat/>
    <w:uiPriority w:val="0"/>
    <w:rPr>
      <w:kern w:val="2"/>
      <w:sz w:val="21"/>
      <w:szCs w:val="24"/>
    </w:rPr>
  </w:style>
  <w:style w:type="character" w:customStyle="1" w:styleId="84">
    <w:name w:val="正文文本缩进 字符"/>
    <w:link w:val="23"/>
    <w:qFormat/>
    <w:uiPriority w:val="0"/>
    <w:rPr>
      <w:kern w:val="2"/>
      <w:sz w:val="28"/>
    </w:rPr>
  </w:style>
  <w:style w:type="character" w:customStyle="1" w:styleId="85">
    <w:name w:val="纯文本 字符"/>
    <w:link w:val="29"/>
    <w:qFormat/>
    <w:uiPriority w:val="0"/>
    <w:rPr>
      <w:rFonts w:ascii="宋体" w:hAnsi="Courier New" w:eastAsia="宋体"/>
      <w:kern w:val="2"/>
      <w:sz w:val="21"/>
      <w:lang w:val="en-US" w:eastAsia="zh-CN" w:bidi="ar-SA"/>
    </w:rPr>
  </w:style>
  <w:style w:type="character" w:customStyle="1" w:styleId="86">
    <w:name w:val="日期 字符"/>
    <w:link w:val="31"/>
    <w:qFormat/>
    <w:uiPriority w:val="0"/>
    <w:rPr>
      <w:rFonts w:ascii="仿宋_GB2312" w:eastAsia="仿宋_GB2312"/>
      <w:sz w:val="28"/>
    </w:rPr>
  </w:style>
  <w:style w:type="character" w:customStyle="1" w:styleId="87">
    <w:name w:val="正文文本缩进 2 字符"/>
    <w:link w:val="32"/>
    <w:qFormat/>
    <w:uiPriority w:val="0"/>
    <w:rPr>
      <w:rFonts w:eastAsia="仿宋_GB2312"/>
      <w:kern w:val="2"/>
      <w:sz w:val="24"/>
      <w:szCs w:val="24"/>
    </w:rPr>
  </w:style>
  <w:style w:type="character" w:customStyle="1" w:styleId="88">
    <w:name w:val="批注框文本 字符"/>
    <w:link w:val="33"/>
    <w:qFormat/>
    <w:uiPriority w:val="0"/>
    <w:rPr>
      <w:kern w:val="2"/>
      <w:sz w:val="18"/>
      <w:szCs w:val="18"/>
    </w:rPr>
  </w:style>
  <w:style w:type="character" w:customStyle="1" w:styleId="89">
    <w:name w:val="页脚 字符"/>
    <w:link w:val="34"/>
    <w:qFormat/>
    <w:uiPriority w:val="99"/>
    <w:rPr>
      <w:kern w:val="2"/>
      <w:sz w:val="18"/>
      <w:szCs w:val="18"/>
    </w:rPr>
  </w:style>
  <w:style w:type="character" w:customStyle="1" w:styleId="90">
    <w:name w:val="页眉 字符"/>
    <w:link w:val="36"/>
    <w:qFormat/>
    <w:uiPriority w:val="99"/>
    <w:rPr>
      <w:sz w:val="18"/>
    </w:rPr>
  </w:style>
  <w:style w:type="character" w:customStyle="1" w:styleId="91">
    <w:name w:val="签名 字符"/>
    <w:link w:val="37"/>
    <w:qFormat/>
    <w:uiPriority w:val="0"/>
    <w:rPr>
      <w:rFonts w:ascii="Arial" w:hAnsi="Arial"/>
      <w:spacing w:val="-5"/>
      <w:sz w:val="24"/>
    </w:rPr>
  </w:style>
  <w:style w:type="character" w:customStyle="1" w:styleId="92">
    <w:name w:val="副标题 字符"/>
    <w:link w:val="40"/>
    <w:qFormat/>
    <w:uiPriority w:val="11"/>
    <w:rPr>
      <w:rFonts w:ascii="Cambria" w:hAnsi="Cambria"/>
      <w:b/>
      <w:bCs/>
      <w:kern w:val="28"/>
      <w:sz w:val="32"/>
      <w:szCs w:val="32"/>
    </w:rPr>
  </w:style>
  <w:style w:type="character" w:customStyle="1" w:styleId="93">
    <w:name w:val="HTML 预设格式 字符"/>
    <w:link w:val="47"/>
    <w:qFormat/>
    <w:uiPriority w:val="99"/>
    <w:rPr>
      <w:rFonts w:ascii="Arial Unicode MS" w:hAnsi="Arial Unicode MS" w:eastAsia="Arial Unicode MS"/>
    </w:rPr>
  </w:style>
  <w:style w:type="character" w:customStyle="1" w:styleId="94">
    <w:name w:val="普通(网站) 字符"/>
    <w:link w:val="48"/>
    <w:qFormat/>
    <w:uiPriority w:val="0"/>
    <w:rPr>
      <w:rFonts w:ascii="宋体" w:hAnsi="宋体" w:cs="宋体"/>
      <w:sz w:val="24"/>
      <w:szCs w:val="24"/>
    </w:rPr>
  </w:style>
  <w:style w:type="character" w:customStyle="1" w:styleId="95">
    <w:name w:val="标题 字符"/>
    <w:link w:val="49"/>
    <w:qFormat/>
    <w:uiPriority w:val="10"/>
    <w:rPr>
      <w:rFonts w:eastAsia="黑体"/>
      <w:b/>
      <w:sz w:val="28"/>
      <w:lang w:val="en-GB"/>
    </w:rPr>
  </w:style>
  <w:style w:type="character" w:customStyle="1" w:styleId="96">
    <w:name w:val="批注主题 字符"/>
    <w:link w:val="50"/>
    <w:qFormat/>
    <w:uiPriority w:val="99"/>
    <w:rPr>
      <w:rFonts w:ascii="Calibri" w:hAnsi="Calibri"/>
      <w:b/>
      <w:bCs/>
      <w:kern w:val="2"/>
      <w:sz w:val="21"/>
      <w:szCs w:val="22"/>
    </w:rPr>
  </w:style>
  <w:style w:type="paragraph" w:customStyle="1" w:styleId="97">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9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9">
    <w:name w:val="Body Text First Indent1"/>
    <w:basedOn w:val="21"/>
    <w:qFormat/>
    <w:uiPriority w:val="0"/>
    <w:pPr>
      <w:tabs>
        <w:tab w:val="left" w:pos="3380"/>
        <w:tab w:val="clear" w:pos="208"/>
      </w:tabs>
      <w:ind w:firstLine="420" w:firstLineChars="100"/>
      <w:jc w:val="center"/>
    </w:pPr>
  </w:style>
  <w:style w:type="paragraph" w:customStyle="1" w:styleId="100">
    <w:name w:val="List Paragraph1"/>
    <w:basedOn w:val="1"/>
    <w:qFormat/>
    <w:uiPriority w:val="99"/>
    <w:pPr>
      <w:ind w:firstLine="420" w:firstLineChars="200"/>
    </w:pPr>
    <w:rPr>
      <w:rFonts w:ascii="Calibri" w:hAnsi="Calibri"/>
      <w:szCs w:val="22"/>
    </w:rPr>
  </w:style>
  <w:style w:type="paragraph" w:customStyle="1" w:styleId="101">
    <w:name w:val="正文首行缩进2字符"/>
    <w:basedOn w:val="1"/>
    <w:qFormat/>
    <w:uiPriority w:val="0"/>
    <w:pPr>
      <w:widowControl/>
      <w:adjustRightInd w:val="0"/>
      <w:snapToGrid w:val="0"/>
    </w:pPr>
  </w:style>
  <w:style w:type="paragraph" w:customStyle="1" w:styleId="102">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 w:type="character" w:customStyle="1" w:styleId="103">
    <w:name w:val="prev1"/>
    <w:qFormat/>
    <w:uiPriority w:val="0"/>
    <w:rPr>
      <w:color w:val="888888"/>
    </w:rPr>
  </w:style>
  <w:style w:type="character" w:customStyle="1" w:styleId="104">
    <w:name w:val="font41"/>
    <w:basedOn w:val="56"/>
    <w:qFormat/>
    <w:uiPriority w:val="0"/>
    <w:rPr>
      <w:rFonts w:hint="eastAsia" w:ascii="宋体" w:hAnsi="宋体" w:eastAsia="宋体" w:cs="宋体"/>
      <w:color w:val="000000"/>
      <w:sz w:val="24"/>
      <w:szCs w:val="24"/>
      <w:u w:val="none"/>
    </w:rPr>
  </w:style>
  <w:style w:type="character" w:customStyle="1" w:styleId="105">
    <w:name w:val="htd0"/>
    <w:qFormat/>
    <w:uiPriority w:val="0"/>
  </w:style>
  <w:style w:type="character" w:customStyle="1" w:styleId="106">
    <w:name w:val="style21"/>
    <w:qFormat/>
    <w:uiPriority w:val="0"/>
    <w:rPr>
      <w:color w:val="003366"/>
    </w:rPr>
  </w:style>
  <w:style w:type="character" w:customStyle="1" w:styleId="107">
    <w:name w:val="font01"/>
    <w:qFormat/>
    <w:uiPriority w:val="0"/>
    <w:rPr>
      <w:rFonts w:hint="default" w:ascii="Times New Roman" w:hAnsi="Times New Roman" w:cs="Times New Roman"/>
      <w:color w:val="000000"/>
      <w:sz w:val="20"/>
      <w:szCs w:val="20"/>
      <w:u w:val="none"/>
    </w:rPr>
  </w:style>
  <w:style w:type="character" w:customStyle="1" w:styleId="108">
    <w:name w:val="p141"/>
    <w:qFormat/>
    <w:uiPriority w:val="0"/>
    <w:rPr>
      <w:sz w:val="21"/>
      <w:szCs w:val="21"/>
      <w:u w:val="none"/>
    </w:rPr>
  </w:style>
  <w:style w:type="character" w:customStyle="1" w:styleId="109">
    <w:name w:val="gjfg"/>
    <w:qFormat/>
    <w:uiPriority w:val="0"/>
  </w:style>
  <w:style w:type="character" w:customStyle="1" w:styleId="110">
    <w:name w:val="titlestylelight1"/>
    <w:qFormat/>
    <w:uiPriority w:val="0"/>
    <w:rPr>
      <w:rFonts w:hint="default" w:ascii="Arial" w:hAnsi="Arial" w:cs="Arial"/>
      <w:b/>
      <w:bCs/>
      <w:color w:val="666666"/>
      <w:sz w:val="18"/>
      <w:szCs w:val="18"/>
    </w:rPr>
  </w:style>
  <w:style w:type="character" w:customStyle="1" w:styleId="111">
    <w:name w:val="_Style 110"/>
    <w:qFormat/>
    <w:uiPriority w:val="21"/>
    <w:rPr>
      <w:b/>
      <w:bCs/>
      <w:i/>
      <w:iCs/>
      <w:color w:val="4F81BD"/>
    </w:rPr>
  </w:style>
  <w:style w:type="character" w:customStyle="1" w:styleId="112">
    <w:name w:val="font181"/>
    <w:qFormat/>
    <w:uiPriority w:val="0"/>
    <w:rPr>
      <w:rFonts w:ascii="Wingdings 2" w:hAnsi="Wingdings 2" w:eastAsia="Wingdings 2" w:cs="Wingdings 2"/>
      <w:color w:val="000000"/>
      <w:sz w:val="24"/>
      <w:szCs w:val="24"/>
      <w:u w:val="none"/>
    </w:rPr>
  </w:style>
  <w:style w:type="character" w:customStyle="1" w:styleId="113">
    <w:name w:val="标题 1 Char Char"/>
    <w:qFormat/>
    <w:uiPriority w:val="0"/>
    <w:rPr>
      <w:rFonts w:eastAsia="宋体"/>
      <w:spacing w:val="-2"/>
      <w:sz w:val="24"/>
      <w:lang w:val="en-US" w:eastAsia="zh-CN" w:bidi="ar-SA"/>
    </w:rPr>
  </w:style>
  <w:style w:type="character" w:customStyle="1" w:styleId="114">
    <w:name w:val="font161"/>
    <w:qFormat/>
    <w:uiPriority w:val="0"/>
    <w:rPr>
      <w:rFonts w:hint="default" w:ascii="Times New Roman" w:hAnsi="Times New Roman" w:cs="Times New Roman"/>
      <w:color w:val="000000"/>
      <w:sz w:val="24"/>
      <w:szCs w:val="24"/>
      <w:u w:val="none"/>
    </w:rPr>
  </w:style>
  <w:style w:type="character" w:customStyle="1" w:styleId="115">
    <w:name w:val="font151"/>
    <w:qFormat/>
    <w:uiPriority w:val="0"/>
    <w:rPr>
      <w:rFonts w:ascii="Calibri" w:hAnsi="Calibri" w:cs="Calibri"/>
      <w:color w:val="000000"/>
      <w:sz w:val="24"/>
      <w:szCs w:val="24"/>
      <w:u w:val="none"/>
    </w:rPr>
  </w:style>
  <w:style w:type="character" w:customStyle="1" w:styleId="116">
    <w:name w:val="纯文本 Char1_0"/>
    <w:link w:val="117"/>
    <w:qFormat/>
    <w:locked/>
    <w:uiPriority w:val="0"/>
    <w:rPr>
      <w:rFonts w:ascii="宋体" w:hAnsi="Courier New"/>
    </w:rPr>
  </w:style>
  <w:style w:type="paragraph" w:customStyle="1" w:styleId="117">
    <w:name w:val="纯文本_0"/>
    <w:basedOn w:val="1"/>
    <w:link w:val="116"/>
    <w:unhideWhenUsed/>
    <w:qFormat/>
    <w:uiPriority w:val="0"/>
    <w:rPr>
      <w:rFonts w:ascii="宋体" w:hAnsi="Courier New"/>
      <w:kern w:val="0"/>
      <w:sz w:val="20"/>
      <w:szCs w:val="20"/>
    </w:rPr>
  </w:style>
  <w:style w:type="character" w:customStyle="1" w:styleId="118">
    <w:name w:val="正文缩进 Char1"/>
    <w:qFormat/>
    <w:uiPriority w:val="0"/>
    <w:rPr>
      <w:rFonts w:ascii="Times New Roman" w:hAnsi="Times New Roman" w:eastAsia="宋体" w:cs="Times New Roman"/>
      <w:szCs w:val="20"/>
    </w:rPr>
  </w:style>
  <w:style w:type="character" w:customStyle="1" w:styleId="119">
    <w:name w:val="headline-content2"/>
    <w:qFormat/>
    <w:uiPriority w:val="0"/>
  </w:style>
  <w:style w:type="character" w:customStyle="1" w:styleId="120">
    <w:name w:val="Char Char1"/>
    <w:link w:val="121"/>
    <w:qFormat/>
    <w:locked/>
    <w:uiPriority w:val="0"/>
    <w:rPr>
      <w:rFonts w:ascii="Tahoma" w:hAnsi="Tahoma" w:cs="仿宋_GB2312"/>
      <w:kern w:val="2"/>
      <w:sz w:val="24"/>
      <w:szCs w:val="28"/>
    </w:rPr>
  </w:style>
  <w:style w:type="paragraph" w:customStyle="1" w:styleId="121">
    <w:name w:val="Char"/>
    <w:basedOn w:val="1"/>
    <w:link w:val="120"/>
    <w:qFormat/>
    <w:uiPriority w:val="0"/>
    <w:rPr>
      <w:rFonts w:ascii="Tahoma" w:hAnsi="Tahoma"/>
      <w:sz w:val="24"/>
      <w:szCs w:val="28"/>
    </w:rPr>
  </w:style>
  <w:style w:type="character" w:customStyle="1" w:styleId="122">
    <w:name w:val="纯文本 Char1_4_3"/>
    <w:link w:val="123"/>
    <w:qFormat/>
    <w:uiPriority w:val="0"/>
    <w:rPr>
      <w:rFonts w:ascii="宋体" w:hAnsi="Courier New"/>
      <w:kern w:val="2"/>
      <w:sz w:val="21"/>
    </w:rPr>
  </w:style>
  <w:style w:type="paragraph" w:customStyle="1" w:styleId="123">
    <w:name w:val="纯文本_5_0"/>
    <w:basedOn w:val="1"/>
    <w:link w:val="122"/>
    <w:qFormat/>
    <w:uiPriority w:val="0"/>
    <w:rPr>
      <w:rFonts w:ascii="宋体" w:hAnsi="Courier New"/>
      <w:szCs w:val="20"/>
    </w:rPr>
  </w:style>
  <w:style w:type="character" w:customStyle="1" w:styleId="124">
    <w:name w:val="无间隔 字符"/>
    <w:link w:val="125"/>
    <w:qFormat/>
    <w:uiPriority w:val="1"/>
    <w:rPr>
      <w:rFonts w:ascii="等线" w:hAnsi="等线" w:eastAsia="等线"/>
      <w:sz w:val="22"/>
      <w:szCs w:val="22"/>
      <w:lang w:val="en-US" w:eastAsia="zh-CN" w:bidi="ar-SA"/>
    </w:rPr>
  </w:style>
  <w:style w:type="paragraph" w:customStyle="1" w:styleId="125">
    <w:name w:val="无间隔1"/>
    <w:link w:val="124"/>
    <w:qFormat/>
    <w:uiPriority w:val="1"/>
    <w:rPr>
      <w:rFonts w:ascii="等线" w:hAnsi="等线" w:eastAsia="等线" w:cs="Times New Roman"/>
      <w:sz w:val="22"/>
      <w:szCs w:val="22"/>
      <w:lang w:val="en-US" w:eastAsia="zh-CN" w:bidi="ar-SA"/>
    </w:rPr>
  </w:style>
  <w:style w:type="character" w:customStyle="1" w:styleId="126">
    <w:name w:val="redfilenumber"/>
    <w:qFormat/>
    <w:uiPriority w:val="0"/>
    <w:rPr>
      <w:color w:val="BA2636"/>
      <w:sz w:val="18"/>
      <w:szCs w:val="18"/>
    </w:rPr>
  </w:style>
  <w:style w:type="character" w:customStyle="1" w:styleId="127">
    <w:name w:val="明显强调1"/>
    <w:qFormat/>
    <w:uiPriority w:val="0"/>
    <w:rPr>
      <w:b/>
      <w:bCs/>
      <w:i/>
      <w:iCs/>
      <w:color w:val="4F81BD"/>
    </w:rPr>
  </w:style>
  <w:style w:type="character" w:customStyle="1" w:styleId="128">
    <w:name w:val="样式 正文缩进 + 首行缩进:  2 字符 Char"/>
    <w:link w:val="129"/>
    <w:qFormat/>
    <w:uiPriority w:val="0"/>
    <w:rPr>
      <w:rFonts w:ascii="Tahoma" w:hAnsi="Tahoma"/>
    </w:rPr>
  </w:style>
  <w:style w:type="paragraph" w:customStyle="1" w:styleId="129">
    <w:name w:val="样式 正文缩进 + 首行缩进:  2 字符"/>
    <w:basedOn w:val="15"/>
    <w:link w:val="128"/>
    <w:qFormat/>
    <w:uiPriority w:val="0"/>
    <w:pPr>
      <w:spacing w:line="360" w:lineRule="auto"/>
      <w:ind w:firstLine="200" w:firstLineChars="200"/>
    </w:pPr>
    <w:rPr>
      <w:rFonts w:ascii="Tahoma" w:hAnsi="Tahoma"/>
      <w:kern w:val="0"/>
      <w:sz w:val="20"/>
    </w:rPr>
  </w:style>
  <w:style w:type="character" w:customStyle="1" w:styleId="130">
    <w:name w:val="font91"/>
    <w:qFormat/>
    <w:uiPriority w:val="0"/>
    <w:rPr>
      <w:rFonts w:hint="eastAsia" w:ascii="宋体" w:hAnsi="宋体" w:eastAsia="宋体" w:cs="宋体"/>
      <w:color w:val="000000"/>
      <w:sz w:val="24"/>
      <w:szCs w:val="24"/>
      <w:u w:val="none"/>
    </w:rPr>
  </w:style>
  <w:style w:type="character" w:customStyle="1" w:styleId="131">
    <w:name w:val="_Style 130"/>
    <w:qFormat/>
    <w:uiPriority w:val="31"/>
    <w:rPr>
      <w:smallCaps/>
      <w:color w:val="C0504D"/>
      <w:u w:val="single"/>
    </w:rPr>
  </w:style>
  <w:style w:type="character" w:customStyle="1" w:styleId="132">
    <w:name w:val="font81"/>
    <w:qFormat/>
    <w:uiPriority w:val="0"/>
    <w:rPr>
      <w:rFonts w:hint="eastAsia" w:ascii="宋体" w:hAnsi="宋体" w:eastAsia="宋体" w:cs="宋体"/>
      <w:color w:val="000000"/>
      <w:sz w:val="24"/>
      <w:szCs w:val="24"/>
      <w:u w:val="none"/>
    </w:rPr>
  </w:style>
  <w:style w:type="character" w:customStyle="1" w:styleId="133">
    <w:name w:val="HTML 预设格式 Char1"/>
    <w:qFormat/>
    <w:uiPriority w:val="0"/>
    <w:rPr>
      <w:rFonts w:ascii="Courier New" w:hAnsi="Courier New" w:cs="Courier New"/>
      <w:kern w:val="2"/>
    </w:rPr>
  </w:style>
  <w:style w:type="character" w:customStyle="1" w:styleId="134">
    <w:name w:val="font111"/>
    <w:qFormat/>
    <w:uiPriority w:val="0"/>
    <w:rPr>
      <w:rFonts w:hint="default" w:ascii="Calibri" w:hAnsi="Calibri" w:cs="Calibri"/>
      <w:color w:val="000000"/>
      <w:sz w:val="20"/>
      <w:szCs w:val="20"/>
      <w:u w:val="none"/>
    </w:rPr>
  </w:style>
  <w:style w:type="character" w:customStyle="1" w:styleId="135">
    <w:name w:val="font31"/>
    <w:qFormat/>
    <w:uiPriority w:val="0"/>
    <w:rPr>
      <w:rFonts w:ascii="Arial" w:hAnsi="Arial" w:cs="Arial"/>
      <w:color w:val="000000"/>
      <w:sz w:val="21"/>
      <w:szCs w:val="21"/>
      <w:u w:val="none"/>
    </w:rPr>
  </w:style>
  <w:style w:type="character" w:customStyle="1" w:styleId="136">
    <w:name w:val="head 1.1.1 Char"/>
    <w:link w:val="137"/>
    <w:qFormat/>
    <w:uiPriority w:val="0"/>
    <w:rPr>
      <w:bCs/>
      <w:kern w:val="2"/>
      <w:sz w:val="21"/>
      <w:szCs w:val="24"/>
    </w:rPr>
  </w:style>
  <w:style w:type="paragraph" w:customStyle="1" w:styleId="137">
    <w:name w:val="head 1.1.1"/>
    <w:basedOn w:val="138"/>
    <w:link w:val="136"/>
    <w:qFormat/>
    <w:uiPriority w:val="0"/>
    <w:pPr>
      <w:numPr>
        <w:ilvl w:val="2"/>
        <w:numId w:val="1"/>
      </w:numPr>
      <w:ind w:firstLine="0" w:firstLineChars="0"/>
    </w:pPr>
    <w:rPr>
      <w:rFonts w:ascii="Times New Roman" w:hAnsi="Times New Roman"/>
      <w:bCs/>
      <w:szCs w:val="24"/>
    </w:rPr>
  </w:style>
  <w:style w:type="paragraph" w:styleId="138">
    <w:name w:val="List Paragraph"/>
    <w:basedOn w:val="1"/>
    <w:link w:val="139"/>
    <w:qFormat/>
    <w:uiPriority w:val="34"/>
    <w:pPr>
      <w:ind w:firstLine="420" w:firstLineChars="200"/>
    </w:pPr>
    <w:rPr>
      <w:rFonts w:ascii="Calibri" w:hAnsi="Calibri"/>
      <w:szCs w:val="22"/>
    </w:rPr>
  </w:style>
  <w:style w:type="character" w:customStyle="1" w:styleId="139">
    <w:name w:val="列表段落 字符"/>
    <w:link w:val="138"/>
    <w:qFormat/>
    <w:locked/>
    <w:uiPriority w:val="34"/>
    <w:rPr>
      <w:rFonts w:ascii="Calibri" w:hAnsi="Calibri"/>
      <w:kern w:val="2"/>
      <w:sz w:val="21"/>
      <w:szCs w:val="22"/>
    </w:rPr>
  </w:style>
  <w:style w:type="character" w:customStyle="1" w:styleId="140">
    <w:name w:val="SANGFOR_6_正文 Char"/>
    <w:link w:val="141"/>
    <w:qFormat/>
    <w:uiPriority w:val="0"/>
    <w:rPr>
      <w:rFonts w:ascii="楷体_gb18030" w:hAnsi="Verdana" w:eastAsia="楷体_gb18030"/>
      <w:color w:val="000000"/>
      <w:kern w:val="2"/>
      <w:sz w:val="28"/>
      <w:szCs w:val="28"/>
    </w:rPr>
  </w:style>
  <w:style w:type="paragraph" w:customStyle="1" w:styleId="141">
    <w:name w:val="SANGFOR_6_正文"/>
    <w:basedOn w:val="1"/>
    <w:link w:val="140"/>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42">
    <w:name w:val="SANGFOR_3_标题3 Char"/>
    <w:link w:val="143"/>
    <w:qFormat/>
    <w:uiPriority w:val="0"/>
    <w:rPr>
      <w:rFonts w:ascii="黑体" w:hAnsi="黑体" w:eastAsia="黑体"/>
      <w:b/>
      <w:bCs/>
      <w:kern w:val="2"/>
      <w:sz w:val="36"/>
      <w:szCs w:val="36"/>
    </w:rPr>
  </w:style>
  <w:style w:type="paragraph" w:customStyle="1" w:styleId="143">
    <w:name w:val="SANGFOR_3_标题3"/>
    <w:basedOn w:val="5"/>
    <w:next w:val="1"/>
    <w:link w:val="142"/>
    <w:qFormat/>
    <w:uiPriority w:val="0"/>
    <w:pPr>
      <w:spacing w:beforeLines="50" w:afterLines="50" w:line="240" w:lineRule="auto"/>
      <w:ind w:left="142" w:firstLine="0" w:firstLineChars="0"/>
    </w:pPr>
    <w:rPr>
      <w:rFonts w:ascii="黑体" w:hAnsi="黑体" w:eastAsia="黑体"/>
      <w:sz w:val="36"/>
      <w:szCs w:val="36"/>
    </w:rPr>
  </w:style>
  <w:style w:type="character" w:customStyle="1" w:styleId="144">
    <w:name w:val="我的正文 Char"/>
    <w:link w:val="145"/>
    <w:qFormat/>
    <w:uiPriority w:val="0"/>
    <w:rPr>
      <w:sz w:val="24"/>
      <w:szCs w:val="24"/>
    </w:rPr>
  </w:style>
  <w:style w:type="paragraph" w:customStyle="1" w:styleId="145">
    <w:name w:val="我的正文"/>
    <w:basedOn w:val="1"/>
    <w:link w:val="144"/>
    <w:qFormat/>
    <w:uiPriority w:val="0"/>
    <w:pPr>
      <w:spacing w:line="360" w:lineRule="auto"/>
      <w:ind w:hanging="202" w:hangingChars="202"/>
      <w:jc w:val="left"/>
    </w:pPr>
    <w:rPr>
      <w:kern w:val="0"/>
      <w:sz w:val="24"/>
    </w:rPr>
  </w:style>
  <w:style w:type="character" w:customStyle="1" w:styleId="146">
    <w:name w:val="标题 3 字符"/>
    <w:qFormat/>
    <w:uiPriority w:val="0"/>
    <w:rPr>
      <w:rFonts w:ascii="仿宋_GB2312" w:eastAsia="仿宋_GB2312"/>
      <w:b/>
      <w:bCs/>
      <w:kern w:val="2"/>
      <w:sz w:val="30"/>
    </w:rPr>
  </w:style>
  <w:style w:type="character" w:customStyle="1" w:styleId="147">
    <w:name w:val="displayarti"/>
    <w:qFormat/>
    <w:uiPriority w:val="0"/>
    <w:rPr>
      <w:color w:val="FFFFFF"/>
      <w:shd w:val="clear" w:color="auto" w:fill="A00000"/>
    </w:rPr>
  </w:style>
  <w:style w:type="character" w:customStyle="1" w:styleId="148">
    <w:name w:val="_Style 147"/>
    <w:qFormat/>
    <w:uiPriority w:val="33"/>
    <w:rPr>
      <w:b/>
      <w:bCs/>
      <w:smallCaps/>
      <w:spacing w:val="5"/>
    </w:rPr>
  </w:style>
  <w:style w:type="character" w:customStyle="1" w:styleId="149">
    <w:name w:val="页脚 Char Char"/>
    <w:qFormat/>
    <w:uiPriority w:val="0"/>
    <w:rPr>
      <w:sz w:val="18"/>
    </w:rPr>
  </w:style>
  <w:style w:type="character" w:customStyle="1" w:styleId="150">
    <w:name w:val="Char Char1_0"/>
    <w:link w:val="151"/>
    <w:qFormat/>
    <w:uiPriority w:val="0"/>
    <w:rPr>
      <w:rFonts w:ascii="Tahoma" w:hAnsi="Tahoma"/>
      <w:kern w:val="2"/>
      <w:sz w:val="24"/>
    </w:rPr>
  </w:style>
  <w:style w:type="paragraph" w:customStyle="1" w:styleId="151">
    <w:name w:val="Char_0"/>
    <w:basedOn w:val="152"/>
    <w:link w:val="150"/>
    <w:qFormat/>
    <w:uiPriority w:val="0"/>
    <w:rPr>
      <w:rFonts w:ascii="Tahoma" w:hAnsi="Tahoma"/>
      <w:sz w:val="24"/>
      <w:szCs w:val="20"/>
    </w:rPr>
  </w:style>
  <w:style w:type="paragraph" w:customStyle="1" w:styleId="15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批注文字 Char"/>
    <w:qFormat/>
    <w:uiPriority w:val="0"/>
  </w:style>
  <w:style w:type="character" w:customStyle="1" w:styleId="154">
    <w:name w:val="普通文字 Char Char1"/>
    <w:qFormat/>
    <w:uiPriority w:val="0"/>
    <w:rPr>
      <w:rFonts w:ascii="宋体" w:hAnsi="Courier New" w:eastAsia="宋体"/>
      <w:kern w:val="2"/>
      <w:sz w:val="21"/>
      <w:lang w:val="en-US" w:eastAsia="zh-CN" w:bidi="ar-SA"/>
    </w:rPr>
  </w:style>
  <w:style w:type="character" w:customStyle="1" w:styleId="155">
    <w:name w:val="disabled"/>
    <w:qFormat/>
    <w:uiPriority w:val="0"/>
    <w:rPr>
      <w:color w:val="999999"/>
      <w:bdr w:val="single" w:color="C5C5C5" w:sz="6" w:space="0"/>
    </w:rPr>
  </w:style>
  <w:style w:type="character" w:customStyle="1" w:styleId="156">
    <w:name w:val="font71"/>
    <w:qFormat/>
    <w:uiPriority w:val="0"/>
    <w:rPr>
      <w:rFonts w:hint="eastAsia" w:ascii="宋体" w:hAnsi="宋体" w:eastAsia="宋体" w:cs="宋体"/>
      <w:color w:val="000000"/>
      <w:sz w:val="20"/>
      <w:szCs w:val="20"/>
      <w:u w:val="none"/>
    </w:rPr>
  </w:style>
  <w:style w:type="character" w:customStyle="1" w:styleId="157">
    <w:name w:val="font51"/>
    <w:basedOn w:val="56"/>
    <w:qFormat/>
    <w:uiPriority w:val="0"/>
    <w:rPr>
      <w:rFonts w:hint="eastAsia" w:ascii="宋体" w:hAnsi="宋体" w:eastAsia="宋体" w:cs="宋体"/>
      <w:color w:val="000000"/>
      <w:sz w:val="24"/>
      <w:szCs w:val="24"/>
      <w:u w:val="none"/>
    </w:rPr>
  </w:style>
  <w:style w:type="character" w:customStyle="1" w:styleId="158">
    <w:name w:val="_Style 157"/>
    <w:qFormat/>
    <w:uiPriority w:val="32"/>
    <w:rPr>
      <w:b/>
      <w:bCs/>
      <w:smallCaps/>
      <w:color w:val="C0504D"/>
      <w:spacing w:val="5"/>
      <w:u w:val="single"/>
    </w:rPr>
  </w:style>
  <w:style w:type="character" w:customStyle="1" w:styleId="159">
    <w:name w:val="标题 3 Char1"/>
    <w:qFormat/>
    <w:locked/>
    <w:uiPriority w:val="0"/>
    <w:rPr>
      <w:rFonts w:ascii="仿宋_GB2312" w:eastAsia="仿宋_GB2312"/>
      <w:b/>
      <w:bCs/>
      <w:kern w:val="2"/>
      <w:sz w:val="30"/>
    </w:rPr>
  </w:style>
  <w:style w:type="character" w:customStyle="1" w:styleId="160">
    <w:name w:val="prev"/>
    <w:qFormat/>
    <w:uiPriority w:val="0"/>
    <w:rPr>
      <w:rFonts w:hint="eastAsia" w:ascii="微软雅黑" w:hAnsi="微软雅黑" w:eastAsia="微软雅黑" w:cs="微软雅黑"/>
      <w:sz w:val="21"/>
      <w:szCs w:val="21"/>
    </w:rPr>
  </w:style>
  <w:style w:type="character" w:customStyle="1" w:styleId="161">
    <w:name w:val="SANGFOR_4_标题4 Char"/>
    <w:link w:val="162"/>
    <w:qFormat/>
    <w:uiPriority w:val="0"/>
    <w:rPr>
      <w:rFonts w:ascii="Arial" w:hAnsi="Arial" w:eastAsia="黑体"/>
      <w:b/>
      <w:bCs/>
      <w:kern w:val="2"/>
      <w:sz w:val="24"/>
      <w:szCs w:val="24"/>
    </w:rPr>
  </w:style>
  <w:style w:type="paragraph" w:customStyle="1" w:styleId="162">
    <w:name w:val="SANGFOR_4_标题4"/>
    <w:basedOn w:val="6"/>
    <w:next w:val="141"/>
    <w:link w:val="161"/>
    <w:qFormat/>
    <w:uiPriority w:val="0"/>
    <w:pPr>
      <w:keepNext/>
      <w:widowControl w:val="0"/>
      <w:tabs>
        <w:tab w:val="left" w:pos="567"/>
      </w:tabs>
      <w:spacing w:beforeLines="50" w:afterLines="50" w:line="240" w:lineRule="auto"/>
      <w:ind w:left="720" w:hanging="720"/>
    </w:pPr>
    <w:rPr>
      <w:bCs/>
      <w:color w:val="auto"/>
      <w:sz w:val="24"/>
      <w:szCs w:val="24"/>
    </w:rPr>
  </w:style>
  <w:style w:type="character" w:customStyle="1" w:styleId="163">
    <w:name w:val="cfdate"/>
    <w:qFormat/>
    <w:uiPriority w:val="0"/>
    <w:rPr>
      <w:color w:val="333333"/>
      <w:sz w:val="18"/>
      <w:szCs w:val="18"/>
    </w:rPr>
  </w:style>
  <w:style w:type="character" w:customStyle="1" w:styleId="164">
    <w:name w:val="正文缩进 字符"/>
    <w:qFormat/>
    <w:uiPriority w:val="0"/>
    <w:rPr>
      <w:kern w:val="2"/>
      <w:sz w:val="21"/>
    </w:rPr>
  </w:style>
  <w:style w:type="character" w:customStyle="1" w:styleId="165">
    <w:name w:val="next1"/>
    <w:qFormat/>
    <w:uiPriority w:val="0"/>
    <w:rPr>
      <w:color w:val="888888"/>
    </w:rPr>
  </w:style>
  <w:style w:type="character" w:customStyle="1" w:styleId="166">
    <w:name w:val="apple-converted-space"/>
    <w:qFormat/>
    <w:uiPriority w:val="0"/>
  </w:style>
  <w:style w:type="character" w:customStyle="1" w:styleId="167">
    <w:name w:val="纯文本 Char1_1"/>
    <w:link w:val="168"/>
    <w:qFormat/>
    <w:uiPriority w:val="0"/>
    <w:rPr>
      <w:rFonts w:ascii="宋体" w:hAnsi="Courier New"/>
      <w:kern w:val="2"/>
      <w:sz w:val="21"/>
    </w:rPr>
  </w:style>
  <w:style w:type="paragraph" w:customStyle="1" w:styleId="168">
    <w:name w:val="纯文本_1"/>
    <w:basedOn w:val="1"/>
    <w:link w:val="167"/>
    <w:qFormat/>
    <w:uiPriority w:val="0"/>
    <w:rPr>
      <w:rFonts w:ascii="宋体" w:hAnsi="Courier New"/>
      <w:szCs w:val="20"/>
    </w:rPr>
  </w:style>
  <w:style w:type="character" w:customStyle="1" w:styleId="169">
    <w:name w:val="redfilefwwh"/>
    <w:qFormat/>
    <w:uiPriority w:val="0"/>
    <w:rPr>
      <w:color w:val="BA2636"/>
      <w:sz w:val="18"/>
      <w:szCs w:val="18"/>
    </w:rPr>
  </w:style>
  <w:style w:type="character" w:customStyle="1" w:styleId="170">
    <w:name w:val="qxdate"/>
    <w:qFormat/>
    <w:uiPriority w:val="0"/>
    <w:rPr>
      <w:color w:val="333333"/>
      <w:sz w:val="18"/>
      <w:szCs w:val="18"/>
    </w:rPr>
  </w:style>
  <w:style w:type="character" w:customStyle="1" w:styleId="171">
    <w:name w:val="无间隔 字符1"/>
    <w:link w:val="172"/>
    <w:qFormat/>
    <w:uiPriority w:val="1"/>
    <w:rPr>
      <w:rFonts w:ascii="Calibri" w:hAnsi="Calibri"/>
      <w:kern w:val="2"/>
      <w:sz w:val="21"/>
      <w:szCs w:val="22"/>
    </w:rPr>
  </w:style>
  <w:style w:type="paragraph" w:styleId="172">
    <w:name w:val="No Spacing"/>
    <w:basedOn w:val="1"/>
    <w:link w:val="171"/>
    <w:qFormat/>
    <w:uiPriority w:val="1"/>
    <w:rPr>
      <w:rFonts w:ascii="Calibri" w:hAnsi="Calibri"/>
      <w:szCs w:val="22"/>
    </w:rPr>
  </w:style>
  <w:style w:type="character" w:customStyle="1" w:styleId="173">
    <w:name w:val="next"/>
    <w:qFormat/>
    <w:uiPriority w:val="0"/>
    <w:rPr>
      <w:rFonts w:ascii="微软雅黑" w:hAnsi="微软雅黑" w:eastAsia="微软雅黑" w:cs="微软雅黑"/>
      <w:sz w:val="21"/>
      <w:szCs w:val="21"/>
    </w:rPr>
  </w:style>
  <w:style w:type="character" w:customStyle="1" w:styleId="174">
    <w:name w:val="引用 字符"/>
    <w:link w:val="175"/>
    <w:qFormat/>
    <w:uiPriority w:val="29"/>
    <w:rPr>
      <w:rFonts w:ascii="Calibri" w:hAnsi="Calibri"/>
      <w:i/>
      <w:iCs/>
      <w:color w:val="000000"/>
      <w:kern w:val="2"/>
      <w:sz w:val="21"/>
      <w:szCs w:val="22"/>
    </w:rPr>
  </w:style>
  <w:style w:type="paragraph" w:styleId="175">
    <w:name w:val="Quote"/>
    <w:basedOn w:val="1"/>
    <w:next w:val="1"/>
    <w:link w:val="174"/>
    <w:qFormat/>
    <w:uiPriority w:val="29"/>
    <w:rPr>
      <w:rFonts w:ascii="Calibri" w:hAnsi="Calibri"/>
      <w:i/>
      <w:iCs/>
      <w:color w:val="000000"/>
      <w:szCs w:val="22"/>
    </w:rPr>
  </w:style>
  <w:style w:type="character" w:customStyle="1" w:styleId="176">
    <w:name w:val="ca-11"/>
    <w:qFormat/>
    <w:uiPriority w:val="99"/>
    <w:rPr>
      <w:rFonts w:ascii="仿宋_GB2312" w:eastAsia="仿宋_GB2312" w:cs="Times New Roman"/>
      <w:sz w:val="28"/>
      <w:szCs w:val="28"/>
    </w:rPr>
  </w:style>
  <w:style w:type="character" w:customStyle="1" w:styleId="177">
    <w:name w:val="签名 Char1"/>
    <w:qFormat/>
    <w:uiPriority w:val="0"/>
    <w:rPr>
      <w:kern w:val="2"/>
      <w:sz w:val="21"/>
      <w:szCs w:val="24"/>
    </w:rPr>
  </w:style>
  <w:style w:type="character" w:customStyle="1" w:styleId="178">
    <w:name w:val="明显引用 字符"/>
    <w:link w:val="179"/>
    <w:qFormat/>
    <w:uiPriority w:val="30"/>
    <w:rPr>
      <w:rFonts w:ascii="Calibri" w:hAnsi="Calibri"/>
      <w:b/>
      <w:bCs/>
      <w:i/>
      <w:iCs/>
      <w:color w:val="4F81BD"/>
      <w:kern w:val="2"/>
      <w:sz w:val="21"/>
      <w:szCs w:val="22"/>
    </w:rPr>
  </w:style>
  <w:style w:type="paragraph" w:styleId="179">
    <w:name w:val="Intense Quote"/>
    <w:basedOn w:val="1"/>
    <w:next w:val="1"/>
    <w:link w:val="178"/>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80">
    <w:name w:val="纯文本 Char1_3"/>
    <w:link w:val="181"/>
    <w:qFormat/>
    <w:uiPriority w:val="0"/>
    <w:rPr>
      <w:rFonts w:ascii="宋体" w:hAnsi="Courier New"/>
      <w:kern w:val="2"/>
      <w:sz w:val="21"/>
    </w:rPr>
  </w:style>
  <w:style w:type="paragraph" w:customStyle="1" w:styleId="181">
    <w:name w:val="纯文本_3"/>
    <w:basedOn w:val="182"/>
    <w:link w:val="180"/>
    <w:qFormat/>
    <w:uiPriority w:val="0"/>
    <w:rPr>
      <w:rFonts w:ascii="宋体" w:hAnsi="Courier New"/>
      <w:szCs w:val="20"/>
    </w:rPr>
  </w:style>
  <w:style w:type="paragraph" w:customStyle="1" w:styleId="18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纯文本 Char_0"/>
    <w:link w:val="184"/>
    <w:qFormat/>
    <w:uiPriority w:val="0"/>
    <w:rPr>
      <w:rFonts w:ascii="宋体" w:hAnsi="Courier New"/>
      <w:kern w:val="2"/>
      <w:sz w:val="21"/>
      <w:szCs w:val="21"/>
    </w:rPr>
  </w:style>
  <w:style w:type="paragraph" w:customStyle="1" w:styleId="184">
    <w:name w:val="纯文本_0_0"/>
    <w:basedOn w:val="185"/>
    <w:link w:val="183"/>
    <w:qFormat/>
    <w:uiPriority w:val="0"/>
    <w:rPr>
      <w:rFonts w:ascii="宋体" w:hAnsi="Courier New"/>
      <w:szCs w:val="21"/>
    </w:rPr>
  </w:style>
  <w:style w:type="paragraph" w:customStyle="1" w:styleId="18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纯文本 Char1_4_0"/>
    <w:link w:val="187"/>
    <w:qFormat/>
    <w:uiPriority w:val="0"/>
    <w:rPr>
      <w:rFonts w:ascii="宋体" w:hAnsi="Courier New"/>
      <w:kern w:val="2"/>
      <w:sz w:val="21"/>
    </w:rPr>
  </w:style>
  <w:style w:type="paragraph" w:customStyle="1" w:styleId="187">
    <w:name w:val="纯文本_4_0"/>
    <w:basedOn w:val="1"/>
    <w:link w:val="186"/>
    <w:qFormat/>
    <w:uiPriority w:val="0"/>
    <w:rPr>
      <w:rFonts w:ascii="宋体" w:hAnsi="Courier New"/>
      <w:szCs w:val="20"/>
    </w:rPr>
  </w:style>
  <w:style w:type="character" w:customStyle="1" w:styleId="188">
    <w:name w:val="_Style 187"/>
    <w:qFormat/>
    <w:uiPriority w:val="19"/>
    <w:rPr>
      <w:i/>
      <w:iCs/>
      <w:color w:val="808080"/>
    </w:rPr>
  </w:style>
  <w:style w:type="character" w:customStyle="1" w:styleId="189">
    <w:name w:val="正文文本缩进 2 Char"/>
    <w:semiHidden/>
    <w:qFormat/>
    <w:uiPriority w:val="99"/>
  </w:style>
  <w:style w:type="character" w:customStyle="1" w:styleId="190">
    <w:name w:val="不明显强调1"/>
    <w:qFormat/>
    <w:uiPriority w:val="0"/>
    <w:rPr>
      <w:i/>
      <w:color w:val="808080"/>
    </w:rPr>
  </w:style>
  <w:style w:type="character" w:customStyle="1" w:styleId="191">
    <w:name w:val="NormalCharacter"/>
    <w:semiHidden/>
    <w:qFormat/>
    <w:uiPriority w:val="0"/>
    <w:rPr>
      <w:kern w:val="2"/>
      <w:sz w:val="21"/>
      <w:szCs w:val="24"/>
      <w:lang w:val="en-US" w:eastAsia="zh-CN" w:bidi="ar-SA"/>
    </w:rPr>
  </w:style>
  <w:style w:type="character" w:customStyle="1" w:styleId="192">
    <w:name w:val="font101"/>
    <w:qFormat/>
    <w:uiPriority w:val="0"/>
    <w:rPr>
      <w:rFonts w:ascii="Symbol" w:hAnsi="Symbol" w:cs="Symbol"/>
      <w:color w:val="000000"/>
      <w:sz w:val="20"/>
      <w:szCs w:val="20"/>
      <w:u w:val="none"/>
    </w:rPr>
  </w:style>
  <w:style w:type="character" w:customStyle="1" w:styleId="193">
    <w:name w:val="表正文 Char"/>
    <w:qFormat/>
    <w:uiPriority w:val="0"/>
    <w:rPr>
      <w:rFonts w:eastAsia="宋体"/>
      <w:kern w:val="2"/>
      <w:sz w:val="21"/>
      <w:lang w:val="en-US" w:eastAsia="zh-CN" w:bidi="ar-SA"/>
    </w:rPr>
  </w:style>
  <w:style w:type="character" w:customStyle="1" w:styleId="194">
    <w:name w:val="正文2 Char"/>
    <w:link w:val="195"/>
    <w:qFormat/>
    <w:uiPriority w:val="0"/>
  </w:style>
  <w:style w:type="paragraph" w:customStyle="1" w:styleId="195">
    <w:name w:val="正文2"/>
    <w:basedOn w:val="1"/>
    <w:link w:val="194"/>
    <w:qFormat/>
    <w:uiPriority w:val="0"/>
    <w:pPr>
      <w:spacing w:line="300" w:lineRule="auto"/>
      <w:ind w:left="500" w:leftChars="500"/>
    </w:pPr>
    <w:rPr>
      <w:kern w:val="0"/>
      <w:sz w:val="20"/>
      <w:szCs w:val="20"/>
    </w:rPr>
  </w:style>
  <w:style w:type="character" w:customStyle="1" w:styleId="196">
    <w:name w:val="font21"/>
    <w:qFormat/>
    <w:uiPriority w:val="0"/>
    <w:rPr>
      <w:rFonts w:hint="eastAsia" w:ascii="宋体" w:hAnsi="宋体" w:eastAsia="宋体" w:cs="宋体"/>
      <w:color w:val="000000"/>
      <w:sz w:val="20"/>
      <w:szCs w:val="20"/>
      <w:u w:val="none"/>
    </w:rPr>
  </w:style>
  <w:style w:type="character" w:customStyle="1" w:styleId="197">
    <w:name w:val="font171"/>
    <w:qFormat/>
    <w:uiPriority w:val="0"/>
    <w:rPr>
      <w:rFonts w:ascii="Arial Unicode MS" w:hAnsi="Arial Unicode MS" w:eastAsia="Arial Unicode MS" w:cs="Arial Unicode MS"/>
      <w:color w:val="000000"/>
      <w:sz w:val="24"/>
      <w:szCs w:val="24"/>
      <w:u w:val="none"/>
    </w:rPr>
  </w:style>
  <w:style w:type="character" w:customStyle="1" w:styleId="198">
    <w:name w:val="current"/>
    <w:qFormat/>
    <w:uiPriority w:val="0"/>
    <w:rPr>
      <w:b/>
      <w:color w:val="FFFFFF"/>
      <w:bdr w:val="single" w:color="0C64AB" w:sz="6" w:space="0"/>
      <w:shd w:val="clear" w:color="auto" w:fill="0C64AB"/>
    </w:rPr>
  </w:style>
  <w:style w:type="character" w:customStyle="1" w:styleId="199">
    <w:name w:val="Item List Char"/>
    <w:link w:val="200"/>
    <w:qFormat/>
    <w:uiPriority w:val="0"/>
    <w:rPr>
      <w:rFonts w:ascii="Arial" w:hAnsi="Arial"/>
      <w:sz w:val="21"/>
      <w:szCs w:val="21"/>
      <w:lang w:val="en-US" w:eastAsia="zh-CN" w:bidi="ar-SA"/>
    </w:rPr>
  </w:style>
  <w:style w:type="paragraph" w:customStyle="1" w:styleId="200">
    <w:name w:val="Item List"/>
    <w:link w:val="199"/>
    <w:qFormat/>
    <w:uiPriority w:val="0"/>
    <w:pPr>
      <w:tabs>
        <w:tab w:val="left" w:pos="482"/>
      </w:tabs>
      <w:spacing w:line="300" w:lineRule="auto"/>
      <w:ind w:left="709" w:hanging="284"/>
      <w:jc w:val="both"/>
    </w:pPr>
    <w:rPr>
      <w:rFonts w:ascii="Arial" w:hAnsi="Arial" w:eastAsia="宋体" w:cs="Times New Roman"/>
      <w:sz w:val="21"/>
      <w:szCs w:val="21"/>
      <w:lang w:val="en-US" w:eastAsia="zh-CN" w:bidi="ar-SA"/>
    </w:rPr>
  </w:style>
  <w:style w:type="character" w:customStyle="1" w:styleId="201">
    <w:name w:val="Char Char11"/>
    <w:link w:val="202"/>
    <w:qFormat/>
    <w:uiPriority w:val="0"/>
    <w:rPr>
      <w:rFonts w:ascii="Tahoma" w:hAnsi="Tahoma"/>
      <w:kern w:val="2"/>
      <w:sz w:val="24"/>
    </w:rPr>
  </w:style>
  <w:style w:type="paragraph" w:customStyle="1" w:styleId="202">
    <w:name w:val="Char11"/>
    <w:basedOn w:val="1"/>
    <w:link w:val="201"/>
    <w:qFormat/>
    <w:uiPriority w:val="0"/>
    <w:rPr>
      <w:rFonts w:ascii="Tahoma" w:hAnsi="Tahoma"/>
      <w:sz w:val="24"/>
      <w:szCs w:val="20"/>
    </w:rPr>
  </w:style>
  <w:style w:type="character" w:customStyle="1" w:styleId="203">
    <w:name w:val="font131"/>
    <w:qFormat/>
    <w:uiPriority w:val="0"/>
    <w:rPr>
      <w:rFonts w:hint="default" w:ascii="Calibri" w:hAnsi="Calibri" w:cs="Calibri"/>
      <w:color w:val="000000"/>
      <w:sz w:val="24"/>
      <w:szCs w:val="24"/>
      <w:u w:val="none"/>
    </w:rPr>
  </w:style>
  <w:style w:type="character" w:customStyle="1" w:styleId="204">
    <w:name w:val="textfont1"/>
    <w:qFormat/>
    <w:uiPriority w:val="0"/>
  </w:style>
  <w:style w:type="paragraph" w:customStyle="1" w:styleId="205">
    <w:name w:val="head 1.1"/>
    <w:basedOn w:val="138"/>
    <w:qFormat/>
    <w:uiPriority w:val="0"/>
    <w:pPr>
      <w:numPr>
        <w:ilvl w:val="1"/>
        <w:numId w:val="1"/>
      </w:numPr>
      <w:spacing w:before="260" w:after="260"/>
      <w:ind w:firstLine="0" w:firstLineChars="0"/>
    </w:pPr>
    <w:rPr>
      <w:rFonts w:ascii="宋体" w:hAnsi="宋体"/>
      <w:bCs/>
      <w:szCs w:val="24"/>
    </w:rPr>
  </w:style>
  <w:style w:type="paragraph" w:customStyle="1" w:styleId="206">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07">
    <w:name w:val="2章节"/>
    <w:qFormat/>
    <w:uiPriority w:val="0"/>
    <w:p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paragraph" w:customStyle="1" w:styleId="208">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cs="宋体"/>
      <w:kern w:val="0"/>
      <w:sz w:val="24"/>
      <w:szCs w:val="20"/>
    </w:rPr>
  </w:style>
  <w:style w:type="paragraph" w:customStyle="1" w:styleId="2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1">
    <w:name w:val="Table Paragraph"/>
    <w:basedOn w:val="1"/>
    <w:qFormat/>
    <w:uiPriority w:val="1"/>
    <w:rPr>
      <w:rFonts w:ascii="仿宋" w:hAnsi="仿宋" w:eastAsia="仿宋" w:cs="仿宋"/>
      <w:lang w:val="zh-CN" w:bidi="zh-CN"/>
    </w:rPr>
  </w:style>
  <w:style w:type="paragraph" w:customStyle="1" w:styleId="2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4">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标题二自定义"/>
    <w:basedOn w:val="4"/>
    <w:next w:val="1"/>
    <w:qFormat/>
    <w:uiPriority w:val="0"/>
    <w:pPr>
      <w:keepLines/>
      <w:pBdr>
        <w:top w:val="none" w:color="auto" w:sz="0" w:space="1"/>
        <w:left w:val="none" w:color="auto" w:sz="0" w:space="4"/>
        <w:bottom w:val="none" w:color="auto" w:sz="0" w:space="1"/>
        <w:right w:val="none" w:color="auto" w:sz="0" w:space="4"/>
      </w:pBdr>
      <w:adjustRightInd/>
      <w:snapToGrid/>
      <w:spacing w:before="312" w:after="312"/>
      <w:ind w:left="141"/>
      <w:jc w:val="both"/>
      <w:textAlignment w:val="auto"/>
    </w:pPr>
    <w:rPr>
      <w:rFonts w:ascii="仿宋" w:hAnsi="仿宋" w:eastAsia="仿宋"/>
      <w:sz w:val="30"/>
      <w:szCs w:val="24"/>
    </w:rPr>
  </w:style>
  <w:style w:type="paragraph" w:customStyle="1" w:styleId="21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20">
    <w:name w:val="纯文本1"/>
    <w:basedOn w:val="1"/>
    <w:qFormat/>
    <w:uiPriority w:val="0"/>
    <w:pPr>
      <w:adjustRightInd w:val="0"/>
      <w:jc w:val="left"/>
      <w:textAlignment w:val="baseline"/>
    </w:pPr>
    <w:rPr>
      <w:rFonts w:ascii="宋体" w:hAnsi="Courier New"/>
      <w:sz w:val="24"/>
      <w:szCs w:val="20"/>
    </w:rPr>
  </w:style>
  <w:style w:type="paragraph" w:customStyle="1" w:styleId="221">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页码1"/>
    <w:basedOn w:val="1"/>
    <w:next w:val="1"/>
    <w:qFormat/>
    <w:uiPriority w:val="0"/>
    <w:pPr>
      <w:widowControl/>
    </w:pPr>
    <w:rPr>
      <w:color w:val="000000"/>
      <w:szCs w:val="20"/>
    </w:rPr>
  </w:style>
  <w:style w:type="paragraph" w:customStyle="1" w:styleId="225">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kern w:val="0"/>
      <w:szCs w:val="21"/>
      <w:lang w:bidi="he-IL"/>
    </w:rPr>
  </w:style>
  <w:style w:type="paragraph" w:customStyle="1" w:styleId="226">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27">
    <w:name w:val="首行缩进"/>
    <w:basedOn w:val="1"/>
    <w:qFormat/>
    <w:uiPriority w:val="0"/>
    <w:pPr>
      <w:spacing w:line="360" w:lineRule="auto"/>
      <w:ind w:firstLine="480" w:firstLineChars="200"/>
    </w:pPr>
    <w:rPr>
      <w:rFonts w:hAnsi="宋体" w:cs="宋体"/>
      <w:sz w:val="24"/>
    </w:rPr>
  </w:style>
  <w:style w:type="paragraph" w:customStyle="1" w:styleId="228">
    <w:name w:val="模板标题6"/>
    <w:basedOn w:val="1"/>
    <w:next w:val="22"/>
    <w:qFormat/>
    <w:uiPriority w:val="0"/>
    <w:pPr>
      <w:tabs>
        <w:tab w:val="left" w:pos="2160"/>
      </w:tabs>
      <w:spacing w:afterLines="50"/>
      <w:outlineLvl w:val="5"/>
    </w:pPr>
    <w:rPr>
      <w:rFonts w:ascii="宋体" w:hAnsi="宋体"/>
      <w:b/>
      <w:szCs w:val="20"/>
    </w:rPr>
  </w:style>
  <w:style w:type="paragraph" w:customStyle="1" w:styleId="22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30">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3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_Style 5"/>
    <w:basedOn w:val="1"/>
    <w:qFormat/>
    <w:uiPriority w:val="0"/>
    <w:pPr>
      <w:ind w:firstLine="420"/>
    </w:pPr>
    <w:rPr>
      <w:rFonts w:ascii="Calibri" w:hAnsi="Calibri"/>
      <w:szCs w:val="22"/>
    </w:rPr>
  </w:style>
  <w:style w:type="paragraph" w:customStyle="1" w:styleId="23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34">
    <w:name w:val="SANGFOR_7_2级编号"/>
    <w:basedOn w:val="1"/>
    <w:qFormat/>
    <w:uiPriority w:val="0"/>
    <w:pPr>
      <w:tabs>
        <w:tab w:val="left" w:pos="709"/>
      </w:tabs>
      <w:spacing w:line="400" w:lineRule="exact"/>
      <w:ind w:left="740" w:hanging="425"/>
    </w:pPr>
    <w:rPr>
      <w:rFonts w:ascii="楷体_gb18030" w:hAnsi="Verdana" w:eastAsia="楷体_gb18030"/>
      <w:color w:val="000000"/>
      <w:sz w:val="28"/>
      <w:szCs w:val="28"/>
    </w:rPr>
  </w:style>
  <w:style w:type="paragraph" w:customStyle="1" w:styleId="235">
    <w:name w:val="_Style 234"/>
    <w:basedOn w:val="3"/>
    <w:next w:val="1"/>
    <w:qFormat/>
    <w:uiPriority w:val="39"/>
    <w:pPr>
      <w:keepLines/>
      <w:tabs>
        <w:tab w:val="left" w:pos="360"/>
      </w:tabs>
      <w:autoSpaceDE/>
      <w:autoSpaceDN/>
      <w:spacing w:before="340" w:after="330" w:line="578" w:lineRule="auto"/>
      <w:ind w:left="360" w:hanging="360"/>
      <w:jc w:val="both"/>
      <w:textAlignment w:val="auto"/>
      <w:outlineLvl w:val="9"/>
    </w:pPr>
    <w:rPr>
      <w:rFonts w:ascii="Calibri" w:hAnsi="Calibri" w:eastAsia="宋体"/>
      <w:bCs/>
      <w:kern w:val="44"/>
      <w:szCs w:val="44"/>
    </w:rPr>
  </w:style>
  <w:style w:type="paragraph" w:customStyle="1" w:styleId="236">
    <w:name w:val="Heading3"/>
    <w:basedOn w:val="1"/>
    <w:next w:val="1"/>
    <w:qFormat/>
    <w:uiPriority w:val="0"/>
    <w:pPr>
      <w:spacing w:before="120" w:after="120" w:line="300" w:lineRule="auto"/>
    </w:pPr>
    <w:rPr>
      <w:sz w:val="24"/>
      <w:szCs w:val="20"/>
    </w:rPr>
  </w:style>
  <w:style w:type="paragraph" w:customStyle="1" w:styleId="2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38">
    <w:name w:val="无间隔2"/>
    <w:qFormat/>
    <w:uiPriority w:val="1"/>
    <w:pPr>
      <w:widowControl w:val="0"/>
    </w:pPr>
    <w:rPr>
      <w:rFonts w:ascii="宋体" w:hAnsi="Times New Roman" w:eastAsia="宋体" w:cs="Times New Roman"/>
      <w:kern w:val="2"/>
      <w:sz w:val="24"/>
      <w:szCs w:val="22"/>
      <w:lang w:val="en-US" w:eastAsia="zh-CN" w:bidi="ar-SA"/>
    </w:rPr>
  </w:style>
  <w:style w:type="paragraph" w:customStyle="1" w:styleId="2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40">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242">
    <w:name w:val="config"/>
    <w:basedOn w:val="1"/>
    <w:qFormat/>
    <w:uiPriority w:val="0"/>
    <w:pPr>
      <w:widowControl/>
      <w:spacing w:after="160"/>
      <w:ind w:left="1134"/>
      <w:jc w:val="left"/>
    </w:pPr>
    <w:rPr>
      <w:rFonts w:ascii="Arial" w:hAnsi="Arial" w:eastAsia="Arial"/>
      <w:kern w:val="0"/>
      <w:szCs w:val="20"/>
      <w:lang w:eastAsia="en-US"/>
    </w:rPr>
  </w:style>
  <w:style w:type="paragraph" w:customStyle="1" w:styleId="2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标题一自定义"/>
    <w:basedOn w:val="3"/>
    <w:next w:val="1"/>
    <w:qFormat/>
    <w:uiPriority w:val="0"/>
    <w:pPr>
      <w:keepLines/>
      <w:pageBreakBefore/>
      <w:tabs>
        <w:tab w:val="left" w:pos="980"/>
      </w:tabs>
      <w:autoSpaceDE/>
      <w:autoSpaceDN/>
      <w:ind w:left="980" w:hanging="360"/>
      <w:jc w:val="both"/>
      <w:textAlignment w:val="auto"/>
    </w:pPr>
    <w:rPr>
      <w:rFonts w:ascii="仿宋" w:hAnsi="仿宋" w:eastAsia="仿宋"/>
      <w:kern w:val="44"/>
      <w:sz w:val="32"/>
    </w:rPr>
  </w:style>
  <w:style w:type="paragraph" w:customStyle="1" w:styleId="245">
    <w:name w:val="列出段落5"/>
    <w:basedOn w:val="1"/>
    <w:qFormat/>
    <w:uiPriority w:val="34"/>
    <w:pPr>
      <w:ind w:firstLine="420" w:firstLineChars="200"/>
    </w:pPr>
    <w:rPr>
      <w:rFonts w:ascii="Calibri" w:hAnsi="Calibri"/>
      <w:sz w:val="24"/>
    </w:rPr>
  </w:style>
  <w:style w:type="paragraph" w:customStyle="1" w:styleId="246">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def正文"/>
    <w:basedOn w:val="21"/>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248">
    <w:name w:val="Char Char"/>
    <w:basedOn w:val="1"/>
    <w:qFormat/>
    <w:uiPriority w:val="0"/>
    <w:pPr>
      <w:adjustRightInd w:val="0"/>
      <w:spacing w:line="360" w:lineRule="auto"/>
    </w:pPr>
    <w:rPr>
      <w:kern w:val="0"/>
      <w:sz w:val="24"/>
      <w:szCs w:val="20"/>
    </w:rPr>
  </w:style>
  <w:style w:type="paragraph" w:customStyle="1" w:styleId="249">
    <w:name w:val="正文首行缩进 21"/>
    <w:basedOn w:val="23"/>
    <w:qFormat/>
    <w:uiPriority w:val="99"/>
    <w:pPr>
      <w:spacing w:line="200" w:lineRule="atLeast"/>
      <w:ind w:firstLine="420"/>
    </w:pPr>
    <w:rPr>
      <w:rFonts w:ascii="宋体" w:hAnsi="Courier New"/>
      <w:spacing w:val="-4"/>
      <w:sz w:val="18"/>
    </w:rPr>
  </w:style>
  <w:style w:type="paragraph" w:customStyle="1" w:styleId="250">
    <w:name w:val="表内文字"/>
    <w:basedOn w:val="1"/>
    <w:qFormat/>
    <w:uiPriority w:val="0"/>
    <w:pPr>
      <w:jc w:val="center"/>
    </w:pPr>
    <w:rPr>
      <w:rFonts w:ascii="仿宋_GB2312" w:eastAsia="仿宋_GB2312"/>
      <w:sz w:val="24"/>
    </w:rPr>
  </w:style>
  <w:style w:type="paragraph" w:customStyle="1" w:styleId="2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2">
    <w:name w:val="正文首行缩进1"/>
    <w:basedOn w:val="21"/>
    <w:qFormat/>
    <w:uiPriority w:val="0"/>
    <w:pPr>
      <w:tabs>
        <w:tab w:val="clear" w:pos="208"/>
      </w:tabs>
      <w:spacing w:after="120" w:line="240" w:lineRule="auto"/>
      <w:ind w:firstLine="420" w:firstLineChars="100"/>
    </w:pPr>
    <w:rPr>
      <w:rFonts w:ascii="Times New Roman" w:eastAsia="宋体"/>
      <w:sz w:val="21"/>
    </w:rPr>
  </w:style>
  <w:style w:type="paragraph" w:customStyle="1" w:styleId="253">
    <w:name w:val="表格文字"/>
    <w:basedOn w:val="1"/>
    <w:next w:val="21"/>
    <w:qFormat/>
    <w:uiPriority w:val="0"/>
    <w:pPr>
      <w:adjustRightInd w:val="0"/>
      <w:spacing w:line="420" w:lineRule="atLeast"/>
      <w:ind w:firstLine="643" w:firstLineChars="200"/>
      <w:textAlignment w:val="baseline"/>
    </w:pPr>
    <w:rPr>
      <w:rFonts w:ascii="仿宋" w:hAnsi="仿宋" w:eastAsia="仿宋"/>
      <w:sz w:val="24"/>
    </w:rPr>
  </w:style>
  <w:style w:type="paragraph" w:customStyle="1" w:styleId="2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5">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56">
    <w:name w:val="模板标题4"/>
    <w:basedOn w:val="1"/>
    <w:next w:val="22"/>
    <w:qFormat/>
    <w:uiPriority w:val="0"/>
    <w:pPr>
      <w:tabs>
        <w:tab w:val="left" w:pos="1440"/>
      </w:tabs>
      <w:spacing w:afterLines="50"/>
      <w:outlineLvl w:val="3"/>
    </w:pPr>
    <w:rPr>
      <w:rFonts w:ascii="宋体" w:hAnsi="宋体"/>
      <w:b/>
      <w:szCs w:val="20"/>
    </w:rPr>
  </w:style>
  <w:style w:type="paragraph" w:customStyle="1" w:styleId="25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5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25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60">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lang w:val="en-US" w:eastAsia="zh-CN" w:bidi="ar-SA"/>
    </w:rPr>
  </w:style>
  <w:style w:type="paragraph" w:customStyle="1" w:styleId="261">
    <w:name w:val="模板标题1"/>
    <w:basedOn w:val="1"/>
    <w:next w:val="1"/>
    <w:qFormat/>
    <w:uiPriority w:val="0"/>
    <w:pPr>
      <w:keepNext/>
      <w:keepLines/>
      <w:tabs>
        <w:tab w:val="left" w:pos="360"/>
      </w:tabs>
      <w:spacing w:afterLines="50"/>
      <w:jc w:val="left"/>
      <w:outlineLvl w:val="0"/>
    </w:pPr>
    <w:rPr>
      <w:rFonts w:ascii="Arial" w:hAnsi="Arial"/>
      <w:b/>
      <w:kern w:val="32"/>
      <w:sz w:val="32"/>
      <w:szCs w:val="20"/>
    </w:rPr>
  </w:style>
  <w:style w:type="paragraph" w:customStyle="1" w:styleId="262">
    <w:name w:val="SANGFOR_2_标题2"/>
    <w:basedOn w:val="4"/>
    <w:next w:val="141"/>
    <w:qFormat/>
    <w:uiPriority w:val="0"/>
    <w:pPr>
      <w:keepLines/>
      <w:adjustRightInd/>
      <w:snapToGrid/>
      <w:spacing w:beforeLines="50" w:afterLines="50" w:line="240" w:lineRule="auto"/>
      <w:jc w:val="both"/>
      <w:textAlignment w:val="auto"/>
    </w:pPr>
    <w:rPr>
      <w:rFonts w:ascii="黑体" w:hAnsi="黑体" w:eastAsia="黑体"/>
      <w:bCs/>
      <w:kern w:val="2"/>
      <w:szCs w:val="36"/>
    </w:rPr>
  </w:style>
  <w:style w:type="paragraph" w:customStyle="1" w:styleId="26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265">
    <w:name w:val="正文样式"/>
    <w:basedOn w:val="1"/>
    <w:qFormat/>
    <w:uiPriority w:val="0"/>
    <w:pPr>
      <w:spacing w:line="360" w:lineRule="auto"/>
      <w:ind w:firstLine="480" w:firstLineChars="200"/>
    </w:pPr>
    <w:rPr>
      <w:rFonts w:cs="宋体"/>
      <w:sz w:val="24"/>
      <w:szCs w:val="20"/>
    </w:rPr>
  </w:style>
  <w:style w:type="paragraph" w:customStyle="1" w:styleId="266">
    <w:name w:val="列出段落1"/>
    <w:basedOn w:val="1"/>
    <w:qFormat/>
    <w:uiPriority w:val="34"/>
    <w:pPr>
      <w:ind w:firstLine="420" w:firstLineChars="200"/>
    </w:pPr>
    <w:rPr>
      <w:rFonts w:ascii="Calibri" w:hAnsi="Calibri"/>
      <w:szCs w:val="22"/>
    </w:rPr>
  </w:style>
  <w:style w:type="paragraph" w:customStyle="1" w:styleId="267">
    <w:name w:val="第二级标题"/>
    <w:basedOn w:val="4"/>
    <w:next w:val="1"/>
    <w:qFormat/>
    <w:uiPriority w:val="0"/>
    <w:pPr>
      <w:keepLines/>
      <w:adjustRightInd/>
      <w:snapToGrid/>
      <w:spacing w:before="260" w:after="260" w:line="416" w:lineRule="auto"/>
      <w:ind w:left="576" w:hanging="576"/>
      <w:jc w:val="both"/>
      <w:textAlignment w:val="auto"/>
    </w:pPr>
    <w:rPr>
      <w:rFonts w:ascii="Cambria" w:hAnsi="Cambria" w:eastAsia="仿宋"/>
      <w:bCs/>
      <w:kern w:val="2"/>
      <w:sz w:val="32"/>
      <w:szCs w:val="32"/>
    </w:rPr>
  </w:style>
  <w:style w:type="paragraph" w:customStyle="1" w:styleId="26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69">
    <w:name w:val="默认段落字体 Para Char Char Char Char Char Char Char Char Char1 Char Char Char Char"/>
    <w:basedOn w:val="1"/>
    <w:qFormat/>
    <w:uiPriority w:val="0"/>
    <w:rPr>
      <w:rFonts w:ascii="Tahoma" w:hAnsi="Tahoma"/>
      <w:sz w:val="24"/>
      <w:szCs w:val="20"/>
    </w:rPr>
  </w:style>
  <w:style w:type="paragraph" w:customStyle="1" w:styleId="270">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71">
    <w:name w:val="_Style 8"/>
    <w:basedOn w:val="1"/>
    <w:qFormat/>
    <w:uiPriority w:val="0"/>
    <w:pPr>
      <w:ind w:firstLine="420" w:firstLineChars="200"/>
    </w:pPr>
    <w:rPr>
      <w:rFonts w:ascii="仿宋" w:hAnsi="仿宋" w:eastAsia="仿宋"/>
      <w:szCs w:val="22"/>
    </w:rPr>
  </w:style>
  <w:style w:type="paragraph" w:customStyle="1" w:styleId="272">
    <w:name w:val="正文（缩进）"/>
    <w:basedOn w:val="1"/>
    <w:qFormat/>
    <w:uiPriority w:val="0"/>
    <w:pPr>
      <w:spacing w:beforeLines="50" w:afterLines="50" w:line="360" w:lineRule="auto"/>
      <w:ind w:firstLine="480" w:firstLineChars="200"/>
    </w:pPr>
    <w:rPr>
      <w:rFonts w:ascii="Arial" w:hAnsi="Arial" w:eastAsia="仿宋" w:cs="Arial"/>
      <w:sz w:val="24"/>
    </w:rPr>
  </w:style>
  <w:style w:type="paragraph" w:customStyle="1" w:styleId="273">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74">
    <w:name w:val="Item List in Table"/>
    <w:basedOn w:val="1"/>
    <w:qFormat/>
    <w:uiPriority w:val="0"/>
    <w:pPr>
      <w:tabs>
        <w:tab w:val="left" w:pos="420"/>
      </w:tabs>
      <w:ind w:left="420" w:hanging="420"/>
    </w:pPr>
    <w:rPr>
      <w:sz w:val="18"/>
    </w:rPr>
  </w:style>
  <w:style w:type="paragraph" w:customStyle="1" w:styleId="275">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76">
    <w:name w:val="SJ2"/>
    <w:basedOn w:val="1"/>
    <w:qFormat/>
    <w:uiPriority w:val="0"/>
    <w:pPr>
      <w:spacing w:line="360" w:lineRule="auto"/>
      <w:ind w:firstLine="480" w:firstLineChars="200"/>
      <w:jc w:val="left"/>
    </w:pPr>
    <w:rPr>
      <w:rFonts w:cs="宋体"/>
      <w:sz w:val="24"/>
      <w:szCs w:val="20"/>
    </w:rPr>
  </w:style>
  <w:style w:type="paragraph" w:customStyle="1" w:styleId="277">
    <w:name w:val="默认段落字体 Para Char Char Char Char Char Char Char Char Char Char1 Char Char Char Char"/>
    <w:basedOn w:val="1"/>
    <w:qFormat/>
    <w:uiPriority w:val="0"/>
    <w:pPr>
      <w:spacing w:line="500" w:lineRule="exact"/>
      <w:ind w:firstLine="200" w:firstLineChars="200"/>
    </w:pPr>
    <w:rPr>
      <w:szCs w:val="20"/>
    </w:rPr>
  </w:style>
  <w:style w:type="paragraph" w:customStyle="1" w:styleId="278">
    <w:name w:val="样式74"/>
    <w:basedOn w:val="1"/>
    <w:qFormat/>
    <w:uiPriority w:val="0"/>
    <w:pPr>
      <w:widowControl/>
      <w:spacing w:before="100" w:beforeAutospacing="1" w:after="100" w:afterAutospacing="1" w:line="450" w:lineRule="atLeast"/>
      <w:jc w:val="left"/>
    </w:pPr>
    <w:rPr>
      <w:rFonts w:ascii="宋体" w:hAnsi="宋体"/>
      <w:color w:val="030303"/>
      <w:kern w:val="0"/>
      <w:sz w:val="20"/>
      <w:szCs w:val="20"/>
    </w:rPr>
  </w:style>
  <w:style w:type="paragraph" w:customStyle="1" w:styleId="279">
    <w:name w:val="Body Text 21"/>
    <w:basedOn w:val="1"/>
    <w:next w:val="1"/>
    <w:qFormat/>
    <w:uiPriority w:val="0"/>
    <w:pPr>
      <w:widowControl/>
      <w:spacing w:line="300" w:lineRule="auto"/>
      <w:jc w:val="center"/>
    </w:pPr>
    <w:rPr>
      <w:rFonts w:ascii="宋体"/>
      <w:color w:val="000000"/>
      <w:sz w:val="24"/>
      <w:szCs w:val="20"/>
    </w:rPr>
  </w:style>
  <w:style w:type="paragraph" w:customStyle="1" w:styleId="2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81">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28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283">
    <w:name w:val="模板标题3"/>
    <w:basedOn w:val="1"/>
    <w:next w:val="22"/>
    <w:qFormat/>
    <w:uiPriority w:val="0"/>
    <w:pPr>
      <w:keepNext/>
      <w:keepLines/>
      <w:tabs>
        <w:tab w:val="left" w:pos="1080"/>
      </w:tabs>
      <w:spacing w:afterLines="50"/>
      <w:outlineLvl w:val="2"/>
    </w:pPr>
    <w:rPr>
      <w:rFonts w:ascii="Arial" w:hAnsi="Arial"/>
      <w:b/>
      <w:kern w:val="21"/>
      <w:sz w:val="24"/>
      <w:szCs w:val="20"/>
    </w:rPr>
  </w:style>
  <w:style w:type="paragraph" w:customStyle="1" w:styleId="284">
    <w:name w:val="Normal Indent1"/>
    <w:basedOn w:val="1"/>
    <w:qFormat/>
    <w:uiPriority w:val="0"/>
    <w:pPr>
      <w:ind w:firstLine="420" w:firstLineChars="200"/>
    </w:pPr>
  </w:style>
  <w:style w:type="paragraph" w:customStyle="1" w:styleId="285">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86">
    <w:name w:val="模板标题2"/>
    <w:basedOn w:val="1"/>
    <w:next w:val="1"/>
    <w:qFormat/>
    <w:uiPriority w:val="0"/>
    <w:pPr>
      <w:keepNext/>
      <w:keepLines/>
      <w:tabs>
        <w:tab w:val="left" w:pos="1080"/>
      </w:tabs>
      <w:spacing w:afterLines="50"/>
      <w:outlineLvl w:val="1"/>
    </w:pPr>
    <w:rPr>
      <w:rFonts w:ascii="Arial" w:hAnsi="Arial"/>
      <w:b/>
      <w:kern w:val="32"/>
      <w:sz w:val="28"/>
      <w:szCs w:val="20"/>
    </w:rPr>
  </w:style>
  <w:style w:type="paragraph" w:customStyle="1" w:styleId="287">
    <w:name w:val="_Style 2"/>
    <w:basedOn w:val="1"/>
    <w:next w:val="21"/>
    <w:qFormat/>
    <w:uiPriority w:val="0"/>
    <w:rPr>
      <w:sz w:val="28"/>
    </w:rPr>
  </w:style>
  <w:style w:type="paragraph" w:customStyle="1" w:styleId="288">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89">
    <w:name w:val="_Style 1"/>
    <w:basedOn w:val="1"/>
    <w:qFormat/>
    <w:uiPriority w:val="0"/>
    <w:pPr>
      <w:ind w:firstLine="420"/>
    </w:pPr>
    <w:rPr>
      <w:rFonts w:ascii="Calibri" w:hAnsi="Calibri"/>
      <w:szCs w:val="22"/>
    </w:rPr>
  </w:style>
  <w:style w:type="paragraph" w:customStyle="1" w:styleId="29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292">
    <w:name w:val="SANGFOR_8_表格文字"/>
    <w:basedOn w:val="1"/>
    <w:qFormat/>
    <w:uiPriority w:val="0"/>
    <w:pPr>
      <w:snapToGrid w:val="0"/>
    </w:pPr>
    <w:rPr>
      <w:szCs w:val="21"/>
    </w:rPr>
  </w:style>
  <w:style w:type="paragraph" w:customStyle="1" w:styleId="293">
    <w:name w:val="Char1 Char Char Char Char Char Char"/>
    <w:basedOn w:val="3"/>
    <w:semiHidden/>
    <w:qFormat/>
    <w:uiPriority w:val="0"/>
    <w:pPr>
      <w:adjustRightInd w:val="0"/>
      <w:snapToGrid w:val="0"/>
      <w:spacing w:beforeLines="100" w:afterLines="100" w:line="480" w:lineRule="auto"/>
      <w:jc w:val="both"/>
      <w:textAlignment w:val="auto"/>
    </w:pPr>
    <w:rPr>
      <w:rFonts w:ascii="宋体" w:hAnsi="宋体" w:eastAsia="宋体"/>
      <w:sz w:val="32"/>
    </w:rPr>
  </w:style>
  <w:style w:type="paragraph" w:customStyle="1" w:styleId="294">
    <w:name w:val="Style1"/>
    <w:next w:val="295"/>
    <w:qFormat/>
    <w:uiPriority w:val="0"/>
    <w:pPr>
      <w:numPr>
        <w:ilvl w:val="0"/>
        <w:numId w:val="2"/>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295">
    <w:name w:val="*正文"/>
    <w:basedOn w:val="1"/>
    <w:qFormat/>
    <w:uiPriority w:val="0"/>
    <w:pPr>
      <w:ind w:firstLine="200" w:firstLineChars="200"/>
    </w:pPr>
    <w:rPr>
      <w:rFonts w:ascii="宋体" w:hAnsi="宋体"/>
      <w:szCs w:val="22"/>
    </w:rPr>
  </w:style>
  <w:style w:type="paragraph" w:customStyle="1" w:styleId="29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97">
    <w:name w:val="说明内容"/>
    <w:qFormat/>
    <w:uiPriority w:val="0"/>
    <w:pPr>
      <w:pBdr>
        <w:bottom w:val="single" w:color="auto" w:sz="2" w:space="1"/>
      </w:pBdr>
      <w:tabs>
        <w:tab w:val="left" w:pos="2268"/>
      </w:tabs>
      <w:ind w:left="1701"/>
    </w:pPr>
    <w:rPr>
      <w:rFonts w:ascii="Times New Roman" w:hAnsi="Times New Roman" w:eastAsia="仿宋_GB2312" w:cs="Times New Roman"/>
      <w:sz w:val="21"/>
      <w:lang w:val="en-US" w:eastAsia="zh-CN" w:bidi="ar-SA"/>
    </w:rPr>
  </w:style>
  <w:style w:type="paragraph" w:customStyle="1" w:styleId="29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301">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0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303">
    <w:name w:val="T - 文档正文"/>
    <w:basedOn w:val="1"/>
    <w:qFormat/>
    <w:uiPriority w:val="0"/>
    <w:pPr>
      <w:spacing w:beforeLines="50" w:afterLines="50"/>
      <w:ind w:firstLine="200" w:firstLineChars="200"/>
    </w:pPr>
    <w:rPr>
      <w:rFonts w:ascii="Verdana" w:hAnsi="Verdana" w:eastAsia="仿宋"/>
      <w:sz w:val="28"/>
      <w:szCs w:val="22"/>
    </w:rPr>
  </w:style>
  <w:style w:type="paragraph" w:customStyle="1" w:styleId="304">
    <w:name w:val="样式 标题 3h3H3sect1.2.3 + 五号 段前: 6 磅 段后: 6 磅 行距: 单倍行距"/>
    <w:basedOn w:val="5"/>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paragraph" w:customStyle="1" w:styleId="305">
    <w:name w:val="PlainText"/>
    <w:basedOn w:val="1"/>
    <w:next w:val="1"/>
    <w:qFormat/>
    <w:uiPriority w:val="0"/>
    <w:pPr>
      <w:textAlignment w:val="baseline"/>
    </w:pPr>
    <w:rPr>
      <w:rFonts w:ascii="宋体" w:hAnsi="Courier New"/>
      <w:szCs w:val="20"/>
    </w:rPr>
  </w:style>
  <w:style w:type="paragraph" w:customStyle="1" w:styleId="306">
    <w:name w:val="样式 正文首行缩进 2 + 左侧:  1.5 字符 首行缩进:  2 字符2"/>
    <w:basedOn w:val="1"/>
    <w:next w:val="1"/>
    <w:qFormat/>
    <w:uiPriority w:val="0"/>
    <w:pPr>
      <w:spacing w:line="360" w:lineRule="auto"/>
      <w:ind w:firstLine="480" w:firstLineChars="200"/>
    </w:pPr>
    <w:rPr>
      <w:rFonts w:ascii="宋体" w:hAnsi="宋体"/>
      <w:sz w:val="24"/>
    </w:rPr>
  </w:style>
  <w:style w:type="paragraph" w:customStyle="1" w:styleId="307">
    <w:name w:val="_Style 9"/>
    <w:basedOn w:val="1"/>
    <w:qFormat/>
    <w:uiPriority w:val="0"/>
    <w:pPr>
      <w:spacing w:line="360" w:lineRule="auto"/>
      <w:ind w:firstLine="420" w:firstLineChars="200"/>
    </w:pPr>
    <w:rPr>
      <w:rFonts w:ascii="Calibri" w:hAnsi="Calibri" w:eastAsia="仿宋"/>
      <w:sz w:val="24"/>
    </w:rPr>
  </w:style>
  <w:style w:type="paragraph" w:customStyle="1" w:styleId="308">
    <w:name w:val="普通(网站)_1"/>
    <w:basedOn w:val="152"/>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09">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b/>
      <w:bCs/>
      <w:caps/>
      <w:sz w:val="24"/>
      <w:szCs w:val="18"/>
    </w:rPr>
  </w:style>
  <w:style w:type="paragraph" w:customStyle="1" w:styleId="31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1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13">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15">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316">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317">
    <w:name w:val="图片标注"/>
    <w:basedOn w:val="1"/>
    <w:next w:val="15"/>
    <w:qFormat/>
    <w:uiPriority w:val="0"/>
    <w:pPr>
      <w:widowControl/>
      <w:spacing w:after="120"/>
      <w:jc w:val="center"/>
    </w:pPr>
    <w:rPr>
      <w:rFonts w:hint="eastAsia" w:ascii="宋体" w:hAnsi="宋体"/>
      <w:szCs w:val="22"/>
    </w:rPr>
  </w:style>
  <w:style w:type="paragraph" w:customStyle="1" w:styleId="318">
    <w:name w:val="节前说明"/>
    <w:next w:val="297"/>
    <w:qFormat/>
    <w:uiPriority w:val="0"/>
    <w:pPr>
      <w:pBdr>
        <w:top w:val="single" w:color="auto" w:sz="2" w:space="1"/>
      </w:pBdr>
      <w:tabs>
        <w:tab w:val="left" w:pos="928"/>
      </w:tabs>
      <w:spacing w:before="40" w:after="40"/>
      <w:ind w:left="1701"/>
    </w:pPr>
    <w:rPr>
      <w:rFonts w:ascii="Times New Roman" w:hAnsi="Times New Roman" w:eastAsia="黑体" w:cs="Times New Roman"/>
      <w:b/>
      <w:sz w:val="21"/>
      <w:lang w:val="en-US" w:eastAsia="zh-CN" w:bidi="ar-SA"/>
    </w:rPr>
  </w:style>
  <w:style w:type="paragraph" w:customStyle="1" w:styleId="319">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bCs/>
      <w:sz w:val="24"/>
    </w:rPr>
  </w:style>
  <w:style w:type="paragraph" w:customStyle="1" w:styleId="32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21">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322">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25">
    <w:name w:val="特点标题"/>
    <w:basedOn w:val="1"/>
    <w:next w:val="23"/>
    <w:qFormat/>
    <w:uiPriority w:val="0"/>
    <w:pPr>
      <w:widowControl/>
      <w:overflowPunct w:val="0"/>
      <w:autoSpaceDE w:val="0"/>
      <w:autoSpaceDN w:val="0"/>
      <w:adjustRightInd w:val="0"/>
      <w:spacing w:afterLines="50" w:line="360" w:lineRule="auto"/>
      <w:jc w:val="left"/>
    </w:pPr>
    <w:rPr>
      <w:kern w:val="0"/>
      <w:sz w:val="24"/>
      <w:szCs w:val="20"/>
    </w:rPr>
  </w:style>
  <w:style w:type="paragraph" w:customStyle="1" w:styleId="3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27">
    <w:name w:val="CM106"/>
    <w:basedOn w:val="97"/>
    <w:next w:val="97"/>
    <w:qFormat/>
    <w:uiPriority w:val="0"/>
    <w:rPr>
      <w:rFonts w:ascii="宋体" w:eastAsia="宋体" w:cs="Times New Roman"/>
      <w:color w:val="auto"/>
    </w:rPr>
  </w:style>
  <w:style w:type="paragraph" w:customStyle="1" w:styleId="328">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329">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330">
    <w:name w:val="模板标题5"/>
    <w:basedOn w:val="1"/>
    <w:next w:val="22"/>
    <w:qFormat/>
    <w:uiPriority w:val="0"/>
    <w:pPr>
      <w:tabs>
        <w:tab w:val="left" w:pos="1800"/>
      </w:tabs>
      <w:spacing w:afterLines="50"/>
      <w:outlineLvl w:val="4"/>
    </w:pPr>
    <w:rPr>
      <w:rFonts w:ascii="宋体" w:hAnsi="宋体"/>
      <w:b/>
      <w:szCs w:val="20"/>
    </w:rPr>
  </w:style>
  <w:style w:type="paragraph" w:customStyle="1" w:styleId="331">
    <w:name w:val="列表项目"/>
    <w:basedOn w:val="1"/>
    <w:qFormat/>
    <w:uiPriority w:val="0"/>
    <w:pPr>
      <w:tabs>
        <w:tab w:val="left" w:pos="420"/>
      </w:tabs>
      <w:spacing w:line="288" w:lineRule="auto"/>
      <w:ind w:left="840" w:leftChars="200" w:hanging="420" w:hangingChars="200"/>
    </w:pPr>
    <w:rPr>
      <w:sz w:val="24"/>
      <w:szCs w:val="20"/>
    </w:rPr>
  </w:style>
  <w:style w:type="paragraph" w:customStyle="1" w:styleId="332">
    <w:name w:val="正文文字"/>
    <w:basedOn w:val="1"/>
    <w:qFormat/>
    <w:uiPriority w:val="0"/>
    <w:pPr>
      <w:spacing w:line="351" w:lineRule="atLeast"/>
      <w:ind w:firstLine="419"/>
    </w:pPr>
  </w:style>
  <w:style w:type="paragraph" w:customStyle="1" w:styleId="333">
    <w:name w:val="第四级标题"/>
    <w:basedOn w:val="6"/>
    <w:next w:val="1"/>
    <w:qFormat/>
    <w:uiPriority w:val="0"/>
    <w:pPr>
      <w:keepNext/>
      <w:widowControl w:val="0"/>
      <w:spacing w:before="120" w:after="0" w:line="360" w:lineRule="auto"/>
    </w:pPr>
    <w:rPr>
      <w:rFonts w:ascii="Cambria" w:hAnsi="Cambria" w:eastAsia="仿宋"/>
      <w:bCs/>
      <w:color w:val="auto"/>
      <w:sz w:val="24"/>
      <w:szCs w:val="28"/>
    </w:rPr>
  </w:style>
  <w:style w:type="paragraph" w:customStyle="1" w:styleId="3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35">
    <w:name w:val="正文段"/>
    <w:basedOn w:val="1"/>
    <w:qFormat/>
    <w:uiPriority w:val="0"/>
    <w:pPr>
      <w:widowControl/>
      <w:snapToGrid w:val="0"/>
      <w:spacing w:afterLines="50"/>
      <w:ind w:firstLine="200" w:firstLineChars="200"/>
    </w:pPr>
    <w:rPr>
      <w:kern w:val="0"/>
      <w:sz w:val="24"/>
      <w:szCs w:val="20"/>
    </w:rPr>
  </w:style>
  <w:style w:type="paragraph" w:customStyle="1" w:styleId="336">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7">
    <w:name w:val="3级标题"/>
    <w:basedOn w:val="1"/>
    <w:qFormat/>
    <w:uiPriority w:val="0"/>
    <w:pPr>
      <w:keepLines/>
      <w:spacing w:before="120" w:after="120" w:line="360" w:lineRule="auto"/>
      <w:ind w:left="720" w:hanging="720"/>
      <w:contextualSpacing/>
      <w:jc w:val="left"/>
      <w:outlineLvl w:val="2"/>
    </w:pPr>
    <w:rPr>
      <w:rFonts w:ascii="黑体" w:hAnsi="黑体" w:eastAsia="黑体"/>
      <w:kern w:val="0"/>
      <w:sz w:val="28"/>
      <w:szCs w:val="36"/>
      <w:lang w:eastAsia="en-US" w:bidi="en-US"/>
    </w:rPr>
  </w:style>
  <w:style w:type="paragraph" w:customStyle="1" w:styleId="3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39">
    <w:name w:val="默认段落字体 Para Char Char Char Char Char Char Char Char Char1 Char Char Char Char Char Char Char"/>
    <w:basedOn w:val="1"/>
    <w:qFormat/>
    <w:uiPriority w:val="0"/>
    <w:pPr>
      <w:keepNext/>
      <w:autoSpaceDE w:val="0"/>
      <w:autoSpaceDN w:val="0"/>
      <w:spacing w:before="40" w:after="40"/>
      <w:jc w:val="center"/>
    </w:pPr>
    <w:rPr>
      <w:szCs w:val="20"/>
    </w:rPr>
  </w:style>
  <w:style w:type="paragraph" w:customStyle="1" w:styleId="3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41">
    <w:name w:val="5正文"/>
    <w:qFormat/>
    <w:uiPriority w:val="0"/>
    <w:pPr>
      <w:spacing w:after="200"/>
      <w:ind w:left="420" w:right="240" w:rightChars="100"/>
    </w:pPr>
    <w:rPr>
      <w:rFonts w:ascii="宋体" w:hAnsi="宋体" w:eastAsia="宋体" w:cs="Times New Roman"/>
      <w:sz w:val="24"/>
      <w:szCs w:val="28"/>
      <w:lang w:val="en-US" w:eastAsia="zh-CN" w:bidi="ar-SA"/>
    </w:rPr>
  </w:style>
  <w:style w:type="paragraph" w:customStyle="1" w:styleId="342">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3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5">
    <w:name w:val="正文0"/>
    <w:basedOn w:val="1"/>
    <w:qFormat/>
    <w:uiPriority w:val="0"/>
    <w:pPr>
      <w:widowControl/>
      <w:adjustRightInd w:val="0"/>
      <w:snapToGrid w:val="0"/>
      <w:spacing w:line="360" w:lineRule="auto"/>
      <w:ind w:firstLine="482"/>
      <w:jc w:val="left"/>
    </w:pPr>
    <w:rPr>
      <w:rFonts w:ascii="仿宋" w:hAnsi="仿宋" w:eastAsia="仿宋"/>
      <w:color w:val="000000"/>
      <w:kern w:val="52"/>
      <w:sz w:val="24"/>
    </w:rPr>
  </w:style>
  <w:style w:type="paragraph" w:customStyle="1" w:styleId="346">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47">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348">
    <w:name w:val="第一级标题"/>
    <w:basedOn w:val="3"/>
    <w:next w:val="1"/>
    <w:qFormat/>
    <w:uiPriority w:val="0"/>
    <w:pPr>
      <w:keepLines/>
      <w:tabs>
        <w:tab w:val="left" w:pos="360"/>
      </w:tabs>
      <w:autoSpaceDE/>
      <w:autoSpaceDN/>
      <w:spacing w:before="340" w:after="330" w:line="578" w:lineRule="auto"/>
      <w:ind w:left="360" w:hanging="360"/>
      <w:jc w:val="both"/>
      <w:textAlignment w:val="auto"/>
    </w:pPr>
    <w:rPr>
      <w:rFonts w:ascii="Calibri" w:hAnsi="Calibri" w:eastAsia="宋体"/>
      <w:bCs/>
      <w:kern w:val="44"/>
      <w:szCs w:val="44"/>
    </w:rPr>
  </w:style>
  <w:style w:type="paragraph" w:customStyle="1" w:styleId="34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50">
    <w:name w:val="正文段落"/>
    <w:basedOn w:val="1"/>
    <w:qFormat/>
    <w:uiPriority w:val="0"/>
    <w:pPr>
      <w:spacing w:line="360" w:lineRule="auto"/>
      <w:ind w:firstLine="482"/>
    </w:pPr>
    <w:rPr>
      <w:rFonts w:ascii="宋体"/>
      <w:sz w:val="24"/>
      <w:szCs w:val="20"/>
    </w:rPr>
  </w:style>
  <w:style w:type="paragraph" w:customStyle="1" w:styleId="351">
    <w:name w:val="我的正文(首行缩进)"/>
    <w:basedOn w:val="1"/>
    <w:qFormat/>
    <w:uiPriority w:val="0"/>
    <w:pPr>
      <w:spacing w:line="360" w:lineRule="auto"/>
      <w:ind w:firstLine="560" w:firstLineChars="200"/>
      <w:jc w:val="left"/>
    </w:pPr>
    <w:rPr>
      <w:rFonts w:ascii="宋体" w:hAnsi="宋体" w:eastAsia="仿宋"/>
      <w:sz w:val="24"/>
      <w:szCs w:val="21"/>
    </w:rPr>
  </w:style>
  <w:style w:type="paragraph" w:customStyle="1" w:styleId="35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53">
    <w:name w:val="font8"/>
    <w:basedOn w:val="1"/>
    <w:qFormat/>
    <w:uiPriority w:val="0"/>
    <w:pPr>
      <w:widowControl/>
      <w:spacing w:before="100" w:beforeAutospacing="1" w:after="100" w:afterAutospacing="1"/>
      <w:jc w:val="left"/>
    </w:pPr>
    <w:rPr>
      <w:kern w:val="0"/>
      <w:sz w:val="20"/>
      <w:szCs w:val="20"/>
    </w:rPr>
  </w:style>
  <w:style w:type="paragraph" w:customStyle="1" w:styleId="354">
    <w:name w:val="样式1"/>
    <w:basedOn w:val="21"/>
    <w:qFormat/>
    <w:uiPriority w:val="0"/>
    <w:pPr>
      <w:keepLines/>
      <w:spacing w:before="260" w:after="260" w:line="416" w:lineRule="auto"/>
    </w:pPr>
    <w:rPr>
      <w:rFonts w:ascii="宋体" w:hAnsi="宋体" w:eastAsia="黑体"/>
      <w:bCs/>
      <w:szCs w:val="36"/>
    </w:rPr>
  </w:style>
  <w:style w:type="paragraph" w:customStyle="1" w:styleId="355">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3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7">
    <w:name w:val="TOC 标题1"/>
    <w:basedOn w:val="3"/>
    <w:next w:val="1"/>
    <w:qFormat/>
    <w:uiPriority w:val="39"/>
    <w:pPr>
      <w:keepLines/>
      <w:widowControl/>
      <w:autoSpaceDE/>
      <w:autoSpaceDN/>
      <w:spacing w:before="480" w:line="276" w:lineRule="auto"/>
      <w:ind w:left="740" w:hanging="425"/>
      <w:jc w:val="left"/>
      <w:textAlignment w:val="auto"/>
      <w:outlineLvl w:val="9"/>
    </w:pPr>
    <w:rPr>
      <w:rFonts w:ascii="Cambria" w:hAnsi="Cambria" w:eastAsia="宋体"/>
      <w:bCs/>
      <w:color w:val="365F91"/>
      <w:kern w:val="0"/>
      <w:sz w:val="28"/>
      <w:szCs w:val="28"/>
      <w:lang w:val="zh-CN"/>
    </w:rPr>
  </w:style>
  <w:style w:type="paragraph" w:customStyle="1" w:styleId="358">
    <w:name w:val="WPSOffice手动目录 1"/>
    <w:qFormat/>
    <w:uiPriority w:val="0"/>
    <w:rPr>
      <w:rFonts w:ascii="Times New Roman" w:hAnsi="Times New Roman" w:eastAsia="宋体" w:cs="Times New Roman"/>
      <w:lang w:val="en-US" w:eastAsia="zh-CN" w:bidi="ar-SA"/>
    </w:rPr>
  </w:style>
  <w:style w:type="paragraph" w:customStyle="1" w:styleId="359">
    <w:name w:val="纯文本11"/>
    <w:basedOn w:val="1"/>
    <w:qFormat/>
    <w:uiPriority w:val="0"/>
    <w:pPr>
      <w:adjustRightInd w:val="0"/>
      <w:jc w:val="left"/>
    </w:pPr>
    <w:rPr>
      <w:rFonts w:ascii="宋体" w:hAnsi="Courier New"/>
      <w:sz w:val="24"/>
      <w:szCs w:val="20"/>
    </w:rPr>
  </w:style>
  <w:style w:type="paragraph" w:customStyle="1" w:styleId="360">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61">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2">
    <w:name w:val="图片"/>
    <w:basedOn w:val="1"/>
    <w:qFormat/>
    <w:uiPriority w:val="0"/>
    <w:pPr>
      <w:widowControl/>
      <w:spacing w:after="200" w:line="360" w:lineRule="auto"/>
      <w:jc w:val="center"/>
    </w:pPr>
    <w:rPr>
      <w:rFonts w:hint="eastAsia" w:ascii="宋体" w:hAnsi="宋体"/>
      <w:sz w:val="24"/>
      <w:szCs w:val="22"/>
    </w:rPr>
  </w:style>
  <w:style w:type="paragraph" w:customStyle="1" w:styleId="363">
    <w:name w:val="Char Char Char Char"/>
    <w:basedOn w:val="1"/>
    <w:qFormat/>
    <w:uiPriority w:val="0"/>
    <w:pPr>
      <w:adjustRightInd w:val="0"/>
      <w:spacing w:line="360" w:lineRule="auto"/>
    </w:pPr>
    <w:rPr>
      <w:kern w:val="0"/>
      <w:sz w:val="24"/>
      <w:szCs w:val="20"/>
    </w:rPr>
  </w:style>
  <w:style w:type="paragraph" w:customStyle="1" w:styleId="3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365">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66">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36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6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70">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372">
    <w:name w:val="正文缩进1"/>
    <w:basedOn w:val="1"/>
    <w:qFormat/>
    <w:uiPriority w:val="0"/>
    <w:pPr>
      <w:spacing w:line="300" w:lineRule="auto"/>
      <w:ind w:firstLine="425"/>
    </w:pPr>
    <w:rPr>
      <w:szCs w:val="20"/>
    </w:rPr>
  </w:style>
  <w:style w:type="paragraph" w:customStyle="1" w:styleId="373">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374">
    <w:name w:val="_Style 96"/>
    <w:basedOn w:val="1"/>
    <w:qFormat/>
    <w:uiPriority w:val="0"/>
    <w:rPr>
      <w:rFonts w:ascii="Calibri" w:hAnsi="Calibri"/>
      <w:szCs w:val="20"/>
    </w:rPr>
  </w:style>
  <w:style w:type="paragraph" w:customStyle="1" w:styleId="375">
    <w:name w:val="正文1"/>
    <w:basedOn w:val="18"/>
    <w:next w:val="1"/>
    <w:qFormat/>
    <w:uiPriority w:val="0"/>
    <w:pPr>
      <w:spacing w:line="360" w:lineRule="atLeast"/>
      <w:textAlignment w:val="baseline"/>
    </w:pPr>
    <w:rPr>
      <w:sz w:val="24"/>
      <w:szCs w:val="20"/>
    </w:rPr>
  </w:style>
  <w:style w:type="paragraph" w:customStyle="1" w:styleId="376">
    <w:name w:val="第三极标题"/>
    <w:basedOn w:val="5"/>
    <w:next w:val="1"/>
    <w:qFormat/>
    <w:uiPriority w:val="0"/>
    <w:pPr>
      <w:spacing w:before="120" w:after="120"/>
      <w:ind w:left="1418" w:hanging="709" w:firstLineChars="0"/>
    </w:pPr>
    <w:rPr>
      <w:rFonts w:ascii="Calibri" w:hAnsi="Calibri" w:eastAsia="仿宋"/>
      <w:szCs w:val="32"/>
    </w:rPr>
  </w:style>
  <w:style w:type="paragraph" w:customStyle="1" w:styleId="377">
    <w:name w:val="pa-2"/>
    <w:basedOn w:val="1"/>
    <w:qFormat/>
    <w:uiPriority w:val="99"/>
    <w:pPr>
      <w:widowControl/>
      <w:spacing w:line="360" w:lineRule="atLeast"/>
      <w:ind w:firstLine="560"/>
      <w:jc w:val="left"/>
    </w:pPr>
    <w:rPr>
      <w:rFonts w:ascii="宋体" w:hAnsi="宋体" w:cs="宋体"/>
      <w:kern w:val="0"/>
      <w:sz w:val="24"/>
    </w:rPr>
  </w:style>
  <w:style w:type="paragraph" w:customStyle="1" w:styleId="378">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379">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380">
    <w:name w:val="Char1"/>
    <w:basedOn w:val="1"/>
    <w:qFormat/>
    <w:uiPriority w:val="0"/>
    <w:pPr>
      <w:adjustRightInd w:val="0"/>
      <w:spacing w:line="360" w:lineRule="auto"/>
    </w:pPr>
    <w:rPr>
      <w:kern w:val="0"/>
      <w:sz w:val="24"/>
      <w:szCs w:val="20"/>
    </w:rPr>
  </w:style>
  <w:style w:type="paragraph" w:customStyle="1" w:styleId="381">
    <w:name w:val="font11"/>
    <w:basedOn w:val="1"/>
    <w:qFormat/>
    <w:uiPriority w:val="0"/>
    <w:pPr>
      <w:widowControl/>
      <w:spacing w:before="100" w:beforeAutospacing="1" w:after="100" w:afterAutospacing="1"/>
      <w:jc w:val="left"/>
    </w:pPr>
    <w:rPr>
      <w:b/>
      <w:bCs/>
      <w:i/>
      <w:iCs/>
      <w:kern w:val="0"/>
      <w:sz w:val="24"/>
    </w:rPr>
  </w:style>
  <w:style w:type="paragraph" w:customStyle="1" w:styleId="38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383">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384">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table" w:customStyle="1" w:styleId="385">
    <w:name w:val="Table Grid1"/>
    <w:basedOn w:val="5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6">
    <w:name w:val="font61"/>
    <w:basedOn w:val="56"/>
    <w:qFormat/>
    <w:uiPriority w:val="0"/>
    <w:rPr>
      <w:rFonts w:hint="eastAsia" w:ascii="微软雅黑" w:hAnsi="微软雅黑" w:eastAsia="微软雅黑" w:cs="微软雅黑"/>
      <w:color w:val="000000"/>
      <w:sz w:val="21"/>
      <w:szCs w:val="21"/>
      <w:u w:val="none"/>
    </w:rPr>
  </w:style>
  <w:style w:type="character" w:customStyle="1" w:styleId="387">
    <w:name w:val="font112"/>
    <w:basedOn w:val="56"/>
    <w:qFormat/>
    <w:uiPriority w:val="0"/>
    <w:rPr>
      <w:rFonts w:hint="eastAsia" w:ascii="宋体" w:hAnsi="宋体" w:eastAsia="宋体" w:cs="宋体"/>
      <w:color w:val="000000"/>
      <w:sz w:val="24"/>
      <w:szCs w:val="24"/>
      <w:u w:val="none"/>
    </w:rPr>
  </w:style>
  <w:style w:type="character" w:customStyle="1" w:styleId="388">
    <w:name w:val="fontstyle01"/>
    <w:qFormat/>
    <w:uiPriority w:val="0"/>
    <w:rPr>
      <w:rFonts w:hint="eastAsia" w:ascii="宋体" w:hAnsi="宋体" w:eastAsia="宋体"/>
      <w:color w:val="000000"/>
      <w:sz w:val="24"/>
      <w:szCs w:val="24"/>
    </w:rPr>
  </w:style>
  <w:style w:type="paragraph" w:customStyle="1" w:styleId="38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42356</Words>
  <Characters>45672</Characters>
  <Lines>384</Lines>
  <Paragraphs>108</Paragraphs>
  <TotalTime>14</TotalTime>
  <ScaleCrop>false</ScaleCrop>
  <LinksUpToDate>false</LinksUpToDate>
  <CharactersWithSpaces>48679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2023-10-15T18:26:00Z</dcterms:created>
  <dc:creator>000</dc:creator>
  <cp:lastModifiedBy>陈白白</cp:lastModifiedBy>
  <cp:lastPrinted>2024-08-01T10:52:00Z</cp:lastPrinted>
  <dcterms:modified xsi:type="dcterms:W3CDTF">2024-08-16T04:14:10Z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B3F1CF6DD0A94A009F13113890609175_13</vt:lpwstr>
  </property>
</Properties>
</file>