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A399E">
      <w:pPr>
        <w:ind w:firstLine="480"/>
      </w:pPr>
      <w:bookmarkStart w:id="0" w:name="_Toc20490"/>
      <w:bookmarkStart w:id="1" w:name="_Toc24861"/>
      <w:bookmarkStart w:id="2" w:name="_Toc10587"/>
      <w:bookmarkStart w:id="3" w:name="_Toc1178"/>
      <w:bookmarkStart w:id="4" w:name="_Toc28613"/>
      <w:bookmarkStart w:id="5" w:name="_Toc14946"/>
      <w:bookmarkStart w:id="6" w:name="_Toc26543"/>
      <w:bookmarkStart w:id="7" w:name="_Toc223"/>
      <w:bookmarkStart w:id="8" w:name="_Toc22692"/>
      <w:bookmarkStart w:id="9" w:name="_Toc31119"/>
    </w:p>
    <w:p w14:paraId="06933D83">
      <w:pPr>
        <w:ind w:firstLine="480"/>
      </w:pPr>
    </w:p>
    <w:p w14:paraId="60DA33CB">
      <w:pPr>
        <w:ind w:firstLine="480"/>
      </w:pPr>
    </w:p>
    <w:p w14:paraId="0E6A83B5">
      <w:pPr>
        <w:ind w:firstLine="480"/>
      </w:pPr>
    </w:p>
    <w:p w14:paraId="1158FA8B">
      <w:pPr>
        <w:spacing w:line="360" w:lineRule="auto"/>
        <w:ind w:firstLine="1687"/>
        <w:rPr>
          <w:b/>
          <w:sz w:val="84"/>
          <w:szCs w:val="84"/>
        </w:rPr>
      </w:pPr>
      <w:r>
        <w:rPr>
          <w:rFonts w:hint="eastAsia"/>
          <w:b/>
          <w:sz w:val="84"/>
          <w:szCs w:val="84"/>
        </w:rPr>
        <w:t>竞争性磋商文件</w:t>
      </w:r>
      <w:bookmarkEnd w:id="0"/>
      <w:bookmarkEnd w:id="1"/>
      <w:bookmarkEnd w:id="2"/>
      <w:bookmarkEnd w:id="3"/>
      <w:bookmarkEnd w:id="4"/>
      <w:bookmarkEnd w:id="5"/>
      <w:bookmarkEnd w:id="6"/>
      <w:bookmarkEnd w:id="7"/>
      <w:bookmarkEnd w:id="8"/>
      <w:bookmarkEnd w:id="9"/>
    </w:p>
    <w:p w14:paraId="43B63798">
      <w:pPr>
        <w:tabs>
          <w:tab w:val="left" w:pos="1260"/>
        </w:tabs>
        <w:spacing w:line="360" w:lineRule="auto"/>
        <w:ind w:firstLine="720"/>
        <w:rPr>
          <w:rFonts w:ascii="宋体" w:hAnsi="宋体" w:cs="宋体"/>
          <w:sz w:val="36"/>
          <w:szCs w:val="36"/>
          <w:lang w:val="zh-CN"/>
        </w:rPr>
      </w:pPr>
    </w:p>
    <w:p w14:paraId="260A059C">
      <w:pPr>
        <w:tabs>
          <w:tab w:val="left" w:pos="1260"/>
        </w:tabs>
        <w:spacing w:line="360" w:lineRule="auto"/>
        <w:ind w:firstLine="720"/>
        <w:rPr>
          <w:rFonts w:ascii="宋体" w:hAnsi="宋体" w:cs="宋体"/>
          <w:sz w:val="36"/>
          <w:szCs w:val="36"/>
          <w:lang w:val="zh-CN"/>
        </w:rPr>
      </w:pPr>
    </w:p>
    <w:p w14:paraId="623C612A">
      <w:pPr>
        <w:tabs>
          <w:tab w:val="left" w:pos="1260"/>
        </w:tabs>
        <w:spacing w:line="360" w:lineRule="auto"/>
        <w:ind w:firstLine="720"/>
        <w:rPr>
          <w:rFonts w:ascii="宋体" w:hAnsi="宋体" w:cs="宋体"/>
          <w:sz w:val="36"/>
          <w:szCs w:val="36"/>
          <w:lang w:val="zh-CN"/>
        </w:rPr>
      </w:pPr>
    </w:p>
    <w:p w14:paraId="1EA15FD7">
      <w:pPr>
        <w:tabs>
          <w:tab w:val="left" w:pos="1260"/>
        </w:tabs>
        <w:spacing w:line="360" w:lineRule="auto"/>
        <w:ind w:firstLine="0" w:firstLineChars="0"/>
        <w:jc w:val="left"/>
        <w:rPr>
          <w:rFonts w:ascii="宋体" w:hAnsi="宋体" w:cs="宋体"/>
          <w:sz w:val="36"/>
          <w:szCs w:val="36"/>
          <w:lang w:val="zh-CN"/>
        </w:rPr>
      </w:pPr>
    </w:p>
    <w:p w14:paraId="71FDA74C">
      <w:pPr>
        <w:tabs>
          <w:tab w:val="left" w:pos="1260"/>
        </w:tabs>
        <w:spacing w:line="360" w:lineRule="auto"/>
        <w:ind w:firstLine="720"/>
        <w:rPr>
          <w:rFonts w:ascii="宋体" w:hAnsi="宋体" w:cs="宋体"/>
          <w:sz w:val="36"/>
          <w:szCs w:val="36"/>
          <w:lang w:val="zh-CN"/>
        </w:rPr>
      </w:pPr>
    </w:p>
    <w:p w14:paraId="4815FFC1">
      <w:pPr>
        <w:tabs>
          <w:tab w:val="left" w:pos="1260"/>
        </w:tabs>
        <w:spacing w:line="360" w:lineRule="auto"/>
        <w:ind w:firstLine="640"/>
        <w:rPr>
          <w:rFonts w:ascii="宋体" w:hAnsi="宋体" w:cs="宋体"/>
          <w:bCs/>
          <w:color w:val="000000"/>
          <w:sz w:val="32"/>
          <w:szCs w:val="32"/>
        </w:rPr>
      </w:pPr>
      <w:r>
        <w:rPr>
          <w:rFonts w:hint="eastAsia" w:ascii="宋体" w:hAnsi="宋体" w:cs="宋体"/>
          <w:sz w:val="32"/>
          <w:szCs w:val="32"/>
          <w:lang w:val="zh-CN"/>
        </w:rPr>
        <w:t>项目编号：浙盛康</w:t>
      </w:r>
      <w:r>
        <w:rPr>
          <w:rFonts w:hint="eastAsia" w:ascii="宋体" w:hAnsi="宋体" w:cs="宋体"/>
          <w:sz w:val="32"/>
          <w:szCs w:val="32"/>
        </w:rPr>
        <w:t>磋商</w:t>
      </w:r>
      <w:r>
        <w:rPr>
          <w:rFonts w:hint="eastAsia" w:ascii="宋体" w:hAnsi="宋体" w:cs="宋体"/>
          <w:sz w:val="32"/>
          <w:szCs w:val="32"/>
          <w:lang w:val="zh-CN"/>
        </w:rPr>
        <w:t>【2024】</w:t>
      </w:r>
      <w:r>
        <w:rPr>
          <w:rFonts w:hint="eastAsia" w:ascii="宋体" w:hAnsi="宋体" w:cs="宋体"/>
          <w:sz w:val="32"/>
          <w:szCs w:val="32"/>
        </w:rPr>
        <w:t>24</w:t>
      </w:r>
      <w:r>
        <w:rPr>
          <w:rFonts w:hint="eastAsia" w:ascii="宋体" w:hAnsi="宋体" w:cs="宋体"/>
          <w:sz w:val="32"/>
          <w:szCs w:val="32"/>
          <w:lang w:val="zh-CN"/>
        </w:rPr>
        <w:t>号</w:t>
      </w:r>
    </w:p>
    <w:p w14:paraId="14716B9D">
      <w:pPr>
        <w:pStyle w:val="27"/>
        <w:ind w:left="480" w:firstLine="440"/>
        <w:rPr>
          <w:sz w:val="22"/>
          <w:szCs w:val="22"/>
          <w:lang w:val="zh-CN"/>
        </w:rPr>
      </w:pPr>
    </w:p>
    <w:p w14:paraId="613A175F">
      <w:pPr>
        <w:spacing w:line="360" w:lineRule="auto"/>
        <w:ind w:left="2320" w:leftChars="300" w:hanging="1600" w:hangingChars="500"/>
        <w:rPr>
          <w:rFonts w:ascii="宋体" w:hAnsi="宋体" w:cs="宋体"/>
          <w:sz w:val="32"/>
          <w:szCs w:val="32"/>
          <w:lang w:val="zh-CN"/>
        </w:rPr>
      </w:pPr>
      <w:r>
        <w:rPr>
          <w:rFonts w:hint="eastAsia" w:ascii="宋体" w:hAnsi="宋体" w:cs="宋体"/>
          <w:sz w:val="32"/>
          <w:szCs w:val="32"/>
          <w:lang w:val="zh-CN"/>
        </w:rPr>
        <w:t>项目名称：大梁山森林防火提升规划及乡村振兴森林康养项目概念设计项目</w:t>
      </w:r>
    </w:p>
    <w:p w14:paraId="27EE9498">
      <w:pPr>
        <w:pStyle w:val="26"/>
        <w:ind w:firstLine="220"/>
        <w:rPr>
          <w:sz w:val="22"/>
          <w:szCs w:val="22"/>
        </w:rPr>
      </w:pPr>
    </w:p>
    <w:p w14:paraId="34EFDA91">
      <w:pPr>
        <w:snapToGrid w:val="0"/>
        <w:spacing w:line="360" w:lineRule="auto"/>
        <w:ind w:left="2640" w:leftChars="300" w:hanging="1920" w:hangingChars="600"/>
        <w:rPr>
          <w:rFonts w:ascii="宋体" w:hAnsi="宋体" w:cs="宋体"/>
          <w:bCs/>
          <w:color w:val="000000"/>
          <w:sz w:val="32"/>
          <w:szCs w:val="32"/>
          <w:lang w:val="zh-CN"/>
        </w:rPr>
      </w:pPr>
      <w:r>
        <w:rPr>
          <w:rFonts w:hint="eastAsia" w:ascii="宋体" w:hAnsi="宋体" w:cs="宋体"/>
          <w:bCs/>
          <w:color w:val="000000"/>
          <w:sz w:val="32"/>
          <w:szCs w:val="32"/>
          <w:lang w:val="zh-CN"/>
        </w:rPr>
        <w:t>采购单位：丽水经济技术开发区生态林业发展心</w:t>
      </w:r>
    </w:p>
    <w:p w14:paraId="7AEBBC70">
      <w:pPr>
        <w:pStyle w:val="26"/>
        <w:ind w:firstLine="320"/>
        <w:rPr>
          <w:rFonts w:ascii="宋体" w:hAnsi="宋体" w:cs="宋体"/>
          <w:bCs/>
          <w:color w:val="000000"/>
          <w:sz w:val="32"/>
          <w:szCs w:val="32"/>
          <w:lang w:val="zh-CN"/>
        </w:rPr>
      </w:pPr>
    </w:p>
    <w:p w14:paraId="3473A4C2">
      <w:pPr>
        <w:ind w:firstLine="640"/>
        <w:rPr>
          <w:rFonts w:ascii="宋体" w:hAnsi="宋体" w:cs="宋体"/>
          <w:bCs/>
          <w:color w:val="000000"/>
          <w:sz w:val="32"/>
          <w:szCs w:val="32"/>
          <w:lang w:val="zh-CN"/>
        </w:rPr>
      </w:pPr>
    </w:p>
    <w:p w14:paraId="54A2FED0">
      <w:pPr>
        <w:spacing w:line="360" w:lineRule="auto"/>
        <w:ind w:firstLine="640"/>
        <w:rPr>
          <w:rFonts w:ascii="宋体" w:hAnsi="宋体" w:cs="宋体"/>
          <w:bCs/>
          <w:color w:val="000000"/>
          <w:sz w:val="32"/>
          <w:szCs w:val="32"/>
          <w:lang w:val="zh-CN"/>
        </w:rPr>
      </w:pPr>
      <w:r>
        <w:rPr>
          <w:rFonts w:hint="eastAsia" w:ascii="宋体" w:hAnsi="宋体" w:cs="宋体"/>
          <w:bCs/>
          <w:color w:val="000000"/>
          <w:sz w:val="32"/>
          <w:szCs w:val="32"/>
          <w:lang w:val="zh-CN"/>
        </w:rPr>
        <w:t>采购代理机构：浙江盛康工程管理有限公司</w:t>
      </w:r>
    </w:p>
    <w:p w14:paraId="33302DE6">
      <w:pPr>
        <w:ind w:firstLine="0" w:firstLineChars="0"/>
        <w:jc w:val="center"/>
        <w:rPr>
          <w:rFonts w:cs="宋体" w:asciiTheme="minorEastAsia" w:hAnsiTheme="minorEastAsia" w:eastAsiaTheme="minorEastAsia"/>
          <w:b/>
          <w:bCs/>
          <w:color w:val="000000"/>
          <w:sz w:val="28"/>
          <w:szCs w:val="28"/>
        </w:rPr>
      </w:pPr>
      <w:r>
        <w:rPr>
          <w:rFonts w:hint="eastAsia" w:ascii="宋体" w:hAnsi="宋体" w:cs="宋体"/>
          <w:bCs/>
          <w:color w:val="000000"/>
          <w:sz w:val="32"/>
          <w:szCs w:val="32"/>
          <w:lang w:val="zh-CN"/>
        </w:rPr>
        <w:t>202</w:t>
      </w:r>
      <w:r>
        <w:rPr>
          <w:rFonts w:hint="eastAsia" w:ascii="宋体" w:hAnsi="宋体" w:cs="宋体"/>
          <w:bCs/>
          <w:color w:val="000000"/>
          <w:sz w:val="32"/>
          <w:szCs w:val="32"/>
        </w:rPr>
        <w:t>4</w:t>
      </w:r>
      <w:r>
        <w:rPr>
          <w:rFonts w:hint="eastAsia" w:ascii="宋体" w:hAnsi="宋体" w:cs="宋体"/>
          <w:bCs/>
          <w:color w:val="000000"/>
          <w:sz w:val="32"/>
          <w:szCs w:val="32"/>
          <w:lang w:val="zh-CN"/>
        </w:rPr>
        <w:t>年</w:t>
      </w:r>
      <w:r>
        <w:rPr>
          <w:rFonts w:hint="eastAsia" w:ascii="宋体" w:hAnsi="宋体" w:cs="宋体"/>
          <w:bCs/>
          <w:color w:val="000000"/>
          <w:sz w:val="32"/>
          <w:szCs w:val="32"/>
        </w:rPr>
        <w:t>9</w:t>
      </w:r>
      <w:r>
        <w:rPr>
          <w:rFonts w:hint="eastAsia" w:ascii="宋体" w:hAnsi="宋体" w:cs="宋体"/>
          <w:bCs/>
          <w:color w:val="000000"/>
          <w:sz w:val="32"/>
          <w:szCs w:val="32"/>
          <w:lang w:val="zh-CN"/>
        </w:rPr>
        <w:t>月</w:t>
      </w:r>
    </w:p>
    <w:p w14:paraId="7CA7610C">
      <w:pPr>
        <w:widowControl/>
        <w:spacing w:line="240" w:lineRule="auto"/>
        <w:ind w:firstLine="0" w:firstLineChars="0"/>
        <w:jc w:val="center"/>
        <w:rPr>
          <w:rFonts w:asciiTheme="minorEastAsia" w:hAnsiTheme="minorEastAsia" w:eastAsiaTheme="minorEastAsia"/>
          <w:sz w:val="22"/>
          <w:szCs w:val="22"/>
        </w:rPr>
        <w:sectPr>
          <w:footerReference r:id="rId9" w:type="first"/>
          <w:headerReference r:id="rId5" w:type="default"/>
          <w:footerReference r:id="rId7" w:type="default"/>
          <w:headerReference r:id="rId6" w:type="even"/>
          <w:footerReference r:id="rId8" w:type="even"/>
          <w:pgSz w:w="11906" w:h="16838"/>
          <w:pgMar w:top="1440" w:right="1800" w:bottom="1440" w:left="1800" w:header="851" w:footer="992" w:gutter="0"/>
          <w:pgNumType w:start="0"/>
          <w:cols w:space="425" w:num="1"/>
          <w:titlePg/>
          <w:docGrid w:type="lines" w:linePitch="326" w:charSpace="0"/>
        </w:sectPr>
      </w:pPr>
    </w:p>
    <w:p w14:paraId="71E4613C">
      <w:pPr>
        <w:widowControl/>
        <w:spacing w:line="240" w:lineRule="auto"/>
        <w:ind w:firstLine="0" w:firstLineChars="0"/>
        <w:jc w:val="center"/>
        <w:rPr>
          <w:rFonts w:asciiTheme="minorEastAsia" w:hAnsiTheme="minorEastAsia" w:eastAsiaTheme="minorEastAsia"/>
        </w:rPr>
      </w:pPr>
      <w:r>
        <w:rPr>
          <w:sz w:val="28"/>
          <w:szCs w:val="28"/>
        </w:rPr>
        <w:t>目录</w:t>
      </w:r>
    </w:p>
    <w:p w14:paraId="60A25165">
      <w:pPr>
        <w:pStyle w:val="20"/>
        <w:tabs>
          <w:tab w:val="right" w:leader="dot" w:pos="8306"/>
          <w:tab w:val="clear" w:pos="1470"/>
          <w:tab w:val="clear" w:pos="8296"/>
        </w:tabs>
      </w:pPr>
      <w:r>
        <w:fldChar w:fldCharType="begin"/>
      </w:r>
      <w:r>
        <w:instrText xml:space="preserve"> TOC \o "1-2" \h \z \u </w:instrText>
      </w:r>
      <w:r>
        <w:fldChar w:fldCharType="separate"/>
      </w:r>
      <w:r>
        <w:fldChar w:fldCharType="begin"/>
      </w:r>
      <w:r>
        <w:instrText xml:space="preserve"> HYPERLINK \l "_Toc15390" </w:instrText>
      </w:r>
      <w:r>
        <w:fldChar w:fldCharType="separate"/>
      </w:r>
      <w:r>
        <w:t>第一章</w:t>
      </w:r>
      <w:r>
        <w:rPr>
          <w:rFonts w:hint="eastAsia"/>
        </w:rPr>
        <w:t xml:space="preserve">  竞争性磋商公告</w:t>
      </w:r>
      <w:r>
        <w:tab/>
      </w:r>
      <w:r>
        <w:fldChar w:fldCharType="begin"/>
      </w:r>
      <w:r>
        <w:instrText xml:space="preserve"> PAGEREF _Toc15390 \h </w:instrText>
      </w:r>
      <w:r>
        <w:fldChar w:fldCharType="separate"/>
      </w:r>
      <w:r>
        <w:t>1</w:t>
      </w:r>
      <w:r>
        <w:fldChar w:fldCharType="end"/>
      </w:r>
      <w:r>
        <w:fldChar w:fldCharType="end"/>
      </w:r>
    </w:p>
    <w:p w14:paraId="3AAE5EC2">
      <w:pPr>
        <w:pStyle w:val="20"/>
        <w:tabs>
          <w:tab w:val="right" w:leader="dot" w:pos="8306"/>
          <w:tab w:val="clear" w:pos="1470"/>
          <w:tab w:val="clear" w:pos="8296"/>
        </w:tabs>
      </w:pPr>
      <w:r>
        <w:fldChar w:fldCharType="begin"/>
      </w:r>
      <w:r>
        <w:instrText xml:space="preserve"> HYPERLINK \l "_Toc14464" </w:instrText>
      </w:r>
      <w:r>
        <w:fldChar w:fldCharType="separate"/>
      </w:r>
      <w:r>
        <w:rPr>
          <w:rFonts w:hint="eastAsia"/>
        </w:rPr>
        <w:t>第二章  磋商供应商须知前附表</w:t>
      </w:r>
      <w:r>
        <w:tab/>
      </w:r>
      <w:r>
        <w:fldChar w:fldCharType="begin"/>
      </w:r>
      <w:r>
        <w:instrText xml:space="preserve"> PAGEREF _Toc14464 \h </w:instrText>
      </w:r>
      <w:r>
        <w:fldChar w:fldCharType="separate"/>
      </w:r>
      <w:r>
        <w:t>4</w:t>
      </w:r>
      <w:r>
        <w:fldChar w:fldCharType="end"/>
      </w:r>
      <w:r>
        <w:fldChar w:fldCharType="end"/>
      </w:r>
    </w:p>
    <w:p w14:paraId="181ABD30">
      <w:pPr>
        <w:pStyle w:val="20"/>
        <w:tabs>
          <w:tab w:val="right" w:leader="dot" w:pos="8306"/>
          <w:tab w:val="clear" w:pos="1470"/>
          <w:tab w:val="clear" w:pos="8296"/>
        </w:tabs>
      </w:pPr>
      <w:r>
        <w:fldChar w:fldCharType="begin"/>
      </w:r>
      <w:r>
        <w:instrText xml:space="preserve"> HYPERLINK \l "_Toc18142" </w:instrText>
      </w:r>
      <w:r>
        <w:fldChar w:fldCharType="separate"/>
      </w:r>
      <w:r>
        <w:rPr>
          <w:rFonts w:hint="eastAsia"/>
        </w:rPr>
        <w:t>第三</w:t>
      </w:r>
      <w:r>
        <w:t xml:space="preserve">章 </w:t>
      </w:r>
      <w:r>
        <w:rPr>
          <w:rFonts w:hint="eastAsia"/>
        </w:rPr>
        <w:t xml:space="preserve"> 投标人须知</w:t>
      </w:r>
      <w:r>
        <w:tab/>
      </w:r>
      <w:r>
        <w:fldChar w:fldCharType="begin"/>
      </w:r>
      <w:r>
        <w:instrText xml:space="preserve"> PAGEREF _Toc18142 \h </w:instrText>
      </w:r>
      <w:r>
        <w:fldChar w:fldCharType="separate"/>
      </w:r>
      <w:r>
        <w:t>7</w:t>
      </w:r>
      <w:r>
        <w:fldChar w:fldCharType="end"/>
      </w:r>
      <w:r>
        <w:fldChar w:fldCharType="end"/>
      </w:r>
    </w:p>
    <w:p w14:paraId="7095C043">
      <w:pPr>
        <w:pStyle w:val="20"/>
        <w:tabs>
          <w:tab w:val="right" w:leader="dot" w:pos="8306"/>
          <w:tab w:val="clear" w:pos="1470"/>
          <w:tab w:val="clear" w:pos="8296"/>
        </w:tabs>
      </w:pPr>
      <w:r>
        <w:fldChar w:fldCharType="begin"/>
      </w:r>
      <w:r>
        <w:instrText xml:space="preserve"> HYPERLINK \l "_Toc1247" </w:instrText>
      </w:r>
      <w:r>
        <w:fldChar w:fldCharType="separate"/>
      </w:r>
      <w:r>
        <w:t>第四章</w:t>
      </w:r>
      <w:r>
        <w:rPr>
          <w:rFonts w:hint="eastAsia"/>
        </w:rPr>
        <w:t xml:space="preserve">  采购需求</w:t>
      </w:r>
      <w:r>
        <w:tab/>
      </w:r>
      <w:r>
        <w:fldChar w:fldCharType="begin"/>
      </w:r>
      <w:r>
        <w:instrText xml:space="preserve"> PAGEREF _Toc1247 \h </w:instrText>
      </w:r>
      <w:r>
        <w:fldChar w:fldCharType="separate"/>
      </w:r>
      <w:r>
        <w:t>19</w:t>
      </w:r>
      <w:r>
        <w:fldChar w:fldCharType="end"/>
      </w:r>
      <w:r>
        <w:fldChar w:fldCharType="end"/>
      </w:r>
    </w:p>
    <w:p w14:paraId="2B31183B">
      <w:pPr>
        <w:pStyle w:val="20"/>
        <w:tabs>
          <w:tab w:val="right" w:leader="dot" w:pos="8306"/>
          <w:tab w:val="clear" w:pos="1470"/>
          <w:tab w:val="clear" w:pos="8296"/>
        </w:tabs>
      </w:pPr>
      <w:r>
        <w:fldChar w:fldCharType="begin"/>
      </w:r>
      <w:r>
        <w:instrText xml:space="preserve"> HYPERLINK \l "_Toc26673" </w:instrText>
      </w:r>
      <w:r>
        <w:fldChar w:fldCharType="separate"/>
      </w:r>
      <w:r>
        <w:rPr>
          <w:rFonts w:hint="eastAsia"/>
        </w:rPr>
        <w:t>第五章  合同</w:t>
      </w:r>
      <w:r>
        <w:tab/>
      </w:r>
      <w:r>
        <w:fldChar w:fldCharType="begin"/>
      </w:r>
      <w:r>
        <w:instrText xml:space="preserve"> PAGEREF _Toc26673 \h </w:instrText>
      </w:r>
      <w:r>
        <w:fldChar w:fldCharType="separate"/>
      </w:r>
      <w:r>
        <w:t>21</w:t>
      </w:r>
      <w:r>
        <w:fldChar w:fldCharType="end"/>
      </w:r>
      <w:r>
        <w:fldChar w:fldCharType="end"/>
      </w:r>
    </w:p>
    <w:p w14:paraId="33893603">
      <w:pPr>
        <w:pStyle w:val="20"/>
        <w:tabs>
          <w:tab w:val="right" w:leader="dot" w:pos="8306"/>
          <w:tab w:val="clear" w:pos="1470"/>
          <w:tab w:val="clear" w:pos="8296"/>
        </w:tabs>
      </w:pPr>
      <w:r>
        <w:fldChar w:fldCharType="begin"/>
      </w:r>
      <w:r>
        <w:instrText xml:space="preserve"> HYPERLINK \l "_Toc29800" </w:instrText>
      </w:r>
      <w:r>
        <w:fldChar w:fldCharType="separate"/>
      </w:r>
      <w:r>
        <w:t>第</w:t>
      </w:r>
      <w:r>
        <w:rPr>
          <w:rFonts w:hint="eastAsia"/>
        </w:rPr>
        <w:t>六</w:t>
      </w:r>
      <w:r>
        <w:t>章</w:t>
      </w:r>
      <w:r>
        <w:rPr>
          <w:rFonts w:hint="eastAsia"/>
        </w:rPr>
        <w:t xml:space="preserve">  评审办法和评分标准</w:t>
      </w:r>
      <w:r>
        <w:tab/>
      </w:r>
      <w:r>
        <w:fldChar w:fldCharType="begin"/>
      </w:r>
      <w:r>
        <w:instrText xml:space="preserve"> PAGEREF _Toc29800 \h </w:instrText>
      </w:r>
      <w:r>
        <w:fldChar w:fldCharType="separate"/>
      </w:r>
      <w:r>
        <w:t>25</w:t>
      </w:r>
      <w:r>
        <w:fldChar w:fldCharType="end"/>
      </w:r>
      <w:r>
        <w:fldChar w:fldCharType="end"/>
      </w:r>
    </w:p>
    <w:p w14:paraId="10F56FDF">
      <w:pPr>
        <w:pStyle w:val="20"/>
        <w:tabs>
          <w:tab w:val="right" w:leader="dot" w:pos="8306"/>
          <w:tab w:val="clear" w:pos="1470"/>
          <w:tab w:val="clear" w:pos="8296"/>
        </w:tabs>
      </w:pPr>
      <w:r>
        <w:fldChar w:fldCharType="begin"/>
      </w:r>
      <w:r>
        <w:instrText xml:space="preserve"> HYPERLINK \l "_Toc20290" </w:instrText>
      </w:r>
      <w:r>
        <w:fldChar w:fldCharType="separate"/>
      </w:r>
      <w:r>
        <w:t>第</w:t>
      </w:r>
      <w:r>
        <w:rPr>
          <w:rFonts w:hint="eastAsia"/>
        </w:rPr>
        <w:t>七</w:t>
      </w:r>
      <w:r>
        <w:t>章</w:t>
      </w:r>
      <w:r>
        <w:rPr>
          <w:rFonts w:hint="eastAsia"/>
        </w:rPr>
        <w:t xml:space="preserve">  响应文件格式</w:t>
      </w:r>
      <w:r>
        <w:tab/>
      </w:r>
      <w:r>
        <w:fldChar w:fldCharType="begin"/>
      </w:r>
      <w:r>
        <w:instrText xml:space="preserve"> PAGEREF _Toc20290 \h </w:instrText>
      </w:r>
      <w:r>
        <w:fldChar w:fldCharType="separate"/>
      </w:r>
      <w:r>
        <w:t>33</w:t>
      </w:r>
      <w:r>
        <w:fldChar w:fldCharType="end"/>
      </w:r>
      <w:r>
        <w:fldChar w:fldCharType="end"/>
      </w:r>
    </w:p>
    <w:p w14:paraId="6665B2D8">
      <w:pPr>
        <w:pStyle w:val="24"/>
        <w:tabs>
          <w:tab w:val="right" w:leader="dot" w:pos="8306"/>
        </w:tabs>
        <w:ind w:left="480" w:firstLine="480"/>
      </w:pPr>
    </w:p>
    <w:p w14:paraId="147EA4B4">
      <w:pPr>
        <w:ind w:firstLine="480"/>
        <w:sectPr>
          <w:footerReference r:id="rId11" w:type="first"/>
          <w:footerReference r:id="rId10" w:type="default"/>
          <w:pgSz w:w="11906" w:h="16838"/>
          <w:pgMar w:top="1440" w:right="1800" w:bottom="1440" w:left="1800" w:header="851" w:footer="992" w:gutter="0"/>
          <w:pgNumType w:fmt="upperRoman" w:start="1"/>
          <w:cols w:space="425" w:num="1"/>
          <w:docGrid w:type="lines" w:linePitch="326" w:charSpace="0"/>
        </w:sectPr>
      </w:pPr>
      <w:r>
        <w:fldChar w:fldCharType="end"/>
      </w:r>
      <w:bookmarkStart w:id="10" w:name="_Toc17465"/>
      <w:bookmarkStart w:id="11" w:name="_Toc9819"/>
      <w:bookmarkStart w:id="12" w:name="_Toc10652"/>
      <w:bookmarkStart w:id="13" w:name="_Toc3787"/>
      <w:bookmarkStart w:id="14" w:name="_Toc6619"/>
      <w:bookmarkStart w:id="15" w:name="_Toc9543"/>
    </w:p>
    <w:p w14:paraId="14C16CF3">
      <w:pPr>
        <w:pStyle w:val="3"/>
      </w:pPr>
      <w:bookmarkStart w:id="16" w:name="_Toc24269"/>
      <w:bookmarkStart w:id="17" w:name="_Toc15390"/>
      <w:r>
        <w:t>第一章</w:t>
      </w:r>
      <w:r>
        <w:rPr>
          <w:rFonts w:hint="eastAsia"/>
        </w:rPr>
        <w:t xml:space="preserve">  竞争性磋商公告</w:t>
      </w:r>
      <w:bookmarkEnd w:id="10"/>
      <w:bookmarkEnd w:id="11"/>
      <w:bookmarkEnd w:id="12"/>
      <w:bookmarkEnd w:id="13"/>
      <w:bookmarkEnd w:id="14"/>
      <w:bookmarkEnd w:id="15"/>
      <w:bookmarkEnd w:id="16"/>
      <w:bookmarkEnd w:id="17"/>
    </w:p>
    <w:tbl>
      <w:tblPr>
        <w:tblStyle w:val="2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1A6E67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14A23E1F">
            <w:pPr>
              <w:ind w:firstLine="480"/>
            </w:pPr>
            <w:r>
              <w:t>项目概况</w:t>
            </w:r>
            <w:r>
              <w:rPr>
                <w:rFonts w:hint="eastAsia"/>
              </w:rPr>
              <w:t>：</w:t>
            </w:r>
            <w:r>
              <w:rPr>
                <w:rFonts w:hint="eastAsia"/>
                <w:u w:val="single"/>
              </w:rPr>
              <w:t>大梁山森林防火提升规划及乡村振兴森林康养项目概念设计项目</w:t>
            </w:r>
            <w:r>
              <w:rPr>
                <w:rFonts w:hint="eastAsia"/>
              </w:rPr>
              <w:t>的潜在投标人应在浙江政府采购网（http：//zfcg.czt.zj.gov.cn/）获取（下载）招标文件，并于2024年9月2</w:t>
            </w:r>
            <w:r>
              <w:rPr>
                <w:rFonts w:hint="eastAsia"/>
                <w:lang w:val="en-US" w:eastAsia="zh-CN"/>
              </w:rPr>
              <w:t>5</w:t>
            </w:r>
            <w:r>
              <w:rPr>
                <w:rFonts w:hint="eastAsia"/>
              </w:rPr>
              <w:t>日9:00时（北京时间）前递交（上传）投标文件。</w:t>
            </w:r>
          </w:p>
        </w:tc>
      </w:tr>
    </w:tbl>
    <w:p w14:paraId="4B916D16">
      <w:pPr>
        <w:pStyle w:val="2"/>
      </w:pPr>
      <w:bookmarkStart w:id="18" w:name="_Toc22152"/>
      <w:bookmarkStart w:id="19" w:name="_Toc23560"/>
      <w:bookmarkStart w:id="20" w:name="_Toc30938"/>
      <w:bookmarkStart w:id="21" w:name="_Toc16896"/>
      <w:bookmarkStart w:id="22" w:name="_Toc9612"/>
      <w:bookmarkStart w:id="23" w:name="_Toc6416"/>
      <w:bookmarkStart w:id="24" w:name="_Toc31256"/>
      <w:bookmarkStart w:id="25" w:name="_Toc23505"/>
      <w:r>
        <w:t>一、项目基本情况</w:t>
      </w:r>
      <w:bookmarkEnd w:id="18"/>
      <w:bookmarkEnd w:id="19"/>
      <w:bookmarkEnd w:id="20"/>
      <w:bookmarkEnd w:id="21"/>
      <w:bookmarkEnd w:id="22"/>
      <w:bookmarkEnd w:id="23"/>
      <w:bookmarkEnd w:id="24"/>
      <w:bookmarkEnd w:id="25"/>
    </w:p>
    <w:p w14:paraId="0E49B2C1">
      <w:pPr>
        <w:ind w:firstLine="480"/>
      </w:pPr>
      <w:r>
        <w:rPr>
          <w:rFonts w:hint="eastAsia"/>
        </w:rPr>
        <w:t>1.</w:t>
      </w:r>
      <w:r>
        <w:t>项目编号</w:t>
      </w:r>
      <w:r>
        <w:rPr>
          <w:rFonts w:hint="eastAsia"/>
        </w:rPr>
        <w:t>：浙盛康磋商【2024】24号</w:t>
      </w:r>
    </w:p>
    <w:p w14:paraId="626897F7">
      <w:pPr>
        <w:ind w:firstLine="480"/>
      </w:pPr>
      <w:r>
        <w:rPr>
          <w:rFonts w:hint="eastAsia"/>
        </w:rPr>
        <w:t>2.项目名称：大梁山森林防火提升规划及乡村振兴森林康养项目概念设计项目</w:t>
      </w:r>
    </w:p>
    <w:p w14:paraId="2D1B596D">
      <w:pPr>
        <w:ind w:firstLine="480"/>
      </w:pPr>
      <w:r>
        <w:rPr>
          <w:rFonts w:hint="eastAsia"/>
        </w:rPr>
        <w:t>3.</w:t>
      </w:r>
      <w:r>
        <w:t>采购方式</w:t>
      </w:r>
      <w:r>
        <w:rPr>
          <w:rFonts w:hint="eastAsia"/>
        </w:rPr>
        <w:t>：</w:t>
      </w:r>
      <w:r>
        <w:t>竞争性磋商</w:t>
      </w:r>
    </w:p>
    <w:p w14:paraId="2AF747AC">
      <w:pPr>
        <w:ind w:firstLine="480"/>
        <w:rPr>
          <w:color w:val="FF0000"/>
        </w:rPr>
      </w:pPr>
      <w:r>
        <w:rPr>
          <w:rFonts w:hint="eastAsia"/>
        </w:rPr>
        <w:t>4.标的预算总金额（元）：</w:t>
      </w:r>
      <w:r>
        <w:rPr>
          <w:rFonts w:hint="eastAsia"/>
          <w:color w:val="000000" w:themeColor="text1"/>
          <w14:textFill>
            <w14:solidFill>
              <w14:schemeClr w14:val="tx1"/>
            </w14:solidFill>
          </w14:textFill>
        </w:rPr>
        <w:t>580000元。</w:t>
      </w:r>
    </w:p>
    <w:p w14:paraId="66083165">
      <w:pPr>
        <w:ind w:firstLine="480"/>
      </w:pPr>
      <w:r>
        <w:rPr>
          <w:rFonts w:hint="eastAsia"/>
        </w:rPr>
        <w:t>5.采购需求：详见招标文件“第四章 采购需求”（包括</w:t>
      </w:r>
      <w:r>
        <w:rPr>
          <w:rFonts w:hint="eastAsia"/>
          <w:color w:val="000000" w:themeColor="text1"/>
          <w14:textFill>
            <w14:solidFill>
              <w14:schemeClr w14:val="tx1"/>
            </w14:solidFill>
          </w14:textFill>
        </w:rPr>
        <w:t>但不限于</w:t>
      </w:r>
      <w:r>
        <w:rPr>
          <w:rFonts w:hint="eastAsia"/>
        </w:rPr>
        <w:t>标的的名称、数量、简要技术需求或服务要求等）</w:t>
      </w:r>
    </w:p>
    <w:p w14:paraId="5978300F">
      <w:pPr>
        <w:ind w:firstLine="480"/>
      </w:pPr>
      <w:r>
        <w:rPr>
          <w:rFonts w:hint="eastAsia"/>
        </w:rPr>
        <w:t>6.允许联合体投标：否</w:t>
      </w:r>
    </w:p>
    <w:p w14:paraId="3E18DC1A">
      <w:pPr>
        <w:snapToGrid w:val="0"/>
        <w:spacing w:line="440" w:lineRule="exact"/>
        <w:ind w:firstLine="480"/>
      </w:pPr>
      <w:r>
        <w:rPr>
          <w:rFonts w:hint="eastAsia"/>
        </w:rPr>
        <w:t>7.工期：11月10日前完成终稿审核通过。</w:t>
      </w:r>
    </w:p>
    <w:p w14:paraId="0F2570CF">
      <w:pPr>
        <w:pStyle w:val="2"/>
      </w:pPr>
      <w:bookmarkStart w:id="26" w:name="_Toc4258"/>
      <w:bookmarkStart w:id="27" w:name="_Toc28227"/>
      <w:bookmarkStart w:id="28" w:name="_Toc10231"/>
      <w:bookmarkStart w:id="29" w:name="_Toc16529"/>
      <w:bookmarkStart w:id="30" w:name="_Toc27812"/>
      <w:bookmarkStart w:id="31" w:name="_Toc1825"/>
      <w:bookmarkStart w:id="32" w:name="_Toc29501"/>
      <w:bookmarkStart w:id="33" w:name="_Toc1965"/>
      <w:r>
        <w:rPr>
          <w:rFonts w:hint="eastAsia"/>
        </w:rPr>
        <w:t>二、申请人的资格要求</w:t>
      </w:r>
      <w:bookmarkEnd w:id="26"/>
      <w:bookmarkEnd w:id="27"/>
      <w:bookmarkEnd w:id="28"/>
      <w:bookmarkEnd w:id="29"/>
      <w:bookmarkEnd w:id="30"/>
      <w:bookmarkEnd w:id="31"/>
      <w:bookmarkEnd w:id="32"/>
      <w:bookmarkEnd w:id="33"/>
    </w:p>
    <w:p w14:paraId="44AC88F7">
      <w:pPr>
        <w:ind w:firstLine="48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53F0BFB7">
      <w:pPr>
        <w:ind w:firstLine="480"/>
      </w:pPr>
      <w:r>
        <w:rPr>
          <w:rFonts w:hint="eastAsia"/>
        </w:rPr>
        <w:t>2.落实政府采购政策需满足的资格要求：</w:t>
      </w:r>
      <w:r>
        <w:rPr>
          <w:rFonts w:hint="eastAsia"/>
          <w:color w:val="000000" w:themeColor="text1"/>
          <w14:textFill>
            <w14:solidFill>
              <w14:schemeClr w14:val="tx1"/>
            </w14:solidFill>
          </w14:textFill>
        </w:rPr>
        <w:t>本项目专门面向中小企业/小微企业</w:t>
      </w:r>
      <w:r>
        <w:rPr>
          <w:rFonts w:hint="eastAsia"/>
        </w:rPr>
        <w:t>。</w:t>
      </w:r>
    </w:p>
    <w:p w14:paraId="30B301E3">
      <w:pPr>
        <w:ind w:firstLine="480"/>
        <w:rPr>
          <w:rFonts w:ascii="宋体" w:hAnsi="宋体"/>
          <w:szCs w:val="21"/>
        </w:rPr>
      </w:pPr>
      <w:r>
        <w:rPr>
          <w:rFonts w:hint="eastAsia"/>
        </w:rPr>
        <w:t>3.本项目的特定资格要求：无。</w:t>
      </w:r>
    </w:p>
    <w:p w14:paraId="2F736514">
      <w:pPr>
        <w:pStyle w:val="2"/>
      </w:pPr>
      <w:bookmarkStart w:id="34" w:name="_Toc32254"/>
      <w:bookmarkStart w:id="35" w:name="_Toc5606"/>
      <w:bookmarkStart w:id="36" w:name="_Toc132"/>
      <w:bookmarkStart w:id="37" w:name="_Toc29916"/>
      <w:bookmarkStart w:id="38" w:name="_Toc6431"/>
      <w:bookmarkStart w:id="39" w:name="_Toc12947"/>
      <w:bookmarkStart w:id="40" w:name="_Toc11144"/>
      <w:bookmarkStart w:id="41" w:name="_Toc1724"/>
      <w:r>
        <w:rPr>
          <w:rFonts w:hint="eastAsia"/>
        </w:rPr>
        <w:t>三、获取（下载）竞争性磋商文件</w:t>
      </w:r>
      <w:bookmarkEnd w:id="34"/>
      <w:bookmarkEnd w:id="35"/>
      <w:bookmarkEnd w:id="36"/>
      <w:bookmarkEnd w:id="37"/>
      <w:bookmarkEnd w:id="38"/>
      <w:bookmarkEnd w:id="39"/>
      <w:bookmarkEnd w:id="40"/>
      <w:bookmarkEnd w:id="41"/>
    </w:p>
    <w:p w14:paraId="29A59B65">
      <w:pPr>
        <w:ind w:firstLine="480"/>
      </w:pPr>
      <w:r>
        <w:rPr>
          <w:rFonts w:hint="eastAsia"/>
        </w:rPr>
        <w:t>时间：/至投标截止时间，每天上午00:00至12:00，下午12:00至23:59（北京时间，线上获取法定节假日均可，线下获取文件法定节假日除外）</w:t>
      </w:r>
    </w:p>
    <w:p w14:paraId="2169E680">
      <w:pPr>
        <w:ind w:firstLine="480"/>
      </w:pPr>
      <w:r>
        <w:rPr>
          <w:rFonts w:hint="eastAsia"/>
        </w:rPr>
        <w:t>地点（网址）：浙江政府采购网（http：//zfcg.czt.zj.gov.cn/）</w:t>
      </w:r>
    </w:p>
    <w:p w14:paraId="60D3F686">
      <w:pPr>
        <w:ind w:firstLine="480"/>
      </w:pPr>
      <w:r>
        <w:rPr>
          <w:rFonts w:hint="eastAsia"/>
        </w:rPr>
        <w:t>方式：在线获取（免费）。本项目不提供纸质版采购文件，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件的时间为准）。通过本公告下方“游客，浏览采购文件”下载的采购文件仅供浏览。</w:t>
      </w:r>
    </w:p>
    <w:p w14:paraId="18072922">
      <w:pPr>
        <w:ind w:firstLine="480"/>
        <w:rPr>
          <w:rFonts w:ascii="宋体" w:hAnsi="宋体"/>
          <w:szCs w:val="21"/>
        </w:rPr>
      </w:pPr>
      <w:r>
        <w:rPr>
          <w:rFonts w:hint="eastAsia"/>
        </w:rPr>
        <w:t>售价（元）：0</w:t>
      </w:r>
    </w:p>
    <w:p w14:paraId="4B22DD24">
      <w:pPr>
        <w:pStyle w:val="2"/>
        <w:rPr>
          <w:rFonts w:ascii="Times New Roman" w:hAnsi="Times New Roman" w:cs="Times New Roman"/>
          <w:b w:val="0"/>
          <w:bCs w:val="0"/>
          <w:sz w:val="24"/>
          <w:szCs w:val="24"/>
        </w:rPr>
      </w:pPr>
      <w:bookmarkStart w:id="42" w:name="_Toc22191"/>
      <w:bookmarkStart w:id="43" w:name="_Toc27886"/>
      <w:bookmarkStart w:id="44" w:name="_Toc27996"/>
      <w:bookmarkStart w:id="45" w:name="_Toc14875"/>
      <w:bookmarkStart w:id="46" w:name="_Toc28419"/>
      <w:bookmarkStart w:id="47" w:name="_Toc2709"/>
      <w:bookmarkStart w:id="48" w:name="_Toc13112"/>
      <w:bookmarkStart w:id="49" w:name="_Toc20569"/>
      <w:r>
        <w:rPr>
          <w:rFonts w:hint="eastAsia"/>
        </w:rPr>
        <w:t>四、响应文件提交（上传）</w:t>
      </w:r>
      <w:bookmarkEnd w:id="42"/>
      <w:bookmarkEnd w:id="43"/>
      <w:bookmarkEnd w:id="44"/>
      <w:bookmarkEnd w:id="45"/>
      <w:bookmarkEnd w:id="46"/>
      <w:bookmarkEnd w:id="47"/>
      <w:bookmarkEnd w:id="48"/>
      <w:bookmarkEnd w:id="49"/>
    </w:p>
    <w:p w14:paraId="275840A3">
      <w:pPr>
        <w:ind w:firstLine="480"/>
      </w:pPr>
      <w:r>
        <w:rPr>
          <w:rFonts w:hint="eastAsia"/>
        </w:rPr>
        <w:t>提交投标文件截止时间：2024年9月2</w:t>
      </w:r>
      <w:r>
        <w:rPr>
          <w:rFonts w:hint="eastAsia"/>
          <w:lang w:val="en-US" w:eastAsia="zh-CN"/>
        </w:rPr>
        <w:t>5</w:t>
      </w:r>
      <w:r>
        <w:rPr>
          <w:rFonts w:hint="eastAsia"/>
        </w:rPr>
        <w:t>日9:00时（北京时间）</w:t>
      </w:r>
    </w:p>
    <w:p w14:paraId="70B382C6">
      <w:pPr>
        <w:ind w:firstLine="480"/>
        <w:rPr>
          <w:rFonts w:ascii="宋体" w:hAnsi="宋体"/>
          <w:szCs w:val="21"/>
        </w:rPr>
      </w:pPr>
      <w:r>
        <w:rPr>
          <w:rFonts w:hint="eastAsia"/>
        </w:rPr>
        <w:t>投标地点（网址）：政采云平台（</w:t>
      </w:r>
      <w:r>
        <w:fldChar w:fldCharType="begin"/>
      </w:r>
      <w:r>
        <w:instrText xml:space="preserve"> HYPERLINK "http://zfcg.czt.zj.gov.cn/" </w:instrText>
      </w:r>
      <w:r>
        <w:fldChar w:fldCharType="separate"/>
      </w:r>
      <w:r>
        <w:rPr>
          <w:rStyle w:val="31"/>
          <w:rFonts w:hint="eastAsia" w:ascii="宋体" w:hAnsi="宋体" w:cs="宋体"/>
          <w:szCs w:val="21"/>
        </w:rPr>
        <w:t>http：//zfcg.czt.zj.gov.cn/</w:t>
      </w:r>
      <w:r>
        <w:rPr>
          <w:rStyle w:val="31"/>
          <w:rFonts w:hint="eastAsia" w:ascii="宋体" w:hAnsi="宋体" w:cs="宋体"/>
          <w:szCs w:val="21"/>
        </w:rPr>
        <w:fldChar w:fldCharType="end"/>
      </w:r>
      <w:r>
        <w:rPr>
          <w:rFonts w:hint="eastAsia"/>
        </w:rPr>
        <w:t>）</w:t>
      </w:r>
    </w:p>
    <w:p w14:paraId="44CAED23">
      <w:pPr>
        <w:pStyle w:val="2"/>
      </w:pPr>
      <w:bookmarkStart w:id="50" w:name="_Toc22546"/>
      <w:bookmarkStart w:id="51" w:name="_Toc26480"/>
      <w:bookmarkStart w:id="52" w:name="_Toc3904"/>
      <w:bookmarkStart w:id="53" w:name="_Toc4979"/>
      <w:bookmarkStart w:id="54" w:name="_Toc19658"/>
      <w:bookmarkStart w:id="55" w:name="_Toc3420"/>
      <w:bookmarkStart w:id="56" w:name="_Toc7590"/>
      <w:bookmarkStart w:id="57" w:name="_Toc5705"/>
      <w:r>
        <w:rPr>
          <w:rFonts w:hint="eastAsia"/>
        </w:rPr>
        <w:t>五、开启投标文件</w:t>
      </w:r>
      <w:bookmarkEnd w:id="50"/>
      <w:bookmarkEnd w:id="51"/>
      <w:bookmarkEnd w:id="52"/>
      <w:bookmarkEnd w:id="53"/>
      <w:bookmarkEnd w:id="54"/>
      <w:bookmarkEnd w:id="55"/>
      <w:bookmarkEnd w:id="56"/>
      <w:bookmarkEnd w:id="57"/>
    </w:p>
    <w:p w14:paraId="5BF64C72">
      <w:pPr>
        <w:ind w:firstLine="480"/>
      </w:pPr>
      <w:r>
        <w:rPr>
          <w:rFonts w:hint="eastAsia"/>
        </w:rPr>
        <w:t>开标时间：2024年9月</w:t>
      </w:r>
      <w:r>
        <w:rPr>
          <w:rFonts w:hint="eastAsia"/>
          <w:u w:val="single"/>
        </w:rPr>
        <w:t>2</w:t>
      </w:r>
      <w:r>
        <w:rPr>
          <w:rFonts w:hint="eastAsia"/>
          <w:u w:val="single"/>
          <w:lang w:val="en-US" w:eastAsia="zh-CN"/>
        </w:rPr>
        <w:t>5</w:t>
      </w:r>
      <w:r>
        <w:rPr>
          <w:rFonts w:hint="eastAsia"/>
        </w:rPr>
        <w:t>日9:00时，投标文件开启时间到后30分钟内，供应商须登录“政采云”平台解密投标文件。</w:t>
      </w:r>
    </w:p>
    <w:p w14:paraId="6D135DDB">
      <w:pPr>
        <w:ind w:firstLine="480"/>
      </w:pPr>
      <w:r>
        <w:rPr>
          <w:rFonts w:hint="eastAsia"/>
        </w:rPr>
        <w:t>开标地点：浙江盛康工程管理有限公司（莲都区人民路916号2栋三楼）</w:t>
      </w:r>
    </w:p>
    <w:p w14:paraId="46D4B4E8">
      <w:pPr>
        <w:ind w:firstLine="480"/>
      </w:pPr>
      <w:r>
        <w:rPr>
          <w:rFonts w:hint="eastAsia"/>
        </w:rPr>
        <w:t>电子备份文件提交：</w:t>
      </w:r>
    </w:p>
    <w:p w14:paraId="6410966F">
      <w:pPr>
        <w:ind w:firstLine="480"/>
      </w:pPr>
      <w:r>
        <w:rPr>
          <w:rFonts w:hint="eastAsia"/>
        </w:rPr>
        <w:t>备份文件（经政采云电子交易客户端和CA驱动制作的后缀名为“.bfbs”的文件）在“电子加密投标文件”在线解密失败后启用，否则不予以启用。供应商自行确定是否提交。</w:t>
      </w:r>
    </w:p>
    <w:p w14:paraId="0E8CE2DF">
      <w:pPr>
        <w:ind w:firstLine="480"/>
        <w:rPr>
          <w:rFonts w:ascii="宋体" w:hAnsi="宋体"/>
          <w:szCs w:val="21"/>
        </w:rPr>
      </w:pPr>
      <w:r>
        <w:rPr>
          <w:rFonts w:hint="eastAsia"/>
        </w:rPr>
        <w:t>若提交，可在响应截止时间前（以收件箱显示时间为准，逾期邮件将被拒收）将备份文件发送至邮箱：756231250@qq.com，邮件内容写上供应商名称。备份文件压缩加密（未加密造成泄密的由供应商自行承担，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担。</w:t>
      </w:r>
    </w:p>
    <w:p w14:paraId="22583386">
      <w:pPr>
        <w:pStyle w:val="2"/>
      </w:pPr>
      <w:bookmarkStart w:id="58" w:name="_Toc30397"/>
      <w:bookmarkStart w:id="59" w:name="_Toc31679"/>
      <w:bookmarkStart w:id="60" w:name="_Toc8629"/>
      <w:bookmarkStart w:id="61" w:name="_Toc18188"/>
      <w:bookmarkStart w:id="62" w:name="_Toc25087"/>
      <w:bookmarkStart w:id="63" w:name="_Toc28372"/>
      <w:bookmarkStart w:id="64" w:name="_Toc7006"/>
      <w:bookmarkStart w:id="65" w:name="_Toc30403"/>
      <w:r>
        <w:rPr>
          <w:rFonts w:hint="eastAsia"/>
        </w:rPr>
        <w:t>六、公告期限</w:t>
      </w:r>
      <w:bookmarkEnd w:id="58"/>
      <w:bookmarkEnd w:id="59"/>
      <w:bookmarkEnd w:id="60"/>
      <w:bookmarkEnd w:id="61"/>
      <w:bookmarkEnd w:id="62"/>
      <w:bookmarkEnd w:id="63"/>
      <w:bookmarkEnd w:id="64"/>
      <w:bookmarkEnd w:id="65"/>
    </w:p>
    <w:p w14:paraId="63836ECC">
      <w:pPr>
        <w:ind w:firstLine="480"/>
        <w:rPr>
          <w:rFonts w:ascii="宋体" w:hAnsi="宋体"/>
          <w:szCs w:val="21"/>
        </w:rPr>
      </w:pPr>
      <w:r>
        <w:rPr>
          <w:rFonts w:hint="eastAsia"/>
        </w:rPr>
        <w:t>自本公告发布之日起3个工作日。</w:t>
      </w:r>
    </w:p>
    <w:p w14:paraId="7C819FFA">
      <w:pPr>
        <w:pStyle w:val="2"/>
      </w:pPr>
      <w:bookmarkStart w:id="66" w:name="_Toc4396"/>
      <w:bookmarkStart w:id="67" w:name="_Toc11345"/>
      <w:bookmarkStart w:id="68" w:name="_Toc23102"/>
      <w:bookmarkStart w:id="69" w:name="_Toc31037"/>
      <w:bookmarkStart w:id="70" w:name="_Toc29350"/>
      <w:bookmarkStart w:id="71" w:name="_Toc176"/>
      <w:bookmarkStart w:id="72" w:name="_Toc3260"/>
      <w:bookmarkStart w:id="73" w:name="_Toc23432"/>
      <w:r>
        <w:rPr>
          <w:rFonts w:hint="eastAsia"/>
        </w:rPr>
        <w:t>七、其他补充事宜</w:t>
      </w:r>
      <w:bookmarkEnd w:id="66"/>
      <w:bookmarkEnd w:id="67"/>
      <w:bookmarkEnd w:id="68"/>
      <w:bookmarkEnd w:id="69"/>
      <w:bookmarkEnd w:id="70"/>
      <w:bookmarkEnd w:id="71"/>
      <w:bookmarkEnd w:id="72"/>
      <w:bookmarkEnd w:id="73"/>
    </w:p>
    <w:p w14:paraId="5579FE14">
      <w:pPr>
        <w:ind w:firstLine="480"/>
      </w:pPr>
      <w: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A7FCF8C">
      <w:pPr>
        <w:ind w:firstLine="480"/>
      </w:pPr>
      <w:r>
        <w:t>2.根据《浙江省财政厅关于进一步促进政府采购公平竞争打造最优营商环境的通知》（浙财采监（2021）22号）文件关于</w:t>
      </w:r>
      <w:r>
        <w:rPr>
          <w:rFonts w:hint="eastAsia"/>
        </w:rPr>
        <w:t>“</w:t>
      </w:r>
      <w:r>
        <w:t>健全行政裁决机制</w:t>
      </w:r>
      <w:r>
        <w:rPr>
          <w:rFonts w:hint="eastAsia"/>
        </w:rPr>
        <w:t>”</w:t>
      </w:r>
      <w:r>
        <w:t>要求，鼓励供应商在线提起询问，路径为：政采云</w:t>
      </w:r>
      <w:r>
        <w:rPr>
          <w:rFonts w:hint="eastAsia"/>
        </w:rPr>
        <w:t>－</w:t>
      </w:r>
      <w:r>
        <w:t>项目采购</w:t>
      </w:r>
      <w:r>
        <w:rPr>
          <w:rFonts w:hint="eastAsia"/>
        </w:rPr>
        <w:t>－</w:t>
      </w:r>
      <w:r>
        <w:t>询问质疑投诉</w:t>
      </w:r>
      <w:r>
        <w:rPr>
          <w:rFonts w:hint="eastAsia"/>
        </w:rPr>
        <w:t>－</w:t>
      </w:r>
      <w:r>
        <w:t>询问列表:鼓励供应商在线提起质疑，路径为：政采云-项目采购-询问质疑投诉-质疑列表。质疑供应商对在线质疑答复不满意的，可在线提起投诉，路径为：浙江政府服务网-政府采购投诉处理-在线办理。</w:t>
      </w:r>
    </w:p>
    <w:p w14:paraId="20783338">
      <w:pPr>
        <w:ind w:firstLine="480"/>
      </w:pPr>
      <w:r>
        <w:rPr>
          <w:rFonts w:hint="eastAsia"/>
        </w:rPr>
        <w:t>3</w:t>
      </w:r>
      <w: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1EE2AA">
      <w:pPr>
        <w:ind w:firstLine="480"/>
      </w:pPr>
      <w:r>
        <w:rPr>
          <w:rFonts w:hint="eastAsia"/>
        </w:rPr>
        <w:t>4</w:t>
      </w:r>
      <w:r>
        <w:t>.为支持和促进中小企业发展，有需要的</w:t>
      </w:r>
      <w:r>
        <w:rPr>
          <w:rFonts w:hint="eastAsia"/>
        </w:rPr>
        <w:t>成交供应商</w:t>
      </w:r>
      <w:r>
        <w:t>可根据需要申请办理政府采购合同贷款（以下简称</w:t>
      </w:r>
      <w:r>
        <w:rPr>
          <w:rFonts w:hint="eastAsia"/>
        </w:rPr>
        <w:t>“</w:t>
      </w:r>
      <w:r>
        <w:t>政采贷</w:t>
      </w:r>
      <w:r>
        <w:rPr>
          <w:rFonts w:hint="eastAsia"/>
        </w:rPr>
        <w:t>”</w:t>
      </w:r>
      <w:r>
        <w:t>），具体要求、条件和操作教程可通过政采云首页右上角－网站导航－金融服务查看，也可拨打政采云客服热线400－881－7190咨询，或向各地已开通政采贷的银行咨询办理。</w:t>
      </w:r>
    </w:p>
    <w:p w14:paraId="1B4CD160">
      <w:pPr>
        <w:ind w:firstLine="480"/>
      </w:pPr>
      <w:r>
        <w:rPr>
          <w:rFonts w:hint="eastAsia"/>
        </w:rPr>
        <w:t>5.</w:t>
      </w:r>
      <w:r>
        <w:t>公告未显示完全内容详见招标文件。</w:t>
      </w:r>
    </w:p>
    <w:p w14:paraId="3C27B52F">
      <w:pPr>
        <w:pStyle w:val="2"/>
      </w:pPr>
      <w:bookmarkStart w:id="74" w:name="_Toc16319"/>
      <w:bookmarkStart w:id="75" w:name="_Toc849"/>
      <w:bookmarkStart w:id="76" w:name="_Toc5099"/>
      <w:bookmarkStart w:id="77" w:name="_Toc5126"/>
      <w:bookmarkStart w:id="78" w:name="_Toc28875"/>
      <w:bookmarkStart w:id="79" w:name="_Toc32647"/>
      <w:bookmarkStart w:id="80" w:name="_Toc2602"/>
      <w:bookmarkStart w:id="81" w:name="_Toc21744"/>
      <w:r>
        <w:rPr>
          <w:rFonts w:hint="eastAsia"/>
        </w:rPr>
        <w:t>八、对本次采购提出询问、质疑、投诉，请按以下方式联系</w:t>
      </w:r>
      <w:bookmarkEnd w:id="74"/>
      <w:bookmarkEnd w:id="75"/>
      <w:bookmarkEnd w:id="76"/>
      <w:bookmarkEnd w:id="77"/>
      <w:bookmarkEnd w:id="78"/>
      <w:bookmarkEnd w:id="79"/>
      <w:bookmarkEnd w:id="80"/>
      <w:bookmarkEnd w:id="81"/>
    </w:p>
    <w:p w14:paraId="78F9EADB">
      <w:pPr>
        <w:spacing w:line="288" w:lineRule="auto"/>
        <w:ind w:firstLine="480"/>
      </w:pPr>
      <w:r>
        <w:rPr>
          <w:rFonts w:hint="eastAsia"/>
        </w:rPr>
        <w:t>2.采购人名称：丽水经济技术开发区生态林业发展中心</w:t>
      </w:r>
    </w:p>
    <w:p w14:paraId="3E51180D">
      <w:pPr>
        <w:spacing w:line="288" w:lineRule="auto"/>
        <w:ind w:firstLine="480"/>
      </w:pPr>
      <w:r>
        <w:rPr>
          <w:rFonts w:hint="eastAsia"/>
        </w:rPr>
        <w:t xml:space="preserve">联系人：张声梯         联系电话：15306785998  </w:t>
      </w:r>
    </w:p>
    <w:p w14:paraId="4C1B834A">
      <w:pPr>
        <w:spacing w:line="288" w:lineRule="auto"/>
        <w:ind w:firstLine="480"/>
      </w:pPr>
      <w:r>
        <w:rPr>
          <w:rFonts w:hint="eastAsia"/>
        </w:rPr>
        <w:t>质疑联系人：王春来     联系电话：13754269702</w:t>
      </w:r>
    </w:p>
    <w:p w14:paraId="6947EE20">
      <w:pPr>
        <w:spacing w:line="288" w:lineRule="auto"/>
        <w:ind w:firstLine="480"/>
      </w:pPr>
      <w:r>
        <w:rPr>
          <w:rFonts w:hint="eastAsia"/>
        </w:rPr>
        <w:t>地址：丽水市南明山街道富岭管理区（齐村16号）</w:t>
      </w:r>
    </w:p>
    <w:p w14:paraId="7147D2A3">
      <w:pPr>
        <w:spacing w:line="288" w:lineRule="auto"/>
        <w:ind w:firstLine="480"/>
      </w:pPr>
      <w:r>
        <w:rPr>
          <w:rFonts w:hint="eastAsia"/>
        </w:rPr>
        <w:t>2.采购代理机构信息</w:t>
      </w:r>
    </w:p>
    <w:p w14:paraId="24990876">
      <w:pPr>
        <w:spacing w:line="288" w:lineRule="auto"/>
        <w:ind w:firstLine="480"/>
      </w:pPr>
      <w:r>
        <w:rPr>
          <w:rFonts w:hint="eastAsia"/>
        </w:rPr>
        <w:t>名    称：浙江盛康工程管理有限公司</w:t>
      </w:r>
    </w:p>
    <w:p w14:paraId="04229FFF">
      <w:pPr>
        <w:spacing w:line="288" w:lineRule="auto"/>
        <w:ind w:firstLine="480"/>
      </w:pPr>
      <w:r>
        <w:rPr>
          <w:rFonts w:hint="eastAsia"/>
        </w:rPr>
        <w:t>项目负责人：王利敏      联系电话：18057827901</w:t>
      </w:r>
    </w:p>
    <w:p w14:paraId="5BCD61D9">
      <w:pPr>
        <w:spacing w:line="288" w:lineRule="auto"/>
        <w:ind w:firstLine="480"/>
      </w:pPr>
      <w:r>
        <w:rPr>
          <w:rFonts w:hint="eastAsia"/>
        </w:rPr>
        <w:t>质疑联系人：施丽敏       联系电话：13157821103</w:t>
      </w:r>
    </w:p>
    <w:p w14:paraId="4829A4D3">
      <w:pPr>
        <w:spacing w:line="288" w:lineRule="auto"/>
        <w:ind w:firstLine="480"/>
      </w:pPr>
      <w:r>
        <w:rPr>
          <w:rFonts w:hint="eastAsia"/>
        </w:rPr>
        <w:t>地址：丽水市莲都区人民路916号2栋三楼</w:t>
      </w:r>
    </w:p>
    <w:p w14:paraId="1700927A">
      <w:pPr>
        <w:spacing w:line="288" w:lineRule="auto"/>
        <w:ind w:firstLine="480"/>
      </w:pPr>
      <w:r>
        <w:rPr>
          <w:rFonts w:hint="eastAsia"/>
        </w:rPr>
        <w:t>3.同级政府采购监督管理部门</w:t>
      </w:r>
    </w:p>
    <w:p w14:paraId="57950F8E">
      <w:pPr>
        <w:spacing w:line="288" w:lineRule="auto"/>
        <w:ind w:firstLine="480"/>
      </w:pPr>
      <w:r>
        <w:rPr>
          <w:rFonts w:hint="eastAsia"/>
        </w:rPr>
        <w:t>名    称：丽水市财政局政府采购监管处             </w:t>
      </w:r>
    </w:p>
    <w:p w14:paraId="26AE9875">
      <w:pPr>
        <w:spacing w:line="288" w:lineRule="auto"/>
        <w:ind w:firstLine="480"/>
      </w:pPr>
      <w:r>
        <w:rPr>
          <w:rFonts w:hint="eastAsia"/>
        </w:rPr>
        <w:t> 地    址：丽水市莲都区北苑路190号             </w:t>
      </w:r>
    </w:p>
    <w:p w14:paraId="112B0198">
      <w:pPr>
        <w:spacing w:line="288" w:lineRule="auto"/>
        <w:ind w:firstLine="480"/>
      </w:pPr>
      <w:r>
        <w:rPr>
          <w:rFonts w:hint="eastAsia"/>
        </w:rPr>
        <w:t> 传    真：0578-2669165             </w:t>
      </w:r>
    </w:p>
    <w:p w14:paraId="005F4DAD">
      <w:pPr>
        <w:spacing w:line="288" w:lineRule="auto"/>
        <w:ind w:firstLine="480"/>
      </w:pPr>
      <w:r>
        <w:rPr>
          <w:rFonts w:hint="eastAsia"/>
        </w:rPr>
        <w:t> 联系人 ：吴先生、叶先生             </w:t>
      </w:r>
    </w:p>
    <w:p w14:paraId="1611A3B7">
      <w:pPr>
        <w:spacing w:line="288" w:lineRule="auto"/>
        <w:ind w:firstLine="480"/>
      </w:pPr>
      <w:r>
        <w:rPr>
          <w:rFonts w:hint="eastAsia"/>
        </w:rPr>
        <w:t> 监督投诉电话：0578-2669165 </w:t>
      </w:r>
    </w:p>
    <w:p w14:paraId="79AF9195">
      <w:pPr>
        <w:spacing w:line="288" w:lineRule="auto"/>
        <w:ind w:firstLine="480"/>
      </w:pPr>
      <w:r>
        <w:rPr>
          <w:rFonts w:hint="eastAsia"/>
        </w:rPr>
        <w:t>4. 本公告网址：</w:t>
      </w:r>
    </w:p>
    <w:p w14:paraId="4ABEBCF5">
      <w:pPr>
        <w:spacing w:line="288" w:lineRule="auto"/>
        <w:ind w:firstLine="480"/>
      </w:pPr>
      <w:bookmarkStart w:id="82" w:name="OLE_LINK1"/>
      <w:r>
        <w:rPr>
          <w:rFonts w:hint="eastAsia"/>
        </w:rPr>
        <w:t>浙江政府采购网（</w:t>
      </w:r>
      <w:r>
        <w:fldChar w:fldCharType="begin"/>
      </w:r>
      <w:r>
        <w:instrText xml:space="preserve"> HYPERLINK "http://www.zjzfcg.gov.cn" </w:instrText>
      </w:r>
      <w:r>
        <w:fldChar w:fldCharType="separate"/>
      </w:r>
      <w:r>
        <w:rPr>
          <w:rFonts w:hint="eastAsia"/>
        </w:rPr>
        <w:t>www.zjzfcg.gov.cn</w:t>
      </w:r>
      <w:r>
        <w:rPr>
          <w:rFonts w:hint="eastAsia"/>
        </w:rPr>
        <w:fldChar w:fldCharType="end"/>
      </w:r>
      <w:r>
        <w:rPr>
          <w:rFonts w:hint="eastAsia"/>
        </w:rPr>
        <w:t xml:space="preserve"> </w:t>
      </w:r>
      <w:bookmarkEnd w:id="82"/>
      <w:r>
        <w:rPr>
          <w:rFonts w:hint="eastAsia"/>
        </w:rPr>
        <w:t>）</w:t>
      </w:r>
    </w:p>
    <w:p w14:paraId="2D2CD25D">
      <w:pPr>
        <w:spacing w:line="288" w:lineRule="auto"/>
        <w:ind w:firstLine="480"/>
      </w:pPr>
      <w:r>
        <w:rPr>
          <w:rFonts w:hint="eastAsia"/>
        </w:rPr>
        <w:t xml:space="preserve">丽水市公共资源交易网（www.lssggzy.com） </w:t>
      </w:r>
    </w:p>
    <w:p w14:paraId="13610A69">
      <w:pPr>
        <w:spacing w:line="288" w:lineRule="auto"/>
        <w:ind w:firstLine="480"/>
      </w:pPr>
    </w:p>
    <w:p w14:paraId="4D0E97AC">
      <w:pPr>
        <w:spacing w:line="288" w:lineRule="auto"/>
        <w:ind w:firstLine="480"/>
      </w:pPr>
      <w:r>
        <w:rPr>
          <w:rFonts w:hint="eastAsia"/>
        </w:rPr>
        <w:t>若对项目采购电子交易系统操作有疑问，可登录政采云（https：//www.zcygov.cn/），点击右侧咨询小采，获取采小蜜智能服务管家帮助，或拨打政采云服务热线400-881-7190获取热线服务帮助。</w:t>
      </w:r>
    </w:p>
    <w:p w14:paraId="2521748A">
      <w:pPr>
        <w:spacing w:line="288" w:lineRule="auto"/>
        <w:ind w:firstLine="480"/>
      </w:pPr>
      <w:r>
        <w:rPr>
          <w:rFonts w:hint="eastAsia"/>
        </w:rPr>
        <w:t>CA问题联系电话（人工）：汇信CA 400-888-4636；天谷CA 400-087-8198。</w:t>
      </w:r>
    </w:p>
    <w:p w14:paraId="320B5190">
      <w:pPr>
        <w:widowControl/>
        <w:spacing w:line="240" w:lineRule="auto"/>
        <w:ind w:firstLine="0" w:firstLineChars="0"/>
        <w:jc w:val="left"/>
      </w:pPr>
      <w:r>
        <w:br w:type="page"/>
      </w:r>
    </w:p>
    <w:p w14:paraId="0BEFB04A">
      <w:pPr>
        <w:pStyle w:val="3"/>
      </w:pPr>
      <w:bookmarkStart w:id="83" w:name="_Toc9074"/>
      <w:bookmarkStart w:id="84" w:name="_Toc1372"/>
      <w:bookmarkStart w:id="85" w:name="_Toc19077"/>
      <w:bookmarkStart w:id="86" w:name="_Toc14464"/>
      <w:bookmarkStart w:id="87" w:name="_Toc32712"/>
      <w:bookmarkStart w:id="88" w:name="_Toc12082"/>
      <w:bookmarkStart w:id="89" w:name="_Toc19480"/>
      <w:bookmarkStart w:id="90" w:name="_Toc15173"/>
      <w:r>
        <w:rPr>
          <w:rFonts w:hint="eastAsia"/>
        </w:rPr>
        <w:t>第二章  磋商供应商须知前附表</w:t>
      </w:r>
      <w:bookmarkEnd w:id="83"/>
      <w:bookmarkEnd w:id="84"/>
      <w:bookmarkEnd w:id="85"/>
      <w:bookmarkEnd w:id="86"/>
      <w:bookmarkEnd w:id="87"/>
      <w:bookmarkEnd w:id="88"/>
      <w:bookmarkEnd w:id="89"/>
      <w:bookmarkEnd w:id="90"/>
    </w:p>
    <w:p w14:paraId="3B2C6B19">
      <w:pPr>
        <w:ind w:firstLine="480"/>
      </w:pPr>
    </w:p>
    <w:tbl>
      <w:tblPr>
        <w:tblStyle w:val="28"/>
        <w:tblW w:w="897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6"/>
        <w:gridCol w:w="1660"/>
        <w:gridCol w:w="6532"/>
      </w:tblGrid>
      <w:tr w14:paraId="6CA6D1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8" w:hRule="atLeast"/>
          <w:tblHeader/>
          <w:jc w:val="center"/>
        </w:trPr>
        <w:tc>
          <w:tcPr>
            <w:tcW w:w="786" w:type="dxa"/>
            <w:vAlign w:val="center"/>
          </w:tcPr>
          <w:p w14:paraId="42EEDE46">
            <w:pPr>
              <w:pStyle w:val="36"/>
            </w:pPr>
            <w:r>
              <w:rPr>
                <w:rFonts w:hint="eastAsia"/>
              </w:rPr>
              <w:t>序号</w:t>
            </w:r>
          </w:p>
        </w:tc>
        <w:tc>
          <w:tcPr>
            <w:tcW w:w="1660" w:type="dxa"/>
            <w:vAlign w:val="center"/>
          </w:tcPr>
          <w:p w14:paraId="67C1E59A">
            <w:pPr>
              <w:pStyle w:val="36"/>
            </w:pPr>
            <w:r>
              <w:rPr>
                <w:rFonts w:hint="eastAsia"/>
              </w:rPr>
              <w:t>项   目</w:t>
            </w:r>
          </w:p>
        </w:tc>
        <w:tc>
          <w:tcPr>
            <w:tcW w:w="6532" w:type="dxa"/>
            <w:vAlign w:val="center"/>
          </w:tcPr>
          <w:p w14:paraId="7BE53EFB">
            <w:pPr>
              <w:pStyle w:val="36"/>
            </w:pPr>
            <w:r>
              <w:rPr>
                <w:rFonts w:hint="eastAsia"/>
              </w:rPr>
              <w:t>内       容</w:t>
            </w:r>
          </w:p>
        </w:tc>
      </w:tr>
      <w:tr w14:paraId="7787A3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86" w:type="dxa"/>
            <w:vAlign w:val="center"/>
          </w:tcPr>
          <w:p w14:paraId="74B89921">
            <w:pPr>
              <w:pStyle w:val="36"/>
              <w:jc w:val="center"/>
            </w:pPr>
            <w:r>
              <w:rPr>
                <w:rFonts w:hint="eastAsia"/>
              </w:rPr>
              <w:t>1</w:t>
            </w:r>
          </w:p>
        </w:tc>
        <w:tc>
          <w:tcPr>
            <w:tcW w:w="1660" w:type="dxa"/>
            <w:vAlign w:val="center"/>
          </w:tcPr>
          <w:p w14:paraId="02C74311">
            <w:pPr>
              <w:pStyle w:val="36"/>
            </w:pPr>
            <w:r>
              <w:t>采购人</w:t>
            </w:r>
          </w:p>
        </w:tc>
        <w:tc>
          <w:tcPr>
            <w:tcW w:w="6532" w:type="dxa"/>
            <w:vAlign w:val="center"/>
          </w:tcPr>
          <w:p w14:paraId="49506727">
            <w:pPr>
              <w:pStyle w:val="36"/>
            </w:pPr>
            <w:r>
              <w:rPr>
                <w:rFonts w:hint="eastAsia"/>
              </w:rPr>
              <w:t>采购人：丽水经济技术开发区生态林业发展中心</w:t>
            </w:r>
          </w:p>
          <w:p w14:paraId="51100C30">
            <w:pPr>
              <w:pStyle w:val="36"/>
            </w:pPr>
            <w:r>
              <w:rPr>
                <w:rFonts w:hint="eastAsia"/>
              </w:rPr>
              <w:t>地址：丽水市南明山街道富岭管理区（齐村16号）</w:t>
            </w:r>
          </w:p>
          <w:p w14:paraId="04C19E73">
            <w:pPr>
              <w:pStyle w:val="36"/>
              <w:rPr>
                <w:lang w:val="en-US"/>
              </w:rPr>
            </w:pPr>
            <w:r>
              <w:rPr>
                <w:rFonts w:hint="eastAsia"/>
              </w:rPr>
              <w:t>联系人：</w:t>
            </w:r>
            <w:r>
              <w:rPr>
                <w:rFonts w:hint="eastAsia" w:cs="宋体"/>
                <w:sz w:val="22"/>
                <w:lang w:val="en-US"/>
              </w:rPr>
              <w:t>张声梯</w:t>
            </w:r>
          </w:p>
          <w:p w14:paraId="1B119501">
            <w:pPr>
              <w:pStyle w:val="36"/>
            </w:pPr>
            <w:r>
              <w:rPr>
                <w:rFonts w:hint="eastAsia"/>
              </w:rPr>
              <w:t>电话：</w:t>
            </w:r>
            <w:r>
              <w:rPr>
                <w:rFonts w:hint="eastAsia" w:cs="宋体"/>
                <w:sz w:val="22"/>
                <w:lang w:val="en-US"/>
              </w:rPr>
              <w:t>15306785998</w:t>
            </w:r>
          </w:p>
        </w:tc>
      </w:tr>
      <w:tr w14:paraId="0287A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786" w:type="dxa"/>
            <w:vAlign w:val="center"/>
          </w:tcPr>
          <w:p w14:paraId="71131C0A">
            <w:pPr>
              <w:pStyle w:val="36"/>
              <w:jc w:val="center"/>
            </w:pPr>
            <w:r>
              <w:rPr>
                <w:rFonts w:hint="eastAsia"/>
              </w:rPr>
              <w:t>2</w:t>
            </w:r>
          </w:p>
        </w:tc>
        <w:tc>
          <w:tcPr>
            <w:tcW w:w="1660" w:type="dxa"/>
            <w:vAlign w:val="center"/>
          </w:tcPr>
          <w:p w14:paraId="194F185B">
            <w:pPr>
              <w:pStyle w:val="36"/>
            </w:pPr>
            <w:r>
              <w:rPr>
                <w:rFonts w:hint="eastAsia"/>
              </w:rPr>
              <w:t>采购代理机构</w:t>
            </w:r>
          </w:p>
        </w:tc>
        <w:tc>
          <w:tcPr>
            <w:tcW w:w="6532" w:type="dxa"/>
            <w:vAlign w:val="center"/>
          </w:tcPr>
          <w:p w14:paraId="120E96DB">
            <w:pPr>
              <w:pStyle w:val="36"/>
            </w:pPr>
            <w:r>
              <w:rPr>
                <w:rFonts w:hint="eastAsia"/>
              </w:rPr>
              <w:t>代理机构：浙江盛康工程管理有限公司</w:t>
            </w:r>
          </w:p>
          <w:p w14:paraId="719D35CB">
            <w:pPr>
              <w:pStyle w:val="36"/>
              <w:rPr>
                <w:lang w:val="en-US"/>
              </w:rPr>
            </w:pPr>
            <w:r>
              <w:rPr>
                <w:rFonts w:hint="eastAsia"/>
              </w:rPr>
              <w:t>地址：莲都区人民路916号</w:t>
            </w:r>
            <w:r>
              <w:rPr>
                <w:rFonts w:hint="eastAsia"/>
                <w:lang w:val="en-US"/>
              </w:rPr>
              <w:t>2栋三楼</w:t>
            </w:r>
          </w:p>
          <w:p w14:paraId="727AEEC4">
            <w:pPr>
              <w:pStyle w:val="36"/>
            </w:pPr>
            <w:r>
              <w:rPr>
                <w:rFonts w:hint="eastAsia"/>
              </w:rPr>
              <w:t>联系人：王利敏</w:t>
            </w:r>
          </w:p>
          <w:p w14:paraId="40630415">
            <w:pPr>
              <w:spacing w:line="288" w:lineRule="auto"/>
              <w:ind w:firstLine="0" w:firstLineChars="0"/>
            </w:pPr>
            <w:r>
              <w:rPr>
                <w:rFonts w:hint="eastAsia"/>
              </w:rPr>
              <w:t>电话：18057827901</w:t>
            </w:r>
          </w:p>
          <w:p w14:paraId="353A93B3">
            <w:pPr>
              <w:pStyle w:val="36"/>
              <w:rPr>
                <w:lang w:val="en-US"/>
              </w:rPr>
            </w:pPr>
            <w:r>
              <w:rPr>
                <w:rFonts w:hint="eastAsia"/>
              </w:rPr>
              <w:t>电子邮箱</w:t>
            </w:r>
            <w:r>
              <w:rPr>
                <w:rFonts w:hint="eastAsia"/>
                <w:lang w:val="en-US"/>
              </w:rPr>
              <w:t>：756231250@qq.com</w:t>
            </w:r>
          </w:p>
        </w:tc>
      </w:tr>
      <w:tr w14:paraId="1FD5A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44A9F4C9">
            <w:pPr>
              <w:pStyle w:val="36"/>
              <w:jc w:val="center"/>
            </w:pPr>
            <w:r>
              <w:rPr>
                <w:rFonts w:hint="eastAsia"/>
              </w:rPr>
              <w:t>3</w:t>
            </w:r>
          </w:p>
        </w:tc>
        <w:tc>
          <w:tcPr>
            <w:tcW w:w="1660" w:type="dxa"/>
            <w:vAlign w:val="center"/>
          </w:tcPr>
          <w:p w14:paraId="41697BB1">
            <w:pPr>
              <w:pStyle w:val="36"/>
            </w:pPr>
            <w:r>
              <w:t>采购活动流程</w:t>
            </w:r>
          </w:p>
        </w:tc>
        <w:tc>
          <w:tcPr>
            <w:tcW w:w="6532" w:type="dxa"/>
            <w:vAlign w:val="center"/>
          </w:tcPr>
          <w:p w14:paraId="05C02AE5">
            <w:pPr>
              <w:pStyle w:val="36"/>
            </w:pPr>
            <w:r>
              <w:t>电子招标、投标、开标、评标的全流程电子化</w:t>
            </w:r>
          </w:p>
        </w:tc>
      </w:tr>
      <w:tr w14:paraId="5FAF9A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7D41EE82">
            <w:pPr>
              <w:pStyle w:val="36"/>
              <w:jc w:val="center"/>
            </w:pPr>
            <w:r>
              <w:rPr>
                <w:rFonts w:hint="eastAsia"/>
              </w:rPr>
              <w:t>4</w:t>
            </w:r>
          </w:p>
        </w:tc>
        <w:tc>
          <w:tcPr>
            <w:tcW w:w="1660" w:type="dxa"/>
            <w:vAlign w:val="center"/>
          </w:tcPr>
          <w:p w14:paraId="7E6675E4">
            <w:pPr>
              <w:pStyle w:val="36"/>
            </w:pPr>
            <w:r>
              <w:rPr>
                <w:rFonts w:hint="eastAsia"/>
              </w:rPr>
              <w:t>答疑会</w:t>
            </w:r>
          </w:p>
        </w:tc>
        <w:tc>
          <w:tcPr>
            <w:tcW w:w="6532" w:type="dxa"/>
            <w:vAlign w:val="center"/>
          </w:tcPr>
          <w:p w14:paraId="69ACC40E">
            <w:pPr>
              <w:pStyle w:val="36"/>
            </w:pPr>
            <w:r>
              <w:rPr>
                <w:rFonts w:hint="eastAsia"/>
              </w:rPr>
              <w:t>不召开</w:t>
            </w:r>
          </w:p>
        </w:tc>
      </w:tr>
      <w:tr w14:paraId="71432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416CCBE1">
            <w:pPr>
              <w:pStyle w:val="36"/>
              <w:jc w:val="center"/>
            </w:pPr>
            <w:r>
              <w:rPr>
                <w:rFonts w:hint="eastAsia"/>
              </w:rPr>
              <w:t>5</w:t>
            </w:r>
          </w:p>
        </w:tc>
        <w:tc>
          <w:tcPr>
            <w:tcW w:w="1660" w:type="dxa"/>
            <w:vAlign w:val="center"/>
          </w:tcPr>
          <w:p w14:paraId="39940225">
            <w:pPr>
              <w:pStyle w:val="36"/>
            </w:pPr>
            <w:r>
              <w:rPr>
                <w:rFonts w:hint="eastAsia"/>
              </w:rPr>
              <w:t>评标办法</w:t>
            </w:r>
          </w:p>
        </w:tc>
        <w:tc>
          <w:tcPr>
            <w:tcW w:w="6532" w:type="dxa"/>
            <w:vAlign w:val="center"/>
          </w:tcPr>
          <w:p w14:paraId="1C37147E">
            <w:pPr>
              <w:pStyle w:val="36"/>
            </w:pPr>
            <w:r>
              <w:rPr>
                <w:rFonts w:hint="eastAsia"/>
              </w:rPr>
              <w:t>综合评分法</w:t>
            </w:r>
          </w:p>
        </w:tc>
      </w:tr>
      <w:tr w14:paraId="0D033C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119B0693">
            <w:pPr>
              <w:pStyle w:val="36"/>
              <w:jc w:val="center"/>
            </w:pPr>
            <w:r>
              <w:rPr>
                <w:rFonts w:hint="eastAsia"/>
              </w:rPr>
              <w:t>6</w:t>
            </w:r>
          </w:p>
        </w:tc>
        <w:tc>
          <w:tcPr>
            <w:tcW w:w="1660" w:type="dxa"/>
            <w:vAlign w:val="center"/>
          </w:tcPr>
          <w:p w14:paraId="2F81FE45">
            <w:pPr>
              <w:pStyle w:val="36"/>
            </w:pPr>
            <w:r>
              <w:rPr>
                <w:rFonts w:hint="eastAsia"/>
              </w:rPr>
              <w:t>磋商小组</w:t>
            </w:r>
            <w:r>
              <w:t>人员</w:t>
            </w:r>
          </w:p>
        </w:tc>
        <w:tc>
          <w:tcPr>
            <w:tcW w:w="6532" w:type="dxa"/>
            <w:vAlign w:val="center"/>
          </w:tcPr>
          <w:p w14:paraId="6F07C454">
            <w:pPr>
              <w:pStyle w:val="36"/>
            </w:pPr>
            <w:r>
              <w:t>共</w:t>
            </w:r>
            <w:r>
              <w:rPr>
                <w:rFonts w:hint="eastAsia"/>
                <w:lang w:val="en-US"/>
              </w:rPr>
              <w:t>3</w:t>
            </w:r>
            <w:r>
              <w:rPr>
                <w:rFonts w:hint="eastAsia"/>
              </w:rPr>
              <w:t>人组成</w:t>
            </w:r>
          </w:p>
        </w:tc>
      </w:tr>
      <w:tr w14:paraId="22DC56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38FA853A">
            <w:pPr>
              <w:pStyle w:val="36"/>
              <w:jc w:val="center"/>
            </w:pPr>
            <w:r>
              <w:rPr>
                <w:rFonts w:hint="eastAsia"/>
              </w:rPr>
              <w:t>7</w:t>
            </w:r>
          </w:p>
        </w:tc>
        <w:tc>
          <w:tcPr>
            <w:tcW w:w="1660" w:type="dxa"/>
            <w:vAlign w:val="center"/>
          </w:tcPr>
          <w:p w14:paraId="02463FE1">
            <w:pPr>
              <w:pStyle w:val="36"/>
            </w:pPr>
            <w:r>
              <w:rPr>
                <w:rFonts w:hint="eastAsia"/>
              </w:rPr>
              <w:t>磋商有效期</w:t>
            </w:r>
          </w:p>
        </w:tc>
        <w:tc>
          <w:tcPr>
            <w:tcW w:w="6532" w:type="dxa"/>
            <w:vAlign w:val="center"/>
          </w:tcPr>
          <w:p w14:paraId="5598CF24">
            <w:pPr>
              <w:pStyle w:val="36"/>
            </w:pPr>
            <w:r>
              <w:rPr>
                <w:rFonts w:hint="eastAsia"/>
              </w:rPr>
              <w:t>自开启响应文件之日起90个日历天</w:t>
            </w:r>
          </w:p>
        </w:tc>
      </w:tr>
      <w:tr w14:paraId="70896B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21C76D96">
            <w:pPr>
              <w:pStyle w:val="36"/>
              <w:jc w:val="center"/>
            </w:pPr>
            <w:r>
              <w:rPr>
                <w:rFonts w:hint="eastAsia"/>
              </w:rPr>
              <w:t>8</w:t>
            </w:r>
          </w:p>
        </w:tc>
        <w:tc>
          <w:tcPr>
            <w:tcW w:w="1660" w:type="dxa"/>
            <w:vAlign w:val="center"/>
          </w:tcPr>
          <w:p w14:paraId="45C78885">
            <w:pPr>
              <w:pStyle w:val="36"/>
            </w:pPr>
            <w:r>
              <w:rPr>
                <w:rFonts w:hint="eastAsia"/>
              </w:rPr>
              <w:t>分包情况</w:t>
            </w:r>
          </w:p>
        </w:tc>
        <w:tc>
          <w:tcPr>
            <w:tcW w:w="6532" w:type="dxa"/>
            <w:vAlign w:val="center"/>
          </w:tcPr>
          <w:p w14:paraId="53DD041A">
            <w:pPr>
              <w:pStyle w:val="36"/>
            </w:pPr>
            <w:r>
              <w:rPr>
                <w:rFonts w:hint="eastAsia"/>
              </w:rPr>
              <w:t>不允许</w:t>
            </w:r>
          </w:p>
        </w:tc>
      </w:tr>
      <w:tr w14:paraId="4D7538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5D6EA986">
            <w:pPr>
              <w:pStyle w:val="36"/>
              <w:jc w:val="center"/>
            </w:pPr>
            <w:r>
              <w:rPr>
                <w:rFonts w:hint="eastAsia"/>
              </w:rPr>
              <w:t>9</w:t>
            </w:r>
          </w:p>
        </w:tc>
        <w:tc>
          <w:tcPr>
            <w:tcW w:w="1660" w:type="dxa"/>
            <w:vAlign w:val="center"/>
          </w:tcPr>
          <w:p w14:paraId="4DAE72E6">
            <w:pPr>
              <w:pStyle w:val="36"/>
            </w:pPr>
            <w:r>
              <w:t>磋商保证金</w:t>
            </w:r>
          </w:p>
        </w:tc>
        <w:tc>
          <w:tcPr>
            <w:tcW w:w="6532" w:type="dxa"/>
            <w:vAlign w:val="center"/>
          </w:tcPr>
          <w:p w14:paraId="2EBEC5F0">
            <w:pPr>
              <w:pStyle w:val="36"/>
            </w:pPr>
            <w:r>
              <w:t>不收取</w:t>
            </w:r>
          </w:p>
        </w:tc>
      </w:tr>
      <w:tr w14:paraId="5328CF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6AE356C6">
            <w:pPr>
              <w:pStyle w:val="36"/>
              <w:jc w:val="center"/>
            </w:pPr>
            <w:r>
              <w:rPr>
                <w:rFonts w:hint="eastAsia"/>
              </w:rPr>
              <w:t>10</w:t>
            </w:r>
          </w:p>
        </w:tc>
        <w:tc>
          <w:tcPr>
            <w:tcW w:w="1660" w:type="dxa"/>
            <w:vAlign w:val="center"/>
          </w:tcPr>
          <w:p w14:paraId="07791204">
            <w:pPr>
              <w:pStyle w:val="36"/>
            </w:pPr>
            <w:r>
              <w:rPr>
                <w:rFonts w:hint="eastAsia"/>
              </w:rPr>
              <w:t>踏勘现场</w:t>
            </w:r>
          </w:p>
        </w:tc>
        <w:tc>
          <w:tcPr>
            <w:tcW w:w="6532" w:type="dxa"/>
            <w:vAlign w:val="center"/>
          </w:tcPr>
          <w:p w14:paraId="54619D39">
            <w:pPr>
              <w:pStyle w:val="36"/>
            </w:pPr>
            <w:r>
              <w:rPr>
                <w:rFonts w:hint="eastAsia"/>
              </w:rPr>
              <w:t>采购人不组织现场踏勘。</w:t>
            </w:r>
          </w:p>
        </w:tc>
      </w:tr>
      <w:tr w14:paraId="0DAC02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786" w:type="dxa"/>
            <w:vAlign w:val="center"/>
          </w:tcPr>
          <w:p w14:paraId="6AD2837C">
            <w:pPr>
              <w:pStyle w:val="36"/>
              <w:jc w:val="center"/>
            </w:pPr>
            <w:r>
              <w:rPr>
                <w:rFonts w:hint="eastAsia"/>
              </w:rPr>
              <w:t>11</w:t>
            </w:r>
          </w:p>
        </w:tc>
        <w:tc>
          <w:tcPr>
            <w:tcW w:w="1660" w:type="dxa"/>
            <w:vAlign w:val="center"/>
          </w:tcPr>
          <w:p w14:paraId="2F6BEFFD">
            <w:pPr>
              <w:pStyle w:val="36"/>
            </w:pPr>
            <w:r>
              <w:t>构成竞争性磋商文件的其他材料</w:t>
            </w:r>
          </w:p>
        </w:tc>
        <w:tc>
          <w:tcPr>
            <w:tcW w:w="6532" w:type="dxa"/>
            <w:vAlign w:val="center"/>
          </w:tcPr>
          <w:p w14:paraId="6BD95F04">
            <w:pPr>
              <w:pStyle w:val="36"/>
            </w:pPr>
            <w:r>
              <w:t>补充、更正公告</w:t>
            </w:r>
          </w:p>
        </w:tc>
      </w:tr>
      <w:tr w14:paraId="50095D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86" w:type="dxa"/>
            <w:vAlign w:val="center"/>
          </w:tcPr>
          <w:p w14:paraId="2CCDB593">
            <w:pPr>
              <w:pStyle w:val="36"/>
              <w:jc w:val="center"/>
            </w:pPr>
            <w:r>
              <w:rPr>
                <w:rFonts w:hint="eastAsia"/>
              </w:rPr>
              <w:t>12</w:t>
            </w:r>
          </w:p>
        </w:tc>
        <w:tc>
          <w:tcPr>
            <w:tcW w:w="1660" w:type="dxa"/>
            <w:vAlign w:val="center"/>
          </w:tcPr>
          <w:p w14:paraId="67B11346">
            <w:pPr>
              <w:pStyle w:val="36"/>
            </w:pPr>
            <w:r>
              <w:rPr>
                <w:rFonts w:hint="eastAsia"/>
              </w:rPr>
              <w:t>资格审查方式</w:t>
            </w:r>
          </w:p>
        </w:tc>
        <w:tc>
          <w:tcPr>
            <w:tcW w:w="6532" w:type="dxa"/>
            <w:vAlign w:val="center"/>
          </w:tcPr>
          <w:p w14:paraId="2F5384CB">
            <w:pPr>
              <w:pStyle w:val="36"/>
            </w:pPr>
            <w:r>
              <w:rPr>
                <w:rFonts w:hint="eastAsia"/>
              </w:rPr>
              <w:t>资格审查是指在磋商小组根据采购文件的规定对投标供应商的资格性、符合性要求进行的审查，资格审查不合格的投标供应商，其投标作无效标处理。</w:t>
            </w:r>
          </w:p>
        </w:tc>
      </w:tr>
      <w:tr w14:paraId="19C379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786" w:type="dxa"/>
            <w:vAlign w:val="center"/>
          </w:tcPr>
          <w:p w14:paraId="51799260">
            <w:pPr>
              <w:pStyle w:val="36"/>
              <w:jc w:val="center"/>
            </w:pPr>
            <w:r>
              <w:rPr>
                <w:rFonts w:hint="eastAsia"/>
              </w:rPr>
              <w:t>13</w:t>
            </w:r>
          </w:p>
        </w:tc>
        <w:tc>
          <w:tcPr>
            <w:tcW w:w="1660" w:type="dxa"/>
            <w:vAlign w:val="center"/>
          </w:tcPr>
          <w:p w14:paraId="69213744">
            <w:pPr>
              <w:pStyle w:val="36"/>
            </w:pPr>
            <w:r>
              <w:t>询问与答复</w:t>
            </w:r>
          </w:p>
        </w:tc>
        <w:tc>
          <w:tcPr>
            <w:tcW w:w="6532" w:type="dxa"/>
            <w:vAlign w:val="center"/>
          </w:tcPr>
          <w:p w14:paraId="534AEAEB">
            <w:pPr>
              <w:pStyle w:val="36"/>
            </w:pPr>
            <w:r>
              <w:rPr>
                <w:rFonts w:hint="eastAsia"/>
              </w:rPr>
              <w:t>潜在供应商认为磋商文件使自己的权益受到损害的，可以自获取磋商文件之日（获取截止日之后获取磋商文件的，以获取截止日为准）或者磋商文件公告期限届满之日（采购公告届满日为公告发布后的第6个工作日）起7个工作日内，以书面形式向采购人和采购代理机构提出质疑。</w:t>
            </w:r>
          </w:p>
        </w:tc>
      </w:tr>
      <w:tr w14:paraId="5737AB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14:paraId="0CFD62E0">
            <w:pPr>
              <w:pStyle w:val="36"/>
              <w:jc w:val="center"/>
            </w:pPr>
            <w:r>
              <w:rPr>
                <w:rFonts w:hint="eastAsia"/>
              </w:rPr>
              <w:t>14</w:t>
            </w:r>
          </w:p>
        </w:tc>
        <w:tc>
          <w:tcPr>
            <w:tcW w:w="1660" w:type="dxa"/>
            <w:vAlign w:val="center"/>
          </w:tcPr>
          <w:p w14:paraId="247E6E2E">
            <w:pPr>
              <w:pStyle w:val="36"/>
            </w:pPr>
            <w:r>
              <w:t>最高限价（元）</w:t>
            </w:r>
          </w:p>
        </w:tc>
        <w:tc>
          <w:tcPr>
            <w:tcW w:w="6532" w:type="dxa"/>
            <w:vAlign w:val="center"/>
          </w:tcPr>
          <w:p w14:paraId="1BC02702">
            <w:pPr>
              <w:pStyle w:val="36"/>
              <w:rPr>
                <w:lang w:val="en-US"/>
              </w:rPr>
            </w:pPr>
            <w:r>
              <w:rPr>
                <w:rFonts w:hint="eastAsia"/>
                <w:lang w:val="en-US"/>
              </w:rPr>
              <w:t>580000元。</w:t>
            </w:r>
          </w:p>
        </w:tc>
      </w:tr>
      <w:tr w14:paraId="0BD62A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86" w:type="dxa"/>
            <w:vAlign w:val="center"/>
          </w:tcPr>
          <w:p w14:paraId="56F5DCDD">
            <w:pPr>
              <w:pStyle w:val="36"/>
              <w:jc w:val="center"/>
            </w:pPr>
            <w:r>
              <w:t>15</w:t>
            </w:r>
          </w:p>
        </w:tc>
        <w:tc>
          <w:tcPr>
            <w:tcW w:w="1660" w:type="dxa"/>
            <w:vAlign w:val="center"/>
          </w:tcPr>
          <w:p w14:paraId="59B96922">
            <w:pPr>
              <w:pStyle w:val="36"/>
            </w:pPr>
            <w:r>
              <w:t>磋商报价范围</w:t>
            </w:r>
          </w:p>
        </w:tc>
        <w:tc>
          <w:tcPr>
            <w:tcW w:w="6532" w:type="dxa"/>
            <w:vAlign w:val="center"/>
          </w:tcPr>
          <w:p w14:paraId="22604B8B">
            <w:pPr>
              <w:pStyle w:val="36"/>
            </w:pPr>
            <w:r>
              <w:t>是指投标人在依法履行合同义务后采购人应支付服务价格，</w:t>
            </w:r>
            <w:r>
              <w:rPr>
                <w:rFonts w:hint="eastAsia"/>
              </w:rPr>
              <w:t>包括</w:t>
            </w:r>
            <w:r>
              <w:rPr>
                <w:rFonts w:hint="eastAsia"/>
                <w:lang w:val="en-US"/>
              </w:rPr>
              <w:t>人工费、交通费、保险费、成果评审费、采购代理费、管理费、利润和税金，以及</w:t>
            </w:r>
            <w:r>
              <w:rPr>
                <w:rFonts w:hint="eastAsia"/>
              </w:rPr>
              <w:t>政策性文件规定及所有风险、责任等各项费用，报价单中不得漏填项目如有漏项，视同已包含在其总项目中，合同总价不</w:t>
            </w:r>
            <w:r>
              <w:rPr>
                <w:rFonts w:hint="eastAsia"/>
                <w:lang w:val="en-US"/>
              </w:rPr>
              <w:t>作</w:t>
            </w:r>
            <w:r>
              <w:rPr>
                <w:rFonts w:hint="eastAsia"/>
              </w:rPr>
              <w:t>调整。</w:t>
            </w:r>
          </w:p>
        </w:tc>
      </w:tr>
      <w:tr w14:paraId="2848F6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786" w:type="dxa"/>
            <w:vAlign w:val="center"/>
          </w:tcPr>
          <w:p w14:paraId="7C6AC458">
            <w:pPr>
              <w:pStyle w:val="36"/>
              <w:jc w:val="center"/>
            </w:pPr>
            <w:r>
              <w:t>16</w:t>
            </w:r>
          </w:p>
        </w:tc>
        <w:tc>
          <w:tcPr>
            <w:tcW w:w="1660" w:type="dxa"/>
            <w:vAlign w:val="center"/>
          </w:tcPr>
          <w:p w14:paraId="407D133B">
            <w:pPr>
              <w:pStyle w:val="36"/>
            </w:pPr>
            <w:r>
              <w:t>磋商报价次数</w:t>
            </w:r>
          </w:p>
        </w:tc>
        <w:tc>
          <w:tcPr>
            <w:tcW w:w="6532" w:type="dxa"/>
            <w:vAlign w:val="center"/>
          </w:tcPr>
          <w:p w14:paraId="2DA053BE">
            <w:pPr>
              <w:pStyle w:val="36"/>
            </w:pPr>
            <w:r>
              <w:t>磋商次数由</w:t>
            </w:r>
            <w:r>
              <w:rPr>
                <w:rFonts w:hint="eastAsia"/>
              </w:rPr>
              <w:t>磋商小组</w:t>
            </w:r>
            <w:r>
              <w:t>根据磋商情况决定。有一轮及以上报价的，当前报价不得高于对该项目之前的报价，且不得高于采购预算。否则，</w:t>
            </w:r>
            <w:r>
              <w:rPr>
                <w:rFonts w:hint="eastAsia"/>
              </w:rPr>
              <w:t>磋商小组</w:t>
            </w:r>
            <w:r>
              <w:t>按无效报价处理。</w:t>
            </w:r>
          </w:p>
        </w:tc>
      </w:tr>
      <w:tr w14:paraId="451211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49" w:hRule="atLeast"/>
          <w:jc w:val="center"/>
        </w:trPr>
        <w:tc>
          <w:tcPr>
            <w:tcW w:w="786" w:type="dxa"/>
            <w:vAlign w:val="center"/>
          </w:tcPr>
          <w:p w14:paraId="3575115D">
            <w:pPr>
              <w:pStyle w:val="36"/>
              <w:jc w:val="center"/>
            </w:pPr>
            <w:r>
              <w:rPr>
                <w:rFonts w:hint="eastAsia"/>
              </w:rPr>
              <w:t>17</w:t>
            </w:r>
          </w:p>
        </w:tc>
        <w:tc>
          <w:tcPr>
            <w:tcW w:w="1660" w:type="dxa"/>
            <w:vAlign w:val="center"/>
          </w:tcPr>
          <w:p w14:paraId="5D446559">
            <w:pPr>
              <w:pStyle w:val="36"/>
            </w:pPr>
            <w:r>
              <w:t>响应文件形式</w:t>
            </w:r>
            <w:r>
              <w:rPr>
                <w:rFonts w:hint="eastAsia"/>
              </w:rPr>
              <w:t>、</w:t>
            </w:r>
            <w:r>
              <w:t>制作</w:t>
            </w:r>
          </w:p>
        </w:tc>
        <w:tc>
          <w:tcPr>
            <w:tcW w:w="6532" w:type="dxa"/>
            <w:vAlign w:val="center"/>
          </w:tcPr>
          <w:p w14:paraId="3FB32243">
            <w:pPr>
              <w:pStyle w:val="36"/>
            </w:pPr>
            <w:r>
              <w:rPr>
                <w:rFonts w:hint="eastAsia"/>
              </w:rPr>
              <w:t>1.形式：电子响应文件</w:t>
            </w:r>
          </w:p>
          <w:p w14:paraId="56FC7E10">
            <w:pPr>
              <w:pStyle w:val="36"/>
            </w:pPr>
            <w:r>
              <w:rPr>
                <w:rFonts w:hint="eastAsia"/>
              </w:rPr>
              <w:t>2.制作：</w:t>
            </w:r>
          </w:p>
          <w:p w14:paraId="4A2CE75E">
            <w:pPr>
              <w:pStyle w:val="36"/>
            </w:pPr>
            <w:r>
              <w:rPr>
                <w:rFonts w:hint="eastAsia"/>
              </w:rPr>
              <w:t>2.1政采云电子交易客户端：通过浙江政府采购网（网址：</w:t>
            </w:r>
          </w:p>
          <w:p w14:paraId="6349DE5C">
            <w:pPr>
              <w:pStyle w:val="36"/>
            </w:pPr>
            <w:r>
              <w:rPr>
                <w:rFonts w:hint="eastAsia"/>
                <w:lang w:val="en-US"/>
              </w:rPr>
              <w:t>https:</w:t>
            </w:r>
            <w:r>
              <w:t>//zfcg.czt.zj.gov.cn/bidClientTemplate/2021-01-07/12975.html</w:t>
            </w:r>
            <w:r>
              <w:rPr>
                <w:rFonts w:hint="eastAsia"/>
              </w:rPr>
              <w:t>）-下载专区下载并安装。</w:t>
            </w:r>
          </w:p>
          <w:p w14:paraId="7DAAA35B">
            <w:pPr>
              <w:pStyle w:val="36"/>
            </w:pPr>
            <w:r>
              <w:rPr>
                <w:rFonts w:hint="eastAsia"/>
              </w:rPr>
              <w:t>2.2响应文件制作：按照本竞争性磋商文件和政采云平台的要求，通过政采云电子交易客户端制作并加密响应文件。制作响应文件，具体详情请查看《【浙江省】供应商-政府采购项目电子交易操作视频》网址：</w:t>
            </w:r>
            <w:r>
              <w:t>https</w:t>
            </w:r>
            <w:r>
              <w:rPr>
                <w:rFonts w:hint="eastAsia"/>
              </w:rPr>
              <w:t>：</w:t>
            </w:r>
            <w:r>
              <w:t>//service.zcygov.cn/#/</w:t>
            </w:r>
            <w:r>
              <w:rPr>
                <w:rFonts w:hint="eastAsia"/>
              </w:rPr>
              <w:t>；电子投标具体流程文档网址：</w:t>
            </w:r>
            <w:r>
              <w:t>https</w:t>
            </w:r>
            <w:r>
              <w:rPr>
                <w:rFonts w:hint="eastAsia"/>
              </w:rPr>
              <w:t>：</w:t>
            </w:r>
            <w:r>
              <w:t>//service.zcygov.cn/#/</w:t>
            </w:r>
          </w:p>
          <w:p w14:paraId="765FDA99">
            <w:pPr>
              <w:pStyle w:val="36"/>
            </w:pPr>
            <w:r>
              <w:rPr>
                <w:rFonts w:hint="eastAsia"/>
              </w:rPr>
              <w:t>2.3签章：CA电子签章</w:t>
            </w:r>
          </w:p>
          <w:p w14:paraId="75A7B01E">
            <w:pPr>
              <w:pStyle w:val="36"/>
            </w:pPr>
            <w:r>
              <w:rPr>
                <w:rFonts w:hint="eastAsia"/>
              </w:rPr>
              <w:t>3.幅面规格：采用A4纸规格（图页除外）</w:t>
            </w:r>
          </w:p>
        </w:tc>
      </w:tr>
      <w:tr w14:paraId="56286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86" w:type="dxa"/>
            <w:vAlign w:val="center"/>
          </w:tcPr>
          <w:p w14:paraId="254C4B7D">
            <w:pPr>
              <w:pStyle w:val="36"/>
              <w:jc w:val="center"/>
            </w:pPr>
            <w:r>
              <w:rPr>
                <w:rFonts w:hint="eastAsia"/>
              </w:rPr>
              <w:t>18</w:t>
            </w:r>
          </w:p>
        </w:tc>
        <w:tc>
          <w:tcPr>
            <w:tcW w:w="1660" w:type="dxa"/>
            <w:vAlign w:val="center"/>
          </w:tcPr>
          <w:p w14:paraId="2EA1A541">
            <w:pPr>
              <w:pStyle w:val="36"/>
            </w:pPr>
            <w:r>
              <w:t>提交响应文件</w:t>
            </w:r>
          </w:p>
        </w:tc>
        <w:tc>
          <w:tcPr>
            <w:tcW w:w="6532" w:type="dxa"/>
            <w:vAlign w:val="center"/>
          </w:tcPr>
          <w:p w14:paraId="7DA5ADEE">
            <w:pPr>
              <w:pStyle w:val="36"/>
            </w:pPr>
            <w:r>
              <w:t>1.截止时间：</w:t>
            </w:r>
            <w:r>
              <w:rPr>
                <w:rFonts w:hint="eastAsia"/>
              </w:rPr>
              <w:t>202</w:t>
            </w:r>
            <w:r>
              <w:rPr>
                <w:rFonts w:hint="eastAsia"/>
                <w:lang w:val="en-US"/>
              </w:rPr>
              <w:t>4</w:t>
            </w:r>
            <w:r>
              <w:rPr>
                <w:rFonts w:hint="eastAsia"/>
              </w:rPr>
              <w:t>年</w:t>
            </w:r>
            <w:r>
              <w:rPr>
                <w:rFonts w:hint="eastAsia"/>
                <w:lang w:val="en-US"/>
              </w:rPr>
              <w:t>9</w:t>
            </w:r>
            <w:r>
              <w:rPr>
                <w:rFonts w:hint="eastAsia"/>
              </w:rPr>
              <w:t>月</w:t>
            </w:r>
            <w:r>
              <w:rPr>
                <w:rFonts w:hint="eastAsia"/>
                <w:lang w:val="en-US"/>
              </w:rPr>
              <w:t>2</w:t>
            </w:r>
            <w:r>
              <w:rPr>
                <w:rFonts w:hint="eastAsia"/>
                <w:lang w:val="en-US" w:eastAsia="zh-CN"/>
              </w:rPr>
              <w:t>5</w:t>
            </w:r>
            <w:r>
              <w:rPr>
                <w:rFonts w:hint="eastAsia"/>
              </w:rPr>
              <w:t>日</w:t>
            </w:r>
            <w:r>
              <w:rPr>
                <w:rFonts w:hint="eastAsia"/>
                <w:lang w:val="en-US"/>
              </w:rPr>
              <w:t>9</w:t>
            </w:r>
            <w:r>
              <w:rPr>
                <w:rFonts w:hint="eastAsia"/>
              </w:rPr>
              <w:t>:</w:t>
            </w:r>
            <w:r>
              <w:rPr>
                <w:rFonts w:hint="eastAsia"/>
                <w:lang w:val="en-US"/>
              </w:rPr>
              <w:t>0</w:t>
            </w:r>
            <w:r>
              <w:rPr>
                <w:rFonts w:hint="eastAsia"/>
              </w:rPr>
              <w:t>0时</w:t>
            </w:r>
            <w:r>
              <w:t>（北京时间）前完成响应文件的上传提交。响应截止时间前未完成上传的，视为撤回响应文件。</w:t>
            </w:r>
          </w:p>
          <w:p w14:paraId="133FD563">
            <w:pPr>
              <w:pStyle w:val="36"/>
            </w:pPr>
            <w:r>
              <w:t>2.地址：政采云平台。</w:t>
            </w:r>
          </w:p>
        </w:tc>
      </w:tr>
      <w:tr w14:paraId="602ED2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3" w:hRule="atLeast"/>
          <w:jc w:val="center"/>
        </w:trPr>
        <w:tc>
          <w:tcPr>
            <w:tcW w:w="786" w:type="dxa"/>
            <w:vAlign w:val="center"/>
          </w:tcPr>
          <w:p w14:paraId="5C69E89E">
            <w:pPr>
              <w:pStyle w:val="36"/>
              <w:jc w:val="center"/>
            </w:pPr>
            <w:r>
              <w:rPr>
                <w:rFonts w:hint="eastAsia"/>
              </w:rPr>
              <w:t>19</w:t>
            </w:r>
          </w:p>
        </w:tc>
        <w:tc>
          <w:tcPr>
            <w:tcW w:w="1660" w:type="dxa"/>
            <w:vAlign w:val="center"/>
          </w:tcPr>
          <w:p w14:paraId="39C0D295">
            <w:pPr>
              <w:pStyle w:val="36"/>
            </w:pPr>
            <w:r>
              <w:t>提交备份响应文件</w:t>
            </w:r>
          </w:p>
        </w:tc>
        <w:tc>
          <w:tcPr>
            <w:tcW w:w="6532" w:type="dxa"/>
            <w:vAlign w:val="center"/>
          </w:tcPr>
          <w:p w14:paraId="161EE5D1">
            <w:pPr>
              <w:pStyle w:val="36"/>
            </w:pPr>
            <w:r>
              <w:t>供应商可以在响应截止时间前将备份响应文件（经政采云电子交易客户端和CA驱动制作出的后缀名为</w:t>
            </w:r>
            <w:r>
              <w:rPr>
                <w:rFonts w:hint="eastAsia"/>
              </w:rPr>
              <w:t>“</w:t>
            </w:r>
            <w:r>
              <w:t>BFBS</w:t>
            </w:r>
            <w:r>
              <w:rPr>
                <w:rFonts w:hint="eastAsia"/>
              </w:rPr>
              <w:t>”</w:t>
            </w:r>
            <w:r>
              <w:t>的加密备份投标文件）发送至邮箱：</w:t>
            </w:r>
            <w:r>
              <w:rPr>
                <w:rFonts w:hint="eastAsia"/>
              </w:rPr>
              <w:t>756231250@qq.com</w:t>
            </w:r>
            <w:r>
              <w:t>，邮件内容写上单位名称，逾期发送或发错后缀名的备份响应文件将被视为无效；备份响应文件的提交不作强制要求，若因供应商未提供备份响应文件而造成响应无效等一切后果和风险由供应商自行承担。</w:t>
            </w:r>
          </w:p>
        </w:tc>
      </w:tr>
      <w:tr w14:paraId="7AE2EF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3" w:hRule="atLeast"/>
          <w:jc w:val="center"/>
        </w:trPr>
        <w:tc>
          <w:tcPr>
            <w:tcW w:w="786" w:type="dxa"/>
            <w:vAlign w:val="center"/>
          </w:tcPr>
          <w:p w14:paraId="58B60EB7">
            <w:pPr>
              <w:pStyle w:val="36"/>
              <w:jc w:val="center"/>
            </w:pPr>
            <w:r>
              <w:rPr>
                <w:rFonts w:hint="eastAsia"/>
              </w:rPr>
              <w:t>20</w:t>
            </w:r>
          </w:p>
        </w:tc>
        <w:tc>
          <w:tcPr>
            <w:tcW w:w="1660" w:type="dxa"/>
            <w:vAlign w:val="center"/>
          </w:tcPr>
          <w:p w14:paraId="34419034">
            <w:pPr>
              <w:pStyle w:val="36"/>
            </w:pPr>
            <w:r>
              <w:rPr>
                <w:rFonts w:hint="eastAsia"/>
              </w:rPr>
              <w:t>开标时间和地址</w:t>
            </w:r>
          </w:p>
        </w:tc>
        <w:tc>
          <w:tcPr>
            <w:tcW w:w="6532" w:type="dxa"/>
            <w:vAlign w:val="center"/>
          </w:tcPr>
          <w:p w14:paraId="080ACD49">
            <w:pPr>
              <w:pStyle w:val="36"/>
            </w:pPr>
            <w:r>
              <w:rPr>
                <w:rFonts w:hint="eastAsia"/>
              </w:rPr>
              <w:t>1.时间：202</w:t>
            </w:r>
            <w:r>
              <w:rPr>
                <w:rFonts w:hint="eastAsia"/>
                <w:lang w:val="en-US"/>
              </w:rPr>
              <w:t>4</w:t>
            </w:r>
            <w:r>
              <w:rPr>
                <w:rFonts w:hint="eastAsia"/>
              </w:rPr>
              <w:t>年</w:t>
            </w:r>
            <w:r>
              <w:rPr>
                <w:rFonts w:hint="eastAsia"/>
                <w:lang w:val="en-US"/>
              </w:rPr>
              <w:t>9</w:t>
            </w:r>
            <w:r>
              <w:rPr>
                <w:rFonts w:hint="eastAsia"/>
              </w:rPr>
              <w:t>月</w:t>
            </w:r>
            <w:r>
              <w:rPr>
                <w:rFonts w:hint="eastAsia"/>
                <w:lang w:val="en-US"/>
              </w:rPr>
              <w:t>2</w:t>
            </w:r>
            <w:r>
              <w:rPr>
                <w:rFonts w:hint="eastAsia"/>
                <w:lang w:val="en-US" w:eastAsia="zh-CN"/>
              </w:rPr>
              <w:t>5</w:t>
            </w:r>
            <w:r>
              <w:rPr>
                <w:rFonts w:hint="eastAsia"/>
              </w:rPr>
              <w:t>日</w:t>
            </w:r>
            <w:r>
              <w:rPr>
                <w:rFonts w:hint="eastAsia"/>
                <w:lang w:val="en-US"/>
              </w:rPr>
              <w:t>9</w:t>
            </w:r>
            <w:r>
              <w:rPr>
                <w:rFonts w:hint="eastAsia"/>
              </w:rPr>
              <w:t>:</w:t>
            </w:r>
            <w:r>
              <w:rPr>
                <w:rFonts w:hint="eastAsia"/>
                <w:lang w:val="en-US"/>
              </w:rPr>
              <w:t>0</w:t>
            </w:r>
            <w:r>
              <w:rPr>
                <w:rFonts w:hint="eastAsia"/>
              </w:rPr>
              <w:t>0时（北京时间）</w:t>
            </w:r>
          </w:p>
          <w:p w14:paraId="4E99CFE6">
            <w:pPr>
              <w:pStyle w:val="36"/>
            </w:pPr>
            <w:r>
              <w:rPr>
                <w:rFonts w:hint="eastAsia"/>
              </w:rPr>
              <w:t>2.地址：政采云平台</w:t>
            </w:r>
          </w:p>
          <w:p w14:paraId="138E0B79">
            <w:pPr>
              <w:pStyle w:val="36"/>
            </w:pPr>
            <w:r>
              <w:rPr>
                <w:rFonts w:hint="eastAsia"/>
              </w:rPr>
              <w:t>3.注意事项：本项目不要求供应商到开标现场开标，供应商应由法定代表人或委托代理人准时在线参加。随时关注磋商进度，如在磋商过程中有电子询标，应在规定时间内对电子询标函进行澄清、答复。否则视同认可磋商结果，不得对磋商过程及磋商结果提出质疑。</w:t>
            </w:r>
          </w:p>
        </w:tc>
      </w:tr>
      <w:tr w14:paraId="428B45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86" w:type="dxa"/>
            <w:vAlign w:val="center"/>
          </w:tcPr>
          <w:p w14:paraId="312AA531">
            <w:pPr>
              <w:pStyle w:val="36"/>
              <w:jc w:val="center"/>
            </w:pPr>
            <w:r>
              <w:rPr>
                <w:rFonts w:hint="eastAsia"/>
              </w:rPr>
              <w:t>21</w:t>
            </w:r>
          </w:p>
        </w:tc>
        <w:tc>
          <w:tcPr>
            <w:tcW w:w="1660" w:type="dxa"/>
            <w:vAlign w:val="center"/>
          </w:tcPr>
          <w:p w14:paraId="1CB352D7">
            <w:pPr>
              <w:pStyle w:val="36"/>
            </w:pPr>
            <w:r>
              <w:t>响应文件的效力</w:t>
            </w:r>
          </w:p>
        </w:tc>
        <w:tc>
          <w:tcPr>
            <w:tcW w:w="6532" w:type="dxa"/>
            <w:vAlign w:val="center"/>
          </w:tcPr>
          <w:p w14:paraId="5DD4A8A1">
            <w:pPr>
              <w:pStyle w:val="36"/>
            </w:pPr>
            <w:r>
              <w:t>响应文件的启用顺序</w:t>
            </w:r>
            <w:r>
              <w:rPr>
                <w:rFonts w:hint="eastAsia"/>
              </w:rPr>
              <w:t>：</w:t>
            </w:r>
            <w:r>
              <w:t>首先是响应文件</w:t>
            </w:r>
            <w:r>
              <w:rPr>
                <w:rFonts w:hint="eastAsia"/>
              </w:rPr>
              <w:t>，</w:t>
            </w:r>
            <w:r>
              <w:t>其次是备份响应文件</w:t>
            </w:r>
            <w:r>
              <w:rPr>
                <w:rFonts w:hint="eastAsia"/>
              </w:rPr>
              <w:t>。因网络或者其他非供应商自身问题造成响应文件无法正常解密，才能启用备份响应文件。备份响应文件一旦启用，则响应文件失效，不予启用。</w:t>
            </w:r>
          </w:p>
        </w:tc>
      </w:tr>
      <w:tr w14:paraId="442332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86" w:type="dxa"/>
            <w:vAlign w:val="center"/>
          </w:tcPr>
          <w:p w14:paraId="29EED38A">
            <w:pPr>
              <w:pStyle w:val="36"/>
              <w:jc w:val="center"/>
            </w:pPr>
            <w:r>
              <w:rPr>
                <w:rFonts w:hint="eastAsia"/>
              </w:rPr>
              <w:t>22</w:t>
            </w:r>
          </w:p>
        </w:tc>
        <w:tc>
          <w:tcPr>
            <w:tcW w:w="1660" w:type="dxa"/>
            <w:vAlign w:val="center"/>
          </w:tcPr>
          <w:p w14:paraId="23F37803">
            <w:pPr>
              <w:pStyle w:val="36"/>
            </w:pPr>
            <w:r>
              <w:t>成交原则</w:t>
            </w:r>
          </w:p>
        </w:tc>
        <w:tc>
          <w:tcPr>
            <w:tcW w:w="6532" w:type="dxa"/>
            <w:vAlign w:val="center"/>
          </w:tcPr>
          <w:p w14:paraId="22F26FA7">
            <w:pPr>
              <w:pStyle w:val="36"/>
            </w:pPr>
            <w:r>
              <w:t>从评审报告提出的成交候选供应商中</w:t>
            </w:r>
            <w:r>
              <w:rPr>
                <w:rFonts w:hint="eastAsia"/>
              </w:rPr>
              <w:t>，</w:t>
            </w:r>
            <w:r>
              <w:t>按照综合得分由高到低的原则确定</w:t>
            </w:r>
            <w:r>
              <w:rPr>
                <w:rFonts w:hint="eastAsia"/>
              </w:rPr>
              <w:t>1个成交供应商</w:t>
            </w:r>
          </w:p>
        </w:tc>
      </w:tr>
      <w:tr w14:paraId="3F057C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786" w:type="dxa"/>
            <w:vAlign w:val="center"/>
          </w:tcPr>
          <w:p w14:paraId="750B97E3">
            <w:pPr>
              <w:pStyle w:val="36"/>
              <w:jc w:val="center"/>
            </w:pPr>
            <w:r>
              <w:rPr>
                <w:rFonts w:hint="eastAsia"/>
              </w:rPr>
              <w:t>23</w:t>
            </w:r>
          </w:p>
        </w:tc>
        <w:tc>
          <w:tcPr>
            <w:tcW w:w="1660" w:type="dxa"/>
            <w:vAlign w:val="center"/>
          </w:tcPr>
          <w:p w14:paraId="044A7856">
            <w:pPr>
              <w:pStyle w:val="36"/>
            </w:pPr>
            <w:r>
              <w:rPr>
                <w:rFonts w:hint="eastAsia"/>
              </w:rPr>
              <w:t>成交结果公告</w:t>
            </w:r>
          </w:p>
        </w:tc>
        <w:tc>
          <w:tcPr>
            <w:tcW w:w="6532" w:type="dxa"/>
            <w:vAlign w:val="center"/>
          </w:tcPr>
          <w:p w14:paraId="6DDDE53A">
            <w:pPr>
              <w:pStyle w:val="36"/>
            </w:pPr>
            <w:r>
              <w:t>在浙江政府采购网公告</w:t>
            </w:r>
            <w:r>
              <w:rPr>
                <w:rFonts w:hint="eastAsia"/>
              </w:rPr>
              <w:t>，</w:t>
            </w:r>
            <w:r>
              <w:t>公告期限为</w:t>
            </w:r>
            <w:r>
              <w:rPr>
                <w:rFonts w:hint="eastAsia"/>
              </w:rPr>
              <w:t>1个工作日</w:t>
            </w:r>
          </w:p>
        </w:tc>
      </w:tr>
      <w:tr w14:paraId="373B35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6" w:type="dxa"/>
            <w:vAlign w:val="center"/>
          </w:tcPr>
          <w:p w14:paraId="6AE6709F">
            <w:pPr>
              <w:pStyle w:val="36"/>
              <w:jc w:val="center"/>
            </w:pPr>
            <w:r>
              <w:rPr>
                <w:rFonts w:hint="eastAsia"/>
              </w:rPr>
              <w:t>24</w:t>
            </w:r>
          </w:p>
        </w:tc>
        <w:tc>
          <w:tcPr>
            <w:tcW w:w="1660" w:type="dxa"/>
            <w:vAlign w:val="center"/>
          </w:tcPr>
          <w:p w14:paraId="25401EE6">
            <w:pPr>
              <w:pStyle w:val="36"/>
            </w:pPr>
            <w:r>
              <w:rPr>
                <w:rFonts w:hint="eastAsia"/>
              </w:rPr>
              <w:t>履约保证金</w:t>
            </w:r>
          </w:p>
        </w:tc>
        <w:tc>
          <w:tcPr>
            <w:tcW w:w="6532" w:type="dxa"/>
            <w:vAlign w:val="center"/>
          </w:tcPr>
          <w:p w14:paraId="74C7140F">
            <w:pPr>
              <w:pStyle w:val="36"/>
            </w:pPr>
            <w:r>
              <w:rPr>
                <w:rFonts w:hint="eastAsia"/>
                <w:color w:val="000000" w:themeColor="text1"/>
                <w:lang w:val="en-US"/>
                <w14:textFill>
                  <w14:solidFill>
                    <w14:schemeClr w14:val="tx1"/>
                  </w14:solidFill>
                </w14:textFill>
              </w:rPr>
              <w:t>本项目无履约保证金</w:t>
            </w:r>
            <w:r>
              <w:rPr>
                <w:rFonts w:hint="eastAsia"/>
                <w:lang w:val="en-US"/>
              </w:rPr>
              <w:t>。</w:t>
            </w:r>
          </w:p>
        </w:tc>
      </w:tr>
      <w:tr w14:paraId="3A4B1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786" w:type="dxa"/>
            <w:vAlign w:val="center"/>
          </w:tcPr>
          <w:p w14:paraId="57FB2927">
            <w:pPr>
              <w:pStyle w:val="36"/>
              <w:jc w:val="center"/>
            </w:pPr>
            <w:r>
              <w:rPr>
                <w:rFonts w:hint="eastAsia"/>
              </w:rPr>
              <w:t>25</w:t>
            </w:r>
          </w:p>
        </w:tc>
        <w:tc>
          <w:tcPr>
            <w:tcW w:w="1660" w:type="dxa"/>
            <w:vAlign w:val="center"/>
          </w:tcPr>
          <w:p w14:paraId="2D31E336">
            <w:pPr>
              <w:pStyle w:val="36"/>
            </w:pPr>
            <w:r>
              <w:t>签订合同时间</w:t>
            </w:r>
          </w:p>
        </w:tc>
        <w:tc>
          <w:tcPr>
            <w:tcW w:w="6532" w:type="dxa"/>
            <w:vAlign w:val="center"/>
          </w:tcPr>
          <w:p w14:paraId="48805674">
            <w:pPr>
              <w:pStyle w:val="36"/>
            </w:pPr>
            <w:r>
              <w:t>成交通知书发出之日起</w:t>
            </w:r>
            <w:r>
              <w:rPr>
                <w:rFonts w:hint="eastAsia"/>
              </w:rPr>
              <w:t>3</w:t>
            </w:r>
            <w:r>
              <w:rPr>
                <w:rFonts w:hint="eastAsia"/>
                <w:lang w:val="en-US"/>
              </w:rPr>
              <w:t>0日</w:t>
            </w:r>
            <w:r>
              <w:rPr>
                <w:rFonts w:hint="eastAsia"/>
              </w:rPr>
              <w:t>内签订政府采购合同</w:t>
            </w:r>
          </w:p>
        </w:tc>
      </w:tr>
      <w:tr w14:paraId="4F3E1A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786" w:type="dxa"/>
            <w:vAlign w:val="center"/>
          </w:tcPr>
          <w:p w14:paraId="6578CCFA">
            <w:pPr>
              <w:pStyle w:val="36"/>
              <w:jc w:val="center"/>
            </w:pPr>
            <w:r>
              <w:rPr>
                <w:rFonts w:hint="eastAsia"/>
              </w:rPr>
              <w:t>26</w:t>
            </w:r>
          </w:p>
        </w:tc>
        <w:tc>
          <w:tcPr>
            <w:tcW w:w="1660" w:type="dxa"/>
            <w:vAlign w:val="center"/>
          </w:tcPr>
          <w:p w14:paraId="027E282A">
            <w:pPr>
              <w:pStyle w:val="36"/>
            </w:pPr>
            <w:r>
              <w:rPr>
                <w:rFonts w:hint="eastAsia"/>
              </w:rPr>
              <w:t>公告发布媒体</w:t>
            </w:r>
          </w:p>
        </w:tc>
        <w:tc>
          <w:tcPr>
            <w:tcW w:w="6532" w:type="dxa"/>
            <w:vAlign w:val="center"/>
          </w:tcPr>
          <w:p w14:paraId="71C23BBE">
            <w:pPr>
              <w:pStyle w:val="36"/>
            </w:pPr>
            <w:r>
              <w:rPr>
                <w:rFonts w:hint="eastAsia"/>
              </w:rPr>
              <w:t>浙江政府采购网</w:t>
            </w:r>
            <w:r>
              <w:t>（http</w:t>
            </w:r>
            <w:r>
              <w:rPr>
                <w:rFonts w:hint="eastAsia"/>
              </w:rPr>
              <w:t>：</w:t>
            </w:r>
            <w:r>
              <w:t>//zfcg.czt.zj.gov.cn）</w:t>
            </w:r>
          </w:p>
        </w:tc>
      </w:tr>
      <w:tr w14:paraId="322761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26" w:hRule="atLeast"/>
          <w:jc w:val="center"/>
        </w:trPr>
        <w:tc>
          <w:tcPr>
            <w:tcW w:w="786" w:type="dxa"/>
            <w:vAlign w:val="center"/>
          </w:tcPr>
          <w:p w14:paraId="4DE9F5AC">
            <w:pPr>
              <w:pStyle w:val="36"/>
              <w:jc w:val="center"/>
            </w:pPr>
            <w:r>
              <w:rPr>
                <w:rFonts w:hint="eastAsia"/>
              </w:rPr>
              <w:t>27</w:t>
            </w:r>
          </w:p>
        </w:tc>
        <w:tc>
          <w:tcPr>
            <w:tcW w:w="1660" w:type="dxa"/>
            <w:vAlign w:val="center"/>
          </w:tcPr>
          <w:p w14:paraId="7392B8A0">
            <w:pPr>
              <w:pStyle w:val="36"/>
            </w:pPr>
            <w:r>
              <w:rPr>
                <w:rFonts w:hint="eastAsia"/>
              </w:rPr>
              <w:t>其他补充事宜</w:t>
            </w:r>
          </w:p>
        </w:tc>
        <w:tc>
          <w:tcPr>
            <w:tcW w:w="6532" w:type="dxa"/>
            <w:vAlign w:val="center"/>
          </w:tcPr>
          <w:p w14:paraId="5D0A7813">
            <w:pPr>
              <w:pStyle w:val="36"/>
            </w:pPr>
            <w:r>
              <w:t>1.响应文件解密时供应商须打开</w:t>
            </w:r>
            <w:r>
              <w:rPr>
                <w:rFonts w:hint="eastAsia"/>
              </w:rPr>
              <w:t>“</w:t>
            </w:r>
            <w:r>
              <w:t>政采云电子投标客户端</w:t>
            </w:r>
            <w:r>
              <w:rPr>
                <w:rFonts w:hint="eastAsia"/>
              </w:rPr>
              <w:t>”</w:t>
            </w:r>
            <w:r>
              <w:t>进行解密，使用解密的CA和加密的CA必须是同一把，在开始解密后30分钟内完成响应文件解密。若因供应商自身原因造成响应文件无法解密读取的，取消磋商资格。</w:t>
            </w:r>
          </w:p>
          <w:p w14:paraId="41B59968">
            <w:pPr>
              <w:pStyle w:val="36"/>
            </w:pPr>
            <w:r>
              <w:t>2.CA证书办理：CA驱动和申领流程，登录浙江政府采购网-下载专区-政采云电子交易客户端版块（网址：http</w:t>
            </w:r>
            <w:r>
              <w:rPr>
                <w:rFonts w:hint="eastAsia"/>
              </w:rPr>
              <w:t>：</w:t>
            </w:r>
            <w:r>
              <w:t>//zfcg.czt.zj.gov.cn/bidClientTemplate/2019-05-27/12945.html）。潜在供应商应在响应文件提交截止前完成CA数字证书办理，完成CA证书办理预计7天左右，建议潜在供应商抓紧时间办理。因未注册入库、未办理CA数字证书等原因造成无法参加本次采购活动或投标失败等后果由潜在供应商自行承担。</w:t>
            </w:r>
          </w:p>
          <w:p w14:paraId="492E1C62">
            <w:pPr>
              <w:pStyle w:val="36"/>
            </w:pPr>
            <w:r>
              <w:t>3.本项目采购活动全流程实行电子化，在使用系统进行投标的过程中遇到涉及平台使用的任何问题，致电政采云平台技术支持咨询（电话4008817190）。</w:t>
            </w:r>
          </w:p>
        </w:tc>
      </w:tr>
      <w:tr w14:paraId="4AC952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86" w:type="dxa"/>
            <w:vAlign w:val="center"/>
          </w:tcPr>
          <w:p w14:paraId="7D24480C">
            <w:pPr>
              <w:pStyle w:val="36"/>
              <w:jc w:val="center"/>
            </w:pPr>
            <w:r>
              <w:rPr>
                <w:rFonts w:hint="eastAsia"/>
              </w:rPr>
              <w:t>28</w:t>
            </w:r>
          </w:p>
        </w:tc>
        <w:tc>
          <w:tcPr>
            <w:tcW w:w="1660" w:type="dxa"/>
            <w:vAlign w:val="center"/>
          </w:tcPr>
          <w:p w14:paraId="164E607D">
            <w:pPr>
              <w:pStyle w:val="36"/>
            </w:pPr>
            <w:r>
              <w:rPr>
                <w:rFonts w:hint="eastAsia"/>
              </w:rPr>
              <w:t>解释权</w:t>
            </w:r>
          </w:p>
        </w:tc>
        <w:tc>
          <w:tcPr>
            <w:tcW w:w="6532" w:type="dxa"/>
            <w:vAlign w:val="center"/>
          </w:tcPr>
          <w:p w14:paraId="39BB53FB">
            <w:pPr>
              <w:pStyle w:val="36"/>
            </w:pPr>
            <w:r>
              <w:rPr>
                <w:rFonts w:hint="eastAsia"/>
              </w:rPr>
              <w:t>本招标文件的解释权属于采购人</w:t>
            </w:r>
          </w:p>
        </w:tc>
      </w:tr>
    </w:tbl>
    <w:p w14:paraId="4E1E5019">
      <w:pPr>
        <w:ind w:firstLine="480"/>
      </w:pPr>
    </w:p>
    <w:p w14:paraId="22C8CF90">
      <w:pPr>
        <w:ind w:firstLine="480"/>
      </w:pPr>
      <w:r>
        <w:br w:type="page"/>
      </w:r>
    </w:p>
    <w:p w14:paraId="6B95BBE1">
      <w:pPr>
        <w:pStyle w:val="3"/>
      </w:pPr>
      <w:bookmarkStart w:id="91" w:name="_Toc18142"/>
      <w:bookmarkStart w:id="92" w:name="_Toc28771"/>
      <w:bookmarkStart w:id="93" w:name="_Toc1148"/>
      <w:bookmarkStart w:id="94" w:name="_Toc18568"/>
      <w:bookmarkStart w:id="95" w:name="_Toc2761"/>
      <w:bookmarkStart w:id="96" w:name="_Toc3667"/>
      <w:bookmarkStart w:id="97" w:name="_Toc20580"/>
      <w:bookmarkStart w:id="98" w:name="_Toc29815"/>
      <w:r>
        <w:rPr>
          <w:rFonts w:hint="eastAsia"/>
        </w:rPr>
        <w:t>第三</w:t>
      </w:r>
      <w:r>
        <w:t xml:space="preserve">章 </w:t>
      </w:r>
      <w:r>
        <w:rPr>
          <w:rFonts w:hint="eastAsia"/>
        </w:rPr>
        <w:t xml:space="preserve"> 投标人须知</w:t>
      </w:r>
      <w:bookmarkEnd w:id="91"/>
      <w:bookmarkEnd w:id="92"/>
      <w:bookmarkEnd w:id="93"/>
      <w:bookmarkEnd w:id="94"/>
      <w:bookmarkEnd w:id="95"/>
      <w:bookmarkEnd w:id="96"/>
      <w:bookmarkEnd w:id="97"/>
      <w:bookmarkEnd w:id="98"/>
    </w:p>
    <w:p w14:paraId="07FDE2C7">
      <w:pPr>
        <w:pStyle w:val="2"/>
      </w:pPr>
      <w:bookmarkStart w:id="99" w:name="_Toc11674"/>
      <w:bookmarkStart w:id="100" w:name="_Toc19715"/>
      <w:bookmarkStart w:id="101" w:name="_Toc25730"/>
      <w:bookmarkStart w:id="102" w:name="_Toc24478"/>
      <w:bookmarkStart w:id="103" w:name="_Toc7852"/>
      <w:bookmarkStart w:id="104" w:name="_Toc16257"/>
      <w:bookmarkStart w:id="105" w:name="_Toc15985"/>
      <w:bookmarkStart w:id="106" w:name="_Toc25996"/>
      <w:bookmarkStart w:id="107" w:name="_Toc15313"/>
      <w:bookmarkStart w:id="108" w:name="_Toc15292"/>
      <w:bookmarkStart w:id="109" w:name="_Toc18083"/>
      <w:bookmarkStart w:id="110" w:name="_Toc22382"/>
      <w:bookmarkStart w:id="111" w:name="_Toc24419"/>
      <w:bookmarkStart w:id="112" w:name="_Toc2431"/>
      <w:bookmarkStart w:id="113" w:name="_Toc22312"/>
      <w:bookmarkStart w:id="114" w:name="_Toc391298955"/>
      <w:bookmarkStart w:id="115" w:name="_Toc13238"/>
      <w:bookmarkStart w:id="116" w:name="_Toc17098"/>
      <w:bookmarkStart w:id="117" w:name="_Toc30649"/>
      <w:bookmarkStart w:id="118" w:name="_Toc7425"/>
      <w:bookmarkStart w:id="119" w:name="_Toc31559"/>
      <w:bookmarkStart w:id="120" w:name="_Toc22729"/>
      <w:bookmarkStart w:id="121" w:name="_Toc11310"/>
      <w:bookmarkStart w:id="122" w:name="_Toc14696"/>
      <w:bookmarkStart w:id="123" w:name="_Toc3699"/>
      <w:bookmarkStart w:id="124" w:name="_Toc22898"/>
      <w:bookmarkStart w:id="125" w:name="_Toc4981"/>
      <w:bookmarkStart w:id="126" w:name="_Toc17243"/>
      <w:bookmarkStart w:id="127" w:name="_Toc4681"/>
      <w:bookmarkStart w:id="128" w:name="_Toc17365"/>
      <w:r>
        <w:rPr>
          <w:rFonts w:hint="eastAsia"/>
        </w:rPr>
        <w:t>一、</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rPr>
        <w:t>总则</w:t>
      </w:r>
      <w:bookmarkEnd w:id="121"/>
      <w:bookmarkEnd w:id="122"/>
      <w:bookmarkEnd w:id="123"/>
      <w:bookmarkEnd w:id="124"/>
      <w:bookmarkEnd w:id="125"/>
      <w:bookmarkEnd w:id="126"/>
      <w:bookmarkEnd w:id="127"/>
      <w:bookmarkEnd w:id="128"/>
    </w:p>
    <w:p w14:paraId="551F837A">
      <w:pPr>
        <w:ind w:firstLine="480"/>
      </w:pPr>
      <w:r>
        <w:rPr>
          <w:rFonts w:hint="eastAsia"/>
        </w:rPr>
        <w:t>1.编制依据</w:t>
      </w:r>
    </w:p>
    <w:p w14:paraId="789D31A7">
      <w:pPr>
        <w:ind w:firstLine="480"/>
      </w:pPr>
      <w:r>
        <w:rPr>
          <w:rFonts w:hint="eastAsia"/>
        </w:rPr>
        <w:t>根据《中华人民共和国政府采购法》《中华人民共和国政府采购法实施条例》《政府采购货物和服务招标投标管理办法》（财政部令第87号）等有关政府采购管理的规定，编制本招标文件。</w:t>
      </w:r>
    </w:p>
    <w:p w14:paraId="37FAE6C3">
      <w:pPr>
        <w:ind w:firstLine="480"/>
      </w:pPr>
      <w:r>
        <w:rPr>
          <w:rFonts w:hint="eastAsia"/>
        </w:rPr>
        <w:t>2.定义</w:t>
      </w:r>
    </w:p>
    <w:p w14:paraId="09B23B6E">
      <w:pPr>
        <w:ind w:firstLine="480"/>
        <w:rPr>
          <w:lang w:val="zh-CN"/>
        </w:rPr>
      </w:pPr>
      <w:r>
        <w:rPr>
          <w:rFonts w:hint="eastAsia"/>
        </w:rPr>
        <w:t>2.1“</w:t>
      </w:r>
      <w:r>
        <w:rPr>
          <w:rFonts w:hint="eastAsia"/>
          <w:lang w:val="zh-CN"/>
        </w:rPr>
        <w:t>采购人”系指“</w:t>
      </w:r>
      <w:r>
        <w:rPr>
          <w:rFonts w:hint="eastAsia"/>
        </w:rPr>
        <w:t>丽水经济技术开发区生态林业发展中心</w:t>
      </w:r>
      <w:r>
        <w:rPr>
          <w:rFonts w:hint="eastAsia"/>
          <w:lang w:val="zh-CN"/>
        </w:rPr>
        <w:t>”。</w:t>
      </w:r>
    </w:p>
    <w:p w14:paraId="0ED07D4D">
      <w:pPr>
        <w:ind w:firstLine="480"/>
      </w:pPr>
      <w:r>
        <w:rPr>
          <w:rFonts w:hint="eastAsia"/>
        </w:rPr>
        <w:t>2.2“</w:t>
      </w:r>
      <w:r>
        <w:rPr>
          <w:rFonts w:hint="eastAsia"/>
          <w:lang w:val="zh-CN"/>
        </w:rPr>
        <w:t>投标人</w:t>
      </w:r>
      <w:r>
        <w:rPr>
          <w:rFonts w:hint="eastAsia"/>
        </w:rPr>
        <w:t>”系指向</w:t>
      </w:r>
      <w:r>
        <w:rPr>
          <w:rFonts w:hint="eastAsia"/>
          <w:lang w:val="zh-CN"/>
        </w:rPr>
        <w:t>采购人</w:t>
      </w:r>
      <w:r>
        <w:rPr>
          <w:rFonts w:hint="eastAsia"/>
        </w:rPr>
        <w:t>提交</w:t>
      </w:r>
      <w:r>
        <w:rPr>
          <w:rFonts w:hint="eastAsia"/>
          <w:lang w:val="zh-CN"/>
        </w:rPr>
        <w:t>磋商响应</w:t>
      </w:r>
      <w:r>
        <w:rPr>
          <w:rFonts w:hint="eastAsia"/>
        </w:rPr>
        <w:t>文件的供应商。</w:t>
      </w:r>
    </w:p>
    <w:p w14:paraId="4619E762">
      <w:pPr>
        <w:ind w:firstLine="480"/>
      </w:pPr>
      <w:r>
        <w:rPr>
          <w:rFonts w:hint="eastAsia"/>
        </w:rPr>
        <w:t>2.3</w:t>
      </w:r>
      <w:r>
        <w:rPr>
          <w:rFonts w:hint="eastAsia"/>
          <w:lang w:val="zh-CN"/>
        </w:rPr>
        <w:t>“采购代理机构”系指“</w:t>
      </w:r>
      <w:r>
        <w:rPr>
          <w:rFonts w:hint="eastAsia"/>
        </w:rPr>
        <w:t>浙江盛康工程管理有限公司</w:t>
      </w:r>
      <w:r>
        <w:rPr>
          <w:rFonts w:hint="eastAsia"/>
          <w:lang w:val="zh-CN"/>
        </w:rPr>
        <w:t>”。</w:t>
      </w:r>
    </w:p>
    <w:p w14:paraId="5CCB6FF1">
      <w:pPr>
        <w:ind w:firstLine="480"/>
        <w:rPr>
          <w:lang w:val="zh-CN"/>
        </w:rPr>
      </w:pPr>
      <w:r>
        <w:rPr>
          <w:rFonts w:hint="eastAsia"/>
        </w:rPr>
        <w:t>2.4</w:t>
      </w:r>
      <w:r>
        <w:rPr>
          <w:rFonts w:hint="eastAsia"/>
          <w:lang w:val="zh-CN"/>
        </w:rPr>
        <w:t>“服务”系指按本磋商响应文件规定，成交供应商须承担的</w:t>
      </w:r>
      <w:r>
        <w:rPr>
          <w:rFonts w:hint="eastAsia"/>
        </w:rPr>
        <w:t>大梁山森林防火提升规划及乡村振兴森林康养项目概念设计项目</w:t>
      </w:r>
      <w:r>
        <w:rPr>
          <w:rFonts w:hint="eastAsia"/>
          <w:lang w:val="zh-CN"/>
        </w:rPr>
        <w:t>工作。</w:t>
      </w:r>
    </w:p>
    <w:p w14:paraId="4810CF44">
      <w:pPr>
        <w:ind w:firstLine="480"/>
      </w:pPr>
      <w:r>
        <w:rPr>
          <w:rFonts w:hint="eastAsia"/>
          <w:lang w:val="zh-CN"/>
        </w:rPr>
        <w:t>“</w:t>
      </w:r>
      <w:r>
        <w:rPr>
          <w:rFonts w:hint="eastAsia"/>
        </w:rPr>
        <w:t>▲</w:t>
      </w:r>
      <w:r>
        <w:rPr>
          <w:rFonts w:hint="eastAsia"/>
          <w:lang w:val="zh-CN"/>
        </w:rPr>
        <w:t>”系指按本磋商响应文件要求投标人必须实质性响应的条款，有任何一项缺失或非实质性响应即刻取消其磋商资格。</w:t>
      </w:r>
      <w:r>
        <w:rPr>
          <w:rFonts w:hint="eastAsia"/>
        </w:rPr>
        <w:t>供应商自行承担其参加磋商所涉及的一切费用。</w:t>
      </w:r>
    </w:p>
    <w:p w14:paraId="0CDA5AB3">
      <w:pPr>
        <w:ind w:firstLine="480"/>
      </w:pPr>
      <w:r>
        <w:t>3.采购方式</w:t>
      </w:r>
    </w:p>
    <w:p w14:paraId="0A91EEEA">
      <w:pPr>
        <w:ind w:firstLine="480"/>
      </w:pPr>
      <w:r>
        <w:t>3.1采购组织形式分散采购委托代理。</w:t>
      </w:r>
    </w:p>
    <w:p w14:paraId="31181989">
      <w:pPr>
        <w:ind w:firstLine="480"/>
      </w:pPr>
      <w:r>
        <w:t>3.2采取竞争性磋商。</w:t>
      </w:r>
    </w:p>
    <w:p w14:paraId="3F930FD3">
      <w:pPr>
        <w:ind w:firstLine="480"/>
      </w:pPr>
      <w:r>
        <w:t>4.▲合格的供应商</w:t>
      </w:r>
    </w:p>
    <w:p w14:paraId="21A29330">
      <w:pPr>
        <w:ind w:firstLine="480"/>
      </w:pPr>
      <w:r>
        <w:t>合格的供应商应具备以下条件：</w:t>
      </w:r>
    </w:p>
    <w:p w14:paraId="473BBEF5">
      <w:pPr>
        <w:ind w:firstLine="480"/>
      </w:pPr>
      <w:r>
        <w:t>4.1具备法律法规和本采购文件规定的资格条件；</w:t>
      </w:r>
    </w:p>
    <w:p w14:paraId="420B3C60">
      <w:pPr>
        <w:ind w:firstLine="480"/>
      </w:pPr>
      <w:r>
        <w:t>4.</w:t>
      </w:r>
      <w:r>
        <w:rPr>
          <w:rFonts w:hint="eastAsia"/>
        </w:rPr>
        <w:t>2</w:t>
      </w:r>
      <w:r>
        <w:t>不属于限制参加本项目采购活动的投标人；</w:t>
      </w:r>
    </w:p>
    <w:p w14:paraId="1EB92104">
      <w:pPr>
        <w:ind w:firstLine="480"/>
      </w:pPr>
      <w:r>
        <w:rPr>
          <w:rFonts w:hint="eastAsia"/>
        </w:rPr>
        <w:t>4.3</w:t>
      </w:r>
      <w:r>
        <w:t>按照规定获取了磋商文件，属于实质性参加政府采购活动的供应商。</w:t>
      </w:r>
    </w:p>
    <w:p w14:paraId="3A1FF9DF">
      <w:pPr>
        <w:ind w:firstLine="480"/>
      </w:pPr>
      <w:r>
        <w:t>5.回避制度</w:t>
      </w:r>
    </w:p>
    <w:p w14:paraId="4F70497C">
      <w:pPr>
        <w:ind w:firstLine="480"/>
      </w:pPr>
      <w:r>
        <w:t>5.1单位负责人为同一人或者存在直接控股、管理关系的不同供应商，不得参加同一合同项下的政府采购活动。</w:t>
      </w:r>
    </w:p>
    <w:p w14:paraId="2FCA7C2C">
      <w:pPr>
        <w:ind w:firstLine="480"/>
      </w:pPr>
      <w:r>
        <w:t>5.2政府采购活动中，采购人员及相关人员与供应商有下列利害关系之一的，应当回避：</w:t>
      </w:r>
    </w:p>
    <w:p w14:paraId="021DB8B7">
      <w:pPr>
        <w:ind w:firstLine="480"/>
      </w:pPr>
      <w:r>
        <w:t>5.2.1参加采购活动前3年内与供应商存在劳动关系；</w:t>
      </w:r>
    </w:p>
    <w:p w14:paraId="09AD735D">
      <w:pPr>
        <w:ind w:firstLine="480"/>
      </w:pPr>
      <w:r>
        <w:t>5.2.2参加采购活动前3年内担任供应商的董事、监事；</w:t>
      </w:r>
    </w:p>
    <w:p w14:paraId="37091405">
      <w:pPr>
        <w:ind w:firstLine="480"/>
      </w:pPr>
      <w:r>
        <w:t>5.2.3参加采购活动前3年内是供应商的控股股东或者实际控制人；</w:t>
      </w:r>
    </w:p>
    <w:p w14:paraId="5FAF4B3A">
      <w:pPr>
        <w:ind w:firstLine="480"/>
      </w:pPr>
      <w:r>
        <w:t>5.2.4与供应商的法定代表人或者负责人有夫妻、直系血亲、三代以内旁系血亲或者近姻亲关系；</w:t>
      </w:r>
    </w:p>
    <w:p w14:paraId="6E8955D1">
      <w:pPr>
        <w:ind w:firstLine="480"/>
      </w:pPr>
      <w:r>
        <w:t>5.2.5存在共同直接或间接投资设立子公司、联营企业和合营企业情况；</w:t>
      </w:r>
    </w:p>
    <w:p w14:paraId="3A86DD7C">
      <w:pPr>
        <w:ind w:firstLine="480"/>
      </w:pPr>
      <w:r>
        <w:t>5.2.6与供应商有其他可能影响政府采购活动公平、公正进行的关系。</w:t>
      </w:r>
    </w:p>
    <w:p w14:paraId="6548E939">
      <w:pPr>
        <w:ind w:firstLine="480"/>
      </w:pPr>
      <w:r>
        <w:t>5.3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rPr>
        <w:t>磋商小组</w:t>
      </w:r>
      <w:r>
        <w:t>成员。</w:t>
      </w:r>
    </w:p>
    <w:p w14:paraId="1F090FE4">
      <w:pPr>
        <w:ind w:firstLine="480"/>
      </w:pPr>
      <w:r>
        <w:t>5.4供应商认为采购人员及相关人员与其他供应商有利害关系的，可以向采购代理机构书面提出回避申请，并说明理由。采购代理机构将及时询问被申请回避人员，有利害关系的被申请回避人员应当回避。</w:t>
      </w:r>
    </w:p>
    <w:p w14:paraId="65472045">
      <w:pPr>
        <w:ind w:firstLine="480"/>
      </w:pPr>
      <w:r>
        <w:t>5.5为证明供应商拥有的业绩、荣誉、知识产权、项目案例等而在响应文件中提供的证明材料必须为供应商自身所有。不同法人、其他组织的资料与供应商无关。</w:t>
      </w:r>
    </w:p>
    <w:p w14:paraId="2A42AA30">
      <w:pPr>
        <w:ind w:firstLine="480"/>
      </w:pPr>
      <w:r>
        <w:t>6.资格审查</w:t>
      </w:r>
    </w:p>
    <w:p w14:paraId="53F40318">
      <w:pPr>
        <w:ind w:firstLine="480"/>
      </w:pPr>
      <w:r>
        <w:t>本次采取资格</w:t>
      </w:r>
      <w:r>
        <w:rPr>
          <w:rFonts w:hint="eastAsia"/>
        </w:rPr>
        <w:t>预</w:t>
      </w:r>
      <w:r>
        <w:t>审，代理机构不保证所有报名或依法获取磋商文件并报名的供应商都符合合格供应商资格要求。</w:t>
      </w:r>
    </w:p>
    <w:p w14:paraId="37DAB32F">
      <w:pPr>
        <w:ind w:firstLine="480"/>
      </w:pPr>
      <w:r>
        <w:t>7.语言文字</w:t>
      </w:r>
    </w:p>
    <w:p w14:paraId="50567E79">
      <w:pPr>
        <w:ind w:firstLine="480"/>
      </w:pPr>
      <w:r>
        <w:t>7.1响应文件以及供应商与采购人就有关磋商事宜的所有来往函电，均应以中文汉语书写。除签名、盖章、专用名称等特殊情形外，以中文汉语以外的文字表述的响应文件视同未提供。</w:t>
      </w:r>
    </w:p>
    <w:p w14:paraId="00FFBFF7">
      <w:pPr>
        <w:ind w:firstLine="480"/>
      </w:pPr>
      <w:r>
        <w:t>7.2外文专用术语应附有中文注释。招响应文件及相关往来文件中有外文资料的（如质疑函、进口产品厂商授权书等），资料提供方应当将其翻译为中文，注明翻译人员姓名、工作单位、联系方式等信息，并对译文的完整性、客观性、真实性负责。</w:t>
      </w:r>
    </w:p>
    <w:p w14:paraId="1D2F2380">
      <w:pPr>
        <w:ind w:firstLine="480"/>
      </w:pPr>
      <w:r>
        <w:t>8.计量单位</w:t>
      </w:r>
    </w:p>
    <w:p w14:paraId="0B487EF7">
      <w:pPr>
        <w:ind w:firstLine="480"/>
      </w:pPr>
      <w:r>
        <w:t>除磋商文件中另有规定外，计量均应采用中华人民共和国法定计量单位；所有报价一律使用人民币，货币单位为</w:t>
      </w:r>
      <w:r>
        <w:rPr>
          <w:rFonts w:hint="eastAsia"/>
        </w:rPr>
        <w:t>“</w:t>
      </w:r>
      <w:r>
        <w:t>元</w:t>
      </w:r>
      <w:r>
        <w:rPr>
          <w:rFonts w:hint="eastAsia"/>
        </w:rPr>
        <w:t>”</w:t>
      </w:r>
      <w:r>
        <w:t>。</w:t>
      </w:r>
    </w:p>
    <w:p w14:paraId="13467DD0">
      <w:pPr>
        <w:ind w:firstLine="480"/>
      </w:pPr>
      <w:r>
        <w:t>9.保密</w:t>
      </w:r>
    </w:p>
    <w:p w14:paraId="6FD50936">
      <w:pPr>
        <w:ind w:firstLine="480"/>
      </w:pPr>
      <w:r>
        <w:t>参与磋商活动的当事人应对磋商文件和响应文件中的商业和技术等秘密保密，违者应对由此造成的后果承担法律责任。</w:t>
      </w:r>
    </w:p>
    <w:p w14:paraId="6492744C">
      <w:pPr>
        <w:ind w:firstLine="480"/>
      </w:pPr>
      <w:r>
        <w:t>10.磋商费用</w:t>
      </w:r>
    </w:p>
    <w:p w14:paraId="796F677B">
      <w:pPr>
        <w:ind w:firstLine="480"/>
      </w:pPr>
      <w:r>
        <w:t>不论磋商的结果如何，供应商均自行承担所有与参加本次磋商有关的费用。</w:t>
      </w:r>
    </w:p>
    <w:p w14:paraId="0A4213DD">
      <w:pPr>
        <w:ind w:firstLine="480"/>
        <w:sectPr>
          <w:footerReference r:id="rId13" w:type="first"/>
          <w:footerReference r:id="rId12" w:type="default"/>
          <w:pgSz w:w="11906" w:h="16838"/>
          <w:pgMar w:top="1327" w:right="1463" w:bottom="1383" w:left="1463" w:header="1020" w:footer="992" w:gutter="0"/>
          <w:pgNumType w:start="1"/>
          <w:cols w:space="425" w:num="1"/>
          <w:titlePg/>
          <w:docGrid w:type="lines" w:linePitch="326" w:charSpace="0"/>
        </w:sectPr>
      </w:pPr>
    </w:p>
    <w:p w14:paraId="677CDEC2">
      <w:pPr>
        <w:ind w:firstLine="480"/>
      </w:pPr>
      <w:r>
        <w:t>11.磋商有效期</w:t>
      </w:r>
    </w:p>
    <w:p w14:paraId="2C054243">
      <w:pPr>
        <w:ind w:firstLine="480"/>
      </w:pPr>
      <w:r>
        <w:t>11.1在供应商须知前附表规定的磋商有效期内，响应文件以及其补充、承诺等部分均保持有效。</w:t>
      </w:r>
    </w:p>
    <w:p w14:paraId="28CD5038">
      <w:pPr>
        <w:ind w:firstLine="480"/>
      </w:pPr>
      <w:r>
        <w:t>11.2在磋商文件规定的响应文件有效期满之前，如果出现特殊情况，采购人或者采购代理机构可在磋商有效期内要求供应商延长有效期，要求与答复均以书面通知为准并作为磋商文件和响应文件的组成部分。</w:t>
      </w:r>
    </w:p>
    <w:p w14:paraId="2F8AB5FD">
      <w:pPr>
        <w:ind w:firstLine="480"/>
      </w:pPr>
      <w:r>
        <w:t>12.分包与转包</w:t>
      </w:r>
    </w:p>
    <w:p w14:paraId="6E5227BC">
      <w:pPr>
        <w:ind w:firstLine="480"/>
      </w:pPr>
      <w:r>
        <w:t>本项目不允许分包和转包。</w:t>
      </w:r>
    </w:p>
    <w:p w14:paraId="7DD7B33C">
      <w:pPr>
        <w:ind w:firstLine="480"/>
      </w:pPr>
      <w:r>
        <w:t>13.现场勘察</w:t>
      </w:r>
    </w:p>
    <w:p w14:paraId="0C983EB9">
      <w:pPr>
        <w:ind w:firstLine="480"/>
      </w:pPr>
      <w:r>
        <w:t>供应商自行现场勘察以获取有关编制响应文件和签署合同所涉及现场的资料，但需经采购人允许方可为勘察目的进入采购人的项目现场。不得因现场勘察而使采购人承担有关的责任和蒙受损失，供应商应承担现场勘察的责任和风险以及承担现场勘察所发生的费用。</w:t>
      </w:r>
    </w:p>
    <w:p w14:paraId="02EFFBF5">
      <w:pPr>
        <w:ind w:firstLine="480"/>
      </w:pPr>
      <w:r>
        <w:t>14.知识产权</w:t>
      </w:r>
    </w:p>
    <w:p w14:paraId="4D894125">
      <w:pPr>
        <w:ind w:firstLine="480"/>
      </w:pPr>
      <w:r>
        <w:t>14.1供应商应保证在本项目中使用的任何产品和服务（包括部分使用），不会产生因第双方提出侵犯其专利权、商标权或其它知识产权而引起的法律和经济纠纷，如因专利权、商标权或其它知识产权而引起法律和经济纠纷，由供应商承担所有相关责任。</w:t>
      </w:r>
    </w:p>
    <w:p w14:paraId="79233099">
      <w:pPr>
        <w:ind w:firstLine="480"/>
      </w:pPr>
      <w:r>
        <w:t>14.2除非磋商文件特别规定，采购人享有本项目实施过程中产生的知识成果及知识产权。</w:t>
      </w:r>
    </w:p>
    <w:p w14:paraId="26978AD5">
      <w:pPr>
        <w:ind w:firstLine="480"/>
      </w:pPr>
      <w:r>
        <w:t>14.3供应商将在采购项目实施过程中采用自有或者第</w:t>
      </w:r>
      <w:r>
        <w:rPr>
          <w:rFonts w:hint="eastAsia"/>
        </w:rPr>
        <w:t>三</w:t>
      </w:r>
      <w:r>
        <w:t>方知识成果的，应当在响应文件中载明，并提供相关知识产权证明文件。</w:t>
      </w:r>
    </w:p>
    <w:p w14:paraId="13E0DF9C">
      <w:pPr>
        <w:ind w:firstLine="480"/>
      </w:pPr>
      <w:r>
        <w:t>14.4如采用投标人所不拥有的知识产权，则在投标报价中必须包括合法获取该知识产权的相关费用。</w:t>
      </w:r>
    </w:p>
    <w:p w14:paraId="09A376F5">
      <w:pPr>
        <w:ind w:firstLine="480"/>
      </w:pPr>
      <w:r>
        <w:t>15.特别说明</w:t>
      </w:r>
    </w:p>
    <w:p w14:paraId="45249A7A">
      <w:pPr>
        <w:ind w:firstLine="480"/>
      </w:pPr>
      <w:r>
        <w:t>15.1供应商应仔细阅读磋商文件的所有内容，按照磋商文件的要求提交响应文件，并对所提供的全部资料的真实性承担法律责任。</w:t>
      </w:r>
    </w:p>
    <w:p w14:paraId="6710CF21">
      <w:pPr>
        <w:ind w:firstLine="480"/>
      </w:pPr>
      <w:r>
        <w:t>15.2经营者提供商品或者服务有欺诈行为的，依照《中华人民共和国消费者权益保护法（2013年修正）》有关规定处理。</w:t>
      </w:r>
    </w:p>
    <w:p w14:paraId="15043F9E">
      <w:pPr>
        <w:ind w:firstLine="480"/>
      </w:pPr>
      <w:r>
        <w:t>15.3供应商已明知采购期间或之后企业将发生兼并改制，或提供的产品将停产、淘汰，或必须有偿使用指定的第三方中间件和插件的，及其他应当告知采购人可能影响采购项目实施或损害采购人利益的信息，必须在响应文件中予以特别说明，否则，采购人可以拒绝其响应文件。</w:t>
      </w:r>
    </w:p>
    <w:p w14:paraId="5239A03F">
      <w:pPr>
        <w:ind w:firstLine="480"/>
      </w:pPr>
      <w:r>
        <w:t>16.采购代理费用</w:t>
      </w:r>
    </w:p>
    <w:p w14:paraId="461BDE6B">
      <w:pPr>
        <w:ind w:firstLine="480"/>
        <w:rPr>
          <w:rFonts w:ascii="宋体" w:hAnsi="宋体" w:cs="宋体"/>
        </w:rPr>
      </w:pPr>
      <w:r>
        <w:rPr>
          <w:rFonts w:hint="eastAsia" w:ascii="宋体" w:hAnsi="宋体" w:cs="宋体"/>
        </w:rPr>
        <w:t>16.1本项目代理费按照国家发展计划委员会文件《计价格〔2002〕1980号》和发改办价格[2011]534号规定收取，由成交供应商在领取成交通知书前一次性支付给采购代理机构。</w:t>
      </w:r>
    </w:p>
    <w:p w14:paraId="6B6EAEE8">
      <w:pPr>
        <w:pStyle w:val="2"/>
      </w:pPr>
      <w:bookmarkStart w:id="129" w:name="_Toc14398"/>
      <w:bookmarkStart w:id="130" w:name="_Toc1767"/>
      <w:bookmarkStart w:id="131" w:name="_Toc7878"/>
      <w:bookmarkStart w:id="132" w:name="_Toc17087"/>
      <w:bookmarkStart w:id="133" w:name="_Toc26565"/>
      <w:bookmarkStart w:id="134" w:name="_Toc21083"/>
      <w:bookmarkStart w:id="135" w:name="_Toc23284"/>
      <w:bookmarkStart w:id="136" w:name="_Toc28012"/>
      <w:bookmarkStart w:id="137" w:name="_Toc7104"/>
      <w:bookmarkStart w:id="138" w:name="_Toc18163"/>
      <w:bookmarkStart w:id="139" w:name="_Toc11300"/>
      <w:bookmarkStart w:id="140" w:name="_Toc24650"/>
      <w:bookmarkStart w:id="141" w:name="_Toc26432"/>
      <w:bookmarkStart w:id="142" w:name="_Toc18943"/>
      <w:bookmarkStart w:id="143" w:name="_Toc9386"/>
      <w:bookmarkStart w:id="144" w:name="_Toc3017"/>
      <w:bookmarkStart w:id="145" w:name="_Toc1391"/>
      <w:bookmarkStart w:id="146" w:name="_Toc25527"/>
      <w:bookmarkStart w:id="147" w:name="_Toc4956"/>
      <w:bookmarkStart w:id="148" w:name="_Toc31258"/>
      <w:bookmarkStart w:id="149" w:name="_Toc17563"/>
      <w:bookmarkStart w:id="150" w:name="_Toc391298956"/>
      <w:bookmarkStart w:id="151" w:name="_Toc28973"/>
      <w:bookmarkStart w:id="152" w:name="_Toc9348"/>
      <w:bookmarkStart w:id="153" w:name="_Toc16021"/>
      <w:bookmarkStart w:id="154" w:name="_Toc8831"/>
      <w:bookmarkStart w:id="155" w:name="_Toc4221"/>
      <w:bookmarkStart w:id="156" w:name="_Toc29806"/>
      <w:bookmarkStart w:id="157" w:name="_Toc1600"/>
      <w:bookmarkStart w:id="158" w:name="_Toc4162"/>
      <w:r>
        <w:rPr>
          <w:rFonts w:hint="eastAsia"/>
        </w:rPr>
        <w:t>二、竞争性磋商文件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C93EB72">
      <w:pPr>
        <w:ind w:firstLine="480"/>
      </w:pPr>
      <w:r>
        <w:rPr>
          <w:rFonts w:hint="eastAsia"/>
        </w:rPr>
        <w:t>17.竞争性磋商文件的组成</w:t>
      </w:r>
    </w:p>
    <w:p w14:paraId="7DA12042">
      <w:pPr>
        <w:ind w:firstLine="480"/>
      </w:pPr>
      <w:r>
        <w:rPr>
          <w:rFonts w:hint="eastAsia"/>
        </w:rPr>
        <w:t>17.1竞争性磋商文件用于阐明所需采购磋商程序和合同主要条款。竞争性磋商文件由下述部分组成：</w:t>
      </w:r>
    </w:p>
    <w:p w14:paraId="5DAC117A">
      <w:pPr>
        <w:ind w:firstLine="480"/>
      </w:pPr>
      <w:r>
        <w:rPr>
          <w:rFonts w:hint="eastAsia"/>
        </w:rPr>
        <w:t>（1）磋商公告</w:t>
      </w:r>
    </w:p>
    <w:p w14:paraId="1335FE8D">
      <w:pPr>
        <w:ind w:firstLine="480"/>
      </w:pPr>
      <w:r>
        <w:rPr>
          <w:rFonts w:hint="eastAsia"/>
        </w:rPr>
        <w:t xml:space="preserve">（2）磋商供应商须知前附表 </w:t>
      </w:r>
    </w:p>
    <w:p w14:paraId="00CC1630">
      <w:pPr>
        <w:ind w:firstLine="480"/>
      </w:pPr>
      <w:r>
        <w:rPr>
          <w:rFonts w:hint="eastAsia"/>
        </w:rPr>
        <w:t>（3）投标人须知</w:t>
      </w:r>
    </w:p>
    <w:p w14:paraId="00FAFEB6">
      <w:pPr>
        <w:ind w:firstLine="480"/>
      </w:pPr>
      <w:r>
        <w:rPr>
          <w:rFonts w:hint="eastAsia"/>
        </w:rPr>
        <w:t>（4）采购需求</w:t>
      </w:r>
    </w:p>
    <w:p w14:paraId="3D485677">
      <w:pPr>
        <w:ind w:firstLine="480"/>
      </w:pPr>
      <w:bookmarkStart w:id="159" w:name="_Toc430489119"/>
      <w:bookmarkStart w:id="160" w:name="_Toc415567497"/>
      <w:bookmarkStart w:id="161" w:name="_Toc430422413"/>
      <w:bookmarkStart w:id="162" w:name="_Toc430488851"/>
      <w:bookmarkStart w:id="163" w:name="_Toc430490612"/>
      <w:bookmarkStart w:id="164" w:name="_Toc430492126"/>
      <w:bookmarkStart w:id="165" w:name="_Toc430488644"/>
      <w:r>
        <w:rPr>
          <w:rFonts w:hint="eastAsia"/>
        </w:rPr>
        <w:t>（5）合同</w:t>
      </w:r>
    </w:p>
    <w:p w14:paraId="58B47414">
      <w:pPr>
        <w:ind w:firstLine="480"/>
      </w:pPr>
      <w:r>
        <w:rPr>
          <w:rFonts w:hint="eastAsia"/>
        </w:rPr>
        <w:t>（6）评审办法和评分标准</w:t>
      </w:r>
    </w:p>
    <w:p w14:paraId="18765F59">
      <w:pPr>
        <w:ind w:firstLine="480"/>
      </w:pPr>
      <w:r>
        <w:rPr>
          <w:rFonts w:hint="eastAsia"/>
        </w:rPr>
        <w:t>（7）竞争性磋商响应文件格式</w:t>
      </w:r>
      <w:bookmarkEnd w:id="159"/>
      <w:bookmarkEnd w:id="160"/>
      <w:bookmarkEnd w:id="161"/>
      <w:bookmarkEnd w:id="162"/>
      <w:bookmarkEnd w:id="163"/>
      <w:bookmarkEnd w:id="164"/>
      <w:bookmarkEnd w:id="165"/>
    </w:p>
    <w:p w14:paraId="0BADCD97">
      <w:pPr>
        <w:ind w:firstLine="480"/>
      </w:pPr>
      <w:r>
        <w:rPr>
          <w:rFonts w:hint="eastAsia"/>
        </w:rPr>
        <w:t>18.竞争性磋商文件的澄清与修改</w:t>
      </w:r>
    </w:p>
    <w:p w14:paraId="77925415">
      <w:pPr>
        <w:ind w:firstLine="480"/>
      </w:pPr>
      <w:r>
        <w:rPr>
          <w:rFonts w:hint="eastAsia"/>
        </w:rPr>
        <w:t>18.1在提交投标文件截止时间前，采购人、采购代理机构可以对招标文件进行澄清或者修改。</w:t>
      </w:r>
    </w:p>
    <w:p w14:paraId="7EC2EAA8">
      <w:pPr>
        <w:ind w:firstLine="480"/>
      </w:pPr>
      <w:r>
        <w:rPr>
          <w:rFonts w:hint="eastAsia"/>
        </w:rPr>
        <w:t>18.2采购人、采购代理机构可以对已发出的招标文件进行澄清或者修改，将澄清或者修改的内容通知依法获取了招标文件的投标人，同时在浙江政府采购网发布更正公告。</w:t>
      </w:r>
    </w:p>
    <w:p w14:paraId="2BF1E890">
      <w:pPr>
        <w:ind w:firstLine="480"/>
      </w:pPr>
      <w:r>
        <w:rPr>
          <w:rFonts w:hint="eastAsia"/>
        </w:rPr>
        <w:t>18.3投标人在招标文件规定的询疑截止时间前未对招标文件提出疑问的，采购人、采购代理机构将视其对招标文件无异议。采购人、采购代理机构有权对逾期收到疑问将不予受理、答复。</w:t>
      </w:r>
    </w:p>
    <w:p w14:paraId="62D9E98C">
      <w:pPr>
        <w:ind w:firstLine="480"/>
      </w:pPr>
      <w:r>
        <w:rPr>
          <w:rFonts w:hint="eastAsia"/>
        </w:rPr>
        <w:t>18.4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14:paraId="6B6070A2">
      <w:pPr>
        <w:ind w:firstLine="480"/>
        <w:rPr>
          <w:rFonts w:ascii="宋体" w:hAnsi="宋体"/>
          <w:szCs w:val="21"/>
        </w:rPr>
      </w:pPr>
      <w:r>
        <w:rPr>
          <w:rFonts w:hint="eastAsia"/>
        </w:rPr>
        <w:t>18.5招标文件的澄清、修改内容作为招标文件的组成部分。当招标文件与澄清、修改的就同一内容的表述不一致时，以最后发出的文件为准。</w:t>
      </w:r>
    </w:p>
    <w:p w14:paraId="75D92194">
      <w:pPr>
        <w:pStyle w:val="2"/>
      </w:pPr>
      <w:bookmarkStart w:id="166" w:name="_Toc26603"/>
      <w:bookmarkStart w:id="167" w:name="_Toc6457"/>
      <w:bookmarkStart w:id="168" w:name="_Toc6079"/>
      <w:bookmarkStart w:id="169" w:name="_Toc6273"/>
      <w:bookmarkStart w:id="170" w:name="_Toc1828"/>
      <w:bookmarkStart w:id="171" w:name="_Toc11692"/>
      <w:bookmarkStart w:id="172" w:name="_Toc31748"/>
      <w:bookmarkStart w:id="173" w:name="_Toc1729"/>
      <w:bookmarkStart w:id="174" w:name="_Toc24622"/>
      <w:bookmarkStart w:id="175" w:name="_Toc10669"/>
      <w:bookmarkStart w:id="176" w:name="_Toc391298957"/>
      <w:bookmarkStart w:id="177" w:name="_Toc23135"/>
      <w:bookmarkStart w:id="178" w:name="_Toc11093"/>
      <w:bookmarkStart w:id="179" w:name="_Toc18702"/>
      <w:bookmarkStart w:id="180" w:name="_Toc23975"/>
      <w:bookmarkStart w:id="181" w:name="_Toc10810"/>
      <w:bookmarkStart w:id="182" w:name="_Toc7126"/>
      <w:bookmarkStart w:id="183" w:name="_Toc14650"/>
      <w:bookmarkStart w:id="184" w:name="_Toc26027"/>
      <w:bookmarkStart w:id="185" w:name="_Toc11669"/>
      <w:bookmarkStart w:id="186" w:name="_Toc8860"/>
      <w:bookmarkStart w:id="187" w:name="_Toc1202"/>
      <w:bookmarkStart w:id="188" w:name="_Toc23796"/>
      <w:bookmarkStart w:id="189" w:name="_Toc31805"/>
      <w:bookmarkStart w:id="190" w:name="_Toc22691"/>
      <w:bookmarkStart w:id="191" w:name="_Toc15542"/>
      <w:bookmarkStart w:id="192" w:name="_Toc1811"/>
      <w:bookmarkStart w:id="193" w:name="_Toc16244"/>
      <w:bookmarkStart w:id="194" w:name="_Toc12861"/>
      <w:bookmarkStart w:id="195" w:name="_Toc14801"/>
      <w:r>
        <w:rPr>
          <w:rFonts w:hint="eastAsia"/>
        </w:rPr>
        <w:t>三、</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rPr>
        <w:t>响应文件</w:t>
      </w:r>
      <w:bookmarkEnd w:id="188"/>
      <w:bookmarkEnd w:id="189"/>
      <w:bookmarkEnd w:id="190"/>
      <w:bookmarkEnd w:id="191"/>
      <w:bookmarkEnd w:id="192"/>
      <w:bookmarkEnd w:id="193"/>
      <w:bookmarkEnd w:id="194"/>
      <w:bookmarkEnd w:id="195"/>
    </w:p>
    <w:p w14:paraId="72F2E5E8">
      <w:pPr>
        <w:ind w:firstLine="480"/>
      </w:pPr>
      <w:r>
        <w:t>19.响</w:t>
      </w:r>
      <w:r>
        <w:rPr>
          <w:rFonts w:hint="eastAsia"/>
        </w:rPr>
        <w:t>应文件的组成</w:t>
      </w:r>
    </w:p>
    <w:p w14:paraId="5B562909">
      <w:pPr>
        <w:ind w:firstLine="480"/>
      </w:pPr>
      <w:r>
        <w:t>19.1供应商应按照磋商文件的要求以及格式编制响应文件并</w:t>
      </w:r>
      <w:r>
        <w:rPr>
          <w:rFonts w:hint="eastAsia"/>
        </w:rPr>
        <w:t>做出</w:t>
      </w:r>
      <w:r>
        <w:t>实质性响应，保证其合法性、真实性、准确性和完整性。</w:t>
      </w:r>
    </w:p>
    <w:p w14:paraId="196167FD">
      <w:pPr>
        <w:ind w:firstLine="480"/>
      </w:pPr>
      <w:r>
        <w:t>19.2响应文件由【资格审查文件】【商务技术文件】二部分内容组成，其中</w:t>
      </w:r>
    </w:p>
    <w:p w14:paraId="64B3BAE0">
      <w:pPr>
        <w:ind w:firstLine="480"/>
      </w:pPr>
      <w:r>
        <w:t>19.2.1资格审查文件</w:t>
      </w:r>
    </w:p>
    <w:tbl>
      <w:tblPr>
        <w:tblStyle w:val="29"/>
        <w:tblW w:w="8042" w:type="dxa"/>
        <w:tblInd w:w="48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2"/>
        <w:gridCol w:w="1843"/>
        <w:gridCol w:w="1134"/>
        <w:gridCol w:w="4303"/>
      </w:tblGrid>
      <w:tr w14:paraId="61FDFF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14:paraId="3460B973">
            <w:pPr>
              <w:pStyle w:val="36"/>
            </w:pPr>
            <w:r>
              <w:rPr>
                <w:rFonts w:hint="eastAsia"/>
              </w:rPr>
              <w:t>序号</w:t>
            </w:r>
          </w:p>
        </w:tc>
        <w:tc>
          <w:tcPr>
            <w:tcW w:w="1843" w:type="dxa"/>
          </w:tcPr>
          <w:p w14:paraId="263D5D42">
            <w:pPr>
              <w:pStyle w:val="36"/>
            </w:pPr>
            <w:r>
              <w:rPr>
                <w:rFonts w:hint="eastAsia"/>
              </w:rPr>
              <w:t>内容</w:t>
            </w:r>
          </w:p>
        </w:tc>
        <w:tc>
          <w:tcPr>
            <w:tcW w:w="5437" w:type="dxa"/>
            <w:gridSpan w:val="2"/>
          </w:tcPr>
          <w:p w14:paraId="60BF5221">
            <w:pPr>
              <w:pStyle w:val="36"/>
            </w:pPr>
            <w:r>
              <w:rPr>
                <w:rFonts w:hint="eastAsia"/>
              </w:rPr>
              <w:t>满足法定的资格条件应提供的证明材料</w:t>
            </w:r>
          </w:p>
        </w:tc>
      </w:tr>
      <w:tr w14:paraId="694FFD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14:paraId="3AA41859">
            <w:pPr>
              <w:pStyle w:val="36"/>
            </w:pPr>
            <w:r>
              <w:rPr>
                <w:rFonts w:hint="eastAsia"/>
              </w:rPr>
              <w:t>1</w:t>
            </w:r>
          </w:p>
        </w:tc>
        <w:tc>
          <w:tcPr>
            <w:tcW w:w="7280" w:type="dxa"/>
            <w:gridSpan w:val="3"/>
          </w:tcPr>
          <w:p w14:paraId="12E1F51E">
            <w:pPr>
              <w:pStyle w:val="36"/>
            </w:pPr>
            <w:r>
              <w:rPr>
                <w:rFonts w:hint="eastAsia"/>
              </w:rPr>
              <w:t>满足《中华人民共和国政府采购法》第二十二条规定</w:t>
            </w:r>
          </w:p>
        </w:tc>
      </w:tr>
      <w:tr w14:paraId="74097D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14:paraId="460283F5">
            <w:pPr>
              <w:pStyle w:val="36"/>
            </w:pPr>
            <w:r>
              <w:rPr>
                <w:rFonts w:hint="eastAsia"/>
              </w:rPr>
              <w:t>1.1</w:t>
            </w:r>
          </w:p>
        </w:tc>
        <w:tc>
          <w:tcPr>
            <w:tcW w:w="2977" w:type="dxa"/>
            <w:gridSpan w:val="2"/>
          </w:tcPr>
          <w:p w14:paraId="31A2D590">
            <w:pPr>
              <w:pStyle w:val="36"/>
            </w:pPr>
            <w:r>
              <w:rPr>
                <w:rFonts w:hint="eastAsia"/>
              </w:rPr>
              <w:t>具有独立法人资格，具有独立承担民事责任的能力</w:t>
            </w:r>
          </w:p>
        </w:tc>
        <w:tc>
          <w:tcPr>
            <w:tcW w:w="4303" w:type="dxa"/>
            <w:vAlign w:val="center"/>
          </w:tcPr>
          <w:p w14:paraId="58D2F305">
            <w:pPr>
              <w:pStyle w:val="36"/>
            </w:pPr>
            <w:r>
              <w:t>企业单位提供有效《营业执照》扫描件或者电子证书网页截图或者登录国家企业信用公示系统-营业执照信息查询结果网页截图；事业单位提供有效《事业单位法人证书》扫描件或者登录国家事业单位登记管理局事业单位在线—全国事业单位登记管理信息查询链接—地方网站查询结果网页截图</w:t>
            </w:r>
          </w:p>
        </w:tc>
      </w:tr>
      <w:tr w14:paraId="356244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14:paraId="43CFF152">
            <w:pPr>
              <w:pStyle w:val="36"/>
            </w:pPr>
            <w:r>
              <w:rPr>
                <w:rFonts w:hint="eastAsia"/>
              </w:rPr>
              <w:t>1.2</w:t>
            </w:r>
          </w:p>
        </w:tc>
        <w:tc>
          <w:tcPr>
            <w:tcW w:w="2977" w:type="dxa"/>
            <w:gridSpan w:val="2"/>
          </w:tcPr>
          <w:p w14:paraId="2F6D58E8">
            <w:pPr>
              <w:pStyle w:val="36"/>
            </w:pPr>
            <w:r>
              <w:rPr>
                <w:rFonts w:hint="eastAsia"/>
              </w:rPr>
              <w:t>具有良好的商业信誉和健全的财务会计制度</w:t>
            </w:r>
          </w:p>
        </w:tc>
        <w:tc>
          <w:tcPr>
            <w:tcW w:w="4303" w:type="dxa"/>
          </w:tcPr>
          <w:p w14:paraId="6DE4FF54">
            <w:pPr>
              <w:pStyle w:val="36"/>
            </w:pPr>
            <w:r>
              <w:rPr>
                <w:rFonts w:hint="eastAsia"/>
              </w:rPr>
              <w:t>提供承诺函（详见附件2）</w:t>
            </w:r>
          </w:p>
        </w:tc>
      </w:tr>
      <w:tr w14:paraId="1AD34E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14:paraId="35A85A3C">
            <w:pPr>
              <w:pStyle w:val="36"/>
            </w:pPr>
            <w:r>
              <w:rPr>
                <w:rFonts w:hint="eastAsia"/>
              </w:rPr>
              <w:t>1.3</w:t>
            </w:r>
          </w:p>
        </w:tc>
        <w:tc>
          <w:tcPr>
            <w:tcW w:w="2977" w:type="dxa"/>
            <w:gridSpan w:val="2"/>
          </w:tcPr>
          <w:p w14:paraId="0904DD7E">
            <w:pPr>
              <w:pStyle w:val="36"/>
            </w:pPr>
            <w:r>
              <w:rPr>
                <w:rFonts w:hint="eastAsia"/>
              </w:rPr>
              <w:t>有依法缴纳税收和社会保障资金的良好记录</w:t>
            </w:r>
          </w:p>
        </w:tc>
        <w:tc>
          <w:tcPr>
            <w:tcW w:w="4303" w:type="dxa"/>
          </w:tcPr>
          <w:p w14:paraId="0E067CEE">
            <w:pPr>
              <w:pStyle w:val="36"/>
            </w:pPr>
            <w:r>
              <w:rPr>
                <w:rFonts w:hint="eastAsia"/>
              </w:rPr>
              <w:t>提供承诺函（详见附件3）</w:t>
            </w:r>
          </w:p>
        </w:tc>
      </w:tr>
      <w:tr w14:paraId="2EEB63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14:paraId="6285E6A8">
            <w:pPr>
              <w:pStyle w:val="36"/>
            </w:pPr>
            <w:r>
              <w:rPr>
                <w:rFonts w:hint="eastAsia"/>
              </w:rPr>
              <w:t>1.4</w:t>
            </w:r>
          </w:p>
        </w:tc>
        <w:tc>
          <w:tcPr>
            <w:tcW w:w="2977" w:type="dxa"/>
            <w:gridSpan w:val="2"/>
          </w:tcPr>
          <w:p w14:paraId="0B046F6D">
            <w:pPr>
              <w:pStyle w:val="36"/>
            </w:pPr>
            <w:r>
              <w:rPr>
                <w:rFonts w:hint="eastAsia"/>
              </w:rPr>
              <w:t>具有履行合同所必需的设备和专业技术能力的承诺函</w:t>
            </w:r>
          </w:p>
        </w:tc>
        <w:tc>
          <w:tcPr>
            <w:tcW w:w="4303" w:type="dxa"/>
          </w:tcPr>
          <w:p w14:paraId="40E23EF7">
            <w:pPr>
              <w:pStyle w:val="36"/>
            </w:pPr>
            <w:r>
              <w:rPr>
                <w:rFonts w:hint="eastAsia"/>
              </w:rPr>
              <w:t>提供承诺函（详见附件4）</w:t>
            </w:r>
          </w:p>
        </w:tc>
      </w:tr>
      <w:tr w14:paraId="7BCE87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14:paraId="2B4D1082">
            <w:pPr>
              <w:pStyle w:val="36"/>
            </w:pPr>
            <w:r>
              <w:rPr>
                <w:rFonts w:hint="eastAsia"/>
              </w:rPr>
              <w:t>1.5</w:t>
            </w:r>
          </w:p>
        </w:tc>
        <w:tc>
          <w:tcPr>
            <w:tcW w:w="2977" w:type="dxa"/>
            <w:gridSpan w:val="2"/>
          </w:tcPr>
          <w:p w14:paraId="33B52762">
            <w:pPr>
              <w:pStyle w:val="36"/>
            </w:pPr>
            <w:r>
              <w:rPr>
                <w:rFonts w:hint="eastAsia"/>
              </w:rPr>
              <w:t>近三年内在经营活动中没有重大违法记录的承诺函</w:t>
            </w:r>
          </w:p>
        </w:tc>
        <w:tc>
          <w:tcPr>
            <w:tcW w:w="4303" w:type="dxa"/>
          </w:tcPr>
          <w:p w14:paraId="6D195EDB">
            <w:pPr>
              <w:pStyle w:val="36"/>
            </w:pPr>
            <w:r>
              <w:rPr>
                <w:rFonts w:hint="eastAsia"/>
              </w:rPr>
              <w:t>提供承诺函（详见附件5）</w:t>
            </w:r>
          </w:p>
        </w:tc>
      </w:tr>
      <w:tr w14:paraId="5809B8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14:paraId="7E1BBDC6">
            <w:pPr>
              <w:pStyle w:val="36"/>
            </w:pPr>
            <w:r>
              <w:rPr>
                <w:rFonts w:hint="eastAsia"/>
              </w:rPr>
              <w:t>2</w:t>
            </w:r>
          </w:p>
        </w:tc>
        <w:tc>
          <w:tcPr>
            <w:tcW w:w="7280" w:type="dxa"/>
            <w:gridSpan w:val="3"/>
          </w:tcPr>
          <w:p w14:paraId="658F3CC2">
            <w:pPr>
              <w:pStyle w:val="36"/>
            </w:pPr>
            <w:r>
              <w:rPr>
                <w:rFonts w:hint="eastAsia"/>
              </w:rPr>
              <w:t>法律、行政法规规定的其他条件</w:t>
            </w:r>
          </w:p>
        </w:tc>
      </w:tr>
      <w:tr w14:paraId="33C9C9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14:paraId="525ABAEA">
            <w:pPr>
              <w:pStyle w:val="36"/>
            </w:pPr>
            <w:r>
              <w:rPr>
                <w:rFonts w:hint="eastAsia"/>
              </w:rPr>
              <w:t>2.1</w:t>
            </w:r>
          </w:p>
        </w:tc>
        <w:tc>
          <w:tcPr>
            <w:tcW w:w="2977" w:type="dxa"/>
            <w:gridSpan w:val="2"/>
          </w:tcPr>
          <w:p w14:paraId="625E7DA8">
            <w:pPr>
              <w:pStyle w:val="36"/>
            </w:pPr>
            <w:r>
              <w:rPr>
                <w:rFonts w:hint="eastAsia"/>
              </w:rPr>
              <w:t>参加本次采购活动的供应商、法定代表人在前3年内不得具有行贿犯罪记录</w:t>
            </w:r>
          </w:p>
        </w:tc>
        <w:tc>
          <w:tcPr>
            <w:tcW w:w="4303" w:type="dxa"/>
          </w:tcPr>
          <w:p w14:paraId="4FC3D1CE">
            <w:pPr>
              <w:pStyle w:val="36"/>
            </w:pPr>
            <w:r>
              <w:rPr>
                <w:rFonts w:hint="eastAsia"/>
              </w:rPr>
              <w:t>提供声明函（详见附件6）</w:t>
            </w:r>
          </w:p>
        </w:tc>
      </w:tr>
      <w:tr w14:paraId="69F15A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42" w:type="dxa"/>
            <w:gridSpan w:val="4"/>
          </w:tcPr>
          <w:p w14:paraId="6D29F8D7">
            <w:pPr>
              <w:pStyle w:val="36"/>
            </w:pPr>
            <w:r>
              <w:rPr>
                <w:rFonts w:hint="eastAsia"/>
              </w:rPr>
              <w:t>注：1.上述证明材料扫描件附供应商基本情况表后。2.上述资格证明材料任意一项不符合要求的，即被认定为资格审查不合格。</w:t>
            </w:r>
          </w:p>
        </w:tc>
      </w:tr>
    </w:tbl>
    <w:p w14:paraId="3BDD2D3B">
      <w:pPr>
        <w:ind w:firstLine="480"/>
      </w:pPr>
      <w:r>
        <w:rPr>
          <w:rFonts w:hint="eastAsia"/>
        </w:rPr>
        <w:t>19.2.2商务技术文件</w:t>
      </w:r>
    </w:p>
    <w:p w14:paraId="0976014D">
      <w:pPr>
        <w:ind w:firstLine="480"/>
      </w:pPr>
      <w:r>
        <w:rPr>
          <w:rFonts w:hint="eastAsia"/>
        </w:rPr>
        <w:t>（3）</w:t>
      </w:r>
      <w:r>
        <w:t>▲</w:t>
      </w:r>
      <w:r>
        <w:rPr>
          <w:rFonts w:hint="eastAsia"/>
        </w:rPr>
        <w:t>投标声明函（</w:t>
      </w:r>
      <w:r>
        <w:t>附件</w:t>
      </w:r>
      <w:r>
        <w:rPr>
          <w:rFonts w:hint="eastAsia"/>
        </w:rPr>
        <w:t>7）</w:t>
      </w:r>
    </w:p>
    <w:p w14:paraId="32DD3920">
      <w:pPr>
        <w:ind w:firstLine="480"/>
      </w:pPr>
      <w:r>
        <w:rPr>
          <w:rFonts w:hint="eastAsia"/>
        </w:rPr>
        <w:t>（4）</w:t>
      </w:r>
      <w:r>
        <w:t>▲授权</w:t>
      </w:r>
      <w:r>
        <w:rPr>
          <w:rFonts w:hint="eastAsia"/>
        </w:rPr>
        <w:t>委托</w:t>
      </w:r>
      <w:r>
        <w:t>书</w:t>
      </w:r>
      <w:r>
        <w:rPr>
          <w:rFonts w:hint="eastAsia"/>
        </w:rPr>
        <w:t>（附件8）</w:t>
      </w:r>
    </w:p>
    <w:p w14:paraId="7FCCDAED">
      <w:pPr>
        <w:ind w:firstLine="480"/>
      </w:pPr>
      <w:r>
        <w:rPr>
          <w:rFonts w:hint="eastAsia"/>
        </w:rPr>
        <w:t>（5）同类项目业绩一览表；（附件9）</w:t>
      </w:r>
    </w:p>
    <w:p w14:paraId="6F73C336">
      <w:pPr>
        <w:ind w:firstLine="480"/>
      </w:pPr>
      <w:r>
        <w:rPr>
          <w:rFonts w:hint="eastAsia"/>
        </w:rPr>
        <w:t>（6）</w:t>
      </w:r>
      <w:r>
        <w:t>拟派本项目团队人员配备一览表</w:t>
      </w:r>
      <w:r>
        <w:rPr>
          <w:rFonts w:hint="eastAsia"/>
        </w:rPr>
        <w:t>（附件10）</w:t>
      </w:r>
    </w:p>
    <w:p w14:paraId="505394D1">
      <w:pPr>
        <w:ind w:firstLine="480"/>
        <w:rPr>
          <w:lang w:val="zh-CN"/>
        </w:rPr>
      </w:pPr>
      <w:r>
        <w:rPr>
          <w:rFonts w:hint="eastAsia"/>
        </w:rPr>
        <w:t>（7）企业简介：投标方企业规模、人员结构、经营状况、技术优势、有关荣誉及其他基本情况资料；</w:t>
      </w:r>
    </w:p>
    <w:p w14:paraId="235899A7">
      <w:pPr>
        <w:ind w:firstLine="480"/>
      </w:pPr>
      <w:r>
        <w:rPr>
          <w:rFonts w:hint="eastAsia"/>
        </w:rPr>
        <w:t>（8）投标方案介绍：</w:t>
      </w:r>
    </w:p>
    <w:p w14:paraId="7BBCB490">
      <w:pPr>
        <w:ind w:firstLine="480"/>
      </w:pPr>
      <w:r>
        <w:rPr>
          <w:rFonts w:hint="eastAsia"/>
        </w:rPr>
        <w:t>（9）</w:t>
      </w:r>
      <w:r>
        <w:t>服务承诺和服务保障</w:t>
      </w:r>
    </w:p>
    <w:p w14:paraId="30A174DC">
      <w:pPr>
        <w:ind w:firstLine="480"/>
      </w:pPr>
      <w:r>
        <w:rPr>
          <w:rFonts w:hint="eastAsia"/>
        </w:rPr>
        <w:t>（10）</w:t>
      </w:r>
      <w:r>
        <w:t>增值服务</w:t>
      </w:r>
    </w:p>
    <w:p w14:paraId="1D12A8D8">
      <w:pPr>
        <w:ind w:firstLine="480"/>
      </w:pPr>
      <w:r>
        <w:rPr>
          <w:rFonts w:hint="eastAsia"/>
        </w:rPr>
        <w:t>（11）</w:t>
      </w:r>
      <w:r>
        <w:t>供应商承诺给予采购人的各种优惠条件（如有，优惠条件事项不能包括采购项目本身所包括涉及的采购事项。供应商不能以</w:t>
      </w:r>
      <w:r>
        <w:rPr>
          <w:rFonts w:hint="eastAsia"/>
        </w:rPr>
        <w:t>“</w:t>
      </w:r>
      <w:r>
        <w:t>赠送、赠予</w:t>
      </w:r>
      <w:r>
        <w:rPr>
          <w:rFonts w:hint="eastAsia"/>
        </w:rPr>
        <w:t>”</w:t>
      </w:r>
      <w:r>
        <w:t>等任何名</w:t>
      </w:r>
      <w:r>
        <w:rPr>
          <w:rFonts w:hint="eastAsia"/>
        </w:rPr>
        <w:t>义提供货物和服务以规避磋商文件的约束。否则，供应商提供的响应文件将作为响应无效处理，即使成交也将取消成交资格）。</w:t>
      </w:r>
    </w:p>
    <w:p w14:paraId="55BF806C">
      <w:pPr>
        <w:ind w:firstLine="480"/>
      </w:pPr>
      <w:r>
        <w:rPr>
          <w:rFonts w:hint="eastAsia"/>
        </w:rPr>
        <w:t>（12）未尽事宜请各供应商按评分细则制作技术部分；（格式自拟）</w:t>
      </w:r>
    </w:p>
    <w:p w14:paraId="4F8D0BA0">
      <w:pPr>
        <w:ind w:firstLine="480"/>
      </w:pPr>
      <w:r>
        <w:rPr>
          <w:rFonts w:hint="eastAsia"/>
        </w:rPr>
        <w:t>19.2.3报价文件，包括但不限于下列内容：</w:t>
      </w:r>
    </w:p>
    <w:p w14:paraId="1A179F9F">
      <w:pPr>
        <w:ind w:firstLine="480"/>
      </w:pPr>
      <w:r>
        <w:rPr>
          <w:rFonts w:hint="eastAsia"/>
        </w:rPr>
        <w:t>（13）</w:t>
      </w:r>
      <w:r>
        <w:t>▲</w:t>
      </w:r>
      <w:r>
        <w:rPr>
          <w:rFonts w:hint="eastAsia"/>
        </w:rPr>
        <w:t>报价一览表（附件11）</w:t>
      </w:r>
    </w:p>
    <w:p w14:paraId="3E75E823">
      <w:pPr>
        <w:ind w:firstLine="480"/>
      </w:pPr>
      <w:r>
        <w:rPr>
          <w:rFonts w:hint="eastAsia"/>
        </w:rPr>
        <w:t>（14）</w:t>
      </w:r>
      <w:r>
        <w:t>▲</w:t>
      </w:r>
      <w:r>
        <w:rPr>
          <w:rFonts w:hint="eastAsia"/>
        </w:rPr>
        <w:t>中小企业声明函（附件12）</w:t>
      </w:r>
    </w:p>
    <w:p w14:paraId="457BB1C7">
      <w:pPr>
        <w:ind w:firstLine="480"/>
      </w:pPr>
      <w:r>
        <w:rPr>
          <w:rFonts w:hint="eastAsia"/>
        </w:rPr>
        <w:t>（15）监狱企业声明函（附件13）</w:t>
      </w:r>
    </w:p>
    <w:p w14:paraId="6506B45A">
      <w:pPr>
        <w:ind w:firstLine="480"/>
      </w:pPr>
      <w:r>
        <w:rPr>
          <w:rFonts w:hint="eastAsia"/>
        </w:rPr>
        <w:t>（16）残疾人福利性单位声明函（附件14）</w:t>
      </w:r>
    </w:p>
    <w:p w14:paraId="505FF00B">
      <w:pPr>
        <w:ind w:firstLine="480"/>
      </w:pPr>
      <w:r>
        <w:rPr>
          <w:rFonts w:hint="eastAsia"/>
        </w:rPr>
        <w:t>以上文件组成投标文件。投标方应对磋商文件做出实质性响应，该项内容将作为投标的重要指标。一旦开标后，经审核确定投标资格和技术能力不能响应磋商文件要求，则投标方即刻被废标或被拒绝进入商务报价阶段。</w:t>
      </w:r>
    </w:p>
    <w:p w14:paraId="565240A0">
      <w:pPr>
        <w:ind w:firstLine="480"/>
      </w:pPr>
      <w:r>
        <w:t>20.磋商报价</w:t>
      </w:r>
    </w:p>
    <w:p w14:paraId="2F5C404A">
      <w:pPr>
        <w:ind w:firstLine="480"/>
      </w:pPr>
      <w:r>
        <w:t>20.1最高限价：详见供应商须知前附表，磋商报价高于最高限价的为无效报价。</w:t>
      </w:r>
    </w:p>
    <w:p w14:paraId="7B4EABAA">
      <w:pPr>
        <w:ind w:firstLine="480"/>
      </w:pPr>
      <w:r>
        <w:t>20.2磋商报价范围：见供应商须知前附表。</w:t>
      </w:r>
    </w:p>
    <w:p w14:paraId="5E8C8A1C">
      <w:pPr>
        <w:ind w:firstLine="480"/>
      </w:pPr>
      <w:r>
        <w:t>20.3磋商报价次数：见供应商须知前附表。</w:t>
      </w:r>
    </w:p>
    <w:p w14:paraId="54E577C7">
      <w:pPr>
        <w:ind w:firstLine="480"/>
      </w:pPr>
      <w:r>
        <w:t>20.4磋商最后报价只允许有一个报价，有选择的或有条件的报价均不予接受。</w:t>
      </w:r>
    </w:p>
    <w:p w14:paraId="215F9A63">
      <w:pPr>
        <w:ind w:firstLine="480"/>
      </w:pPr>
      <w:r>
        <w:t>21.响应文件格式</w:t>
      </w:r>
    </w:p>
    <w:p w14:paraId="2AF89FBC">
      <w:pPr>
        <w:ind w:firstLine="480"/>
      </w:pPr>
      <w:r>
        <w:t>21.1磋商文件提供固定格式的，供应商须按照固定格式制作响应文件，详见本磋商文件第</w:t>
      </w:r>
      <w:r>
        <w:rPr>
          <w:rFonts w:hint="eastAsia"/>
        </w:rPr>
        <w:t>七</w:t>
      </w:r>
      <w:r>
        <w:t>章。</w:t>
      </w:r>
    </w:p>
    <w:p w14:paraId="2D6D8643">
      <w:pPr>
        <w:ind w:firstLine="480"/>
      </w:pPr>
      <w:r>
        <w:t>21.2磋商文件没有格式要求的由供应商自行编写。</w:t>
      </w:r>
    </w:p>
    <w:p w14:paraId="5F7B998F">
      <w:pPr>
        <w:ind w:firstLine="480"/>
      </w:pPr>
      <w:r>
        <w:t>22.响应文件制作、加密和提交</w:t>
      </w:r>
    </w:p>
    <w:p w14:paraId="7DAF41B1">
      <w:pPr>
        <w:ind w:firstLine="480"/>
      </w:pPr>
      <w:r>
        <w:t>22.1▲制作、加密和提交：按供应商须知前附表要求。</w:t>
      </w:r>
    </w:p>
    <w:p w14:paraId="685E2774">
      <w:pPr>
        <w:ind w:firstLine="480"/>
      </w:pPr>
      <w:r>
        <w:t>22.2▲签章：磋商文件注明需签字盖章部位、资格商务证明材料扫描件，以及任何行间插字、涂改或增删位置和澄清说明函等均须采用CA电子签章。</w:t>
      </w:r>
    </w:p>
    <w:p w14:paraId="69FD8BD1">
      <w:pPr>
        <w:ind w:firstLine="480"/>
      </w:pPr>
      <w:r>
        <w:t>23.备份响应文件制作、密封和提交</w:t>
      </w:r>
    </w:p>
    <w:p w14:paraId="728E1E72">
      <w:pPr>
        <w:ind w:firstLine="480"/>
      </w:pPr>
      <w:r>
        <w:t>制作、密封和提交详见供应商须知前附表。</w:t>
      </w:r>
    </w:p>
    <w:p w14:paraId="615356EF">
      <w:pPr>
        <w:ind w:firstLine="480"/>
      </w:pPr>
      <w:r>
        <w:t>24.修改与撤回</w:t>
      </w:r>
    </w:p>
    <w:p w14:paraId="4F17D451">
      <w:pPr>
        <w:ind w:firstLine="480"/>
      </w:pPr>
      <w:r>
        <w:t>24.1在响应截止时间前供应商可以对已提交响应文件进行补充、修改或撤回，补充或者修改响应文件的，应当先行撤回原文件，补充、修改后重新传输递交。响应截止时间前未完成传输的，视为撤回响应文件。响应截止时间后递交的响应文件，政采云平台拒收。</w:t>
      </w:r>
    </w:p>
    <w:p w14:paraId="57670C07">
      <w:pPr>
        <w:ind w:firstLine="480"/>
      </w:pPr>
      <w:r>
        <w:t>24.2响应截止时间后，供应商不得撤回、修改响应文件。</w:t>
      </w:r>
    </w:p>
    <w:p w14:paraId="1781DDFE">
      <w:pPr>
        <w:ind w:firstLine="480"/>
        <w:rPr>
          <w:rFonts w:ascii="宋体" w:hAnsi="宋体" w:cs="宋体"/>
          <w:color w:val="000000"/>
          <w:szCs w:val="21"/>
        </w:rPr>
      </w:pPr>
      <w:r>
        <w:t>24.3修改后重新提交的响应文件应当符合上述第22条、第23条规定。</w:t>
      </w:r>
    </w:p>
    <w:p w14:paraId="29611A8D">
      <w:pPr>
        <w:pStyle w:val="2"/>
      </w:pPr>
      <w:bookmarkStart w:id="196" w:name="_Toc11294"/>
      <w:bookmarkStart w:id="197" w:name="_Toc7748"/>
      <w:bookmarkStart w:id="198" w:name="_Toc11645"/>
      <w:bookmarkStart w:id="199" w:name="_Toc20200"/>
      <w:bookmarkStart w:id="200" w:name="_Toc32361"/>
      <w:bookmarkStart w:id="201" w:name="_Toc8634"/>
      <w:bookmarkStart w:id="202" w:name="_Toc10736"/>
      <w:bookmarkStart w:id="203" w:name="_Toc2635"/>
      <w:r>
        <w:t>四</w:t>
      </w:r>
      <w:r>
        <w:rPr>
          <w:rFonts w:hint="eastAsia"/>
        </w:rPr>
        <w:t>、响应文件开启、磋商</w:t>
      </w:r>
      <w:bookmarkEnd w:id="196"/>
      <w:bookmarkEnd w:id="197"/>
      <w:bookmarkEnd w:id="198"/>
      <w:bookmarkEnd w:id="199"/>
      <w:bookmarkEnd w:id="200"/>
      <w:bookmarkEnd w:id="201"/>
      <w:bookmarkEnd w:id="202"/>
      <w:bookmarkEnd w:id="203"/>
    </w:p>
    <w:p w14:paraId="239DA8B5">
      <w:pPr>
        <w:ind w:firstLine="480"/>
      </w:pPr>
      <w:r>
        <w:rPr>
          <w:rFonts w:hint="eastAsia"/>
        </w:rPr>
        <w:t>25.开标时间及地点</w:t>
      </w:r>
    </w:p>
    <w:p w14:paraId="640FB7D5">
      <w:pPr>
        <w:ind w:firstLine="480"/>
      </w:pPr>
      <w:r>
        <w:rPr>
          <w:rFonts w:hint="eastAsia"/>
        </w:rPr>
        <w:t>采购组织机构按照投标人须知前附表规定的开标时间及地点进行公开开标。</w:t>
      </w:r>
    </w:p>
    <w:p w14:paraId="04CE08F9">
      <w:pPr>
        <w:ind w:firstLine="480"/>
      </w:pPr>
      <w:r>
        <w:rPr>
          <w:rFonts w:hint="eastAsia"/>
        </w:rPr>
        <w:t>26.开评标程序</w:t>
      </w:r>
    </w:p>
    <w:p w14:paraId="6598F43A">
      <w:pPr>
        <w:ind w:firstLine="480"/>
      </w:pPr>
      <w:r>
        <w:rPr>
          <w:rFonts w:hint="eastAsia"/>
        </w:rPr>
        <w:t>26.1本项目原则上采用政采云电子招投标开标及评审程序。若投标人的投标文件因非自身原因在规定时间内无法解密或解密失败，工作人员将开启该投标人提交的备份投标文件，以完成开标。</w:t>
      </w:r>
    </w:p>
    <w:p w14:paraId="4BDCA20E">
      <w:pPr>
        <w:ind w:firstLine="480"/>
      </w:pPr>
      <w:r>
        <w:rPr>
          <w:rFonts w:hint="eastAsia"/>
        </w:rPr>
        <w:t>26.2电子投标开标及评审程序</w:t>
      </w:r>
    </w:p>
    <w:p w14:paraId="63B372B4">
      <w:pPr>
        <w:ind w:firstLine="480"/>
      </w:pPr>
      <w:r>
        <w:rPr>
          <w:rFonts w:hint="eastAsia"/>
        </w:rPr>
        <w:t>（1）开启投标文件，投标截止时间后，投标人登录政采云平台，用“项目采购-开标评标”功能对电子投标文件进行在线解密。</w:t>
      </w:r>
    </w:p>
    <w:p w14:paraId="23A343F1">
      <w:pPr>
        <w:ind w:firstLine="480"/>
      </w:pPr>
      <w:r>
        <w:rPr>
          <w:rFonts w:hint="eastAsia"/>
        </w:rPr>
        <w:t>（2）由评标委员会对投标人资格进行审查和商务部分评审。</w:t>
      </w:r>
    </w:p>
    <w:p w14:paraId="5E9271A3">
      <w:pPr>
        <w:ind w:firstLine="480"/>
      </w:pPr>
      <w:r>
        <w:rPr>
          <w:rFonts w:hint="eastAsia"/>
        </w:rPr>
        <w:t>（3）在系统上公开资格审查和商务评审结果。</w:t>
      </w:r>
    </w:p>
    <w:p w14:paraId="3B59891B">
      <w:pPr>
        <w:ind w:firstLine="480"/>
      </w:pPr>
      <w:r>
        <w:rPr>
          <w:rFonts w:hint="eastAsia"/>
        </w:rPr>
        <w:t>（4）磋商小组</w:t>
      </w:r>
      <w:r>
        <w:t>按照磋商方法与各供应商就服务质量、技术要求等进行磋商，磋商结束后供应商在规定时间内提交最</w:t>
      </w:r>
      <w:r>
        <w:rPr>
          <w:rFonts w:hint="eastAsia"/>
        </w:rPr>
        <w:t>后报价，最后报价是供应商响应文件的有效组成部分，提交最后报价的供应商可以为2家（实际</w:t>
      </w:r>
      <w:r>
        <w:t>以政采云系统操作方法为准）</w:t>
      </w:r>
      <w:r>
        <w:rPr>
          <w:rFonts w:hint="eastAsia"/>
        </w:rPr>
        <w:t>。</w:t>
      </w:r>
    </w:p>
    <w:p w14:paraId="3412A4FA">
      <w:pPr>
        <w:ind w:firstLine="480"/>
      </w:pPr>
      <w:r>
        <w:rPr>
          <w:rFonts w:hint="eastAsia"/>
        </w:rPr>
        <w:t>（5）由评标委员会对报价文件进行评审。</w:t>
      </w:r>
    </w:p>
    <w:p w14:paraId="19534852">
      <w:pPr>
        <w:ind w:firstLine="480"/>
      </w:pPr>
      <w:r>
        <w:rPr>
          <w:rFonts w:hint="eastAsia"/>
        </w:rPr>
        <w:t>（6）在系统上公布评审结果。</w:t>
      </w:r>
    </w:p>
    <w:p w14:paraId="45076B1E">
      <w:pPr>
        <w:ind w:firstLine="480"/>
      </w:pPr>
      <w:r>
        <w:rPr>
          <w:rFonts w:hint="eastAsia"/>
        </w:rPr>
        <w:t>注：政采云公司如对电子化开标及评审程序有调整的，按调整后的程序操作。</w:t>
      </w:r>
    </w:p>
    <w:p w14:paraId="452FADC5">
      <w:pPr>
        <w:ind w:firstLine="480"/>
      </w:pPr>
      <w:r>
        <w:rPr>
          <w:rFonts w:hint="eastAsia"/>
        </w:rPr>
        <w:t>26.3开标会议结束。</w:t>
      </w:r>
    </w:p>
    <w:p w14:paraId="2614D64A">
      <w:pPr>
        <w:ind w:firstLine="480"/>
        <w:rPr>
          <w:rFonts w:ascii="宋体" w:hAnsi="宋体" w:cs="宋体"/>
          <w:szCs w:val="21"/>
        </w:rPr>
      </w:pPr>
      <w:r>
        <w:rPr>
          <w:rFonts w:hint="eastAsia"/>
        </w:rPr>
        <w:t>27.评标委员会的组建及其评审、评标工作按照有关法律制度和本文件第六章的规定进行。</w:t>
      </w:r>
    </w:p>
    <w:p w14:paraId="5D0DE6F3">
      <w:pPr>
        <w:pStyle w:val="2"/>
      </w:pPr>
      <w:bookmarkStart w:id="204" w:name="_Toc8659"/>
      <w:bookmarkStart w:id="205" w:name="_Toc18327"/>
      <w:bookmarkStart w:id="206" w:name="_Toc19539"/>
      <w:bookmarkStart w:id="207" w:name="_Toc26039"/>
      <w:bookmarkStart w:id="208" w:name="_Toc9789"/>
      <w:bookmarkStart w:id="209" w:name="_Toc18925"/>
      <w:bookmarkStart w:id="210" w:name="_Toc31543"/>
      <w:bookmarkStart w:id="211" w:name="_Toc28808"/>
      <w:bookmarkStart w:id="212" w:name="_Toc13658"/>
      <w:bookmarkStart w:id="213" w:name="_Toc15320"/>
      <w:bookmarkStart w:id="214" w:name="_Toc5384"/>
      <w:bookmarkStart w:id="215" w:name="_Toc22776"/>
      <w:bookmarkStart w:id="216" w:name="_Toc24840"/>
      <w:bookmarkStart w:id="217" w:name="_Toc3405"/>
      <w:bookmarkStart w:id="218" w:name="_Toc27613"/>
      <w:bookmarkStart w:id="219" w:name="_Toc9229"/>
      <w:bookmarkStart w:id="220" w:name="_Toc13532"/>
      <w:bookmarkStart w:id="221" w:name="_Toc18938"/>
      <w:bookmarkStart w:id="222" w:name="_Toc6054"/>
      <w:bookmarkStart w:id="223" w:name="_Toc27100"/>
      <w:bookmarkStart w:id="224" w:name="_Toc22198"/>
      <w:r>
        <w:rPr>
          <w:rFonts w:hint="eastAsia"/>
          <w:lang w:val="zh-CN"/>
        </w:rPr>
        <w:t>五、</w:t>
      </w:r>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lang w:val="zh-CN"/>
        </w:rPr>
        <w:t>成交事项</w:t>
      </w:r>
      <w:bookmarkEnd w:id="217"/>
      <w:bookmarkEnd w:id="218"/>
      <w:bookmarkEnd w:id="219"/>
      <w:bookmarkEnd w:id="220"/>
      <w:bookmarkEnd w:id="221"/>
      <w:bookmarkEnd w:id="222"/>
      <w:bookmarkEnd w:id="223"/>
      <w:bookmarkEnd w:id="224"/>
    </w:p>
    <w:p w14:paraId="7571B2BE">
      <w:pPr>
        <w:ind w:firstLine="480"/>
      </w:pPr>
      <w:r>
        <w:rPr>
          <w:rFonts w:hint="eastAsia"/>
        </w:rPr>
        <w:t>28.确定成交供应商</w:t>
      </w:r>
    </w:p>
    <w:p w14:paraId="3AF21EFB">
      <w:pPr>
        <w:ind w:firstLine="480"/>
      </w:pPr>
      <w:r>
        <w:rPr>
          <w:rFonts w:hint="eastAsia"/>
        </w:rPr>
        <w:t>28.1采购代理机构自评审结束后2个工作日内将评标报告及有关资料送交采购人。</w:t>
      </w:r>
    </w:p>
    <w:p w14:paraId="1487E3E0">
      <w:pPr>
        <w:ind w:firstLine="480"/>
      </w:pPr>
      <w:r>
        <w:rPr>
          <w:rFonts w:hint="eastAsia"/>
        </w:rPr>
        <w:t>28.2采购人应当在收到评审报告及有关资料后5个工作日内，</w:t>
      </w:r>
      <w:r>
        <w:t>从评审报告提出的成交候选供应商中，按照得分由高到低排序的确定1家成交供应商。采购人逾期未确定成交供应商且不提出异议的，视为确定评审报告提出的排序第一的供应商为成交供应商</w:t>
      </w:r>
      <w:r>
        <w:rPr>
          <w:rFonts w:hint="eastAsia"/>
        </w:rPr>
        <w:t>。</w:t>
      </w:r>
    </w:p>
    <w:p w14:paraId="2194BE44">
      <w:pPr>
        <w:ind w:firstLine="480"/>
      </w:pPr>
      <w:r>
        <w:rPr>
          <w:rFonts w:hint="eastAsia"/>
        </w:rPr>
        <w:t>28.3</w:t>
      </w:r>
      <w:r>
        <w:t>采购人确定成交供应商过程中，发现成交候选供应商有下列情形之一的，应当不予确定其为成交供应商：</w:t>
      </w:r>
    </w:p>
    <w:p w14:paraId="2FD5FE9F">
      <w:pPr>
        <w:ind w:firstLine="480"/>
      </w:pPr>
      <w:r>
        <w:rPr>
          <w:rFonts w:hint="eastAsia"/>
        </w:rPr>
        <w:t>（</w:t>
      </w:r>
      <w:r>
        <w:t>1</w:t>
      </w:r>
      <w:r>
        <w:rPr>
          <w:rFonts w:hint="eastAsia"/>
        </w:rPr>
        <w:t>）</w:t>
      </w:r>
      <w:r>
        <w:t>发现成交候选供应商存在禁止参加本项目采购活动的违法行为的；</w:t>
      </w:r>
    </w:p>
    <w:p w14:paraId="12F3EF96">
      <w:pPr>
        <w:ind w:firstLine="480"/>
      </w:pPr>
      <w:r>
        <w:rPr>
          <w:rFonts w:hint="eastAsia"/>
        </w:rPr>
        <w:t>（</w:t>
      </w:r>
      <w:r>
        <w:t>2</w:t>
      </w:r>
      <w:r>
        <w:rPr>
          <w:rFonts w:hint="eastAsia"/>
        </w:rPr>
        <w:t>）</w:t>
      </w:r>
      <w:r>
        <w:t>成交候选供应商因不可抗力，不能继续参加政府采购活动的；</w:t>
      </w:r>
    </w:p>
    <w:p w14:paraId="5D4451B8">
      <w:pPr>
        <w:ind w:firstLine="480"/>
      </w:pPr>
      <w:r>
        <w:rPr>
          <w:rFonts w:hint="eastAsia"/>
        </w:rPr>
        <w:t>（</w:t>
      </w:r>
      <w:r>
        <w:t>3</w:t>
      </w:r>
      <w:r>
        <w:rPr>
          <w:rFonts w:hint="eastAsia"/>
        </w:rPr>
        <w:t>）</w:t>
      </w:r>
      <w:r>
        <w:t>成交候选供应商提供虚假材料的；</w:t>
      </w:r>
    </w:p>
    <w:p w14:paraId="5D552DE6">
      <w:pPr>
        <w:ind w:firstLine="480"/>
      </w:pPr>
      <w:r>
        <w:rPr>
          <w:rFonts w:hint="eastAsia"/>
        </w:rPr>
        <w:t>（</w:t>
      </w:r>
      <w:r>
        <w:t>4</w:t>
      </w:r>
      <w:r>
        <w:rPr>
          <w:rFonts w:hint="eastAsia"/>
        </w:rPr>
        <w:t>）</w:t>
      </w:r>
      <w:r>
        <w:t>成交候选供应商恶意串通的。</w:t>
      </w:r>
    </w:p>
    <w:p w14:paraId="1888C1B1">
      <w:pPr>
        <w:ind w:firstLine="480"/>
      </w:pPr>
      <w:r>
        <w:t>成交候选供应商有本条情形之一的，采购人可以确定后一位成交候选供应商为成交供应商，但须符合法定家数。无法确定成交供应商的，应当重新组织采购</w:t>
      </w:r>
      <w:r>
        <w:rPr>
          <w:rFonts w:hint="eastAsia"/>
        </w:rPr>
        <w:t>。</w:t>
      </w:r>
    </w:p>
    <w:p w14:paraId="36D8C86B">
      <w:pPr>
        <w:ind w:firstLine="480"/>
      </w:pPr>
      <w:r>
        <w:rPr>
          <w:rFonts w:hint="eastAsia"/>
        </w:rPr>
        <w:t>29.成交通知书</w:t>
      </w:r>
    </w:p>
    <w:p w14:paraId="56D07637">
      <w:pPr>
        <w:ind w:firstLine="480"/>
      </w:pPr>
      <w:r>
        <w:rPr>
          <w:rFonts w:hint="eastAsia"/>
        </w:rPr>
        <w:t>29.1采购代理机构应当自成交供应商确定之日起2个工作日内，发出成交通知书，</w:t>
      </w:r>
      <w:r>
        <w:t>并在供应商须知前附表指定的媒体上公告成交结果</w:t>
      </w:r>
      <w:r>
        <w:rPr>
          <w:rFonts w:hint="eastAsia"/>
        </w:rPr>
        <w:t>。</w:t>
      </w:r>
    </w:p>
    <w:p w14:paraId="64ECBF9B">
      <w:pPr>
        <w:ind w:firstLine="480"/>
      </w:pPr>
      <w:r>
        <w:rPr>
          <w:rFonts w:hint="eastAsia"/>
        </w:rPr>
        <w:t>29.2成交通知书发出后，成交供应商须于2个工作日内到采购代理机构领取成交通知书，拒绝领取成交通知书的，将视为放弃中标，取消其中标资格。采购人不得违法改变中标结果，成交供应商无正当理由不得放弃中标，否则将承担相应的法律责任。</w:t>
      </w:r>
    </w:p>
    <w:p w14:paraId="23886305">
      <w:pPr>
        <w:ind w:firstLine="480"/>
      </w:pPr>
      <w:r>
        <w:rPr>
          <w:rFonts w:hint="eastAsia"/>
        </w:rPr>
        <w:t>29.3成交供应商的投标文件本应作为投标无效处理或者有政府采购法律法规、规章规定的中标无效情形的，经查实，取消其中标资格，收回发出的成交通知书（成交供应商应当缴回），</w:t>
      </w:r>
      <w:r>
        <w:t>由排名之后的成交候选供应商替补，或者重新开展采购活动。</w:t>
      </w:r>
    </w:p>
    <w:p w14:paraId="34744D33">
      <w:pPr>
        <w:ind w:firstLine="480"/>
        <w:rPr>
          <w:rFonts w:ascii="宋体" w:hAnsi="宋体" w:cs="宋体"/>
          <w:szCs w:val="21"/>
        </w:rPr>
      </w:pPr>
      <w:r>
        <w:rPr>
          <w:rFonts w:hint="eastAsia"/>
        </w:rPr>
        <w:t>29.4成交通知书为签订采购合同的依据之一，是合同的有效组成部分。</w:t>
      </w:r>
    </w:p>
    <w:p w14:paraId="4A6967F7">
      <w:pPr>
        <w:pStyle w:val="2"/>
      </w:pPr>
      <w:bookmarkStart w:id="225" w:name="_Toc3174"/>
      <w:bookmarkStart w:id="226" w:name="_Toc10296"/>
      <w:bookmarkStart w:id="227" w:name="_Toc23386"/>
      <w:bookmarkStart w:id="228" w:name="_Toc3812"/>
      <w:bookmarkStart w:id="229" w:name="_Toc11752"/>
      <w:bookmarkStart w:id="230" w:name="_Toc7411"/>
      <w:bookmarkStart w:id="231" w:name="_Toc5727"/>
      <w:bookmarkStart w:id="232" w:name="_Toc6938"/>
      <w:bookmarkStart w:id="233" w:name="_Toc15745"/>
      <w:bookmarkStart w:id="234" w:name="_Toc18103"/>
      <w:bookmarkStart w:id="235" w:name="_Toc2742"/>
      <w:bookmarkStart w:id="236" w:name="_Toc3135"/>
      <w:bookmarkStart w:id="237" w:name="_Toc32620"/>
      <w:bookmarkStart w:id="238" w:name="_Toc2789"/>
      <w:bookmarkStart w:id="239" w:name="_Toc15405"/>
      <w:bookmarkStart w:id="240" w:name="_Toc9099"/>
      <w:bookmarkStart w:id="241" w:name="_Toc22377"/>
      <w:bookmarkStart w:id="242" w:name="_Toc23640"/>
      <w:bookmarkStart w:id="243" w:name="_Toc17868"/>
      <w:bookmarkStart w:id="244" w:name="_Toc3249"/>
      <w:bookmarkStart w:id="245" w:name="_Toc14855"/>
      <w:r>
        <w:rPr>
          <w:rFonts w:hint="eastAsia"/>
        </w:rPr>
        <w:t>六、</w:t>
      </w:r>
      <w:bookmarkEnd w:id="225"/>
      <w:bookmarkEnd w:id="226"/>
      <w:bookmarkEnd w:id="227"/>
      <w:bookmarkEnd w:id="228"/>
      <w:bookmarkEnd w:id="229"/>
      <w:bookmarkEnd w:id="230"/>
      <w:bookmarkEnd w:id="231"/>
      <w:bookmarkEnd w:id="232"/>
      <w:bookmarkEnd w:id="233"/>
      <w:bookmarkEnd w:id="234"/>
      <w:bookmarkEnd w:id="235"/>
      <w:bookmarkEnd w:id="236"/>
      <w:bookmarkEnd w:id="237"/>
      <w:r>
        <w:rPr>
          <w:rFonts w:hint="eastAsia"/>
        </w:rPr>
        <w:t>合同事项</w:t>
      </w:r>
      <w:bookmarkEnd w:id="238"/>
      <w:bookmarkEnd w:id="239"/>
      <w:bookmarkEnd w:id="240"/>
      <w:bookmarkEnd w:id="241"/>
      <w:bookmarkEnd w:id="242"/>
      <w:bookmarkEnd w:id="243"/>
      <w:bookmarkEnd w:id="244"/>
      <w:bookmarkEnd w:id="245"/>
    </w:p>
    <w:p w14:paraId="6505F9CC">
      <w:pPr>
        <w:ind w:firstLine="480"/>
      </w:pPr>
      <w:r>
        <w:t>30</w:t>
      </w:r>
      <w:r>
        <w:rPr>
          <w:rFonts w:hint="eastAsia"/>
        </w:rPr>
        <w:t>.</w:t>
      </w:r>
      <w:r>
        <w:t>履约保证金</w:t>
      </w:r>
    </w:p>
    <w:p w14:paraId="7FF00BC8">
      <w:pPr>
        <w:ind w:firstLine="480"/>
      </w:pPr>
      <w:r>
        <w:t>30.1成交供应商应在本项目合同签订前按供应商须知前附表规定交纳足额履约保证金（不交纳除外）。</w:t>
      </w:r>
    </w:p>
    <w:p w14:paraId="3B057BF6">
      <w:pPr>
        <w:ind w:firstLine="480"/>
      </w:pPr>
      <w:r>
        <w:t>30.2如成交供应商未按规定交纳履约保证金，且又无正当理由的，将视为放弃成交。</w:t>
      </w:r>
    </w:p>
    <w:p w14:paraId="413F7D63">
      <w:pPr>
        <w:ind w:firstLine="480"/>
      </w:pPr>
      <w:r>
        <w:rPr>
          <w:rFonts w:hint="eastAsia"/>
        </w:rPr>
        <w:t>31.合同签订</w:t>
      </w:r>
    </w:p>
    <w:p w14:paraId="75F8BD8B">
      <w:pPr>
        <w:ind w:firstLine="480"/>
      </w:pPr>
      <w:r>
        <w:rPr>
          <w:rFonts w:hint="eastAsia"/>
        </w:rPr>
        <w:t>31.1成交供应商须按照投标人须知前附表规定的时间、地点与采购人签订采购合同。由于成交供应商的原因逾期未与采购人签订采购合同的，将视为放弃中标，取消其中标资格并将按相关规定进行处理。</w:t>
      </w:r>
    </w:p>
    <w:p w14:paraId="060863B0">
      <w:pPr>
        <w:ind w:firstLine="480"/>
      </w:pPr>
      <w:r>
        <w:rPr>
          <w:rFonts w:hint="eastAsia"/>
        </w:rPr>
        <w:t>31.2成交通知书、招标文件、澄清文件及成交供应商的投标文件等均为签订合同的依据。</w:t>
      </w:r>
    </w:p>
    <w:p w14:paraId="31765640">
      <w:pPr>
        <w:ind w:firstLine="480"/>
      </w:pPr>
      <w:r>
        <w:rPr>
          <w:rFonts w:hint="eastAsia"/>
        </w:rPr>
        <w:t>31.3采购人不得向成交供应商提出任何不合理的要求，作为签订合同的条件，不得与成交供应商私下签订背离合同实质性内容的任何协议，所签订的合同不得对招标文件和成交供应商投标文件确定的事项进行修改。</w:t>
      </w:r>
    </w:p>
    <w:p w14:paraId="65CEB467">
      <w:pPr>
        <w:ind w:firstLine="480"/>
      </w:pPr>
      <w:r>
        <w:rPr>
          <w:rFonts w:hint="eastAsia"/>
        </w:rPr>
        <w:t>31.4</w:t>
      </w:r>
      <w:r>
        <w:t>成交供应商因自身原因放弃成交或因不可抗力不能履行合同的或者违反法律法规、磋商文件规定的，在符合法律法规规定下采购人可以与排位在成交供应商之后的成交候选人签订政府采购合同，或者重新组织采购。</w:t>
      </w:r>
    </w:p>
    <w:p w14:paraId="7D0E8C1C">
      <w:pPr>
        <w:ind w:firstLine="480"/>
      </w:pPr>
      <w:r>
        <w:rPr>
          <w:rFonts w:hint="eastAsia"/>
        </w:rPr>
        <w:t>32.补充合同</w:t>
      </w:r>
    </w:p>
    <w:p w14:paraId="3FAF7729">
      <w:pPr>
        <w:ind w:firstLine="480"/>
      </w:pPr>
      <w:r>
        <w:rPr>
          <w:rFonts w:hint="eastAsia"/>
        </w:rPr>
        <w:t>采购合同履行中，采购人需要追加与合同标的相同的货物或者服务的，在不改变合同其他条款的前提下，可以与成交供应商签订补充合同，但所有补充合同的采购金额不得超过原合同采购金额的10%，该补充合同应当在原采购合同履行过程中，不得在原采购合同履行结束后，且采购货物、工程和服务的名称、价格、履行方式、验收标准等必须与原采购合同一致。</w:t>
      </w:r>
    </w:p>
    <w:p w14:paraId="39B6D767">
      <w:pPr>
        <w:ind w:firstLine="480"/>
      </w:pPr>
      <w:r>
        <w:rPr>
          <w:rFonts w:hint="eastAsia"/>
        </w:rPr>
        <w:t>33.合同公告</w:t>
      </w:r>
    </w:p>
    <w:p w14:paraId="2CE7BCFA">
      <w:pPr>
        <w:ind w:firstLine="480"/>
      </w:pPr>
      <w:r>
        <w:rPr>
          <w:rFonts w:hint="eastAsia"/>
        </w:rPr>
        <w:t>采购人应当自采购合同签订（双方当事人均已签字盖章）之日起2个工作日内，将采购合同在政府采购网公告，但采购合同中涉及国家秘密、商业秘密的内容除外。</w:t>
      </w:r>
    </w:p>
    <w:p w14:paraId="6059BBC2">
      <w:pPr>
        <w:ind w:firstLine="480"/>
      </w:pPr>
      <w:r>
        <w:rPr>
          <w:rFonts w:hint="eastAsia"/>
        </w:rPr>
        <w:t>34.合同备案</w:t>
      </w:r>
    </w:p>
    <w:p w14:paraId="11BA597D">
      <w:pPr>
        <w:ind w:firstLine="480"/>
      </w:pPr>
      <w:r>
        <w:rPr>
          <w:rFonts w:hint="eastAsia"/>
        </w:rPr>
        <w:t>34.1成交供应商与采购人签订合同后，合同双方应严格执行合同条款，履行合同规定的义务，保证合同的顺利完成。</w:t>
      </w:r>
    </w:p>
    <w:p w14:paraId="4C611F95">
      <w:pPr>
        <w:ind w:firstLine="480"/>
      </w:pPr>
      <w:r>
        <w:rPr>
          <w:rFonts w:hint="eastAsia"/>
        </w:rPr>
        <w:t>34.2在合同履行过程中，如发生合同纠纷，合同双方应按照《民法典》的有关规定进行处理。</w:t>
      </w:r>
    </w:p>
    <w:p w14:paraId="5E14310C">
      <w:pPr>
        <w:pStyle w:val="2"/>
      </w:pPr>
      <w:bookmarkStart w:id="246" w:name="_Toc22060"/>
      <w:bookmarkStart w:id="247" w:name="_Toc19713"/>
      <w:bookmarkStart w:id="248" w:name="_Toc19293"/>
      <w:bookmarkStart w:id="249" w:name="_Toc15767"/>
      <w:bookmarkStart w:id="250" w:name="_Toc17192"/>
      <w:bookmarkStart w:id="251" w:name="_Toc28121"/>
      <w:bookmarkStart w:id="252" w:name="_Toc1528"/>
      <w:bookmarkStart w:id="253" w:name="_Toc20271"/>
      <w:bookmarkStart w:id="254" w:name="_Toc15246"/>
      <w:bookmarkStart w:id="255" w:name="_Toc13561"/>
      <w:bookmarkStart w:id="256" w:name="_Toc25660"/>
      <w:bookmarkStart w:id="257" w:name="_Toc6377"/>
      <w:bookmarkStart w:id="258" w:name="_Toc11181"/>
      <w:bookmarkStart w:id="259" w:name="_Toc22547"/>
      <w:bookmarkStart w:id="260" w:name="_Toc9892"/>
      <w:bookmarkStart w:id="261" w:name="_Toc24605"/>
      <w:bookmarkStart w:id="262" w:name="_Toc7476"/>
      <w:bookmarkStart w:id="263" w:name="_Toc18228"/>
      <w:bookmarkStart w:id="264" w:name="_Toc613"/>
      <w:bookmarkStart w:id="265" w:name="_Toc11648"/>
      <w:bookmarkStart w:id="266" w:name="_Toc3657"/>
      <w:r>
        <w:rPr>
          <w:rFonts w:hint="eastAsia"/>
        </w:rPr>
        <w:t>七、</w:t>
      </w:r>
      <w:bookmarkEnd w:id="246"/>
      <w:bookmarkEnd w:id="247"/>
      <w:bookmarkEnd w:id="248"/>
      <w:bookmarkEnd w:id="249"/>
      <w:bookmarkEnd w:id="250"/>
      <w:bookmarkEnd w:id="251"/>
      <w:bookmarkEnd w:id="252"/>
      <w:bookmarkEnd w:id="253"/>
      <w:bookmarkEnd w:id="254"/>
      <w:bookmarkEnd w:id="255"/>
      <w:bookmarkEnd w:id="256"/>
      <w:bookmarkEnd w:id="257"/>
      <w:bookmarkEnd w:id="258"/>
      <w:r>
        <w:rPr>
          <w:rFonts w:hint="eastAsia"/>
        </w:rPr>
        <w:t>质疑与投诉</w:t>
      </w:r>
      <w:bookmarkEnd w:id="259"/>
      <w:bookmarkEnd w:id="260"/>
      <w:bookmarkEnd w:id="261"/>
      <w:bookmarkEnd w:id="262"/>
      <w:bookmarkEnd w:id="263"/>
      <w:bookmarkEnd w:id="264"/>
      <w:bookmarkEnd w:id="265"/>
      <w:bookmarkEnd w:id="266"/>
    </w:p>
    <w:p w14:paraId="3592013F">
      <w:pPr>
        <w:ind w:firstLine="480"/>
      </w:pPr>
      <w:r>
        <w:rPr>
          <w:rFonts w:hint="eastAsia"/>
        </w:rPr>
        <w:t>35.质疑提出</w:t>
      </w:r>
    </w:p>
    <w:p w14:paraId="1B478A13">
      <w:pPr>
        <w:ind w:firstLine="480"/>
      </w:pPr>
      <w:r>
        <w:rPr>
          <w:rFonts w:hint="eastAsia"/>
        </w:rPr>
        <w:t>35.1符合《中华人民共和国政府采购法》《中华人民共和国政府采购法实施条例》《政府采购质疑和投诉办法》（财政部令第94号）等有关法律法规规定。</w:t>
      </w:r>
    </w:p>
    <w:p w14:paraId="725ED89F">
      <w:pPr>
        <w:ind w:firstLine="480"/>
      </w:pPr>
      <w:r>
        <w:rPr>
          <w:rFonts w:hint="eastAsia"/>
        </w:rPr>
        <w:t>35.2提交的质疑函应符合财政部《政府采购供应商质疑函范本》要求。</w:t>
      </w:r>
    </w:p>
    <w:p w14:paraId="51C1DEB5">
      <w:pPr>
        <w:ind w:firstLine="480"/>
      </w:pPr>
      <w:r>
        <w:rPr>
          <w:rFonts w:hint="eastAsia"/>
        </w:rPr>
        <w:t>35.3投标人认为采购文件、采购过程和中标结果使自己的权益受到损害的，可以在知道或者应知其权益受到损害之日起7个工作日内，以书面形式向采购人、采购代理机构提出质疑。投标人在法定质疑期内一次性提出针对同一采购程序环节的质疑。</w:t>
      </w:r>
    </w:p>
    <w:p w14:paraId="620CA92C">
      <w:pPr>
        <w:ind w:firstLine="480"/>
      </w:pPr>
      <w:r>
        <w:rPr>
          <w:rFonts w:hint="eastAsia"/>
        </w:rPr>
        <w:t>35.4潜在投标人已依法获取采购文件，可以对该文件提出质疑。采购人拒绝受理未提交投标文件的投标人对采购过程和中标结果提出质疑。</w:t>
      </w:r>
    </w:p>
    <w:p w14:paraId="2B2E2211">
      <w:pPr>
        <w:ind w:firstLine="480"/>
      </w:pPr>
      <w:r>
        <w:rPr>
          <w:rFonts w:hint="eastAsia"/>
        </w:rPr>
        <w:t>35.5质疑提出起算日期</w:t>
      </w:r>
    </w:p>
    <w:p w14:paraId="656F7341">
      <w:pPr>
        <w:ind w:firstLine="480"/>
      </w:pPr>
      <w:r>
        <w:rPr>
          <w:rFonts w:hint="eastAsia"/>
        </w:rPr>
        <w:t>（1）对采购文件提出质疑的，自供应商获取招标文件之日起或者公告届满之日起开始计算，且应当在开标时间前24小时前提出，否则，被质疑人可不予受理。</w:t>
      </w:r>
    </w:p>
    <w:p w14:paraId="2DF3D324">
      <w:pPr>
        <w:ind w:firstLine="480"/>
      </w:pPr>
      <w:r>
        <w:rPr>
          <w:rFonts w:hint="eastAsia"/>
        </w:rPr>
        <w:t>（2）对采购过程提出质疑的，质疑期限自各采购程序环节结束之日起计算。</w:t>
      </w:r>
    </w:p>
    <w:p w14:paraId="52377C18">
      <w:pPr>
        <w:ind w:firstLine="480"/>
      </w:pPr>
      <w:r>
        <w:rPr>
          <w:rFonts w:hint="eastAsia"/>
        </w:rPr>
        <w:t>（3）对采购结果提出质疑的，质疑期限自采购结果公告（包括公示、预公告、结果变更公告等）之日起计算。</w:t>
      </w:r>
    </w:p>
    <w:p w14:paraId="0040ACD0">
      <w:pPr>
        <w:ind w:firstLine="480"/>
      </w:pPr>
      <w:r>
        <w:rPr>
          <w:rFonts w:hint="eastAsia"/>
        </w:rPr>
        <w:t>（4）投标人逾期提出质疑的，采购人或采购代理机构均不予受理和答复。</w:t>
      </w:r>
    </w:p>
    <w:p w14:paraId="4868D211">
      <w:pPr>
        <w:ind w:firstLine="480"/>
      </w:pPr>
      <w:r>
        <w:rPr>
          <w:rFonts w:hint="eastAsia"/>
        </w:rPr>
        <w:t>36.质疑答复</w:t>
      </w:r>
    </w:p>
    <w:p w14:paraId="6F251C76">
      <w:pPr>
        <w:ind w:firstLine="480"/>
      </w:pPr>
      <w:r>
        <w:rPr>
          <w:rFonts w:hint="eastAsia"/>
        </w:rPr>
        <w:t>采购人应当在收到投标人的书面质疑后7个工作日内作出答复，并以书面形式通知质疑供应商和其他与质疑处理结果有利害关系的采购当事人，但答复的内容不得涉及商业秘密。</w:t>
      </w:r>
    </w:p>
    <w:p w14:paraId="31A44FF1">
      <w:pPr>
        <w:ind w:firstLine="480"/>
      </w:pPr>
      <w:r>
        <w:rPr>
          <w:rFonts w:hint="eastAsia"/>
        </w:rPr>
        <w:t>37.投诉</w:t>
      </w:r>
    </w:p>
    <w:p w14:paraId="41C2CE40">
      <w:pPr>
        <w:ind w:firstLine="480"/>
      </w:pPr>
      <w:r>
        <w:rPr>
          <w:rFonts w:hint="eastAsia"/>
        </w:rPr>
        <w:t>37.1质疑供应商对采购人未在规定时间内作出答复的，可以在答复期满后15个工作日内向丽水市财政局投诉。若对质疑答复不满意的，应当自答复的次日起15个工作日内向丽水市财政局投诉。</w:t>
      </w:r>
    </w:p>
    <w:p w14:paraId="1DFB2F5D">
      <w:pPr>
        <w:ind w:firstLine="480"/>
        <w:rPr>
          <w:rFonts w:ascii="宋体" w:hAnsi="宋体" w:cs="宋体"/>
          <w:szCs w:val="21"/>
        </w:rPr>
      </w:pPr>
      <w:r>
        <w:rPr>
          <w:rFonts w:hint="eastAsia"/>
        </w:rPr>
        <w:t>37.2供应商提交的投诉书应符合财政部《政府采购供应商投诉书范本》要求。</w:t>
      </w:r>
    </w:p>
    <w:p w14:paraId="5BDD83FD">
      <w:pPr>
        <w:pStyle w:val="2"/>
      </w:pPr>
      <w:bookmarkStart w:id="267" w:name="_Toc25612"/>
      <w:bookmarkStart w:id="268" w:name="_Toc15929"/>
      <w:bookmarkStart w:id="269" w:name="_Toc9643"/>
      <w:bookmarkStart w:id="270" w:name="_Toc13845"/>
      <w:bookmarkStart w:id="271" w:name="_Toc15353"/>
      <w:bookmarkStart w:id="272" w:name="_Toc32460"/>
      <w:bookmarkStart w:id="273" w:name="_Toc27803"/>
      <w:bookmarkStart w:id="274" w:name="_Toc19656"/>
      <w:bookmarkStart w:id="275" w:name="_Toc3101"/>
      <w:bookmarkStart w:id="276" w:name="_Toc12178"/>
      <w:bookmarkStart w:id="277" w:name="_Toc11384"/>
      <w:bookmarkStart w:id="278" w:name="_Toc17403"/>
      <w:bookmarkStart w:id="279" w:name="_Toc10636"/>
      <w:bookmarkStart w:id="280" w:name="_Toc25731"/>
      <w:bookmarkStart w:id="281" w:name="_Toc32052"/>
      <w:bookmarkStart w:id="282" w:name="_Toc16927"/>
      <w:bookmarkStart w:id="283" w:name="_Toc22578"/>
      <w:bookmarkStart w:id="284" w:name="_Toc30126"/>
      <w:bookmarkStart w:id="285" w:name="_Toc14781"/>
      <w:bookmarkStart w:id="286" w:name="_Toc19308"/>
      <w:r>
        <w:rPr>
          <w:rFonts w:hint="eastAsia"/>
        </w:rPr>
        <w:t>八、</w:t>
      </w:r>
      <w:bookmarkEnd w:id="267"/>
      <w:bookmarkEnd w:id="268"/>
      <w:bookmarkEnd w:id="269"/>
      <w:bookmarkEnd w:id="270"/>
      <w:bookmarkEnd w:id="271"/>
      <w:bookmarkEnd w:id="272"/>
      <w:bookmarkEnd w:id="273"/>
      <w:bookmarkEnd w:id="274"/>
      <w:bookmarkEnd w:id="275"/>
      <w:bookmarkEnd w:id="276"/>
      <w:bookmarkEnd w:id="277"/>
      <w:bookmarkEnd w:id="278"/>
      <w:r>
        <w:rPr>
          <w:rFonts w:hint="eastAsia"/>
        </w:rPr>
        <w:t>投标纪律要求</w:t>
      </w:r>
      <w:bookmarkEnd w:id="279"/>
      <w:bookmarkEnd w:id="280"/>
      <w:bookmarkEnd w:id="281"/>
      <w:bookmarkEnd w:id="282"/>
      <w:bookmarkEnd w:id="283"/>
      <w:bookmarkEnd w:id="284"/>
      <w:bookmarkEnd w:id="285"/>
      <w:bookmarkEnd w:id="286"/>
    </w:p>
    <w:p w14:paraId="12CA4D91">
      <w:pPr>
        <w:ind w:firstLine="480"/>
      </w:pPr>
      <w:r>
        <w:rPr>
          <w:rFonts w:hint="eastAsia"/>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t>同时将取消中标资格或者认定中标无效</w:t>
      </w:r>
      <w:r>
        <w:rPr>
          <w:rFonts w:hint="eastAsia"/>
        </w:rPr>
        <w:t>：</w:t>
      </w:r>
    </w:p>
    <w:p w14:paraId="46B43D38">
      <w:pPr>
        <w:ind w:firstLine="480"/>
      </w:pPr>
      <w:r>
        <w:t>38.1提供虚假材料谋取中标；</w:t>
      </w:r>
    </w:p>
    <w:p w14:paraId="023B26BF">
      <w:pPr>
        <w:ind w:firstLine="480"/>
      </w:pPr>
      <w:r>
        <w:t>38.2采取不正当手段诋毁、排挤其他供应商；</w:t>
      </w:r>
    </w:p>
    <w:p w14:paraId="760198FB">
      <w:pPr>
        <w:ind w:firstLine="480"/>
      </w:pPr>
      <w:r>
        <w:t>38.3与采购人、其他供应商恶意串通；</w:t>
      </w:r>
    </w:p>
    <w:p w14:paraId="0D9BC43F">
      <w:pPr>
        <w:ind w:firstLine="480"/>
      </w:pPr>
      <w:r>
        <w:t>38.4向采购人、磋商小组成员行贿或者提供其他不正当利益；</w:t>
      </w:r>
    </w:p>
    <w:p w14:paraId="5447E908">
      <w:pPr>
        <w:ind w:firstLine="480"/>
      </w:pPr>
      <w:r>
        <w:t>38.5在招标过程中与采购人进行协商谈判；</w:t>
      </w:r>
    </w:p>
    <w:p w14:paraId="01962AF4">
      <w:pPr>
        <w:ind w:firstLine="480"/>
      </w:pPr>
      <w:r>
        <w:t>38.6成交供应商无正当理由拖延或者不与采购人采购合同；</w:t>
      </w:r>
    </w:p>
    <w:p w14:paraId="5AF2A091">
      <w:pPr>
        <w:ind w:firstLine="480"/>
      </w:pPr>
      <w:r>
        <w:t>38.7未按照采购文件确定的事项签订采购合同；</w:t>
      </w:r>
    </w:p>
    <w:p w14:paraId="696D2C9E">
      <w:pPr>
        <w:ind w:firstLine="480"/>
      </w:pPr>
      <w:r>
        <w:t>38.8将采购合同转包或者违规分包；</w:t>
      </w:r>
    </w:p>
    <w:p w14:paraId="6E0395B4">
      <w:pPr>
        <w:ind w:firstLine="480"/>
      </w:pPr>
      <w:r>
        <w:t>38.9提供假冒伪劣产品；</w:t>
      </w:r>
    </w:p>
    <w:p w14:paraId="440AA666">
      <w:pPr>
        <w:ind w:firstLine="480"/>
      </w:pPr>
      <w:r>
        <w:t>38.10擅自变更、中止或者终止采购合同；</w:t>
      </w:r>
    </w:p>
    <w:p w14:paraId="6213B5BF">
      <w:pPr>
        <w:ind w:firstLine="480"/>
      </w:pPr>
      <w:r>
        <w:t>38.11拒绝有关部门的监督检查或者向监督检查部门提供虚假情况；</w:t>
      </w:r>
    </w:p>
    <w:p w14:paraId="52736F9E">
      <w:pPr>
        <w:ind w:firstLine="480"/>
        <w:rPr>
          <w:rFonts w:ascii="宋体" w:hAnsi="宋体" w:cs="宋体"/>
          <w:szCs w:val="21"/>
        </w:rPr>
      </w:pPr>
      <w:r>
        <w:t>38.12法律法规规定的其他情形。</w:t>
      </w:r>
    </w:p>
    <w:p w14:paraId="06FF3769">
      <w:pPr>
        <w:pStyle w:val="2"/>
      </w:pPr>
      <w:bookmarkStart w:id="287" w:name="_Toc26123"/>
      <w:bookmarkStart w:id="288" w:name="_Toc25579"/>
      <w:bookmarkStart w:id="289" w:name="_Toc18793"/>
      <w:bookmarkStart w:id="290" w:name="_Toc4020"/>
      <w:bookmarkStart w:id="291" w:name="_Toc29437"/>
      <w:bookmarkStart w:id="292" w:name="_Toc15086"/>
      <w:bookmarkStart w:id="293" w:name="_Toc1082"/>
      <w:bookmarkStart w:id="294" w:name="_Toc3432"/>
      <w:r>
        <w:rPr>
          <w:rFonts w:hint="eastAsia"/>
        </w:rPr>
        <w:t>九、落实政府采购政策需满足的要求</w:t>
      </w:r>
      <w:bookmarkEnd w:id="287"/>
      <w:bookmarkEnd w:id="288"/>
      <w:bookmarkEnd w:id="289"/>
      <w:bookmarkEnd w:id="290"/>
      <w:bookmarkEnd w:id="291"/>
      <w:bookmarkEnd w:id="292"/>
      <w:bookmarkEnd w:id="293"/>
      <w:bookmarkEnd w:id="294"/>
    </w:p>
    <w:p w14:paraId="51395746">
      <w:pPr>
        <w:ind w:firstLine="480"/>
      </w:pPr>
      <w:r>
        <w:rPr>
          <w:rFonts w:hint="eastAsia"/>
        </w:rPr>
        <w:t>39.小微企业</w:t>
      </w:r>
    </w:p>
    <w:p w14:paraId="31682D5D">
      <w:pPr>
        <w:ind w:firstLine="480"/>
      </w:pPr>
      <w:r>
        <w:rPr>
          <w:rFonts w:hint="eastAsia"/>
        </w:rPr>
        <w:t>根据财政工信部《关于印发（政府采购促进中小企业发展管理办法）的通知》财库（2020）46号的相关规定。本项目属于专门面向中小企业/小微企业。</w:t>
      </w:r>
    </w:p>
    <w:p w14:paraId="405F6DD4">
      <w:pPr>
        <w:ind w:firstLine="480"/>
      </w:pPr>
      <w:r>
        <w:t>39.1</w:t>
      </w:r>
      <w:r>
        <w:rPr>
          <w:rFonts w:hint="eastAsia"/>
        </w:rPr>
        <w:t>小型微型企业划型标准</w:t>
      </w:r>
    </w:p>
    <w:p w14:paraId="32AC556D">
      <w:pPr>
        <w:ind w:firstLine="480"/>
      </w:pPr>
      <w:r>
        <w:rPr>
          <w:rFonts w:hint="eastAsia"/>
        </w:rPr>
        <w:t>1.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14:paraId="0F8C1C5E">
      <w:pPr>
        <w:ind w:firstLine="480"/>
      </w:pPr>
      <w:r>
        <w:rPr>
          <w:rFonts w:hint="eastAsia"/>
        </w:rPr>
        <w:t>符合中小企业划分标准的个体工商户，在政府采购活动中视同小型企业和微型企业。</w:t>
      </w:r>
    </w:p>
    <w:p w14:paraId="11D250AD">
      <w:pPr>
        <w:ind w:firstLine="480"/>
      </w:pPr>
      <w:r>
        <w:rPr>
          <w:rFonts w:hint="eastAsia"/>
        </w:rPr>
        <w:t>39.2所属行业：其他未列明行业。从业人员300人以下的为中小微型企业。其中，从业人员100人及以上的为中型企业；从业人员10人及以上的为小型企业；从业人员10人以下的为微型企业。</w:t>
      </w:r>
    </w:p>
    <w:p w14:paraId="0028CB7E">
      <w:pPr>
        <w:ind w:firstLine="480"/>
      </w:pPr>
      <w:r>
        <w:rPr>
          <w:rFonts w:hint="eastAsia"/>
        </w:rPr>
        <w:t>39.3中型、小型和微型企业参加政府采购活动的须提供《中小企业声明函》（格式见附件），否则不得享受相关中小企业扶持政策。</w:t>
      </w:r>
    </w:p>
    <w:p w14:paraId="3D671E75">
      <w:pPr>
        <w:ind w:firstLine="480"/>
      </w:pPr>
      <w:r>
        <w:rPr>
          <w:rFonts w:hint="eastAsia"/>
        </w:rPr>
        <w:t>（1）在货物采购项目中，货物应当由中小企业制造，不对其中涉及的服务的承接商作出要求。即货物由中小企业生产且使用该中小企业商号或注册商标，供货商提供的货物既有中小企业制造货物，也有大型企业制造货物，不享受本办法规定的中小企业扶持；</w:t>
      </w:r>
    </w:p>
    <w:p w14:paraId="2F937AC5">
      <w:pPr>
        <w:ind w:firstLine="480"/>
      </w:pPr>
      <w:r>
        <w:rPr>
          <w:rFonts w:hint="eastAsia"/>
        </w:rPr>
        <w:t>（2）在工程项目采购中，工程应当由中小企业承建，不对其中涉及的货物的制造商和服务的承接商作出要求。</w:t>
      </w:r>
    </w:p>
    <w:p w14:paraId="2619DF69">
      <w:pPr>
        <w:ind w:firstLine="480"/>
      </w:pPr>
      <w:r>
        <w:rPr>
          <w:rFonts w:hint="eastAsia"/>
        </w:rPr>
        <w:t>（3）在服务项目采购中，服务的承接商应当为中小企业，不对其中涉及的货物的制造商作出要求。</w:t>
      </w:r>
    </w:p>
    <w:p w14:paraId="30824AAE">
      <w:pPr>
        <w:ind w:firstLine="480"/>
      </w:pPr>
      <w:r>
        <w:rPr>
          <w:rFonts w:hint="eastAsia"/>
        </w:rPr>
        <w:t>39.4不可享受本办法规定的中小企业扶持政策的情形</w:t>
      </w:r>
    </w:p>
    <w:p w14:paraId="4BB12E91">
      <w:pPr>
        <w:ind w:firstLine="480"/>
      </w:pPr>
      <w:r>
        <w:rPr>
          <w:rFonts w:hint="eastAsia"/>
        </w:rPr>
        <w:t>（1）未提供《中小企业声明函》，或者提供的《中小企业声明函》不符合相关规定。</w:t>
      </w:r>
    </w:p>
    <w:p w14:paraId="197BB457">
      <w:pPr>
        <w:ind w:firstLine="480"/>
      </w:pPr>
      <w:r>
        <w:rPr>
          <w:rFonts w:hint="eastAsia"/>
        </w:rPr>
        <w:t>（2）监狱企业、残疾人福利性单位属于小型微型企业的，不重复享受小微企业优惠政策。</w:t>
      </w:r>
    </w:p>
    <w:p w14:paraId="4BA6B614">
      <w:pPr>
        <w:ind w:firstLine="480"/>
      </w:pPr>
      <w:r>
        <w:rPr>
          <w:rFonts w:hint="eastAsia"/>
        </w:rPr>
        <w:t>（3）事业单位和社会团体不属于企业，不享受小微企业扶持政策。</w:t>
      </w:r>
    </w:p>
    <w:p w14:paraId="508A01CB">
      <w:pPr>
        <w:ind w:firstLine="480"/>
      </w:pPr>
      <w:r>
        <w:rPr>
          <w:rFonts w:hint="eastAsia"/>
        </w:rPr>
        <w:t>40.监狱企业</w:t>
      </w:r>
    </w:p>
    <w:p w14:paraId="34EEC9BD">
      <w:pPr>
        <w:ind w:firstLine="480"/>
      </w:pPr>
      <w:r>
        <w:rPr>
          <w:rFonts w:hint="eastAsia"/>
        </w:rPr>
        <w:t>根据财政部、司法部《关于政府采购支持监狱企业发展有关问题的通知》（财库[2014]68号）的规定，监狱企业视同小微企业。</w:t>
      </w:r>
    </w:p>
    <w:p w14:paraId="302EDF36">
      <w:pPr>
        <w:ind w:firstLine="480"/>
      </w:pPr>
      <w:r>
        <w:rPr>
          <w:rFonts w:hint="eastAsia"/>
        </w:rPr>
        <w:t>监狱企业应当提供《监狱企业声明函》及由省级以上监狱管理局、戒毒管理局（含新疆生产建设兵团）出具的属于监狱企业证明文件的，否则不予认可。</w:t>
      </w:r>
    </w:p>
    <w:p w14:paraId="3F9FAB58">
      <w:pPr>
        <w:ind w:firstLine="480"/>
      </w:pPr>
      <w:r>
        <w:rPr>
          <w:rFonts w:hint="eastAsia"/>
        </w:rPr>
        <w:t>41.残疾人福利性单位</w:t>
      </w:r>
    </w:p>
    <w:p w14:paraId="5828F45F">
      <w:pPr>
        <w:ind w:firstLine="480"/>
      </w:pPr>
      <w:r>
        <w:rPr>
          <w:rFonts w:hint="eastAsia"/>
        </w:rPr>
        <w:t>根据财政部、民政部、中国残疾人联合会《关于促进残疾人就业政府采购政策的通知》（财库〔2017〕141号）规定，残疾人福利性单位视同小型微型企业。</w:t>
      </w:r>
    </w:p>
    <w:p w14:paraId="30BBF4A6">
      <w:pPr>
        <w:ind w:firstLine="480"/>
        <w:rPr>
          <w:rFonts w:ascii="宋体" w:hAnsi="宋体" w:cs="宋体"/>
          <w:color w:val="000000"/>
          <w:szCs w:val="21"/>
        </w:rPr>
      </w:pPr>
      <w:r>
        <w:rPr>
          <w:rFonts w:hint="eastAsia"/>
        </w:rPr>
        <w:t>残疾人福利性单位应当提供《残疾人福利性单位声明函》，否则不予认可。</w:t>
      </w:r>
    </w:p>
    <w:p w14:paraId="6F234A14">
      <w:pPr>
        <w:ind w:firstLine="480"/>
      </w:pPr>
      <w:bookmarkStart w:id="295" w:name="_Toc11031"/>
      <w:bookmarkStart w:id="296" w:name="_Toc14470"/>
      <w:bookmarkStart w:id="297" w:name="_Toc1571"/>
      <w:bookmarkStart w:id="298" w:name="_Toc8522"/>
      <w:bookmarkStart w:id="299" w:name="_Toc9221"/>
      <w:bookmarkStart w:id="300" w:name="_Toc1247"/>
      <w:bookmarkStart w:id="301" w:name="_Toc1491"/>
      <w:bookmarkStart w:id="302" w:name="_Toc13003"/>
      <w:bookmarkStart w:id="303" w:name="_Toc31762"/>
      <w:bookmarkStart w:id="304" w:name="_Toc23835"/>
      <w:bookmarkStart w:id="305" w:name="_Toc18234"/>
      <w:bookmarkStart w:id="306" w:name="_Toc3018"/>
      <w:bookmarkStart w:id="307" w:name="_Toc4949"/>
      <w:bookmarkStart w:id="308" w:name="_Toc24773"/>
      <w:bookmarkStart w:id="309" w:name="_Toc8615"/>
      <w:bookmarkStart w:id="310" w:name="_Toc4721"/>
      <w:bookmarkStart w:id="311" w:name="_Toc28565"/>
      <w:bookmarkStart w:id="312" w:name="_Toc21327"/>
      <w:bookmarkStart w:id="313" w:name="_Toc9702"/>
      <w:bookmarkStart w:id="314" w:name="_Toc9723"/>
      <w:bookmarkStart w:id="315" w:name="_Toc11568"/>
      <w:bookmarkStart w:id="316" w:name="_Toc25686"/>
      <w:bookmarkStart w:id="317" w:name="_Toc18464"/>
      <w:bookmarkStart w:id="318" w:name="_Toc13414"/>
      <w:bookmarkStart w:id="319" w:name="_Toc22501"/>
      <w:bookmarkStart w:id="320" w:name="_Toc26529"/>
      <w:bookmarkStart w:id="321" w:name="_Toc24213"/>
      <w:bookmarkStart w:id="322" w:name="_Toc16029"/>
      <w:bookmarkStart w:id="323" w:name="_Toc5894"/>
      <w:r>
        <w:br w:type="page"/>
      </w:r>
    </w:p>
    <w:p w14:paraId="2EA09AC1">
      <w:pPr>
        <w:pStyle w:val="3"/>
      </w:pPr>
      <w:r>
        <w:t>第四章</w:t>
      </w:r>
      <w:r>
        <w:rPr>
          <w:rFonts w:hint="eastAsia"/>
        </w:rPr>
        <w:t xml:space="preserve">  采购需求</w:t>
      </w:r>
      <w:bookmarkEnd w:id="295"/>
      <w:bookmarkEnd w:id="296"/>
      <w:bookmarkEnd w:id="297"/>
      <w:bookmarkEnd w:id="298"/>
      <w:bookmarkEnd w:id="299"/>
      <w:bookmarkEnd w:id="300"/>
      <w:bookmarkEnd w:id="301"/>
    </w:p>
    <w:bookmarkEnd w:id="302"/>
    <w:p w14:paraId="7B2A9B7E">
      <w:pPr>
        <w:ind w:firstLine="643"/>
        <w:rPr>
          <w:rFonts w:asciiTheme="majorHAnsi" w:hAnsiTheme="majorHAnsi" w:cstheme="majorBidi"/>
          <w:b/>
          <w:bCs/>
          <w:sz w:val="32"/>
          <w:szCs w:val="32"/>
          <w:lang w:val="zh-CN"/>
        </w:rPr>
      </w:pPr>
      <w:r>
        <w:rPr>
          <w:rFonts w:hint="eastAsia" w:asciiTheme="majorHAnsi" w:hAnsiTheme="majorHAnsi" w:cstheme="majorBidi"/>
          <w:b/>
          <w:bCs/>
          <w:sz w:val="32"/>
          <w:szCs w:val="32"/>
          <w:lang w:val="zh-CN"/>
        </w:rPr>
        <w:t>一、主要工作内容</w:t>
      </w:r>
    </w:p>
    <w:p w14:paraId="6DF9DB26">
      <w:pPr>
        <w:ind w:firstLine="480"/>
      </w:pPr>
      <w:r>
        <w:rPr>
          <w:rFonts w:hint="eastAsia"/>
        </w:rPr>
        <w:t>大梁山森林防火提升规划及乡村振兴森林康养项目概念设计项目</w:t>
      </w:r>
      <w:r>
        <w:t>是紧密围绕《</w:t>
      </w:r>
      <w:r>
        <w:rPr>
          <w:rFonts w:hint="eastAsia"/>
        </w:rPr>
        <w:t>两山理论</w:t>
      </w:r>
      <w:r>
        <w:t>》</w:t>
      </w:r>
      <w:r>
        <w:rPr>
          <w:rFonts w:hint="eastAsia"/>
        </w:rPr>
        <w:t>、《国家森防指办公室应急管理部国家林业和草原局关于进一步加强当前森林草原防灭火工作的通知》</w:t>
      </w:r>
      <w:r>
        <w:t>(</w:t>
      </w:r>
      <w:r>
        <w:rPr>
          <w:rFonts w:hint="eastAsia"/>
        </w:rPr>
        <w:t>国森防办发明电〔</w:t>
      </w:r>
      <w:r>
        <w:t>2020</w:t>
      </w:r>
      <w:r>
        <w:rPr>
          <w:rFonts w:hint="eastAsia"/>
        </w:rPr>
        <w:t>〕</w:t>
      </w:r>
      <w:r>
        <w:t xml:space="preserve">4 </w:t>
      </w:r>
      <w:r>
        <w:rPr>
          <w:rFonts w:hint="eastAsia"/>
        </w:rPr>
        <w:t>号</w:t>
      </w:r>
      <w:r>
        <w:t>)</w:t>
      </w:r>
      <w:r>
        <w:rPr>
          <w:rFonts w:hint="eastAsia"/>
        </w:rPr>
        <w:t>、《全国森林防火规划（</w:t>
      </w:r>
      <w:r>
        <w:t xml:space="preserve">2016-2025 </w:t>
      </w:r>
      <w:r>
        <w:rPr>
          <w:rFonts w:hint="eastAsia"/>
        </w:rPr>
        <w:t>年）》、《浙江省林业发展</w:t>
      </w:r>
      <w:r>
        <w:t>“</w:t>
      </w:r>
      <w:r>
        <w:rPr>
          <w:rFonts w:hint="eastAsia"/>
        </w:rPr>
        <w:t>十四五</w:t>
      </w:r>
      <w:r>
        <w:t>”</w:t>
      </w:r>
      <w:r>
        <w:rPr>
          <w:rFonts w:hint="eastAsia"/>
        </w:rPr>
        <w:t>规划》、《浙江省森林防火</w:t>
      </w:r>
      <w:r>
        <w:t>“</w:t>
      </w:r>
      <w:r>
        <w:rPr>
          <w:rFonts w:hint="eastAsia"/>
        </w:rPr>
        <w:t>十四五</w:t>
      </w:r>
      <w:r>
        <w:t>”</w:t>
      </w:r>
      <w:r>
        <w:rPr>
          <w:rFonts w:hint="eastAsia"/>
        </w:rPr>
        <w:t>规划《浙江省村庄规划“一评估两覆盖三提升”专项行动计划》、《浙江省林业发展十四五规划》、《丽水市乡镇（街道）森林防灭火工作》以及具体的森林防火规范。</w:t>
      </w:r>
    </w:p>
    <w:p w14:paraId="46635095">
      <w:pPr>
        <w:ind w:firstLine="480"/>
      </w:pPr>
      <w:r>
        <w:rPr>
          <w:rFonts w:hint="eastAsia"/>
        </w:rPr>
        <w:t>规划需</w:t>
      </w:r>
      <w:r>
        <w:t>全面调查分析</w:t>
      </w:r>
      <w:r>
        <w:rPr>
          <w:rFonts w:hint="eastAsia"/>
        </w:rPr>
        <w:t>区域</w:t>
      </w:r>
      <w:r>
        <w:t>的现状</w:t>
      </w:r>
      <w:r>
        <w:rPr>
          <w:rFonts w:hint="eastAsia"/>
        </w:rPr>
        <w:t>（含防火）</w:t>
      </w:r>
      <w:r>
        <w:t>和</w:t>
      </w:r>
      <w:r>
        <w:rPr>
          <w:rFonts w:hint="eastAsia"/>
        </w:rPr>
        <w:t>特色</w:t>
      </w:r>
      <w:r>
        <w:t>资源，</w:t>
      </w:r>
      <w:r>
        <w:rPr>
          <w:rFonts w:hint="eastAsia"/>
        </w:rPr>
        <w:t>按照指引</w:t>
      </w:r>
      <w:r>
        <w:t>找出</w:t>
      </w:r>
      <w:r>
        <w:rPr>
          <w:rFonts w:hint="eastAsia"/>
        </w:rPr>
        <w:t>区域防火的薄弱环节</w:t>
      </w:r>
      <w:r>
        <w:t>，有针对性的提出</w:t>
      </w:r>
      <w:r>
        <w:rPr>
          <w:rFonts w:hint="eastAsia"/>
        </w:rPr>
        <w:t>防火</w:t>
      </w:r>
      <w:r>
        <w:t>提升方案，</w:t>
      </w:r>
      <w:r>
        <w:rPr>
          <w:rFonts w:hint="eastAsia"/>
        </w:rPr>
        <w:t>并对区域的特色资源统筹规划，旨在以消防设施提升为契机推动乡村振兴与森林产业、康养产业的多元化复合以及文旅联动发展。规划需</w:t>
      </w:r>
      <w:r>
        <w:t>明确项目建设内容、责任分工和时序安排。</w:t>
      </w:r>
    </w:p>
    <w:p w14:paraId="19F0A1EA">
      <w:pPr>
        <w:ind w:firstLine="480"/>
      </w:pPr>
      <w:r>
        <w:rPr>
          <w:rFonts w:hint="eastAsia"/>
        </w:rPr>
        <w:t>编制文件包括下列内容：</w:t>
      </w:r>
    </w:p>
    <w:p w14:paraId="0395423A">
      <w:pPr>
        <w:ind w:firstLine="480"/>
      </w:pPr>
      <w:r>
        <w:rPr>
          <w:rFonts w:hint="eastAsia"/>
        </w:rPr>
        <w:t>（一）明确项目的发展背景，确立正确的发展导向。</w:t>
      </w:r>
    </w:p>
    <w:p w14:paraId="184786E6">
      <w:pPr>
        <w:ind w:firstLine="480"/>
      </w:pPr>
      <w:r>
        <w:rPr>
          <w:rFonts w:hint="eastAsia"/>
        </w:rPr>
        <w:t>（二）明确项目创建的范围，并对项目周边情况包括但不限于：区位交通、建设利用空间、文化资源、生态资源、森林防火现状等做出合理研判。</w:t>
      </w:r>
    </w:p>
    <w:p w14:paraId="12215E1E">
      <w:pPr>
        <w:ind w:firstLine="480"/>
      </w:pPr>
      <w:r>
        <w:rPr>
          <w:rFonts w:hint="eastAsia"/>
        </w:rPr>
        <w:t>（三）明确项目机遇、存在的问题、实际差距等，并重点分析同类型案例。</w:t>
      </w:r>
    </w:p>
    <w:p w14:paraId="66DC6CDD">
      <w:pPr>
        <w:ind w:firstLine="480"/>
      </w:pPr>
      <w:r>
        <w:rPr>
          <w:rFonts w:hint="eastAsia"/>
        </w:rPr>
        <w:t>（五）确定项目总体目标、定位、发展方向</w:t>
      </w:r>
    </w:p>
    <w:p w14:paraId="13B3E549">
      <w:pPr>
        <w:ind w:firstLine="480"/>
      </w:pPr>
      <w:r>
        <w:rPr>
          <w:rFonts w:hint="eastAsia"/>
        </w:rPr>
        <w:t>（六）编制森林消防规划，重点针对森林消防条道路系统、防火预警监测系统、森林防火宣教系统、等多维度进行现状分析和全面梳理，仔细剖析存在的问题和不足，提出可能突破的方向和提升措施，明确近期建设任务与重点。</w:t>
      </w:r>
    </w:p>
    <w:p w14:paraId="240FA9A6">
      <w:pPr>
        <w:ind w:firstLine="480"/>
      </w:pPr>
      <w:r>
        <w:rPr>
          <w:rFonts w:hint="eastAsia"/>
        </w:rPr>
        <w:t>（七）提出乡村振兴及文旅提升方案，规划建设项目，完善文旅产品。</w:t>
      </w:r>
    </w:p>
    <w:p w14:paraId="5ACBB913">
      <w:pPr>
        <w:ind w:firstLine="480"/>
      </w:pPr>
      <w:r>
        <w:rPr>
          <w:rFonts w:hint="eastAsia"/>
        </w:rPr>
        <w:t>（八）相关内容包括但不仅限于：规划范围、资源现状分布图、资源研判分析图、森林防火现状分析篇、规划结构图、总体布局图、项目鸟瞰图、局部效果图，配套分析图等。</w:t>
      </w:r>
    </w:p>
    <w:p w14:paraId="60AF6EFE">
      <w:pPr>
        <w:ind w:firstLine="480"/>
      </w:pPr>
      <w:r>
        <w:rPr>
          <w:rFonts w:hint="eastAsia"/>
        </w:rPr>
        <w:t>（九）按有关单位、专家的意见补充修改完善。</w:t>
      </w:r>
    </w:p>
    <w:p w14:paraId="2B86DB35">
      <w:pPr>
        <w:ind w:firstLine="643"/>
        <w:rPr>
          <w:rFonts w:asciiTheme="majorHAnsi" w:hAnsiTheme="majorHAnsi" w:cstheme="majorBidi"/>
          <w:b/>
          <w:bCs/>
          <w:sz w:val="32"/>
          <w:szCs w:val="32"/>
          <w:lang w:val="zh-CN"/>
        </w:rPr>
      </w:pPr>
      <w:r>
        <w:rPr>
          <w:rFonts w:hint="eastAsia" w:asciiTheme="majorHAnsi" w:hAnsiTheme="majorHAnsi" w:cstheme="majorBidi"/>
          <w:b/>
          <w:bCs/>
          <w:sz w:val="32"/>
          <w:szCs w:val="32"/>
          <w:lang w:val="zh-CN"/>
        </w:rPr>
        <w:t>二、成果内容</w:t>
      </w:r>
    </w:p>
    <w:p w14:paraId="052ADFB8">
      <w:pPr>
        <w:ind w:firstLine="480"/>
      </w:pPr>
      <w:r>
        <w:t>编制《</w:t>
      </w:r>
      <w:r>
        <w:rPr>
          <w:rFonts w:hint="eastAsia"/>
        </w:rPr>
        <w:t>丽水市大梁山森林防火提升规划及乡村振兴森林康养概念设计</w:t>
      </w:r>
      <w:r>
        <w:t>》</w:t>
      </w:r>
      <w:r>
        <w:rPr>
          <w:rFonts w:hint="eastAsia"/>
        </w:rPr>
        <w:t>文本</w:t>
      </w:r>
      <w:r>
        <w:t>和汇报PPT、</w:t>
      </w:r>
      <w:r>
        <w:rPr>
          <w:rFonts w:hint="eastAsia"/>
        </w:rPr>
        <w:t>并</w:t>
      </w:r>
      <w:r>
        <w:t>提供相应数量的</w:t>
      </w:r>
      <w:r>
        <w:rPr>
          <w:rFonts w:hint="eastAsia"/>
        </w:rPr>
        <w:t>纸质版</w:t>
      </w:r>
      <w:r>
        <w:t>成果</w:t>
      </w:r>
      <w:r>
        <w:rPr>
          <w:rFonts w:hint="eastAsia"/>
        </w:rPr>
        <w:t>文件</w:t>
      </w:r>
      <w:r>
        <w:t>。</w:t>
      </w:r>
    </w:p>
    <w:p w14:paraId="1512F3D5">
      <w:pPr>
        <w:ind w:firstLine="643"/>
        <w:rPr>
          <w:rFonts w:asciiTheme="majorHAnsi" w:hAnsiTheme="majorHAnsi" w:cstheme="majorBidi"/>
          <w:b/>
          <w:bCs/>
          <w:sz w:val="32"/>
          <w:szCs w:val="32"/>
          <w:lang w:val="zh-CN"/>
        </w:rPr>
      </w:pPr>
    </w:p>
    <w:p w14:paraId="30D1A752">
      <w:pPr>
        <w:ind w:firstLine="643"/>
        <w:rPr>
          <w:rFonts w:asciiTheme="majorHAnsi" w:hAnsiTheme="majorHAnsi" w:cstheme="majorBidi"/>
          <w:b/>
          <w:bCs/>
          <w:sz w:val="32"/>
          <w:szCs w:val="32"/>
          <w:lang w:val="zh-CN"/>
        </w:rPr>
      </w:pPr>
      <w:r>
        <w:rPr>
          <w:rFonts w:hint="eastAsia" w:asciiTheme="majorHAnsi" w:hAnsiTheme="majorHAnsi" w:cstheme="majorBidi"/>
          <w:b/>
          <w:bCs/>
          <w:sz w:val="32"/>
          <w:szCs w:val="32"/>
          <w:lang w:val="zh-CN"/>
        </w:rPr>
        <w:t>三、商务条款</w:t>
      </w:r>
    </w:p>
    <w:p w14:paraId="745C1EE9">
      <w:pPr>
        <w:ind w:firstLine="480"/>
      </w:pPr>
      <w:r>
        <w:rPr>
          <w:rFonts w:hint="eastAsia"/>
        </w:rPr>
        <w:t>（一）工期：</w:t>
      </w:r>
      <w:r>
        <w:t>11月</w:t>
      </w:r>
      <w:r>
        <w:rPr>
          <w:rFonts w:hint="eastAsia"/>
        </w:rPr>
        <w:t>10日前</w:t>
      </w:r>
      <w:r>
        <w:t>完成终稿审核通过。</w:t>
      </w:r>
    </w:p>
    <w:p w14:paraId="0008BA23">
      <w:pPr>
        <w:ind w:firstLine="480"/>
        <w:rPr>
          <w:lang w:val="zh-CN"/>
        </w:rPr>
      </w:pPr>
      <w:r>
        <w:rPr>
          <w:rFonts w:hint="eastAsia"/>
          <w:lang w:val="zh-CN"/>
        </w:rPr>
        <w:t xml:space="preserve">（二）付款方式： </w:t>
      </w:r>
    </w:p>
    <w:p w14:paraId="5F181749">
      <w:pPr>
        <w:ind w:firstLine="480"/>
      </w:pPr>
      <w:r>
        <w:rPr>
          <w:rFonts w:hint="eastAsia"/>
        </w:rPr>
        <w:t>1.合同签订后收到正式发票7个工作日内支付合同金额的30%作为预付款；</w:t>
      </w:r>
    </w:p>
    <w:p w14:paraId="25BCAEBA">
      <w:pPr>
        <w:ind w:firstLine="480"/>
      </w:pPr>
      <w:r>
        <w:rPr>
          <w:rFonts w:hint="eastAsia"/>
        </w:rPr>
        <w:t>2.乙方提交《丽水市大梁山森林防火提升规划及乡村振兴森林康养概念设计》中期成果和汇报PPT，并通过内部讨论会议，经甲方确认后收到正式发票7个工作日支付合同金额的40%；</w:t>
      </w:r>
    </w:p>
    <w:p w14:paraId="4D99820C">
      <w:pPr>
        <w:ind w:firstLine="480"/>
      </w:pPr>
      <w:r>
        <w:rPr>
          <w:rFonts w:hint="eastAsia"/>
        </w:rPr>
        <w:t>3.乙方提交《丽水市大梁山森林防火提升规划及乡村振兴、森林康养概念设计》正式成果和汇报PPT终稿，并通过各部门质量评估，项目经甲方验收合格并收到正式发票7个工作日支付合同金额的30%。</w:t>
      </w:r>
    </w:p>
    <w:p w14:paraId="66EF2CE2">
      <w:pPr>
        <w:ind w:firstLine="480"/>
      </w:pPr>
      <w:r>
        <w:rPr>
          <w:rFonts w:hint="eastAsia"/>
        </w:rPr>
        <w:t>（三）其它要求：项目组组成人员不少于</w:t>
      </w:r>
      <w:r>
        <w:t>8人，在</w:t>
      </w:r>
      <w:r>
        <w:rPr>
          <w:rFonts w:hint="eastAsia"/>
        </w:rPr>
        <w:t>丽水市大梁山</w:t>
      </w:r>
      <w:r>
        <w:t>实地调研考察时间不少于</w:t>
      </w:r>
      <w:r>
        <w:rPr>
          <w:rFonts w:hint="eastAsia"/>
        </w:rPr>
        <w:t>1</w:t>
      </w:r>
      <w:r>
        <w:t>0天，项目各阶段汇报项目部负责人需到场做汇报。</w:t>
      </w:r>
    </w:p>
    <w:p w14:paraId="75526F97">
      <w:pPr>
        <w:ind w:firstLine="480"/>
      </w:pPr>
      <w:r>
        <w:rPr>
          <w:rFonts w:hint="eastAsia"/>
        </w:rPr>
        <w:t>（四）合同签署后，成交供应商无特殊情况未经招标人同意不得变更项目负责人及主要编制工作人员。</w:t>
      </w:r>
    </w:p>
    <w:p w14:paraId="556471C0">
      <w:pPr>
        <w:pStyle w:val="2"/>
      </w:pPr>
      <w:r>
        <w:rPr>
          <w:rFonts w:hint="eastAsia"/>
        </w:rPr>
        <w:t>十、其他</w:t>
      </w:r>
    </w:p>
    <w:p w14:paraId="47360A5D">
      <w:pPr>
        <w:ind w:firstLine="480"/>
      </w:pPr>
      <w:r>
        <w:rPr>
          <w:rFonts w:hint="eastAsia"/>
        </w:rPr>
        <w:t>42.解释权：本招标文件是依据《政府采购法》及有关规定编制的，解释权属采购人。</w:t>
      </w:r>
    </w:p>
    <w:p w14:paraId="5F15BC38">
      <w:pPr>
        <w:ind w:firstLine="480"/>
      </w:pPr>
      <w:r>
        <w:rPr>
          <w:rFonts w:hint="eastAsia"/>
        </w:rPr>
        <w:t>43.联系方式：所有与招标有关的函电请按下面联系，其他任何方式或信息来源均无效。</w:t>
      </w:r>
    </w:p>
    <w:p w14:paraId="3A1533FB">
      <w:pPr>
        <w:ind w:firstLine="480"/>
      </w:pPr>
      <w:r>
        <w:rPr>
          <w:rFonts w:hint="eastAsia"/>
        </w:rPr>
        <w:t>通讯地址：浙江盛康工程管理有限公司（莲都区人民路916号）</w:t>
      </w:r>
    </w:p>
    <w:p w14:paraId="0AF65923">
      <w:pPr>
        <w:ind w:firstLine="480"/>
      </w:pPr>
      <w:r>
        <w:rPr>
          <w:rFonts w:hint="eastAsia"/>
        </w:rPr>
        <w:t>项目联系人：王利敏</w:t>
      </w:r>
    </w:p>
    <w:p w14:paraId="144944B6">
      <w:pPr>
        <w:ind w:firstLine="480"/>
      </w:pPr>
      <w:r>
        <w:rPr>
          <w:rFonts w:hint="eastAsia"/>
        </w:rPr>
        <w:t>答疑咨询电话：18057827901</w:t>
      </w:r>
    </w:p>
    <w:p w14:paraId="6524B704">
      <w:pPr>
        <w:ind w:firstLine="480"/>
        <w:rPr>
          <w:rFonts w:ascii="宋体" w:hAnsi="宋体" w:cs="宋体"/>
        </w:rPr>
      </w:pPr>
      <w:r>
        <w:rPr>
          <w:rFonts w:hint="eastAsia"/>
        </w:rPr>
        <w:t>公告网址：</w:t>
      </w:r>
      <w:r>
        <w:t>www.zjzfcg.gov.cn（浙江省政府采购网）</w:t>
      </w:r>
    </w:p>
    <w:p w14:paraId="2A3CB582">
      <w:pPr>
        <w:ind w:firstLine="0" w:firstLineChars="0"/>
      </w:pPr>
      <w:r>
        <w:br w:type="page"/>
      </w:r>
    </w:p>
    <w:p w14:paraId="13430F9D">
      <w:pPr>
        <w:pStyle w:val="2"/>
      </w:pPr>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14:paraId="4E7BE399">
      <w:pPr>
        <w:pStyle w:val="3"/>
      </w:pPr>
      <w:bookmarkStart w:id="324" w:name="_Toc21110"/>
      <w:bookmarkStart w:id="325" w:name="_Toc18682"/>
      <w:bookmarkStart w:id="326" w:name="_Toc12313"/>
      <w:bookmarkStart w:id="327" w:name="_Toc26673"/>
      <w:bookmarkStart w:id="328" w:name="_Toc26221"/>
      <w:bookmarkStart w:id="329" w:name="_Toc26720"/>
      <w:bookmarkStart w:id="330" w:name="_Toc8721"/>
      <w:bookmarkStart w:id="331" w:name="_Toc28185"/>
      <w:r>
        <w:rPr>
          <w:rFonts w:hint="eastAsia"/>
        </w:rPr>
        <w:t>第五章  合同</w:t>
      </w:r>
      <w:bookmarkEnd w:id="324"/>
      <w:bookmarkEnd w:id="325"/>
      <w:bookmarkEnd w:id="326"/>
      <w:bookmarkEnd w:id="327"/>
      <w:bookmarkEnd w:id="328"/>
      <w:bookmarkEnd w:id="329"/>
      <w:bookmarkEnd w:id="330"/>
    </w:p>
    <w:p w14:paraId="6FC0DE47">
      <w:pPr>
        <w:ind w:firstLine="0" w:firstLineChars="0"/>
        <w:jc w:val="center"/>
      </w:pPr>
      <w:r>
        <w:rPr>
          <w:rFonts w:hint="eastAsia"/>
        </w:rPr>
        <w:t>浙江省政府采购合同指引</w:t>
      </w:r>
    </w:p>
    <w:p w14:paraId="503A7464">
      <w:pPr>
        <w:spacing w:line="400" w:lineRule="exact"/>
        <w:ind w:firstLine="480"/>
        <w:jc w:val="left"/>
      </w:pPr>
    </w:p>
    <w:p w14:paraId="68E832E9">
      <w:pPr>
        <w:ind w:firstLine="480"/>
        <w:rPr>
          <w:lang w:val="zh-CN"/>
        </w:rPr>
      </w:pPr>
      <w:r>
        <w:rPr>
          <w:rFonts w:hint="eastAsia"/>
          <w:lang w:val="zh-CN"/>
        </w:rPr>
        <w:t>项目名称：</w:t>
      </w:r>
      <w:r>
        <w:rPr>
          <w:rFonts w:hint="eastAsia"/>
        </w:rPr>
        <w:t>大梁山森林防火提升规划及乡村振兴森林康养项目概念设计项目</w:t>
      </w:r>
    </w:p>
    <w:p w14:paraId="58EF4540">
      <w:pPr>
        <w:ind w:firstLine="480"/>
        <w:rPr>
          <w:lang w:val="zh-CN"/>
        </w:rPr>
      </w:pPr>
      <w:r>
        <w:rPr>
          <w:rFonts w:hint="eastAsia"/>
          <w:lang w:val="zh-CN"/>
        </w:rPr>
        <w:t>项目编号：浙盛康磋商【2024】</w:t>
      </w:r>
      <w:r>
        <w:rPr>
          <w:rFonts w:hint="eastAsia"/>
        </w:rPr>
        <w:t>24</w:t>
      </w:r>
      <w:r>
        <w:rPr>
          <w:rFonts w:hint="eastAsia"/>
          <w:lang w:val="zh-CN"/>
        </w:rPr>
        <w:t>号</w:t>
      </w:r>
    </w:p>
    <w:p w14:paraId="5371E9CF">
      <w:pPr>
        <w:ind w:firstLine="480"/>
        <w:rPr>
          <w:lang w:val="zh-CN"/>
        </w:rPr>
      </w:pPr>
      <w:r>
        <w:rPr>
          <w:rFonts w:hint="eastAsia"/>
          <w:lang w:val="zh-CN"/>
        </w:rPr>
        <w:t>甲  方：丽水经济技术开发区生态林业发展中心</w:t>
      </w:r>
    </w:p>
    <w:p w14:paraId="3B24E1C8">
      <w:pPr>
        <w:ind w:firstLine="480"/>
        <w:rPr>
          <w:rFonts w:ascii="宋体" w:hAnsi="宋体" w:cs="宋体"/>
          <w:color w:val="000000" w:themeColor="text1"/>
          <w:lang w:val="zh-CN"/>
          <w14:textFill>
            <w14:solidFill>
              <w14:schemeClr w14:val="tx1"/>
            </w14:solidFill>
          </w14:textFill>
        </w:rPr>
      </w:pPr>
      <w:r>
        <w:rPr>
          <w:rFonts w:hint="eastAsia"/>
          <w:lang w:val="zh-CN"/>
        </w:rPr>
        <w:t>乙  方：</w:t>
      </w:r>
    </w:p>
    <w:p w14:paraId="35AAF73E">
      <w:pPr>
        <w:pStyle w:val="2"/>
      </w:pPr>
      <w:bookmarkStart w:id="332" w:name="_Toc6643"/>
      <w:bookmarkStart w:id="333" w:name="_Toc25554"/>
      <w:r>
        <w:rPr>
          <w:rFonts w:hint="eastAsia"/>
        </w:rPr>
        <w:t>一、说明</w:t>
      </w:r>
      <w:bookmarkEnd w:id="332"/>
      <w:bookmarkEnd w:id="333"/>
    </w:p>
    <w:p w14:paraId="4E2ED6E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1．合同基本条款是指采购人（以下简称甲方）和中标供应商（以下简称乙方）应共同遵守的基本原则，并作为双方签约的依据。对于合同的其他条款，双方应本着互谅互让的精神协商解决。</w:t>
      </w:r>
    </w:p>
    <w:p w14:paraId="3C5600D8">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2．制定“合同主要条款”的依据是《中华人民共和国民法典》。</w:t>
      </w:r>
    </w:p>
    <w:p w14:paraId="2E0C6EA6">
      <w:pPr>
        <w:pStyle w:val="2"/>
      </w:pPr>
      <w:bookmarkStart w:id="334" w:name="_Toc15812"/>
      <w:bookmarkStart w:id="335" w:name="_Toc13889"/>
      <w:r>
        <w:rPr>
          <w:rFonts w:hint="eastAsia"/>
        </w:rPr>
        <w:t>二、</w:t>
      </w:r>
      <w:r>
        <w:rPr>
          <w:rFonts w:hint="eastAsia"/>
          <w:lang w:val="zh-CN"/>
        </w:rPr>
        <w:t>服务内容</w:t>
      </w:r>
      <w:bookmarkEnd w:id="334"/>
    </w:p>
    <w:p w14:paraId="24286247">
      <w:pPr>
        <w:ind w:firstLine="480"/>
      </w:pPr>
      <w:bookmarkStart w:id="336" w:name="_Toc13396"/>
      <w:r>
        <w:rPr>
          <w:rFonts w:hint="eastAsia"/>
        </w:rPr>
        <w:t>（一）明确项目的发展背景，确立正确的发展导向。</w:t>
      </w:r>
    </w:p>
    <w:p w14:paraId="4E5EC38C">
      <w:pPr>
        <w:ind w:firstLine="480"/>
      </w:pPr>
      <w:r>
        <w:rPr>
          <w:rFonts w:hint="eastAsia"/>
        </w:rPr>
        <w:t>（二）明确项目创建的范围，并对项目周边情况包括但不限于：区位交通、建设利用空间、文化资源、生态资源、森林防火现状等做出合理研判。</w:t>
      </w:r>
    </w:p>
    <w:p w14:paraId="57D7791D">
      <w:pPr>
        <w:ind w:firstLine="480"/>
      </w:pPr>
      <w:r>
        <w:rPr>
          <w:rFonts w:hint="eastAsia"/>
        </w:rPr>
        <w:t>（三）明确项目机遇、存在的问题、实际差距等，并重点分析同类型案例。</w:t>
      </w:r>
    </w:p>
    <w:p w14:paraId="4855302C">
      <w:pPr>
        <w:ind w:firstLine="480"/>
      </w:pPr>
      <w:r>
        <w:rPr>
          <w:rFonts w:hint="eastAsia"/>
        </w:rPr>
        <w:t>（五）确定项目总体目标、定位、发展方向</w:t>
      </w:r>
    </w:p>
    <w:p w14:paraId="78A41980">
      <w:pPr>
        <w:ind w:firstLine="480"/>
      </w:pPr>
      <w:r>
        <w:rPr>
          <w:rFonts w:hint="eastAsia"/>
        </w:rPr>
        <w:t>（六）编制森林消防规划，重点针对森林消防条道路系统、防火预警监测系统、森林防火宣教系统、森林阻隔系统、蓄水设施工程、引水上山工程、保障体系建设、智慧森林消防系统等多维度</w:t>
      </w:r>
      <w:r>
        <w:t>进行现状分析和全面梳理，仔细剖析存在的问题和不足，提出可能突破的方向和</w:t>
      </w:r>
      <w:r>
        <w:rPr>
          <w:rFonts w:hint="eastAsia"/>
        </w:rPr>
        <w:t>提升措施</w:t>
      </w:r>
      <w:r>
        <w:t>，明确近期建设任务与重点。</w:t>
      </w:r>
    </w:p>
    <w:p w14:paraId="51D0EB4D">
      <w:pPr>
        <w:ind w:firstLine="480"/>
      </w:pPr>
      <w:r>
        <w:rPr>
          <w:rFonts w:hint="eastAsia"/>
        </w:rPr>
        <w:t>（七）提出乡村振兴及文旅提升方案，规划建设项目，完善文旅产品。重点针对市场分析、特色产业、乡村振兴及文旅产品体系、乡村振兴存量资源利用、建设项目、配套体系、游览线路等</w:t>
      </w:r>
      <w:r>
        <w:t>进行现状分析和全面梳理，仔细剖析存在的问题和不足，提出可能突破的方向和</w:t>
      </w:r>
      <w:r>
        <w:rPr>
          <w:rFonts w:hint="eastAsia"/>
        </w:rPr>
        <w:t>提升措施</w:t>
      </w:r>
      <w:r>
        <w:t>，明确近期建设任务与重点。</w:t>
      </w:r>
    </w:p>
    <w:p w14:paraId="22CE467F">
      <w:pPr>
        <w:ind w:firstLine="480"/>
      </w:pPr>
      <w:r>
        <w:rPr>
          <w:rFonts w:hint="eastAsia"/>
        </w:rPr>
        <w:t>（八）相关图纸包括：规划范围、资源现状分布图、资源研判分析图、森林防火现状分析篇、</w:t>
      </w:r>
    </w:p>
    <w:p w14:paraId="38996E6C">
      <w:pPr>
        <w:ind w:firstLine="480"/>
      </w:pPr>
      <w:r>
        <w:rPr>
          <w:rFonts w:hint="eastAsia"/>
        </w:rPr>
        <w:t>规划结构图、森林防火专项规划图纸、总体布局图、总平面图、项目鸟瞰图、局部效果图，重要单体建筑效果图，游线分析图、配套分析图等。</w:t>
      </w:r>
    </w:p>
    <w:p w14:paraId="46E427AC">
      <w:pPr>
        <w:ind w:firstLine="480"/>
      </w:pPr>
      <w:r>
        <w:rPr>
          <w:rFonts w:hint="eastAsia"/>
        </w:rPr>
        <w:t>（九）按有关单位、专家的意见补充修改完善。</w:t>
      </w:r>
    </w:p>
    <w:p w14:paraId="4B3B4076">
      <w:pPr>
        <w:ind w:firstLine="0" w:firstLineChars="0"/>
        <w:rPr>
          <w:rFonts w:asciiTheme="majorHAnsi" w:hAnsiTheme="majorHAnsi" w:cstheme="majorBidi"/>
          <w:b/>
          <w:bCs/>
          <w:sz w:val="32"/>
          <w:szCs w:val="32"/>
        </w:rPr>
      </w:pPr>
      <w:r>
        <w:rPr>
          <w:rFonts w:hint="eastAsia" w:asciiTheme="majorHAnsi" w:hAnsiTheme="majorHAnsi" w:cstheme="majorBidi"/>
          <w:b/>
          <w:bCs/>
          <w:sz w:val="32"/>
          <w:szCs w:val="32"/>
        </w:rPr>
        <w:t>三、成果要求</w:t>
      </w:r>
    </w:p>
    <w:p w14:paraId="00A47881">
      <w:pPr>
        <w:ind w:firstLine="480"/>
      </w:pPr>
      <w:r>
        <w:t>编制《</w:t>
      </w:r>
      <w:r>
        <w:rPr>
          <w:rFonts w:hint="eastAsia"/>
        </w:rPr>
        <w:t>丽水市大梁山森林防火提升规划及乡村振兴、森林康养概念设计</w:t>
      </w:r>
      <w:r>
        <w:t>》</w:t>
      </w:r>
      <w:r>
        <w:rPr>
          <w:rFonts w:hint="eastAsia"/>
        </w:rPr>
        <w:t>文本</w:t>
      </w:r>
      <w:r>
        <w:t>和汇报PPT、</w:t>
      </w:r>
      <w:r>
        <w:rPr>
          <w:rFonts w:hint="eastAsia"/>
        </w:rPr>
        <w:t>并</w:t>
      </w:r>
      <w:r>
        <w:t>提供相应数量的</w:t>
      </w:r>
      <w:r>
        <w:rPr>
          <w:rFonts w:hint="eastAsia"/>
        </w:rPr>
        <w:t>纸质版</w:t>
      </w:r>
      <w:r>
        <w:t>成果</w:t>
      </w:r>
      <w:r>
        <w:rPr>
          <w:rFonts w:hint="eastAsia"/>
        </w:rPr>
        <w:t>文件</w:t>
      </w:r>
      <w:r>
        <w:t>。</w:t>
      </w:r>
    </w:p>
    <w:p w14:paraId="593BED6F">
      <w:pPr>
        <w:pStyle w:val="2"/>
        <w:rPr>
          <w:rFonts w:ascii="宋体" w:hAnsi="宋体" w:cs="Times New Roman"/>
          <w:bCs w:val="0"/>
          <w:szCs w:val="22"/>
        </w:rPr>
      </w:pPr>
      <w:r>
        <w:rPr>
          <w:rFonts w:hint="eastAsia"/>
        </w:rPr>
        <w:t>四、进度要求</w:t>
      </w:r>
      <w:bookmarkEnd w:id="336"/>
    </w:p>
    <w:p w14:paraId="6540010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11月10日前完成终稿审核通过。</w:t>
      </w:r>
    </w:p>
    <w:p w14:paraId="669204E5">
      <w:pPr>
        <w:pStyle w:val="2"/>
        <w:numPr>
          <w:ilvl w:val="0"/>
          <w:numId w:val="1"/>
        </w:numPr>
      </w:pPr>
      <w:bookmarkStart w:id="337" w:name="_Toc22019"/>
      <w:r>
        <w:rPr>
          <w:rFonts w:hint="eastAsia"/>
        </w:rPr>
        <w:t>服务要求</w:t>
      </w:r>
      <w:bookmarkEnd w:id="337"/>
    </w:p>
    <w:p w14:paraId="429BB463">
      <w:pPr>
        <w:ind w:firstLine="480"/>
      </w:pPr>
      <w:r>
        <w:rPr>
          <w:rFonts w:hint="eastAsia"/>
        </w:rPr>
        <w:t>（一）项目组组成人员不少于</w:t>
      </w:r>
      <w:r>
        <w:t>8人，在</w:t>
      </w:r>
      <w:r>
        <w:rPr>
          <w:rFonts w:hint="eastAsia"/>
        </w:rPr>
        <w:t>丽水市大梁山</w:t>
      </w:r>
      <w:r>
        <w:t>实地调研考察时间不少于</w:t>
      </w:r>
      <w:r>
        <w:rPr>
          <w:rFonts w:hint="eastAsia"/>
        </w:rPr>
        <w:t>1</w:t>
      </w:r>
      <w:r>
        <w:t>0天，项目各阶段汇报项目部负责人需到场做汇报。</w:t>
      </w:r>
    </w:p>
    <w:p w14:paraId="393F210E">
      <w:pPr>
        <w:ind w:firstLine="480"/>
      </w:pPr>
      <w:r>
        <w:rPr>
          <w:rFonts w:hint="eastAsia"/>
        </w:rPr>
        <w:t>（二）合同签署后，成交供应商无特殊情况未经招标人同意不得变更项目负责人及主要编制工作人员。</w:t>
      </w:r>
    </w:p>
    <w:p w14:paraId="1B59F0A3">
      <w:pPr>
        <w:pStyle w:val="2"/>
        <w:spacing w:line="560" w:lineRule="exact"/>
      </w:pPr>
      <w:bookmarkStart w:id="338" w:name="_Toc26012"/>
      <w:r>
        <w:rPr>
          <w:rFonts w:hint="eastAsia"/>
          <w:color w:val="000000" w:themeColor="text1"/>
          <w14:textFill>
            <w14:solidFill>
              <w14:schemeClr w14:val="tx1"/>
            </w14:solidFill>
          </w14:textFill>
        </w:rPr>
        <w:t>六、</w:t>
      </w:r>
      <w:r>
        <w:rPr>
          <w:rFonts w:hint="eastAsia"/>
        </w:rPr>
        <w:t>成交金额</w:t>
      </w:r>
      <w:bookmarkEnd w:id="338"/>
    </w:p>
    <w:p w14:paraId="6474ABB1">
      <w:pPr>
        <w:ind w:firstLine="440"/>
        <w:rPr>
          <w:color w:val="000000" w:themeColor="text1"/>
          <w14:textFill>
            <w14:solidFill>
              <w14:schemeClr w14:val="tx1"/>
            </w14:solidFill>
          </w14:textFill>
        </w:rPr>
      </w:pPr>
      <w:r>
        <w:rPr>
          <w:rFonts w:hint="eastAsia" w:ascii="宋体" w:hAnsi="宋体" w:cs="宋体"/>
          <w:sz w:val="22"/>
          <w:szCs w:val="22"/>
        </w:rPr>
        <w:t>本合同金额为（大写）：______元（小写：____元）人民币。</w:t>
      </w:r>
    </w:p>
    <w:p w14:paraId="161D78FA">
      <w:pPr>
        <w:pStyle w:val="2"/>
        <w:rPr>
          <w:color w:val="000000" w:themeColor="text1"/>
          <w14:textFill>
            <w14:solidFill>
              <w14:schemeClr w14:val="tx1"/>
            </w14:solidFill>
          </w14:textFill>
        </w:rPr>
      </w:pPr>
      <w:bookmarkStart w:id="339" w:name="_Toc15505"/>
      <w:r>
        <w:rPr>
          <w:rFonts w:hint="eastAsia"/>
          <w:color w:val="000000" w:themeColor="text1"/>
          <w14:textFill>
            <w14:solidFill>
              <w14:schemeClr w14:val="tx1"/>
            </w14:solidFill>
          </w14:textFill>
        </w:rPr>
        <w:t>七、履约保证金</w:t>
      </w:r>
      <w:bookmarkEnd w:id="335"/>
      <w:bookmarkEnd w:id="339"/>
    </w:p>
    <w:p w14:paraId="3FC3F095">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本项目无履约保证金</w:t>
      </w:r>
      <w:r>
        <w:rPr>
          <w:rFonts w:ascii="宋体" w:hAnsi="宋体" w:cs="宋体"/>
          <w:color w:val="000000" w:themeColor="text1"/>
          <w14:textFill>
            <w14:solidFill>
              <w14:schemeClr w14:val="tx1"/>
            </w14:solidFill>
          </w14:textFill>
        </w:rPr>
        <w:t>。</w:t>
      </w:r>
    </w:p>
    <w:p w14:paraId="65E91604">
      <w:pPr>
        <w:pStyle w:val="2"/>
        <w:rPr>
          <w:color w:val="000000" w:themeColor="text1"/>
          <w14:textFill>
            <w14:solidFill>
              <w14:schemeClr w14:val="tx1"/>
            </w14:solidFill>
          </w14:textFill>
        </w:rPr>
      </w:pPr>
      <w:bookmarkStart w:id="340" w:name="_Toc15201"/>
      <w:bookmarkStart w:id="341" w:name="_Toc18968"/>
      <w:r>
        <w:rPr>
          <w:rFonts w:hint="eastAsia"/>
          <w:color w:val="000000" w:themeColor="text1"/>
          <w14:textFill>
            <w14:solidFill>
              <w14:schemeClr w14:val="tx1"/>
            </w14:solidFill>
          </w14:textFill>
        </w:rPr>
        <w:t>八、转包或分包</w:t>
      </w:r>
      <w:bookmarkEnd w:id="340"/>
      <w:bookmarkEnd w:id="341"/>
    </w:p>
    <w:p w14:paraId="060C99A4">
      <w:pPr>
        <w:ind w:firstLine="480"/>
      </w:pPr>
      <w:r>
        <w:rPr>
          <w:rFonts w:hint="eastAsia"/>
        </w:rPr>
        <w:t>1.本合同范围的货物和服务，应由乙方直接承接服务供应，不得向他人转让，也不得肢解后分别向他人转让。</w:t>
      </w:r>
    </w:p>
    <w:p w14:paraId="68427D56">
      <w:pPr>
        <w:ind w:firstLine="480"/>
      </w:pPr>
      <w:r>
        <w:rPr>
          <w:rFonts w:hint="eastAsia"/>
        </w:rPr>
        <w:t>2.除非得到甲方的书面同意，乙方不得将本合同范围的货物和服务转包或分包给他人供应。</w:t>
      </w:r>
    </w:p>
    <w:p w14:paraId="2E9A44A5">
      <w:pPr>
        <w:ind w:firstLine="480"/>
        <w:rPr>
          <w:color w:val="000000" w:themeColor="text1"/>
          <w14:textFill>
            <w14:solidFill>
              <w14:schemeClr w14:val="tx1"/>
            </w14:solidFill>
          </w14:textFill>
        </w:rPr>
      </w:pPr>
      <w:r>
        <w:rPr>
          <w:rFonts w:hint="eastAsia"/>
        </w:rPr>
        <w:t>3.如有转让和未经甲方同意的分包行为，甲方有权解除合同，没收履约保证金并追究乙方的违约责任。</w:t>
      </w:r>
    </w:p>
    <w:p w14:paraId="4CEBF5CB">
      <w:pPr>
        <w:pStyle w:val="2"/>
        <w:rPr>
          <w:rFonts w:hint="eastAsia" w:ascii="-webkit-standard" w:hAnsi="-webkit-standard" w:cs="-webkit-standard"/>
          <w:color w:val="000000"/>
          <w:szCs w:val="28"/>
        </w:rPr>
      </w:pPr>
      <w:bookmarkStart w:id="342" w:name="_Toc16365"/>
      <w:bookmarkStart w:id="343" w:name="_Toc13591"/>
      <w:r>
        <w:rPr>
          <w:rFonts w:hint="eastAsia"/>
          <w:color w:val="000000" w:themeColor="text1"/>
          <w14:textFill>
            <w14:solidFill>
              <w14:schemeClr w14:val="tx1"/>
            </w14:solidFill>
          </w14:textFill>
        </w:rPr>
        <w:t>九</w:t>
      </w:r>
      <w:r>
        <w:rPr>
          <w:rFonts w:hint="eastAsia"/>
        </w:rPr>
        <w:t>、</w:t>
      </w:r>
      <w:bookmarkEnd w:id="342"/>
      <w:r>
        <w:rPr>
          <w:rFonts w:hint="eastAsia"/>
        </w:rPr>
        <w:t>服务期</w:t>
      </w:r>
      <w:bookmarkEnd w:id="343"/>
    </w:p>
    <w:p w14:paraId="34580194">
      <w:pPr>
        <w:ind w:firstLine="480"/>
      </w:pPr>
      <w:bookmarkStart w:id="344" w:name="_Toc8694"/>
      <w:bookmarkStart w:id="345" w:name="_Toc3515"/>
      <w:r>
        <w:rPr>
          <w:rFonts w:hint="eastAsia"/>
        </w:rPr>
        <w:t>11月10日前完成终稿审核通过。</w:t>
      </w:r>
    </w:p>
    <w:p w14:paraId="42A4AA3C">
      <w:pPr>
        <w:pStyle w:val="2"/>
        <w:tabs>
          <w:tab w:val="right" w:pos="8306"/>
        </w:tabs>
        <w:rPr>
          <w:color w:val="000000" w:themeColor="text1"/>
          <w14:textFill>
            <w14:solidFill>
              <w14:schemeClr w14:val="tx1"/>
            </w14:solidFill>
          </w14:textFill>
        </w:rPr>
      </w:pPr>
      <w:r>
        <w:rPr>
          <w:rFonts w:hint="eastAsia"/>
          <w:color w:val="000000" w:themeColor="text1"/>
          <w14:textFill>
            <w14:solidFill>
              <w14:schemeClr w14:val="tx1"/>
            </w14:solidFill>
          </w14:textFill>
        </w:rPr>
        <w:t>十、款项支付</w:t>
      </w:r>
      <w:bookmarkEnd w:id="344"/>
      <w:bookmarkEnd w:id="345"/>
    </w:p>
    <w:p w14:paraId="136ED001">
      <w:pPr>
        <w:ind w:firstLine="480"/>
      </w:pPr>
      <w:r>
        <w:rPr>
          <w:rFonts w:hint="eastAsia"/>
        </w:rPr>
        <w:t>1.合同签订后收到正式发票7个工作日内支付合同金额的30%作为预付款；</w:t>
      </w:r>
    </w:p>
    <w:p w14:paraId="2F3444BB">
      <w:pPr>
        <w:ind w:firstLine="480"/>
      </w:pPr>
      <w:r>
        <w:rPr>
          <w:rFonts w:hint="eastAsia"/>
        </w:rPr>
        <w:t>2.乙方提交《丽水市大梁山森林防火提升规划及乡村振兴、森林康养概念设计》中期成果和汇报PPT，并通过内部讨论会议，经甲方确认后收到正式发票7个工作日支付合同金额的40%；</w:t>
      </w:r>
    </w:p>
    <w:p w14:paraId="437DE890">
      <w:pPr>
        <w:ind w:firstLine="480"/>
      </w:pPr>
      <w:r>
        <w:rPr>
          <w:rFonts w:hint="eastAsia"/>
        </w:rPr>
        <w:t>3.乙方提交《丽水市大梁山森林防火提升规划及乡村振兴、森林康养概念设计》正式成果和汇报PPT终稿，并通过各部门质量评估，项目经甲方验收合格并收到正式发票7个工作日支付合同金额的30%。</w:t>
      </w:r>
    </w:p>
    <w:p w14:paraId="015F36BF">
      <w:pPr>
        <w:pStyle w:val="2"/>
        <w:rPr>
          <w:color w:val="000000" w:themeColor="text1"/>
          <w14:textFill>
            <w14:solidFill>
              <w14:schemeClr w14:val="tx1"/>
            </w14:solidFill>
          </w14:textFill>
        </w:rPr>
      </w:pPr>
      <w:bookmarkStart w:id="346" w:name="_Toc3757"/>
      <w:bookmarkStart w:id="347" w:name="_Toc22530"/>
      <w:r>
        <w:rPr>
          <w:rFonts w:hint="eastAsia"/>
          <w:color w:val="000000" w:themeColor="text1"/>
          <w14:textFill>
            <w14:solidFill>
              <w14:schemeClr w14:val="tx1"/>
            </w14:solidFill>
          </w14:textFill>
        </w:rPr>
        <w:t>十</w:t>
      </w:r>
      <w:r>
        <w:rPr>
          <w:rFonts w:hint="eastAsia"/>
        </w:rPr>
        <w:t>一</w:t>
      </w:r>
      <w:r>
        <w:rPr>
          <w:rFonts w:hint="eastAsia"/>
          <w:color w:val="000000" w:themeColor="text1"/>
          <w14:textFill>
            <w14:solidFill>
              <w14:schemeClr w14:val="tx1"/>
            </w14:solidFill>
          </w14:textFill>
        </w:rPr>
        <w:t>、税费</w:t>
      </w:r>
      <w:bookmarkEnd w:id="346"/>
      <w:bookmarkEnd w:id="347"/>
    </w:p>
    <w:p w14:paraId="2731F64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本合同执行中相关的一切税费均由乙方负担。（须按照甲方要求开具相应的发票）</w:t>
      </w:r>
    </w:p>
    <w:p w14:paraId="0C3290B3">
      <w:pPr>
        <w:pStyle w:val="2"/>
      </w:pPr>
      <w:bookmarkStart w:id="348" w:name="_Toc24534"/>
      <w:bookmarkStart w:id="349" w:name="_Toc30169"/>
      <w:bookmarkStart w:id="350" w:name="_Toc18456"/>
      <w:bookmarkStart w:id="351" w:name="_Toc29571"/>
      <w:bookmarkStart w:id="352" w:name="_Toc25219"/>
      <w:bookmarkStart w:id="353" w:name="_Toc17386"/>
      <w:bookmarkStart w:id="354" w:name="_Toc19094"/>
      <w:bookmarkStart w:id="355" w:name="_Toc238"/>
      <w:r>
        <w:rPr>
          <w:rFonts w:hint="eastAsia"/>
        </w:rPr>
        <w:t>十二、合同修改与解除</w:t>
      </w:r>
      <w:bookmarkEnd w:id="348"/>
    </w:p>
    <w:p w14:paraId="141D27FF">
      <w:pPr>
        <w:ind w:firstLine="480"/>
      </w:pPr>
      <w:r>
        <w:rPr>
          <w:rFonts w:hint="eastAsia"/>
        </w:rPr>
        <w:t>1.本合同供需双方的任何一方无权对合同内容进行修改，本合同如需修改，必须达成书面协议，并作为该合同的有效组成部分。</w:t>
      </w:r>
    </w:p>
    <w:p w14:paraId="6665B3C0">
      <w:pPr>
        <w:ind w:firstLine="480"/>
      </w:pPr>
      <w:r>
        <w:rPr>
          <w:rFonts w:hint="eastAsia"/>
        </w:rPr>
        <w:t>2.协议期满后，如甲方需乙方延续提供服务的，乙方应按照本协议要求继续提供相关服务，服务费用按照本协议约定金额的日均费用计算，延续服务期不得超出本协议合同款项的10%，服务费由甲方在延续服务期满后一个月内一次性支付乙方。</w:t>
      </w:r>
    </w:p>
    <w:p w14:paraId="75AC2A2B">
      <w:pPr>
        <w:ind w:firstLine="480"/>
        <w:rPr>
          <w:color w:val="000000" w:themeColor="text1"/>
          <w14:textFill>
            <w14:solidFill>
              <w14:schemeClr w14:val="tx1"/>
            </w14:solidFill>
          </w14:textFill>
        </w:rPr>
      </w:pPr>
      <w:r>
        <w:rPr>
          <w:rFonts w:hint="eastAsia"/>
        </w:rPr>
        <w:t>3.合同可以经双方协商一致解除，或按照《中华人民共和国民法典》的规定单方解除。</w:t>
      </w:r>
    </w:p>
    <w:p w14:paraId="3CD44A9F">
      <w:pPr>
        <w:pStyle w:val="2"/>
      </w:pPr>
      <w:bookmarkStart w:id="356" w:name="_Toc19132"/>
      <w:bookmarkStart w:id="357" w:name="_Toc10907"/>
      <w:r>
        <w:rPr>
          <w:rFonts w:hint="eastAsia"/>
          <w:color w:val="000000" w:themeColor="text1"/>
          <w14:textFill>
            <w14:solidFill>
              <w14:schemeClr w14:val="tx1"/>
            </w14:solidFill>
          </w14:textFill>
        </w:rPr>
        <w:t>十三、</w:t>
      </w:r>
      <w:bookmarkEnd w:id="349"/>
      <w:bookmarkEnd w:id="350"/>
      <w:bookmarkEnd w:id="351"/>
      <w:bookmarkEnd w:id="352"/>
      <w:bookmarkEnd w:id="353"/>
      <w:bookmarkEnd w:id="354"/>
      <w:bookmarkEnd w:id="355"/>
      <w:bookmarkEnd w:id="356"/>
      <w:bookmarkStart w:id="358" w:name="_Toc9743"/>
      <w:bookmarkStart w:id="359" w:name="_Toc8689"/>
      <w:bookmarkStart w:id="360" w:name="_Toc28036"/>
      <w:bookmarkStart w:id="361" w:name="_Toc7385"/>
      <w:bookmarkStart w:id="362" w:name="_Toc16124"/>
      <w:bookmarkStart w:id="363" w:name="_Toc12837"/>
      <w:bookmarkStart w:id="364" w:name="_Toc6050"/>
      <w:r>
        <w:rPr>
          <w:rFonts w:hint="eastAsia"/>
        </w:rPr>
        <w:t>违约责任</w:t>
      </w:r>
      <w:bookmarkEnd w:id="357"/>
    </w:p>
    <w:p w14:paraId="11A7E85B">
      <w:pPr>
        <w:ind w:firstLine="480"/>
      </w:pPr>
      <w:r>
        <w:rPr>
          <w:rFonts w:hint="eastAsia"/>
        </w:rPr>
        <w:t>1.因一方原因，造成对方不能完成合同规定目标或直接造成对方经济损失的，另一方有权要求对方限期整改，并给予一定的经济补偿。</w:t>
      </w:r>
    </w:p>
    <w:p w14:paraId="29CE55C9">
      <w:pPr>
        <w:ind w:firstLine="480"/>
      </w:pPr>
      <w:r>
        <w:rPr>
          <w:rFonts w:hint="eastAsia"/>
        </w:rPr>
        <w:t>2.因乙方原因，造成甲方名誉、形象严重损害的，或者服务质量与合同要求严重不符时，甲方有权单方终止合同，不承担违约责任及经济责任，并有权向乙方索赔。</w:t>
      </w:r>
    </w:p>
    <w:p w14:paraId="4696C4CD">
      <w:pPr>
        <w:ind w:firstLine="480"/>
      </w:pPr>
      <w:r>
        <w:rPr>
          <w:rFonts w:hint="eastAsia"/>
        </w:rPr>
        <w:t>3.未经甲方同意，乙方不得在任何时期擅自更换投标文件中规定的项目负责人，同时必须确保项目技术人员的数量和水平与投标文件一致，否则甲方有权放弃或终止合同。</w:t>
      </w:r>
    </w:p>
    <w:p w14:paraId="52400B2B">
      <w:pPr>
        <w:ind w:firstLine="480"/>
        <w:rPr>
          <w:rFonts w:cs="宋体"/>
          <w:bCs/>
          <w:color w:val="000000" w:themeColor="text1"/>
          <w:szCs w:val="22"/>
          <w14:textFill>
            <w14:solidFill>
              <w14:schemeClr w14:val="tx1"/>
            </w14:solidFill>
          </w14:textFill>
        </w:rPr>
      </w:pPr>
      <w:r>
        <w:rPr>
          <w:rFonts w:hint="eastAsia"/>
        </w:rPr>
        <w:t>4.乙方未按本合同的规定和“服务承诺”提供伴随服务的，应按合同总价款的5%向甲方承担违约责任。给甲方造成损失的，乙方应承担赔偿责任。</w:t>
      </w:r>
    </w:p>
    <w:p w14:paraId="528F7B99">
      <w:pPr>
        <w:pStyle w:val="2"/>
      </w:pPr>
      <w:bookmarkStart w:id="365" w:name="_Toc9120"/>
      <w:bookmarkStart w:id="366" w:name="_Toc17145"/>
      <w:r>
        <w:rPr>
          <w:rFonts w:hint="eastAsia"/>
          <w:color w:val="000000" w:themeColor="text1"/>
          <w14:textFill>
            <w14:solidFill>
              <w14:schemeClr w14:val="tx1"/>
            </w14:solidFill>
          </w14:textFill>
        </w:rPr>
        <w:t>十四、</w:t>
      </w:r>
      <w:bookmarkEnd w:id="358"/>
      <w:bookmarkEnd w:id="359"/>
      <w:bookmarkEnd w:id="360"/>
      <w:bookmarkEnd w:id="361"/>
      <w:bookmarkEnd w:id="362"/>
      <w:bookmarkEnd w:id="363"/>
      <w:bookmarkEnd w:id="364"/>
      <w:bookmarkEnd w:id="365"/>
      <w:bookmarkStart w:id="367" w:name="_Toc26473"/>
      <w:bookmarkStart w:id="368" w:name="_Toc8782"/>
      <w:bookmarkStart w:id="369" w:name="_Toc8572"/>
      <w:bookmarkStart w:id="370" w:name="_Toc22435"/>
      <w:bookmarkStart w:id="371" w:name="_Toc26959"/>
      <w:bookmarkStart w:id="372" w:name="_Toc25971"/>
      <w:r>
        <w:rPr>
          <w:rFonts w:hint="eastAsia"/>
        </w:rPr>
        <w:t>不可抗力事件处理</w:t>
      </w:r>
      <w:bookmarkEnd w:id="366"/>
    </w:p>
    <w:p w14:paraId="5BD73C7A">
      <w:pPr>
        <w:ind w:firstLine="480"/>
      </w:pPr>
      <w:r>
        <w:rPr>
          <w:rFonts w:hint="eastAsia"/>
        </w:rPr>
        <w:t>1.</w:t>
      </w:r>
      <w:r>
        <w:t>在合同有效期内，任何一方因不可抗力事件导致不能履行合同，则合同履行期可延长，其延长期与不可抗力影响期相同。</w:t>
      </w:r>
    </w:p>
    <w:p w14:paraId="35DB7447">
      <w:pPr>
        <w:ind w:firstLine="480"/>
      </w:pPr>
      <w:r>
        <w:rPr>
          <w:rFonts w:hint="eastAsia"/>
        </w:rPr>
        <w:t>2.</w:t>
      </w:r>
      <w:r>
        <w:t>不可抗力事件发生后，应立即通知对方，并寄送有关权威机构出具的证明。</w:t>
      </w:r>
    </w:p>
    <w:p w14:paraId="12D74A61">
      <w:pPr>
        <w:ind w:firstLine="480"/>
        <w:rPr>
          <w:rFonts w:ascii="宋体" w:hAnsi="宋体" w:cs="宋体"/>
          <w:szCs w:val="21"/>
        </w:rPr>
      </w:pPr>
      <w:r>
        <w:rPr>
          <w:rFonts w:hint="eastAsia"/>
        </w:rPr>
        <w:t>3.</w:t>
      </w:r>
      <w:r>
        <w:t>不可抗力事件延续120天以上，双方应通过友好协商，确定是否继续履行合同。</w:t>
      </w:r>
    </w:p>
    <w:bookmarkEnd w:id="367"/>
    <w:bookmarkEnd w:id="368"/>
    <w:bookmarkEnd w:id="369"/>
    <w:bookmarkEnd w:id="370"/>
    <w:bookmarkEnd w:id="371"/>
    <w:bookmarkEnd w:id="372"/>
    <w:p w14:paraId="4986E377">
      <w:pPr>
        <w:pStyle w:val="2"/>
      </w:pPr>
      <w:bookmarkStart w:id="373" w:name="_Toc16249"/>
      <w:bookmarkStart w:id="374" w:name="_Toc29066"/>
      <w:r>
        <w:rPr>
          <w:rFonts w:hint="eastAsia"/>
          <w:color w:val="000000" w:themeColor="text1"/>
          <w14:textFill>
            <w14:solidFill>
              <w14:schemeClr w14:val="tx1"/>
            </w14:solidFill>
          </w14:textFill>
        </w:rPr>
        <w:t>十五、</w:t>
      </w:r>
      <w:bookmarkEnd w:id="373"/>
      <w:r>
        <w:rPr>
          <w:rFonts w:hint="eastAsia"/>
        </w:rPr>
        <w:t>诉讼</w:t>
      </w:r>
      <w:bookmarkEnd w:id="374"/>
    </w:p>
    <w:p w14:paraId="2BA0669F">
      <w:pPr>
        <w:ind w:firstLine="480"/>
        <w:rPr>
          <w:color w:val="000000" w:themeColor="text1"/>
          <w14:textFill>
            <w14:solidFill>
              <w14:schemeClr w14:val="tx1"/>
            </w14:solidFill>
          </w14:textFill>
        </w:rPr>
      </w:pPr>
      <w:r>
        <w:rPr>
          <w:rFonts w:hint="eastAsia"/>
        </w:rPr>
        <w:t>双方在执行合同中所发生的一切争议，应通过协商解决。如协商不成，可向甲方所在地法院起诉</w:t>
      </w:r>
      <w:r>
        <w:rPr>
          <w:rFonts w:hint="eastAsia"/>
          <w:color w:val="000000" w:themeColor="text1"/>
          <w14:textFill>
            <w14:solidFill>
              <w14:schemeClr w14:val="tx1"/>
            </w14:solidFill>
          </w14:textFill>
        </w:rPr>
        <w:t>。</w:t>
      </w:r>
    </w:p>
    <w:p w14:paraId="5E149F50">
      <w:pPr>
        <w:pStyle w:val="2"/>
      </w:pPr>
      <w:bookmarkStart w:id="375" w:name="_Toc28162"/>
      <w:bookmarkStart w:id="376" w:name="_Toc6600"/>
      <w:r>
        <w:rPr>
          <w:rFonts w:hint="eastAsia"/>
          <w:color w:val="000000" w:themeColor="text1"/>
          <w14:textFill>
            <w14:solidFill>
              <w14:schemeClr w14:val="tx1"/>
            </w14:solidFill>
          </w14:textFill>
        </w:rPr>
        <w:t>十六、</w:t>
      </w:r>
      <w:bookmarkEnd w:id="375"/>
      <w:r>
        <w:rPr>
          <w:rFonts w:hint="eastAsia"/>
        </w:rPr>
        <w:t>合同生效及其他</w:t>
      </w:r>
      <w:bookmarkEnd w:id="376"/>
    </w:p>
    <w:p w14:paraId="1E377BB1">
      <w:pPr>
        <w:ind w:firstLine="480"/>
      </w:pPr>
      <w:r>
        <w:rPr>
          <w:rFonts w:hint="eastAsia"/>
        </w:rPr>
        <w:t>1.自双方授权代表人签字/盖章。</w:t>
      </w:r>
    </w:p>
    <w:p w14:paraId="54E7BA0E">
      <w:pPr>
        <w:ind w:firstLine="480"/>
      </w:pPr>
      <w:r>
        <w:rPr>
          <w:rFonts w:hint="eastAsia"/>
        </w:rPr>
        <w:t>2.本合同未尽事宜，遵照《中华人民共和国民法典》有关条文执行。</w:t>
      </w:r>
    </w:p>
    <w:p w14:paraId="35D7D893">
      <w:pPr>
        <w:ind w:firstLine="480"/>
      </w:pPr>
      <w:r>
        <w:rPr>
          <w:rFonts w:hint="eastAsia"/>
        </w:rPr>
        <w:t>3.本合同一式四份，甲乙双方各执两份。</w:t>
      </w:r>
    </w:p>
    <w:p w14:paraId="1173BF3B">
      <w:pPr>
        <w:pStyle w:val="11"/>
        <w:snapToGrid w:val="0"/>
        <w:spacing w:after="0"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甲方（盖章）：                          乙方（盖章）：</w:t>
      </w:r>
    </w:p>
    <w:p w14:paraId="267D1F9A">
      <w:pPr>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                        法定代表人或委托</w:t>
      </w:r>
    </w:p>
    <w:p w14:paraId="526BFCBD">
      <w:pPr>
        <w:spacing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代理人（签字或盖章）：                  代理人（签字或盖章）：</w:t>
      </w:r>
    </w:p>
    <w:p w14:paraId="69B2A8AC">
      <w:pPr>
        <w:pStyle w:val="11"/>
        <w:snapToGrid w:val="0"/>
        <w:spacing w:after="0"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                                  地址：</w:t>
      </w:r>
    </w:p>
    <w:p w14:paraId="2CDACD10">
      <w:pPr>
        <w:spacing w:line="360" w:lineRule="auto"/>
        <w:ind w:firstLine="0" w:firstLineChars="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                              联系方式：</w:t>
      </w:r>
    </w:p>
    <w:p w14:paraId="4BB662B4">
      <w:pPr>
        <w:pStyle w:val="11"/>
        <w:snapToGrid w:val="0"/>
        <w:spacing w:after="0"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签订日期：  年  月  日                  签订日期：  年  月  日</w:t>
      </w:r>
    </w:p>
    <w:p w14:paraId="7D4AD591">
      <w:pPr>
        <w:pStyle w:val="27"/>
        <w:spacing w:after="0" w:line="360" w:lineRule="auto"/>
        <w:ind w:left="480" w:firstLine="480"/>
        <w:rPr>
          <w:rFonts w:ascii="宋体" w:hAnsi="宋体" w:cs="宋体"/>
          <w:color w:val="000000" w:themeColor="text1"/>
          <w14:textFill>
            <w14:solidFill>
              <w14:schemeClr w14:val="tx1"/>
            </w14:solidFill>
          </w14:textFill>
        </w:rPr>
      </w:pPr>
    </w:p>
    <w:p w14:paraId="23608DD1">
      <w:pPr>
        <w:ind w:firstLine="0" w:firstLineChars="0"/>
        <w:rPr>
          <w:lang w:val="zh-CN"/>
        </w:rPr>
      </w:pPr>
      <w:r>
        <w:rPr>
          <w:lang w:val="zh-CN"/>
        </w:rPr>
        <w:br w:type="page"/>
      </w:r>
    </w:p>
    <w:bookmarkEnd w:id="331"/>
    <w:p w14:paraId="5CD8A127">
      <w:pPr>
        <w:pStyle w:val="3"/>
      </w:pPr>
      <w:bookmarkStart w:id="377" w:name="_Toc6085"/>
      <w:bookmarkStart w:id="378" w:name="_Toc18417"/>
      <w:bookmarkStart w:id="379" w:name="_Toc8725"/>
      <w:bookmarkStart w:id="380" w:name="_Toc29800"/>
      <w:bookmarkStart w:id="381" w:name="_Toc5985"/>
      <w:bookmarkStart w:id="382" w:name="_Toc17492"/>
      <w:bookmarkStart w:id="383" w:name="_Toc5226"/>
      <w:bookmarkStart w:id="384" w:name="_Toc932"/>
      <w:r>
        <w:t>第</w:t>
      </w:r>
      <w:r>
        <w:rPr>
          <w:rFonts w:hint="eastAsia"/>
        </w:rPr>
        <w:t>六</w:t>
      </w:r>
      <w:r>
        <w:t>章</w:t>
      </w:r>
      <w:r>
        <w:rPr>
          <w:rFonts w:hint="eastAsia"/>
        </w:rPr>
        <w:t xml:space="preserve">  评审办法和评分标准</w:t>
      </w:r>
      <w:bookmarkEnd w:id="377"/>
      <w:bookmarkEnd w:id="378"/>
      <w:bookmarkEnd w:id="379"/>
      <w:bookmarkEnd w:id="380"/>
      <w:bookmarkEnd w:id="381"/>
      <w:bookmarkEnd w:id="382"/>
      <w:bookmarkEnd w:id="383"/>
      <w:bookmarkEnd w:id="384"/>
    </w:p>
    <w:p w14:paraId="04DC7C3E">
      <w:pPr>
        <w:ind w:firstLine="480"/>
        <w:rPr>
          <w:rFonts w:ascii="宋体" w:hAnsi="宋体" w:cs="Arial"/>
          <w:szCs w:val="21"/>
        </w:rPr>
      </w:pPr>
      <w:r>
        <w:t>本评审办法遵照《中华人民共和国政府采购法</w:t>
      </w:r>
      <w:r>
        <w:rPr>
          <w:rFonts w:hint="eastAsia"/>
        </w:rPr>
        <w:t>》《政府采购竞争性磋商采购方式管理暂行办法》等</w:t>
      </w:r>
      <w:r>
        <w:t>有关规定，并结合本项目的具体情况制定。</w:t>
      </w:r>
    </w:p>
    <w:p w14:paraId="39AF2E95">
      <w:pPr>
        <w:pStyle w:val="2"/>
      </w:pPr>
      <w:bookmarkStart w:id="385" w:name="_Toc16899"/>
      <w:bookmarkStart w:id="386" w:name="_Toc23787"/>
      <w:bookmarkStart w:id="387" w:name="_Toc10289"/>
      <w:bookmarkStart w:id="388" w:name="_Toc30786"/>
      <w:bookmarkStart w:id="389" w:name="_Toc31535"/>
      <w:bookmarkStart w:id="390" w:name="_Toc32324"/>
      <w:bookmarkStart w:id="391" w:name="_Toc13324"/>
      <w:bookmarkStart w:id="392" w:name="_Toc818"/>
      <w:r>
        <w:t>一、总则</w:t>
      </w:r>
      <w:bookmarkEnd w:id="385"/>
      <w:bookmarkEnd w:id="386"/>
      <w:bookmarkEnd w:id="387"/>
      <w:bookmarkEnd w:id="388"/>
      <w:bookmarkEnd w:id="389"/>
      <w:bookmarkEnd w:id="390"/>
      <w:bookmarkEnd w:id="391"/>
      <w:bookmarkEnd w:id="392"/>
    </w:p>
    <w:p w14:paraId="2B640AE6">
      <w:pPr>
        <w:ind w:firstLine="480"/>
      </w:pPr>
      <w:r>
        <w:t>1.为公正、公平、科学地选择成交供应商，根据《中华人民共和国政府采购法》《中华人民共和国政府采购法实施条例》《政府采购竞争性磋商采购方式管理暂行办法》等有关规定，并结合本项目的实际，制定本办法。</w:t>
      </w:r>
    </w:p>
    <w:p w14:paraId="5B3C340B">
      <w:pPr>
        <w:ind w:firstLine="480"/>
      </w:pPr>
      <w:r>
        <w:t>2.评审工作由采购代理机构负责组织，具体评审事务由采购组织机构依法组建的</w:t>
      </w:r>
      <w:r>
        <w:rPr>
          <w:rFonts w:hint="eastAsia"/>
        </w:rPr>
        <w:t>磋商小组</w:t>
      </w:r>
      <w:r>
        <w:t>负责。</w:t>
      </w:r>
    </w:p>
    <w:p w14:paraId="341257B0">
      <w:pPr>
        <w:ind w:firstLine="480"/>
      </w:pPr>
      <w:r>
        <w:t>3.</w:t>
      </w:r>
      <w:r>
        <w:rPr>
          <w:rFonts w:hint="eastAsia"/>
        </w:rPr>
        <w:t>磋商小组</w:t>
      </w:r>
      <w:r>
        <w:t>评价响应文件的响应性，对于供应商而言，除</w:t>
      </w:r>
      <w:r>
        <w:rPr>
          <w:rFonts w:hint="eastAsia"/>
        </w:rPr>
        <w:t>磋商小组</w:t>
      </w:r>
      <w:r>
        <w:t>要求其澄清、说明或者更正而提供的资料外，仅依据响应文件本身的内容，不寻求其他外部证据。如供应商提交的资质证明或其他内容不齐全，由此造成的后果由供应商自己负责。</w:t>
      </w:r>
    </w:p>
    <w:p w14:paraId="5B0D2268">
      <w:pPr>
        <w:ind w:firstLine="480"/>
      </w:pPr>
      <w:r>
        <w:t>4.本项目评审采用不公开方式进行。供应商商务技术得分、最后报价及得分在磋商结束后一并同时公布。</w:t>
      </w:r>
    </w:p>
    <w:p w14:paraId="4E036423">
      <w:pPr>
        <w:ind w:firstLine="480"/>
        <w:rPr>
          <w:rFonts w:ascii="宋体" w:hAnsi="宋体"/>
          <w:szCs w:val="21"/>
        </w:rPr>
      </w:pPr>
      <w:r>
        <w:t>5.本次评审采用综合评分法。</w:t>
      </w:r>
    </w:p>
    <w:p w14:paraId="4E8228D4">
      <w:pPr>
        <w:pStyle w:val="2"/>
      </w:pPr>
      <w:bookmarkStart w:id="393" w:name="_Toc19212"/>
      <w:bookmarkStart w:id="394" w:name="_Toc2493"/>
      <w:bookmarkStart w:id="395" w:name="_Toc29228"/>
      <w:bookmarkStart w:id="396" w:name="_Toc5402"/>
      <w:bookmarkStart w:id="397" w:name="_Toc8997"/>
      <w:bookmarkStart w:id="398" w:name="_Toc2526"/>
      <w:bookmarkStart w:id="399" w:name="_Toc8940"/>
      <w:bookmarkStart w:id="400" w:name="_Toc14156"/>
      <w:r>
        <w:t>二、组建</w:t>
      </w:r>
      <w:r>
        <w:rPr>
          <w:rFonts w:hint="eastAsia"/>
        </w:rPr>
        <w:t>磋商小组</w:t>
      </w:r>
      <w:bookmarkEnd w:id="393"/>
      <w:bookmarkEnd w:id="394"/>
      <w:bookmarkEnd w:id="395"/>
      <w:bookmarkEnd w:id="396"/>
      <w:bookmarkEnd w:id="397"/>
      <w:bookmarkEnd w:id="398"/>
      <w:bookmarkEnd w:id="399"/>
      <w:bookmarkEnd w:id="400"/>
    </w:p>
    <w:p w14:paraId="79D83197">
      <w:pPr>
        <w:ind w:firstLine="480"/>
      </w:pPr>
      <w:r>
        <w:t>1.采购人将根据相关规定和采购项目的特点由采购人和技术、经济等方面专家组成</w:t>
      </w:r>
      <w:r>
        <w:rPr>
          <w:rFonts w:hint="eastAsia"/>
        </w:rPr>
        <w:t>磋商小组</w:t>
      </w:r>
      <w:r>
        <w:t>，</w:t>
      </w:r>
      <w:r>
        <w:rPr>
          <w:rFonts w:hint="eastAsia"/>
        </w:rPr>
        <w:t>磋商小组</w:t>
      </w:r>
      <w:r>
        <w:t>成员人数见供应商须知前附表。</w:t>
      </w:r>
    </w:p>
    <w:p w14:paraId="45A1A417">
      <w:pPr>
        <w:ind w:firstLine="480"/>
        <w:rPr>
          <w:rFonts w:ascii="宋体" w:hAnsi="宋体"/>
          <w:szCs w:val="21"/>
        </w:rPr>
      </w:pPr>
      <w:r>
        <w:t>2.除依法组建的</w:t>
      </w:r>
      <w:r>
        <w:rPr>
          <w:rFonts w:hint="eastAsia"/>
        </w:rPr>
        <w:t>磋商小组</w:t>
      </w:r>
      <w:r>
        <w:t>成员以外，其他任何人不得参加或者替代评审。</w:t>
      </w:r>
    </w:p>
    <w:p w14:paraId="7F283378">
      <w:pPr>
        <w:pStyle w:val="2"/>
      </w:pPr>
      <w:bookmarkStart w:id="401" w:name="_Toc28169"/>
      <w:bookmarkStart w:id="402" w:name="_Toc28664"/>
      <w:bookmarkStart w:id="403" w:name="_Toc29798"/>
      <w:bookmarkStart w:id="404" w:name="_Toc17372"/>
      <w:bookmarkStart w:id="405" w:name="_Toc13297"/>
      <w:bookmarkStart w:id="406" w:name="_Toc22590"/>
      <w:bookmarkStart w:id="407" w:name="_Toc8677"/>
      <w:bookmarkStart w:id="408" w:name="_Toc29094"/>
      <w:r>
        <w:t>三、评审原则</w:t>
      </w:r>
      <w:bookmarkEnd w:id="401"/>
      <w:bookmarkEnd w:id="402"/>
      <w:bookmarkEnd w:id="403"/>
      <w:bookmarkEnd w:id="404"/>
      <w:bookmarkEnd w:id="405"/>
      <w:bookmarkEnd w:id="406"/>
      <w:bookmarkEnd w:id="407"/>
      <w:bookmarkEnd w:id="408"/>
    </w:p>
    <w:p w14:paraId="2255791C">
      <w:pPr>
        <w:ind w:firstLine="480"/>
      </w:pPr>
      <w:r>
        <w:t>1.公正、客观、审慎的原则。</w:t>
      </w:r>
    </w:p>
    <w:p w14:paraId="56654D47">
      <w:pPr>
        <w:ind w:firstLine="480"/>
      </w:pPr>
      <w:r>
        <w:t>2.严格保密原则。</w:t>
      </w:r>
      <w:r>
        <w:rPr>
          <w:rFonts w:hint="eastAsia"/>
        </w:rPr>
        <w:t>磋商小组</w:t>
      </w:r>
      <w:r>
        <w:t>及有关工作人员不得私下与供应商接触。采购人或采购组织机构对评审结果不作任何说明和解释，也不回答任何提问。</w:t>
      </w:r>
    </w:p>
    <w:p w14:paraId="7579644E">
      <w:pPr>
        <w:ind w:firstLine="480"/>
      </w:pPr>
      <w:r>
        <w:t>3.独立评审原则。任何单位和个人不得干扰、影响评审的正常进行。</w:t>
      </w:r>
    </w:p>
    <w:p w14:paraId="771F1D60">
      <w:pPr>
        <w:ind w:firstLine="480"/>
        <w:rPr>
          <w:rFonts w:ascii="宋体" w:hAnsi="宋体"/>
          <w:szCs w:val="21"/>
        </w:rPr>
      </w:pPr>
      <w:r>
        <w:t>4.严格遵守评审方法。根据采购文件规定的评审程序、评审方法和评分标准进行评审，不带任何倾向性和启发性。</w:t>
      </w:r>
    </w:p>
    <w:p w14:paraId="16335EEE">
      <w:pPr>
        <w:pStyle w:val="2"/>
      </w:pPr>
      <w:bookmarkStart w:id="409" w:name="_Toc93"/>
      <w:bookmarkStart w:id="410" w:name="_Toc6149"/>
      <w:bookmarkStart w:id="411" w:name="_Toc24932"/>
      <w:bookmarkStart w:id="412" w:name="_Toc16276"/>
      <w:bookmarkStart w:id="413" w:name="_Toc28195"/>
      <w:bookmarkStart w:id="414" w:name="_Toc7131"/>
      <w:bookmarkStart w:id="415" w:name="_Toc28154"/>
      <w:bookmarkStart w:id="416" w:name="_Toc20599"/>
      <w:r>
        <w:t>四、</w:t>
      </w:r>
      <w:r>
        <w:rPr>
          <w:rFonts w:hint="eastAsia"/>
        </w:rPr>
        <w:t>磋商小组</w:t>
      </w:r>
      <w:r>
        <w:t>履行下列职责</w:t>
      </w:r>
      <w:bookmarkEnd w:id="409"/>
      <w:bookmarkEnd w:id="410"/>
      <w:bookmarkEnd w:id="411"/>
      <w:bookmarkEnd w:id="412"/>
      <w:bookmarkEnd w:id="413"/>
      <w:bookmarkEnd w:id="414"/>
      <w:bookmarkEnd w:id="415"/>
      <w:bookmarkEnd w:id="416"/>
    </w:p>
    <w:p w14:paraId="5389B23E">
      <w:pPr>
        <w:ind w:firstLine="480"/>
      </w:pPr>
      <w:r>
        <w:t>1.熟悉和理解磋商文件；</w:t>
      </w:r>
    </w:p>
    <w:p w14:paraId="7E1AE1C1">
      <w:pPr>
        <w:ind w:firstLine="480"/>
      </w:pPr>
      <w:r>
        <w:t>2.审查供应商响应文件等是否满足磋商文件要求，并作出评价；</w:t>
      </w:r>
    </w:p>
    <w:p w14:paraId="5C664F84">
      <w:pPr>
        <w:ind w:firstLine="480"/>
      </w:pPr>
      <w:r>
        <w:t>3.根据需要要求采购人对磋商文件作出解释；根据需要要求供应商对响应文件有关事项作出澄清、说明或者更正；</w:t>
      </w:r>
    </w:p>
    <w:p w14:paraId="00CC4100">
      <w:pPr>
        <w:ind w:firstLine="480"/>
      </w:pPr>
      <w:r>
        <w:t>4.推荐成交候选供应商，或者受采购人委托确定成交供应商；</w:t>
      </w:r>
    </w:p>
    <w:p w14:paraId="6014A1B0">
      <w:pPr>
        <w:ind w:firstLine="480"/>
      </w:pPr>
      <w:r>
        <w:t>5.起草评审报告并进行签署；</w:t>
      </w:r>
    </w:p>
    <w:p w14:paraId="2235E86E">
      <w:pPr>
        <w:ind w:firstLine="480"/>
      </w:pPr>
      <w:r>
        <w:t>6.向采购人、财政部门或者其他监督部门报告非法干预评审工作的行为；</w:t>
      </w:r>
    </w:p>
    <w:p w14:paraId="1E98FE25">
      <w:pPr>
        <w:ind w:firstLine="480"/>
        <w:rPr>
          <w:rFonts w:ascii="宋体" w:hAnsi="宋体"/>
          <w:szCs w:val="21"/>
        </w:rPr>
      </w:pPr>
      <w:r>
        <w:t>7.法律、法规和规章规定的其他职责。</w:t>
      </w:r>
    </w:p>
    <w:p w14:paraId="4DD3E80C">
      <w:pPr>
        <w:pStyle w:val="2"/>
      </w:pPr>
      <w:bookmarkStart w:id="417" w:name="_Toc5627"/>
      <w:bookmarkStart w:id="418" w:name="_Toc2134"/>
      <w:bookmarkStart w:id="419" w:name="_Toc15765"/>
      <w:bookmarkStart w:id="420" w:name="_Toc29707"/>
      <w:bookmarkStart w:id="421" w:name="_Toc21679"/>
      <w:bookmarkStart w:id="422" w:name="_Toc14205"/>
      <w:bookmarkStart w:id="423" w:name="_Toc28345"/>
      <w:bookmarkStart w:id="424" w:name="_Toc11489"/>
      <w:r>
        <w:t>五、评审工作纪律</w:t>
      </w:r>
      <w:bookmarkEnd w:id="417"/>
      <w:bookmarkEnd w:id="418"/>
      <w:bookmarkEnd w:id="419"/>
      <w:bookmarkEnd w:id="420"/>
      <w:bookmarkEnd w:id="421"/>
      <w:bookmarkEnd w:id="422"/>
      <w:bookmarkEnd w:id="423"/>
      <w:bookmarkEnd w:id="424"/>
    </w:p>
    <w:p w14:paraId="1611E56A">
      <w:pPr>
        <w:ind w:firstLine="480"/>
      </w:pPr>
      <w:r>
        <w:rPr>
          <w:rFonts w:hint="eastAsia"/>
        </w:rPr>
        <w:t>磋商小组</w:t>
      </w:r>
      <w:r>
        <w:t>成员要严格遵守评审纪律、保密、回避等相关规定，依法独立履行评审职责，客观、公正、审慎参与评审工作：</w:t>
      </w:r>
    </w:p>
    <w:p w14:paraId="7AAB709E">
      <w:pPr>
        <w:ind w:firstLine="480"/>
      </w:pPr>
      <w:r>
        <w:t>1.严格遵守评审时间，因突发情况确实不能按时参加评审的，应事先告知采购组织机构；</w:t>
      </w:r>
    </w:p>
    <w:p w14:paraId="309E3BC8">
      <w:pPr>
        <w:ind w:firstLine="480"/>
      </w:pPr>
      <w:r>
        <w:t>2.服从采购组织机构的现场管理，主动出示身份证明，进入评审区域后应主动寄存移动通讯工具；</w:t>
      </w:r>
    </w:p>
    <w:p w14:paraId="072CFA60">
      <w:pPr>
        <w:ind w:firstLine="480"/>
      </w:pPr>
      <w:r>
        <w:t>3.与供应商或</w:t>
      </w:r>
      <w:r>
        <w:rPr>
          <w:rFonts w:hint="eastAsia"/>
        </w:rPr>
        <w:t>磋商小组</w:t>
      </w:r>
      <w:r>
        <w:t>其他成员存在利害关系的，要主动回避，自觉签订《政府采购评审人员廉洁自律承诺书》；</w:t>
      </w:r>
    </w:p>
    <w:p w14:paraId="4B599A6E">
      <w:pPr>
        <w:ind w:firstLine="480"/>
      </w:pPr>
      <w:r>
        <w:t>4.保持评审现场安静，不在评审现场随意走动，因发生不可预见情况确需与外界联系或暂时离开评审现场的，应向现场监督员说明情况，征得同意后在监控区域内进行相关活动，并应接受相关工作人员的监督；</w:t>
      </w:r>
    </w:p>
    <w:p w14:paraId="46577056">
      <w:pPr>
        <w:ind w:firstLine="480"/>
      </w:pPr>
      <w:r>
        <w:t>5.自觉遵守职业道德，尊重采购人代表和供应商代表，配合采购组织机构回答供应商代表提出的有关异议；</w:t>
      </w:r>
    </w:p>
    <w:p w14:paraId="597D4CB5">
      <w:pPr>
        <w:ind w:firstLine="480"/>
      </w:pPr>
      <w:r>
        <w:t>6.不得将评审过程、结果和供应商的商业秘密透露给任何单位和个人。未公告评审结果前不准泄露评审结果，不准将评审资料带出会场；</w:t>
      </w:r>
    </w:p>
    <w:p w14:paraId="7C118A52">
      <w:pPr>
        <w:ind w:firstLine="480"/>
        <w:rPr>
          <w:rFonts w:ascii="宋体" w:hAnsi="宋体"/>
          <w:szCs w:val="21"/>
        </w:rPr>
      </w:pPr>
      <w:r>
        <w:t>7.评审过程中，涉及到相关法律法规不清楚之处的，由采购监管部门或请示权威部门作出法定解释，涉及到磋商文件的由采购人和采购代理机构负责解释。</w:t>
      </w:r>
    </w:p>
    <w:p w14:paraId="2BC7F030">
      <w:pPr>
        <w:pStyle w:val="2"/>
      </w:pPr>
      <w:bookmarkStart w:id="425" w:name="_Toc30263"/>
      <w:bookmarkStart w:id="426" w:name="_Toc6490"/>
      <w:bookmarkStart w:id="427" w:name="_Toc15350"/>
      <w:bookmarkStart w:id="428" w:name="_Toc13711"/>
      <w:bookmarkStart w:id="429" w:name="_Toc22828"/>
      <w:bookmarkStart w:id="430" w:name="_Toc22341"/>
      <w:bookmarkStart w:id="431" w:name="_Toc8461"/>
      <w:bookmarkStart w:id="432" w:name="_Toc18538"/>
      <w:r>
        <w:t>六、评审程序</w:t>
      </w:r>
      <w:bookmarkEnd w:id="425"/>
      <w:bookmarkEnd w:id="426"/>
      <w:bookmarkEnd w:id="427"/>
      <w:bookmarkEnd w:id="428"/>
      <w:bookmarkEnd w:id="429"/>
      <w:bookmarkEnd w:id="430"/>
      <w:bookmarkEnd w:id="431"/>
      <w:bookmarkEnd w:id="432"/>
    </w:p>
    <w:p w14:paraId="455A6AD2">
      <w:pPr>
        <w:ind w:firstLine="480"/>
      </w:pPr>
      <w:r>
        <w:t>1.推选</w:t>
      </w:r>
      <w:r>
        <w:rPr>
          <w:rFonts w:hint="eastAsia"/>
        </w:rPr>
        <w:t>磋商小组</w:t>
      </w:r>
      <w:r>
        <w:t>组长，优先资深专家担任组长，采购人代表不得担任组长。</w:t>
      </w:r>
    </w:p>
    <w:p w14:paraId="1A036175">
      <w:pPr>
        <w:ind w:firstLine="480"/>
      </w:pPr>
      <w:r>
        <w:t>2.</w:t>
      </w:r>
      <w:r>
        <w:rPr>
          <w:rFonts w:hint="eastAsia"/>
        </w:rPr>
        <w:t>磋商小组</w:t>
      </w:r>
      <w:r>
        <w:t>正式评审前，应当对采购文件进行熟悉和理解，内容主要包括采购文件中供应商资格资质性要求、采购项目技术、服务和商务要求、评审方法和评分标准以及可能涉及签订政府采购合同的内容等。</w:t>
      </w:r>
    </w:p>
    <w:p w14:paraId="654E2F55">
      <w:pPr>
        <w:ind w:firstLine="480"/>
      </w:pPr>
      <w:r>
        <w:t>3.评审程序：资格性审查→符合性审查→商务技术评分→商务技术评分汇总→报价评审→得分汇总→编写评审报告。</w:t>
      </w:r>
    </w:p>
    <w:p w14:paraId="2B062028">
      <w:pPr>
        <w:ind w:firstLine="480"/>
      </w:pPr>
      <w:r>
        <w:t>4.资格性审查</w:t>
      </w:r>
    </w:p>
    <w:p w14:paraId="271C7470">
      <w:pPr>
        <w:ind w:firstLine="480"/>
      </w:pPr>
      <w:r>
        <w:t>4.1</w:t>
      </w:r>
      <w:r>
        <w:rPr>
          <w:rFonts w:hint="eastAsia"/>
        </w:rPr>
        <w:t>磋商小组</w:t>
      </w:r>
      <w:r>
        <w:t>应依据法律法规和本磋商文件的规定对供应商资格进行审查。审查内容包括：</w:t>
      </w:r>
    </w:p>
    <w:p w14:paraId="00A1BA4E">
      <w:pPr>
        <w:ind w:firstLine="480"/>
      </w:pPr>
      <w:r>
        <w:rPr>
          <w:rFonts w:hint="eastAsia"/>
        </w:rPr>
        <w:t>（</w:t>
      </w:r>
      <w:r>
        <w:t>1</w:t>
      </w:r>
      <w:r>
        <w:rPr>
          <w:rFonts w:hint="eastAsia"/>
        </w:rPr>
        <w:t>）</w:t>
      </w:r>
      <w:r>
        <w:t>是否属于禁止参加磋商的供应商；</w:t>
      </w:r>
    </w:p>
    <w:p w14:paraId="65C68D54">
      <w:pPr>
        <w:ind w:firstLine="480"/>
      </w:pPr>
      <w:r>
        <w:rPr>
          <w:rFonts w:hint="eastAsia"/>
        </w:rPr>
        <w:t>（</w:t>
      </w:r>
      <w:r>
        <w:t>2</w:t>
      </w:r>
      <w:r>
        <w:rPr>
          <w:rFonts w:hint="eastAsia"/>
        </w:rPr>
        <w:t>）</w:t>
      </w:r>
      <w:r>
        <w:t>是否按照规定要求提供资格性证明材料；</w:t>
      </w:r>
    </w:p>
    <w:p w14:paraId="56B0E7D4">
      <w:pPr>
        <w:ind w:firstLine="480"/>
      </w:pPr>
      <w:r>
        <w:rPr>
          <w:rFonts w:hint="eastAsia"/>
        </w:rPr>
        <w:t>（</w:t>
      </w:r>
      <w:r>
        <w:t>3</w:t>
      </w:r>
      <w:r>
        <w:rPr>
          <w:rFonts w:hint="eastAsia"/>
        </w:rPr>
        <w:t>）</w:t>
      </w:r>
      <w:r>
        <w:t>法律法规规定的其他资格条件。</w:t>
      </w:r>
    </w:p>
    <w:p w14:paraId="44768FAA">
      <w:pPr>
        <w:ind w:firstLine="480"/>
      </w:pPr>
      <w:r>
        <w:t>4.2经资格审查不符合磋商文件要求的响应文件，即终止其参与磋商资格。</w:t>
      </w:r>
    </w:p>
    <w:p w14:paraId="6A01C101">
      <w:pPr>
        <w:ind w:firstLine="480"/>
      </w:pPr>
      <w:r>
        <w:t>5.符合性审查</w:t>
      </w:r>
    </w:p>
    <w:p w14:paraId="74361EEB">
      <w:pPr>
        <w:ind w:firstLine="480"/>
      </w:pPr>
      <w:r>
        <w:t>5.1</w:t>
      </w:r>
      <w:r>
        <w:rPr>
          <w:rFonts w:hint="eastAsia"/>
        </w:rPr>
        <w:t>磋商小组</w:t>
      </w:r>
      <w:r>
        <w:t>对资格符合供应商的响应文件进行符合性审查，符合性审查事项仅限于本磋商文件的明确规定，</w:t>
      </w:r>
      <w:r>
        <w:rPr>
          <w:rFonts w:hint="eastAsia"/>
        </w:rPr>
        <w:t>磋商小组</w:t>
      </w:r>
      <w:r>
        <w:t>不得臆测符合性审查事项。未实质性响应磋商文件要求，以无效响应处理，</w:t>
      </w:r>
      <w:r>
        <w:rPr>
          <w:rFonts w:hint="eastAsia"/>
        </w:rPr>
        <w:t>磋商小组</w:t>
      </w:r>
      <w:r>
        <w:t>不再进行后续评审。</w:t>
      </w:r>
    </w:p>
    <w:p w14:paraId="6B044DFD">
      <w:pPr>
        <w:ind w:firstLine="480"/>
      </w:pPr>
      <w:r>
        <w:t>5.2如果确定供应商无资格履行合同，其磋商将被拒绝。</w:t>
      </w:r>
    </w:p>
    <w:p w14:paraId="01B65283">
      <w:pPr>
        <w:ind w:firstLine="480"/>
      </w:pPr>
      <w:r>
        <w:t>6.响应文件评审</w:t>
      </w:r>
    </w:p>
    <w:p w14:paraId="30D1A1FA">
      <w:pPr>
        <w:ind w:firstLine="480"/>
      </w:pPr>
      <w:r>
        <w:rPr>
          <w:rFonts w:hint="eastAsia"/>
        </w:rPr>
        <w:t>磋商小组</w:t>
      </w:r>
      <w:r>
        <w:t>应当按照磋商文件中规定的评审方法和评分标准，对有效的响应文件进行商务、技术等方面评估、综合比较与评价（详见本章第十条）。评审结束后不公布各供应商商务、技术得分情况，进行下一步的磋商环节。</w:t>
      </w:r>
    </w:p>
    <w:p w14:paraId="21C12456">
      <w:pPr>
        <w:ind w:firstLine="480"/>
      </w:pPr>
      <w:r>
        <w:t>7.磋商</w:t>
      </w:r>
    </w:p>
    <w:p w14:paraId="5E895423">
      <w:pPr>
        <w:ind w:firstLine="480"/>
      </w:pPr>
      <w:r>
        <w:t>7.1</w:t>
      </w:r>
      <w:r>
        <w:rPr>
          <w:rFonts w:hint="eastAsia"/>
        </w:rPr>
        <w:t>磋商小组</w:t>
      </w:r>
      <w:r>
        <w:t>与供应商在政采云平台在线进行磋商，磋商轮次由</w:t>
      </w:r>
      <w:r>
        <w:rPr>
          <w:rFonts w:hint="eastAsia"/>
        </w:rPr>
        <w:t>磋商小组</w:t>
      </w:r>
      <w:r>
        <w:t>决定。</w:t>
      </w:r>
    </w:p>
    <w:p w14:paraId="4347DFFF">
      <w:pPr>
        <w:ind w:firstLine="480"/>
      </w:pPr>
      <w:r>
        <w:t>7.2在本磋商文件采购需求中的技术、服务要求、合同草案条款没有实质性变动情况下，</w:t>
      </w:r>
      <w:r>
        <w:rPr>
          <w:rFonts w:hint="eastAsia"/>
        </w:rPr>
        <w:t>磋商小组</w:t>
      </w:r>
      <w:r>
        <w:t>与各供应商着重进行价格磋商。若有两轮以上报价的当前报价不得高于对该项目之前的报价，否则，以无效响应处理。</w:t>
      </w:r>
    </w:p>
    <w:p w14:paraId="0058EF4A">
      <w:pPr>
        <w:ind w:firstLine="480"/>
      </w:pPr>
      <w:r>
        <w:t>7.3磋商过程中，磋商的任何一方不得透露与磋商有关的其他供应商的技术资料、价格和其他信息。</w:t>
      </w:r>
    </w:p>
    <w:p w14:paraId="5B2B1172">
      <w:pPr>
        <w:ind w:firstLine="480"/>
      </w:pPr>
      <w:r>
        <w:t>7.4磋商过程中，</w:t>
      </w:r>
      <w:r>
        <w:rPr>
          <w:rFonts w:hint="eastAsia"/>
        </w:rPr>
        <w:t>磋商小组</w:t>
      </w:r>
      <w:r>
        <w:t>发现或者知晓供应商存在违法、违纪行为的，</w:t>
      </w:r>
      <w:r>
        <w:rPr>
          <w:rFonts w:hint="eastAsia"/>
        </w:rPr>
        <w:t>磋商小组</w:t>
      </w:r>
      <w:r>
        <w:t>应当将该供应商响应文件作无效处理，不允许其提交最后报价。</w:t>
      </w:r>
    </w:p>
    <w:p w14:paraId="1FF00993">
      <w:pPr>
        <w:ind w:firstLine="480"/>
      </w:pPr>
      <w:r>
        <w:t>8.最后报价</w:t>
      </w:r>
    </w:p>
    <w:p w14:paraId="2DD6B8E0">
      <w:pPr>
        <w:ind w:firstLine="480"/>
      </w:pPr>
      <w:r>
        <w:t>8.1磋商文件在统一采购需求的前提下，磋商结束后，</w:t>
      </w:r>
      <w:r>
        <w:rPr>
          <w:rFonts w:hint="eastAsia"/>
        </w:rPr>
        <w:t>磋商小组</w:t>
      </w:r>
      <w:r>
        <w:t>应当要求所有实质性响应的供应商在规定时间内在政采云平台在线提交最后报价。</w:t>
      </w:r>
    </w:p>
    <w:p w14:paraId="5ACDCB5F">
      <w:pPr>
        <w:ind w:firstLine="480"/>
        <w:rPr>
          <w:rFonts w:ascii="宋体" w:hAnsi="宋体"/>
          <w:szCs w:val="21"/>
        </w:rPr>
      </w:pPr>
      <w:r>
        <w:t>8.2最后报价是供应商响应文件的有效组成部分。</w:t>
      </w:r>
    </w:p>
    <w:p w14:paraId="12840792">
      <w:pPr>
        <w:pStyle w:val="2"/>
      </w:pPr>
      <w:bookmarkStart w:id="433" w:name="_Toc31562"/>
      <w:bookmarkStart w:id="434" w:name="_Toc4568"/>
      <w:bookmarkStart w:id="435" w:name="_Toc30885"/>
      <w:bookmarkStart w:id="436" w:name="_Toc7024"/>
      <w:bookmarkStart w:id="437" w:name="_Toc4185"/>
      <w:bookmarkStart w:id="438" w:name="_Toc23834"/>
      <w:bookmarkStart w:id="439" w:name="_Toc19550"/>
      <w:bookmarkStart w:id="440" w:name="_Toc5109"/>
      <w:r>
        <w:t>七、澄清、说明或补正</w:t>
      </w:r>
      <w:bookmarkEnd w:id="433"/>
      <w:bookmarkEnd w:id="434"/>
      <w:bookmarkEnd w:id="435"/>
      <w:bookmarkEnd w:id="436"/>
      <w:bookmarkEnd w:id="437"/>
      <w:bookmarkEnd w:id="438"/>
      <w:bookmarkEnd w:id="439"/>
      <w:bookmarkEnd w:id="440"/>
    </w:p>
    <w:p w14:paraId="6FDE23B8">
      <w:pPr>
        <w:ind w:firstLine="480"/>
      </w:pPr>
      <w:r>
        <w:t>1.评审中需要供应商对响应文件作出澄清、说明或者补正的，</w:t>
      </w:r>
      <w:r>
        <w:rPr>
          <w:rFonts w:hint="eastAsia"/>
        </w:rPr>
        <w:t>磋商小组</w:t>
      </w:r>
      <w:r>
        <w:t>和供应商应当通过政采云平台交换数据电文。给予供应商提交澄清、说明或补正的时间，供应商已经明确表示澄清说明或补正完毕的除外。澄清、说明或修正内容是响应文件的组成部分。</w:t>
      </w:r>
    </w:p>
    <w:p w14:paraId="48FC2B0D">
      <w:pPr>
        <w:ind w:firstLine="480"/>
      </w:pPr>
      <w:r>
        <w:t>2.响应文件报价出现前后不一致的，按照下列规定修正：</w:t>
      </w:r>
    </w:p>
    <w:p w14:paraId="096C953B">
      <w:pPr>
        <w:ind w:firstLine="480"/>
      </w:pPr>
      <w:r>
        <w:t>2.1大写金额和小写金额不一致的，以大写金额为准；</w:t>
      </w:r>
    </w:p>
    <w:p w14:paraId="45A5C75A">
      <w:pPr>
        <w:ind w:firstLine="480"/>
      </w:pPr>
      <w:r>
        <w:t>2.2总价金额与按单价汇总金额不一致的，以单价金额计算结果为准；</w:t>
      </w:r>
    </w:p>
    <w:p w14:paraId="14F9A12E">
      <w:pPr>
        <w:ind w:firstLine="480"/>
      </w:pPr>
      <w:r>
        <w:t>2.3单价金额小数点有明显错位的，应以总价为准，并修改单价。如果小写、大写金额和单价、总价金额出现明显文字错误，应当按照澄清、说明或者更正程序先纠正错误后，再行修正。</w:t>
      </w:r>
    </w:p>
    <w:p w14:paraId="528B5158">
      <w:pPr>
        <w:ind w:firstLine="480"/>
      </w:pPr>
      <w:r>
        <w:t>2.4对不同文字文本响应文件的解释发生异议的，以中文文本为准。</w:t>
      </w:r>
    </w:p>
    <w:p w14:paraId="09A00553">
      <w:pPr>
        <w:ind w:firstLine="480"/>
      </w:pPr>
      <w:r>
        <w:t>3.澄清说明答复函须由供应商法定代表人或授权代理人签字和盖章。如果供应商不接受对其错误的更正，其投标将被拒绝。</w:t>
      </w:r>
    </w:p>
    <w:p w14:paraId="7D99AEB8">
      <w:pPr>
        <w:ind w:firstLine="480"/>
        <w:rPr>
          <w:rFonts w:ascii="宋体" w:hAnsi="宋体"/>
          <w:szCs w:val="21"/>
        </w:rPr>
      </w:pPr>
      <w:r>
        <w:t>4.请供应商在评审期间保持电话畅通，如未及时接听电话，视为放弃澄清、说明或补正的权利，视同默认采购结果，事后不得对采购相关人员、采购过程及结果提出异议，责任由供应商自负。</w:t>
      </w:r>
    </w:p>
    <w:p w14:paraId="506E11D5">
      <w:pPr>
        <w:pStyle w:val="2"/>
      </w:pPr>
      <w:bookmarkStart w:id="441" w:name="_Toc22452"/>
      <w:bookmarkStart w:id="442" w:name="_Toc4320"/>
      <w:bookmarkStart w:id="443" w:name="_Toc5598"/>
      <w:bookmarkStart w:id="444" w:name="_Toc14004"/>
      <w:bookmarkStart w:id="445" w:name="_Toc13173"/>
      <w:bookmarkStart w:id="446" w:name="_Toc17417"/>
      <w:bookmarkStart w:id="447" w:name="_Toc19185"/>
      <w:bookmarkStart w:id="448" w:name="_Toc23287"/>
      <w:r>
        <w:t>八、推荐成交候选人</w:t>
      </w:r>
      <w:bookmarkEnd w:id="441"/>
      <w:bookmarkEnd w:id="442"/>
      <w:bookmarkEnd w:id="443"/>
      <w:bookmarkEnd w:id="444"/>
      <w:bookmarkEnd w:id="445"/>
      <w:bookmarkEnd w:id="446"/>
      <w:bookmarkEnd w:id="447"/>
      <w:bookmarkEnd w:id="448"/>
    </w:p>
    <w:p w14:paraId="7B102606">
      <w:pPr>
        <w:ind w:firstLine="480"/>
        <w:rPr>
          <w:szCs w:val="21"/>
        </w:rPr>
      </w:pPr>
      <w:r>
        <w:t>按照供应商得分由高到低顺序排列推荐成交候选人。得分相同的，按最后报价由低到高顺序排列。得分且最后报价相同的并列。响应文件满足磋商文件全部实质性要求，且按照评审因素的量化指标评审得分最高的供应商为排名第一的成交候选人。</w:t>
      </w:r>
    </w:p>
    <w:p w14:paraId="1D2D94B9">
      <w:pPr>
        <w:pStyle w:val="2"/>
      </w:pPr>
      <w:bookmarkStart w:id="449" w:name="_Toc17671"/>
      <w:bookmarkStart w:id="450" w:name="_Toc19471"/>
      <w:bookmarkStart w:id="451" w:name="_Toc16341"/>
      <w:bookmarkStart w:id="452" w:name="_Toc5515"/>
      <w:bookmarkStart w:id="453" w:name="_Toc3451"/>
      <w:bookmarkStart w:id="454" w:name="_Toc22441"/>
      <w:bookmarkStart w:id="455" w:name="_Toc3256"/>
      <w:bookmarkStart w:id="456" w:name="_Toc26093"/>
      <w:r>
        <w:t>九、评审报告</w:t>
      </w:r>
      <w:bookmarkEnd w:id="449"/>
      <w:bookmarkEnd w:id="450"/>
      <w:bookmarkEnd w:id="451"/>
      <w:bookmarkEnd w:id="452"/>
      <w:bookmarkEnd w:id="453"/>
      <w:bookmarkEnd w:id="454"/>
      <w:bookmarkEnd w:id="455"/>
      <w:bookmarkEnd w:id="456"/>
    </w:p>
    <w:p w14:paraId="777AD4AB">
      <w:pPr>
        <w:ind w:firstLine="480"/>
        <w:rPr>
          <w:szCs w:val="21"/>
        </w:rPr>
      </w:pPr>
      <w:r>
        <w:rPr>
          <w:rFonts w:hint="eastAsia"/>
        </w:rPr>
        <w:t>磋商小组</w:t>
      </w:r>
      <w:r>
        <w:t>编写评审报告，并提出得分由高到低排序名单及理由，评审报告由</w:t>
      </w:r>
      <w:r>
        <w:rPr>
          <w:rFonts w:hint="eastAsia"/>
        </w:rPr>
        <w:t>磋商小组</w:t>
      </w:r>
      <w:r>
        <w:t>成员签字。</w:t>
      </w:r>
    </w:p>
    <w:p w14:paraId="3841A568">
      <w:pPr>
        <w:pStyle w:val="2"/>
      </w:pPr>
      <w:bookmarkStart w:id="457" w:name="_Toc27201"/>
      <w:bookmarkStart w:id="458" w:name="_Toc19072"/>
      <w:bookmarkStart w:id="459" w:name="_Toc28035"/>
      <w:bookmarkStart w:id="460" w:name="_Toc12622"/>
      <w:bookmarkStart w:id="461" w:name="_Toc10920"/>
      <w:bookmarkStart w:id="462" w:name="_Toc11511"/>
      <w:bookmarkStart w:id="463" w:name="_Toc16301"/>
      <w:bookmarkStart w:id="464" w:name="_Toc11799"/>
      <w:r>
        <w:t>十、评分细则及标准</w:t>
      </w:r>
      <w:bookmarkEnd w:id="457"/>
      <w:bookmarkEnd w:id="458"/>
      <w:bookmarkEnd w:id="459"/>
      <w:bookmarkEnd w:id="460"/>
      <w:bookmarkEnd w:id="461"/>
      <w:bookmarkEnd w:id="462"/>
      <w:bookmarkEnd w:id="463"/>
      <w:bookmarkEnd w:id="464"/>
    </w:p>
    <w:p w14:paraId="72859EB6">
      <w:pPr>
        <w:ind w:firstLine="480"/>
      </w:pPr>
      <w:r>
        <w:t>1.</w:t>
      </w:r>
      <w:r>
        <w:rPr>
          <w:rFonts w:hint="eastAsia"/>
        </w:rPr>
        <w:t>磋商小组</w:t>
      </w:r>
      <w:r>
        <w:t>成员根据本办法，对有效的响应文件进行商务、技术等方面评估，综合比较与评价，由各成员独立评分，打分时保留小数1位，每人一份评分表，并签名。在汇总得分时，如果发现某一单项评分超过评分细则规定的分值范围，则该份评分表无效。</w:t>
      </w:r>
    </w:p>
    <w:p w14:paraId="6159EC38">
      <w:pPr>
        <w:ind w:firstLine="480"/>
      </w:pPr>
      <w:r>
        <w:t>2.加权汇总每项评分因素的得分，得出每个有效供应商的总分。商务技术部分得分为各成员的有效评分的算术平均值。计算时保留小数二位（第三位四舍五入）。</w:t>
      </w:r>
    </w:p>
    <w:p w14:paraId="4BF55103">
      <w:pPr>
        <w:ind w:firstLine="480"/>
      </w:pPr>
      <w:r>
        <w:t>3.综合评分明细表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31"/>
        <w:gridCol w:w="5476"/>
        <w:gridCol w:w="917"/>
      </w:tblGrid>
      <w:tr w14:paraId="505A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Align w:val="center"/>
          </w:tcPr>
          <w:p w14:paraId="1A09DAA3">
            <w:pPr>
              <w:pStyle w:val="35"/>
              <w:rPr>
                <w:rFonts w:hint="default"/>
              </w:rPr>
            </w:pPr>
            <w:r>
              <w:t>项目</w:t>
            </w:r>
          </w:p>
        </w:tc>
        <w:tc>
          <w:tcPr>
            <w:tcW w:w="781" w:type="pct"/>
            <w:vAlign w:val="center"/>
          </w:tcPr>
          <w:p w14:paraId="0E99DC7A">
            <w:pPr>
              <w:pStyle w:val="35"/>
              <w:rPr>
                <w:rFonts w:hint="default"/>
              </w:rPr>
            </w:pPr>
            <w:r>
              <w:t>评分因素</w:t>
            </w:r>
          </w:p>
        </w:tc>
        <w:tc>
          <w:tcPr>
            <w:tcW w:w="3214" w:type="pct"/>
            <w:vAlign w:val="center"/>
          </w:tcPr>
          <w:p w14:paraId="75CCDB6F">
            <w:pPr>
              <w:pStyle w:val="35"/>
              <w:rPr>
                <w:rFonts w:hint="default"/>
              </w:rPr>
            </w:pPr>
            <w:r>
              <w:t>评审标准</w:t>
            </w:r>
          </w:p>
        </w:tc>
        <w:tc>
          <w:tcPr>
            <w:tcW w:w="538" w:type="pct"/>
            <w:vAlign w:val="center"/>
          </w:tcPr>
          <w:p w14:paraId="1A6E4121">
            <w:pPr>
              <w:pStyle w:val="35"/>
              <w:rPr>
                <w:rFonts w:hint="default"/>
              </w:rPr>
            </w:pPr>
            <w:r>
              <w:t>分值</w:t>
            </w:r>
          </w:p>
        </w:tc>
      </w:tr>
      <w:tr w14:paraId="0F63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467" w:type="pct"/>
            <w:vAlign w:val="center"/>
          </w:tcPr>
          <w:p w14:paraId="6E2FCF80">
            <w:pPr>
              <w:pStyle w:val="35"/>
              <w:rPr>
                <w:rFonts w:hint="default" w:ascii="Times New Roman" w:hAnsi="Times New Roman" w:cs="Times New Roman"/>
                <w:bCs w:val="0"/>
              </w:rPr>
            </w:pPr>
            <w:r>
              <w:rPr>
                <w:rFonts w:hint="default" w:ascii="Times New Roman" w:hAnsi="Times New Roman" w:cs="Times New Roman"/>
                <w:bCs w:val="0"/>
              </w:rPr>
              <w:t>报价部分（10分）</w:t>
            </w:r>
          </w:p>
        </w:tc>
        <w:tc>
          <w:tcPr>
            <w:tcW w:w="781" w:type="pct"/>
            <w:vAlign w:val="center"/>
          </w:tcPr>
          <w:p w14:paraId="58172CF4">
            <w:pPr>
              <w:pStyle w:val="35"/>
              <w:rPr>
                <w:rFonts w:hint="default" w:ascii="Times New Roman" w:hAnsi="Times New Roman" w:cs="Times New Roman"/>
                <w:bCs w:val="0"/>
              </w:rPr>
            </w:pPr>
            <w:r>
              <w:rPr>
                <w:rFonts w:hint="default" w:ascii="Times New Roman" w:hAnsi="Times New Roman" w:cs="Times New Roman"/>
                <w:bCs w:val="0"/>
              </w:rPr>
              <w:t>最终报价</w:t>
            </w:r>
          </w:p>
        </w:tc>
        <w:tc>
          <w:tcPr>
            <w:tcW w:w="3214" w:type="pct"/>
            <w:vAlign w:val="center"/>
          </w:tcPr>
          <w:p w14:paraId="012D3CC9">
            <w:pPr>
              <w:pStyle w:val="35"/>
              <w:rPr>
                <w:rFonts w:hint="default" w:ascii="Times New Roman" w:hAnsi="Times New Roman" w:cs="Times New Roman"/>
                <w:bCs w:val="0"/>
              </w:rPr>
            </w:pPr>
            <w:r>
              <w:rPr>
                <w:rFonts w:hint="default" w:ascii="Times New Roman" w:hAnsi="Times New Roman" w:cs="Times New Roman"/>
                <w:bCs w:val="0"/>
              </w:rPr>
              <w:t>1.价格分采用低价优先法计算，即满足招标文件要求且投标价格最低的投标报价为评标基准价，其价格分为满分。</w:t>
            </w:r>
          </w:p>
          <w:p w14:paraId="5689BED3">
            <w:pPr>
              <w:pStyle w:val="35"/>
              <w:rPr>
                <w:rFonts w:hint="default" w:ascii="Times New Roman" w:hAnsi="Times New Roman" w:cs="Times New Roman"/>
                <w:bCs w:val="0"/>
              </w:rPr>
            </w:pPr>
            <w:r>
              <w:rPr>
                <w:rFonts w:hint="default" w:ascii="Times New Roman" w:hAnsi="Times New Roman" w:cs="Times New Roman"/>
                <w:bCs w:val="0"/>
              </w:rPr>
              <w:t>2.投标报价得分＝基准价/投标报价*10（保留小数二位，第三位四舍五入）。</w:t>
            </w:r>
          </w:p>
        </w:tc>
        <w:tc>
          <w:tcPr>
            <w:tcW w:w="538" w:type="pct"/>
            <w:vAlign w:val="center"/>
          </w:tcPr>
          <w:p w14:paraId="29729F38">
            <w:pPr>
              <w:pStyle w:val="35"/>
              <w:rPr>
                <w:rFonts w:hint="default" w:ascii="Times New Roman" w:hAnsi="Times New Roman" w:cs="Times New Roman"/>
                <w:bCs w:val="0"/>
              </w:rPr>
            </w:pPr>
            <w:r>
              <w:rPr>
                <w:rFonts w:hint="default" w:ascii="Times New Roman" w:hAnsi="Times New Roman" w:cs="Times New Roman"/>
                <w:bCs w:val="0"/>
              </w:rPr>
              <w:t>10分</w:t>
            </w:r>
          </w:p>
        </w:tc>
      </w:tr>
      <w:tr w14:paraId="6F2B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467" w:type="pct"/>
            <w:vMerge w:val="restart"/>
            <w:vAlign w:val="center"/>
          </w:tcPr>
          <w:p w14:paraId="50D8B205">
            <w:pPr>
              <w:pStyle w:val="35"/>
              <w:rPr>
                <w:rFonts w:hint="default" w:ascii="Times New Roman" w:hAnsi="Times New Roman" w:cs="Times New Roman"/>
                <w:bCs w:val="0"/>
              </w:rPr>
            </w:pPr>
          </w:p>
          <w:p w14:paraId="59A410E8">
            <w:pPr>
              <w:pStyle w:val="35"/>
              <w:rPr>
                <w:rFonts w:hint="default" w:ascii="Times New Roman" w:hAnsi="Times New Roman" w:cs="Times New Roman"/>
                <w:bCs w:val="0"/>
              </w:rPr>
            </w:pPr>
          </w:p>
          <w:p w14:paraId="696CEA17">
            <w:pPr>
              <w:pStyle w:val="35"/>
              <w:rPr>
                <w:rFonts w:hint="default" w:ascii="Times New Roman" w:hAnsi="Times New Roman" w:cs="Times New Roman"/>
                <w:bCs w:val="0"/>
              </w:rPr>
            </w:pPr>
          </w:p>
          <w:p w14:paraId="5DFABE05">
            <w:pPr>
              <w:pStyle w:val="35"/>
              <w:rPr>
                <w:rFonts w:hint="default" w:ascii="Times New Roman" w:hAnsi="Times New Roman" w:cs="Times New Roman"/>
                <w:bCs w:val="0"/>
              </w:rPr>
            </w:pPr>
          </w:p>
          <w:p w14:paraId="6F68101B">
            <w:pPr>
              <w:pStyle w:val="35"/>
              <w:rPr>
                <w:rFonts w:hint="default" w:ascii="Times New Roman" w:hAnsi="Times New Roman" w:cs="Times New Roman"/>
                <w:bCs w:val="0"/>
              </w:rPr>
            </w:pPr>
          </w:p>
          <w:p w14:paraId="58E81140">
            <w:pPr>
              <w:pStyle w:val="35"/>
              <w:rPr>
                <w:rFonts w:hint="default" w:ascii="Times New Roman" w:hAnsi="Times New Roman" w:cs="Times New Roman"/>
                <w:bCs w:val="0"/>
              </w:rPr>
            </w:pPr>
          </w:p>
          <w:p w14:paraId="2A35154B">
            <w:pPr>
              <w:pStyle w:val="35"/>
              <w:rPr>
                <w:rFonts w:hint="default" w:ascii="Times New Roman" w:hAnsi="Times New Roman" w:cs="Times New Roman"/>
                <w:bCs w:val="0"/>
              </w:rPr>
            </w:pPr>
          </w:p>
          <w:p w14:paraId="2A89BE3D">
            <w:pPr>
              <w:pStyle w:val="35"/>
              <w:rPr>
                <w:rFonts w:hint="default" w:ascii="Times New Roman" w:hAnsi="Times New Roman" w:cs="Times New Roman"/>
                <w:bCs w:val="0"/>
              </w:rPr>
            </w:pPr>
            <w:r>
              <w:rPr>
                <w:rFonts w:hint="default" w:ascii="Times New Roman" w:hAnsi="Times New Roman" w:cs="Times New Roman"/>
                <w:bCs w:val="0"/>
              </w:rPr>
              <w:t>商务技术（90分）</w:t>
            </w:r>
          </w:p>
        </w:tc>
        <w:tc>
          <w:tcPr>
            <w:tcW w:w="781" w:type="pct"/>
            <w:vAlign w:val="center"/>
          </w:tcPr>
          <w:p w14:paraId="7E8CBD51">
            <w:pPr>
              <w:widowControl/>
              <w:spacing w:line="280" w:lineRule="exact"/>
              <w:ind w:firstLine="0" w:firstLineChars="0"/>
            </w:pPr>
            <w:r>
              <w:rPr>
                <w:rFonts w:hint="eastAsia"/>
              </w:rPr>
              <w:t>企业业绩</w:t>
            </w:r>
          </w:p>
        </w:tc>
        <w:tc>
          <w:tcPr>
            <w:tcW w:w="3214" w:type="pct"/>
            <w:vAlign w:val="center"/>
          </w:tcPr>
          <w:p w14:paraId="6BE1C1E1">
            <w:pPr>
              <w:widowControl/>
              <w:spacing w:line="280" w:lineRule="exact"/>
              <w:ind w:firstLine="0" w:firstLineChars="0"/>
            </w:pPr>
            <w:r>
              <w:rPr>
                <w:rFonts w:hint="eastAsia"/>
              </w:rPr>
              <w:t>投标人提供一个签订合同时间为2019年9月1日至今具有规划编制类业绩的得1分，最多得1分。</w:t>
            </w:r>
          </w:p>
          <w:p w14:paraId="56A434EA">
            <w:pPr>
              <w:widowControl/>
              <w:spacing w:line="280" w:lineRule="exact"/>
              <w:ind w:firstLine="480"/>
            </w:pPr>
            <w:r>
              <w:rPr>
                <w:rFonts w:hint="eastAsia"/>
              </w:rPr>
              <w:t>注：提供合同扫描件并加盖公章。</w:t>
            </w:r>
          </w:p>
        </w:tc>
        <w:tc>
          <w:tcPr>
            <w:tcW w:w="538" w:type="pct"/>
            <w:vAlign w:val="center"/>
          </w:tcPr>
          <w:p w14:paraId="7D14F8F2">
            <w:pPr>
              <w:pStyle w:val="35"/>
              <w:rPr>
                <w:rFonts w:hint="default" w:ascii="Times New Roman" w:hAnsi="Times New Roman" w:cs="Times New Roman"/>
                <w:bCs w:val="0"/>
              </w:rPr>
            </w:pPr>
            <w:r>
              <w:rPr>
                <w:rFonts w:hint="default" w:ascii="Times New Roman" w:hAnsi="Times New Roman" w:cs="Times New Roman"/>
                <w:bCs w:val="0"/>
              </w:rPr>
              <w:t>0-</w:t>
            </w:r>
            <w:r>
              <w:rPr>
                <w:rFonts w:ascii="Times New Roman" w:hAnsi="Times New Roman" w:cs="Times New Roman"/>
                <w:bCs w:val="0"/>
              </w:rPr>
              <w:t>1</w:t>
            </w:r>
            <w:r>
              <w:rPr>
                <w:rFonts w:hint="default" w:ascii="Times New Roman" w:hAnsi="Times New Roman" w:cs="Times New Roman"/>
                <w:bCs w:val="0"/>
              </w:rPr>
              <w:t>分</w:t>
            </w:r>
          </w:p>
        </w:tc>
      </w:tr>
      <w:tr w14:paraId="27E3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7" w:type="pct"/>
            <w:vMerge w:val="continue"/>
            <w:vAlign w:val="center"/>
          </w:tcPr>
          <w:p w14:paraId="2FB798ED">
            <w:pPr>
              <w:pStyle w:val="35"/>
              <w:rPr>
                <w:rFonts w:hint="default" w:ascii="Times New Roman" w:hAnsi="Times New Roman" w:cs="Times New Roman"/>
                <w:bCs w:val="0"/>
              </w:rPr>
            </w:pPr>
          </w:p>
        </w:tc>
        <w:tc>
          <w:tcPr>
            <w:tcW w:w="781" w:type="pct"/>
            <w:vMerge w:val="restart"/>
            <w:vAlign w:val="center"/>
          </w:tcPr>
          <w:p w14:paraId="4C6851BE">
            <w:pPr>
              <w:widowControl/>
              <w:spacing w:line="280" w:lineRule="exact"/>
              <w:ind w:firstLine="0" w:firstLineChars="0"/>
            </w:pPr>
            <w:r>
              <w:rPr>
                <w:rFonts w:hint="eastAsia"/>
              </w:rPr>
              <w:t>认证证书</w:t>
            </w:r>
          </w:p>
        </w:tc>
        <w:tc>
          <w:tcPr>
            <w:tcW w:w="3214" w:type="pct"/>
            <w:vAlign w:val="center"/>
          </w:tcPr>
          <w:p w14:paraId="31B4BEB2">
            <w:pPr>
              <w:widowControl/>
              <w:spacing w:line="280" w:lineRule="exact"/>
              <w:ind w:firstLine="0" w:firstLineChars="0"/>
            </w:pPr>
            <w:r>
              <w:rPr>
                <w:rFonts w:hint="eastAsia"/>
              </w:rPr>
              <w:t>投标人具备有效期内的质量管理体系认证证书、环境管理体系认证证书每个证书得2分，最高得4分。</w:t>
            </w:r>
          </w:p>
          <w:p w14:paraId="2F3AF2DA">
            <w:pPr>
              <w:widowControl/>
              <w:spacing w:line="280" w:lineRule="exact"/>
              <w:ind w:firstLine="0" w:firstLineChars="0"/>
            </w:pPr>
            <w:r>
              <w:rPr>
                <w:rFonts w:hint="eastAsia"/>
              </w:rPr>
              <w:t>注：提供有效期内的证书扫描件加盖公章，否则不得分。</w:t>
            </w:r>
          </w:p>
          <w:p w14:paraId="7A7B4FEA">
            <w:pPr>
              <w:widowControl/>
              <w:spacing w:line="280" w:lineRule="exact"/>
              <w:ind w:firstLine="0" w:firstLineChars="0"/>
            </w:pPr>
            <w:r>
              <w:rPr>
                <w:rFonts w:hint="eastAsia"/>
              </w:rPr>
              <w:t>注：提供有效的证书扫描件，不提供不得分。</w:t>
            </w:r>
          </w:p>
        </w:tc>
        <w:tc>
          <w:tcPr>
            <w:tcW w:w="538" w:type="pct"/>
            <w:vAlign w:val="center"/>
          </w:tcPr>
          <w:p w14:paraId="6A88837E">
            <w:pPr>
              <w:pStyle w:val="35"/>
              <w:rPr>
                <w:rFonts w:hint="default" w:ascii="Times New Roman" w:hAnsi="Times New Roman" w:cs="Times New Roman"/>
                <w:bCs w:val="0"/>
              </w:rPr>
            </w:pPr>
            <w:r>
              <w:rPr>
                <w:rFonts w:hint="default" w:ascii="Times New Roman" w:hAnsi="Times New Roman" w:cs="Times New Roman"/>
                <w:bCs w:val="0"/>
              </w:rPr>
              <w:t>0-</w:t>
            </w:r>
            <w:r>
              <w:rPr>
                <w:rFonts w:ascii="Times New Roman" w:hAnsi="Times New Roman" w:cs="Times New Roman"/>
                <w:bCs w:val="0"/>
              </w:rPr>
              <w:t>4</w:t>
            </w:r>
            <w:r>
              <w:rPr>
                <w:rFonts w:hint="default" w:ascii="Times New Roman" w:hAnsi="Times New Roman" w:cs="Times New Roman"/>
                <w:bCs w:val="0"/>
              </w:rPr>
              <w:t>分</w:t>
            </w:r>
          </w:p>
        </w:tc>
      </w:tr>
      <w:tr w14:paraId="4C10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pct"/>
            <w:vMerge w:val="continue"/>
            <w:vAlign w:val="center"/>
          </w:tcPr>
          <w:p w14:paraId="0554C26C">
            <w:pPr>
              <w:pStyle w:val="35"/>
              <w:rPr>
                <w:rFonts w:hint="default" w:ascii="Times New Roman" w:hAnsi="Times New Roman" w:cs="Times New Roman"/>
                <w:bCs w:val="0"/>
              </w:rPr>
            </w:pPr>
          </w:p>
        </w:tc>
        <w:tc>
          <w:tcPr>
            <w:tcW w:w="781" w:type="pct"/>
            <w:vMerge w:val="continue"/>
            <w:vAlign w:val="center"/>
          </w:tcPr>
          <w:p w14:paraId="5069C044">
            <w:pPr>
              <w:widowControl/>
              <w:spacing w:line="280" w:lineRule="exact"/>
              <w:ind w:firstLine="0" w:firstLineChars="0"/>
            </w:pPr>
          </w:p>
        </w:tc>
        <w:tc>
          <w:tcPr>
            <w:tcW w:w="3214" w:type="pct"/>
            <w:vAlign w:val="center"/>
          </w:tcPr>
          <w:p w14:paraId="11C30A5E">
            <w:pPr>
              <w:widowControl/>
              <w:spacing w:line="280" w:lineRule="exact"/>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投标人具备有效期内的职业健康安全管理体系认证证书得2分。</w:t>
            </w:r>
          </w:p>
          <w:p w14:paraId="2BEF27F1">
            <w:pPr>
              <w:widowControl/>
              <w:spacing w:line="280" w:lineRule="exact"/>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注：提供有效期内的证书扫描件加盖公章，否则不得分。</w:t>
            </w:r>
          </w:p>
          <w:p w14:paraId="64958784">
            <w:pPr>
              <w:widowControl/>
              <w:spacing w:line="280" w:lineRule="exact"/>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注：提供有效的证书扫描件，不提供不得分。</w:t>
            </w:r>
          </w:p>
        </w:tc>
        <w:tc>
          <w:tcPr>
            <w:tcW w:w="538" w:type="pct"/>
            <w:vAlign w:val="center"/>
          </w:tcPr>
          <w:p w14:paraId="5489DE28">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2</w:t>
            </w:r>
            <w:r>
              <w:rPr>
                <w:rFonts w:hint="default" w:ascii="Times New Roman" w:hAnsi="Times New Roman" w:cs="Times New Roman"/>
                <w:bCs w:val="0"/>
                <w:color w:val="000000" w:themeColor="text1"/>
                <w14:textFill>
                  <w14:solidFill>
                    <w14:schemeClr w14:val="tx1"/>
                  </w14:solidFill>
                </w14:textFill>
              </w:rPr>
              <w:t>分</w:t>
            </w:r>
          </w:p>
        </w:tc>
      </w:tr>
      <w:tr w14:paraId="3E04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467" w:type="pct"/>
            <w:vMerge w:val="continue"/>
            <w:vAlign w:val="center"/>
          </w:tcPr>
          <w:p w14:paraId="1EFF939F">
            <w:pPr>
              <w:pStyle w:val="35"/>
              <w:rPr>
                <w:rFonts w:hint="default" w:ascii="Times New Roman" w:hAnsi="Times New Roman" w:cs="Times New Roman"/>
                <w:bCs w:val="0"/>
              </w:rPr>
            </w:pPr>
          </w:p>
        </w:tc>
        <w:tc>
          <w:tcPr>
            <w:tcW w:w="781" w:type="pct"/>
            <w:vMerge w:val="restart"/>
            <w:vAlign w:val="center"/>
          </w:tcPr>
          <w:p w14:paraId="1C81224D">
            <w:pPr>
              <w:pStyle w:val="37"/>
              <w:rPr>
                <w:rFonts w:hint="default" w:ascii="Times New Roman" w:hAnsi="Times New Roman" w:cs="Times New Roman"/>
                <w:bCs w:val="0"/>
                <w:szCs w:val="24"/>
              </w:rPr>
            </w:pPr>
            <w:r>
              <w:rPr>
                <w:rFonts w:hint="default" w:ascii="Times New Roman" w:hAnsi="Times New Roman" w:cs="Times New Roman"/>
                <w:bCs w:val="0"/>
                <w:szCs w:val="24"/>
              </w:rPr>
              <w:t>项目实施团队技术人员</w:t>
            </w:r>
          </w:p>
        </w:tc>
        <w:tc>
          <w:tcPr>
            <w:tcW w:w="3214" w:type="pct"/>
            <w:vAlign w:val="center"/>
          </w:tcPr>
          <w:p w14:paraId="076468C1">
            <w:pPr>
              <w:pStyle w:val="37"/>
              <w:numPr>
                <w:ilvl w:val="0"/>
                <w:numId w:val="2"/>
              </w:numPr>
              <w:rPr>
                <w:rFonts w:hint="default" w:ascii="Times New Roman" w:hAnsi="Times New Roman" w:cs="Times New Roman"/>
                <w:bCs w:val="0"/>
                <w:color w:val="000000" w:themeColor="text1"/>
                <w:szCs w:val="24"/>
                <w14:textFill>
                  <w14:solidFill>
                    <w14:schemeClr w14:val="tx1"/>
                  </w14:solidFill>
                </w14:textFill>
              </w:rPr>
            </w:pPr>
            <w:r>
              <w:rPr>
                <w:rFonts w:hint="default" w:ascii="Times New Roman" w:hAnsi="Times New Roman" w:cs="Times New Roman"/>
                <w:bCs w:val="0"/>
                <w:color w:val="000000" w:themeColor="text1"/>
                <w:szCs w:val="24"/>
                <w14:textFill>
                  <w14:solidFill>
                    <w14:schemeClr w14:val="tx1"/>
                  </w14:solidFill>
                </w14:textFill>
              </w:rPr>
              <w:t>项目负责人具备高级职称得4分，中级职称得2分，其他不得分；</w:t>
            </w:r>
          </w:p>
          <w:p w14:paraId="06BF8CF3">
            <w:pPr>
              <w:pStyle w:val="37"/>
              <w:rPr>
                <w:rFonts w:hint="default" w:ascii="Times New Roman" w:hAnsi="Times New Roman" w:cs="Times New Roman"/>
                <w:bCs w:val="0"/>
                <w:color w:val="000000" w:themeColor="text1"/>
                <w:szCs w:val="24"/>
                <w14:textFill>
                  <w14:solidFill>
                    <w14:schemeClr w14:val="tx1"/>
                  </w14:solidFill>
                </w14:textFill>
              </w:rPr>
            </w:pPr>
            <w:r>
              <w:rPr>
                <w:rFonts w:hint="default" w:ascii="Times New Roman" w:hAnsi="Times New Roman" w:cs="Times New Roman"/>
                <w:bCs w:val="0"/>
                <w:color w:val="000000" w:themeColor="text1"/>
                <w:szCs w:val="24"/>
                <w14:textFill>
                  <w14:solidFill>
                    <w14:schemeClr w14:val="tx1"/>
                  </w14:solidFill>
                </w14:textFill>
              </w:rPr>
              <w:t>须提供上述人员职称证书扫描件不提供不得分。</w:t>
            </w:r>
          </w:p>
        </w:tc>
        <w:tc>
          <w:tcPr>
            <w:tcW w:w="538" w:type="pct"/>
            <w:vAlign w:val="center"/>
          </w:tcPr>
          <w:p w14:paraId="5BF81877">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4</w:t>
            </w:r>
            <w:r>
              <w:rPr>
                <w:rFonts w:hint="default" w:ascii="Times New Roman" w:hAnsi="Times New Roman" w:cs="Times New Roman"/>
                <w:bCs w:val="0"/>
                <w:color w:val="000000" w:themeColor="text1"/>
                <w14:textFill>
                  <w14:solidFill>
                    <w14:schemeClr w14:val="tx1"/>
                  </w14:solidFill>
                </w14:textFill>
              </w:rPr>
              <w:t>分</w:t>
            </w:r>
          </w:p>
        </w:tc>
      </w:tr>
      <w:tr w14:paraId="2CDB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467" w:type="pct"/>
            <w:vMerge w:val="continue"/>
            <w:vAlign w:val="center"/>
          </w:tcPr>
          <w:p w14:paraId="6E403A8A">
            <w:pPr>
              <w:pStyle w:val="35"/>
              <w:rPr>
                <w:rFonts w:hint="default" w:ascii="Times New Roman" w:hAnsi="Times New Roman" w:cs="Times New Roman"/>
                <w:bCs w:val="0"/>
              </w:rPr>
            </w:pPr>
          </w:p>
        </w:tc>
        <w:tc>
          <w:tcPr>
            <w:tcW w:w="781" w:type="pct"/>
            <w:vMerge w:val="continue"/>
            <w:vAlign w:val="center"/>
          </w:tcPr>
          <w:p w14:paraId="3B9E859D">
            <w:pPr>
              <w:pStyle w:val="37"/>
              <w:rPr>
                <w:rFonts w:hint="default" w:ascii="Times New Roman" w:hAnsi="Times New Roman" w:cs="Times New Roman"/>
                <w:bCs w:val="0"/>
                <w:szCs w:val="24"/>
              </w:rPr>
            </w:pPr>
          </w:p>
        </w:tc>
        <w:tc>
          <w:tcPr>
            <w:tcW w:w="3214" w:type="pct"/>
            <w:vAlign w:val="center"/>
          </w:tcPr>
          <w:p w14:paraId="2EF54FD7">
            <w:pPr>
              <w:pStyle w:val="37"/>
              <w:rPr>
                <w:rFonts w:hint="default" w:ascii="Times New Roman" w:hAnsi="Times New Roman" w:cs="Times New Roman"/>
                <w:bCs w:val="0"/>
                <w:color w:val="000000" w:themeColor="text1"/>
                <w:szCs w:val="24"/>
                <w14:textFill>
                  <w14:solidFill>
                    <w14:schemeClr w14:val="tx1"/>
                  </w14:solidFill>
                </w14:textFill>
              </w:rPr>
            </w:pPr>
            <w:r>
              <w:rPr>
                <w:rFonts w:ascii="Times New Roman" w:hAnsi="Times New Roman" w:cs="Times New Roman"/>
                <w:bCs w:val="0"/>
                <w:color w:val="000000" w:themeColor="text1"/>
                <w:szCs w:val="24"/>
                <w14:textFill>
                  <w14:solidFill>
                    <w14:schemeClr w14:val="tx1"/>
                  </w14:solidFill>
                </w14:textFill>
              </w:rPr>
              <w:t>1</w:t>
            </w:r>
            <w:r>
              <w:rPr>
                <w:rFonts w:hint="default" w:ascii="Times New Roman" w:hAnsi="Times New Roman" w:cs="Times New Roman"/>
                <w:bCs w:val="0"/>
                <w:color w:val="000000" w:themeColor="text1"/>
                <w:szCs w:val="24"/>
                <w14:textFill>
                  <w14:solidFill>
                    <w14:schemeClr w14:val="tx1"/>
                  </w14:solidFill>
                </w14:textFill>
              </w:rPr>
              <w:t>.项目负责人具备注册规划师的得1分。</w:t>
            </w:r>
          </w:p>
          <w:p w14:paraId="4839E6FC">
            <w:pPr>
              <w:pStyle w:val="37"/>
              <w:rPr>
                <w:rFonts w:hint="default" w:ascii="Times New Roman" w:hAnsi="Times New Roman" w:cs="Times New Roman"/>
                <w:bCs w:val="0"/>
                <w:color w:val="000000" w:themeColor="text1"/>
                <w:szCs w:val="24"/>
                <w14:textFill>
                  <w14:solidFill>
                    <w14:schemeClr w14:val="tx1"/>
                  </w14:solidFill>
                </w14:textFill>
              </w:rPr>
            </w:pPr>
            <w:r>
              <w:rPr>
                <w:rFonts w:ascii="Times New Roman" w:hAnsi="Times New Roman" w:cs="Times New Roman"/>
                <w:bCs w:val="0"/>
                <w:color w:val="000000" w:themeColor="text1"/>
                <w:szCs w:val="24"/>
                <w14:textFill>
                  <w14:solidFill>
                    <w14:schemeClr w14:val="tx1"/>
                  </w14:solidFill>
                </w14:textFill>
              </w:rPr>
              <w:t>2</w:t>
            </w:r>
            <w:r>
              <w:rPr>
                <w:rFonts w:hint="default" w:ascii="Times New Roman" w:hAnsi="Times New Roman" w:cs="Times New Roman"/>
                <w:bCs w:val="0"/>
                <w:color w:val="000000" w:themeColor="text1"/>
                <w:szCs w:val="24"/>
                <w14:textFill>
                  <w14:solidFill>
                    <w14:schemeClr w14:val="tx1"/>
                  </w14:solidFill>
                </w14:textFill>
              </w:rPr>
              <w:t>.除项目负责人外，每增加一名高级及以上职称的项目组成员得1分，最高得2分。</w:t>
            </w:r>
          </w:p>
          <w:p w14:paraId="0300F98E">
            <w:pPr>
              <w:pStyle w:val="37"/>
              <w:rPr>
                <w:rFonts w:hint="default" w:ascii="Times New Roman" w:hAnsi="Times New Roman" w:cs="Times New Roman"/>
                <w:bCs w:val="0"/>
                <w:color w:val="000000" w:themeColor="text1"/>
                <w:szCs w:val="24"/>
                <w14:textFill>
                  <w14:solidFill>
                    <w14:schemeClr w14:val="tx1"/>
                  </w14:solidFill>
                </w14:textFill>
              </w:rPr>
            </w:pPr>
            <w:r>
              <w:rPr>
                <w:rFonts w:hint="default" w:ascii="Times New Roman" w:hAnsi="Times New Roman" w:cs="Times New Roman"/>
                <w:bCs w:val="0"/>
                <w:color w:val="000000" w:themeColor="text1"/>
                <w:szCs w:val="24"/>
                <w14:textFill>
                  <w14:solidFill>
                    <w14:schemeClr w14:val="tx1"/>
                  </w14:solidFill>
                </w14:textFill>
              </w:rPr>
              <w:t>须提供上述人员职称证书扫描件，不提供不得分。</w:t>
            </w:r>
          </w:p>
        </w:tc>
        <w:tc>
          <w:tcPr>
            <w:tcW w:w="538" w:type="pct"/>
            <w:vAlign w:val="center"/>
          </w:tcPr>
          <w:p w14:paraId="212BF154">
            <w:pPr>
              <w:pStyle w:val="35"/>
              <w:rPr>
                <w:rFonts w:hint="default" w:ascii="Times New Roman" w:hAnsi="Times New Roman" w:cs="Times New Roman"/>
                <w:bCs w:val="0"/>
                <w:color w:val="000000" w:themeColor="text1"/>
                <w14:textFill>
                  <w14:solidFill>
                    <w14:schemeClr w14:val="tx1"/>
                  </w14:solidFill>
                </w14:textFill>
              </w:rPr>
            </w:pPr>
            <w:r>
              <w:rPr>
                <w:rFonts w:ascii="Times New Roman" w:hAnsi="Times New Roman" w:cs="Times New Roman"/>
                <w:bCs w:val="0"/>
                <w:color w:val="000000" w:themeColor="text1"/>
                <w14:textFill>
                  <w14:solidFill>
                    <w14:schemeClr w14:val="tx1"/>
                  </w14:solidFill>
                </w14:textFill>
              </w:rPr>
              <w:t>0-3分</w:t>
            </w:r>
          </w:p>
        </w:tc>
      </w:tr>
      <w:tr w14:paraId="39B9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vAlign w:val="center"/>
          </w:tcPr>
          <w:p w14:paraId="764E3422">
            <w:pPr>
              <w:pStyle w:val="35"/>
              <w:rPr>
                <w:rFonts w:hint="default" w:ascii="Times New Roman" w:hAnsi="Times New Roman" w:cs="Times New Roman"/>
                <w:bCs w:val="0"/>
              </w:rPr>
            </w:pPr>
          </w:p>
        </w:tc>
        <w:tc>
          <w:tcPr>
            <w:tcW w:w="781" w:type="pct"/>
            <w:vMerge w:val="restart"/>
            <w:vAlign w:val="center"/>
          </w:tcPr>
          <w:p w14:paraId="51B9DDBE">
            <w:pPr>
              <w:pStyle w:val="37"/>
              <w:rPr>
                <w:rFonts w:hint="default" w:ascii="Times New Roman" w:hAnsi="Times New Roman" w:cs="Times New Roman"/>
                <w:bCs w:val="0"/>
                <w:szCs w:val="24"/>
              </w:rPr>
            </w:pPr>
            <w:r>
              <w:rPr>
                <w:rFonts w:hint="default" w:ascii="Times New Roman" w:hAnsi="Times New Roman" w:cs="Times New Roman"/>
                <w:bCs w:val="0"/>
                <w:szCs w:val="24"/>
              </w:rPr>
              <w:t>技术方案</w:t>
            </w:r>
          </w:p>
        </w:tc>
        <w:tc>
          <w:tcPr>
            <w:tcW w:w="3214" w:type="pct"/>
            <w:vAlign w:val="center"/>
          </w:tcPr>
          <w:p w14:paraId="3545D20F">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对项目背景解读，包括相关政策及规划范围、区位交通、规划依据等，根据分析</w:t>
            </w:r>
            <w:r>
              <w:rPr>
                <w:rFonts w:ascii="Times New Roman" w:hAnsi="Times New Roman" w:cs="Times New Roman"/>
                <w:bCs w:val="0"/>
                <w:color w:val="000000" w:themeColor="text1"/>
                <w14:textFill>
                  <w14:solidFill>
                    <w14:schemeClr w14:val="tx1"/>
                  </w14:solidFill>
                </w14:textFill>
              </w:rPr>
              <w:t>全面性</w:t>
            </w:r>
            <w:r>
              <w:rPr>
                <w:rFonts w:hint="default" w:ascii="Times New Roman" w:hAnsi="Times New Roman" w:cs="Times New Roman"/>
                <w:bCs w:val="0"/>
                <w:color w:val="000000" w:themeColor="text1"/>
                <w14:textFill>
                  <w14:solidFill>
                    <w14:schemeClr w14:val="tx1"/>
                  </w14:solidFill>
                </w14:textFill>
              </w:rPr>
              <w:t>进行打分</w:t>
            </w:r>
            <w:r>
              <w:rPr>
                <w:rFonts w:ascii="Times New Roman" w:hAnsi="Times New Roman" w:cs="Times New Roman"/>
                <w:bCs w:val="0"/>
                <w:color w:val="000000" w:themeColor="text1"/>
                <w14:textFill>
                  <w14:solidFill>
                    <w14:schemeClr w14:val="tx1"/>
                  </w14:solidFill>
                </w14:textFill>
              </w:rPr>
              <w:t>(</w:t>
            </w:r>
            <w:r>
              <w:rPr>
                <w:rFonts w:hint="default" w:ascii="Times New Roman" w:hAnsi="Times New Roman" w:cs="Times New Roman"/>
                <w:bCs w:val="0"/>
                <w:color w:val="000000" w:themeColor="text1"/>
                <w14:textFill>
                  <w14:solidFill>
                    <w14:schemeClr w14:val="tx1"/>
                  </w14:solidFill>
                </w14:textFill>
              </w:rPr>
              <w:t>0-</w:t>
            </w:r>
            <w:r>
              <w:rPr>
                <w:rFonts w:hint="eastAsia" w:ascii="Times New Roman" w:hAnsi="Times New Roman" w:cs="Times New Roman"/>
                <w:bCs w:val="0"/>
                <w:color w:val="000000" w:themeColor="text1"/>
                <w:lang w:val="en-US" w:eastAsia="zh-CN"/>
                <w14:textFill>
                  <w14:solidFill>
                    <w14:schemeClr w14:val="tx1"/>
                  </w14:solidFill>
                </w14:textFill>
              </w:rPr>
              <w:t>3</w:t>
            </w:r>
            <w:r>
              <w:rPr>
                <w:rFonts w:ascii="Times New Roman" w:hAnsi="Times New Roman" w:cs="Times New Roman"/>
                <w:bCs w:val="0"/>
                <w:color w:val="000000" w:themeColor="text1"/>
                <w14:textFill>
                  <w14:solidFill>
                    <w14:schemeClr w14:val="tx1"/>
                  </w14:solidFill>
                </w14:textFill>
              </w:rPr>
              <w:t>分)。</w:t>
            </w:r>
          </w:p>
        </w:tc>
        <w:tc>
          <w:tcPr>
            <w:tcW w:w="538" w:type="pct"/>
            <w:vAlign w:val="center"/>
          </w:tcPr>
          <w:p w14:paraId="202CFB8D">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0-3分</w:t>
            </w:r>
          </w:p>
        </w:tc>
      </w:tr>
      <w:tr w14:paraId="50EA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vAlign w:val="center"/>
          </w:tcPr>
          <w:p w14:paraId="51F6975C">
            <w:pPr>
              <w:pStyle w:val="35"/>
              <w:rPr>
                <w:rFonts w:hint="default" w:ascii="Times New Roman" w:hAnsi="Times New Roman" w:cs="Times New Roman"/>
                <w:bCs w:val="0"/>
              </w:rPr>
            </w:pPr>
          </w:p>
        </w:tc>
        <w:tc>
          <w:tcPr>
            <w:tcW w:w="781" w:type="pct"/>
            <w:vMerge w:val="continue"/>
            <w:vAlign w:val="center"/>
          </w:tcPr>
          <w:p w14:paraId="4CBAC1CD">
            <w:pPr>
              <w:pStyle w:val="37"/>
              <w:rPr>
                <w:rFonts w:hint="default" w:ascii="Times New Roman" w:hAnsi="Times New Roman" w:cs="Times New Roman"/>
                <w:bCs w:val="0"/>
                <w:szCs w:val="24"/>
              </w:rPr>
            </w:pPr>
          </w:p>
        </w:tc>
        <w:tc>
          <w:tcPr>
            <w:tcW w:w="3214" w:type="pct"/>
            <w:vAlign w:val="center"/>
          </w:tcPr>
          <w:p w14:paraId="0E74F886">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对项目背景解读，包括相关政策及规划范围、区位交通、规划依据等，根据</w:t>
            </w:r>
            <w:r>
              <w:rPr>
                <w:rFonts w:ascii="Times New Roman" w:hAnsi="Times New Roman" w:cs="Times New Roman"/>
                <w:bCs w:val="0"/>
                <w:color w:val="000000" w:themeColor="text1"/>
                <w14:textFill>
                  <w14:solidFill>
                    <w14:schemeClr w14:val="tx1"/>
                  </w14:solidFill>
                </w14:textFill>
              </w:rPr>
              <w:t>分</w:t>
            </w:r>
            <w:r>
              <w:rPr>
                <w:rFonts w:hint="default" w:ascii="Times New Roman" w:hAnsi="Times New Roman" w:cs="Times New Roman"/>
                <w:bCs w:val="0"/>
                <w:color w:val="000000" w:themeColor="text1"/>
                <w14:textFill>
                  <w14:solidFill>
                    <w14:schemeClr w14:val="tx1"/>
                  </w14:solidFill>
                </w14:textFill>
              </w:rPr>
              <w:t>析</w:t>
            </w:r>
            <w:r>
              <w:rPr>
                <w:rFonts w:ascii="Times New Roman" w:hAnsi="Times New Roman" w:cs="Times New Roman"/>
                <w:bCs w:val="0"/>
                <w:color w:val="000000" w:themeColor="text1"/>
                <w14:textFill>
                  <w14:solidFill>
                    <w14:schemeClr w14:val="tx1"/>
                  </w14:solidFill>
                </w14:textFill>
              </w:rPr>
              <w:t>深度</w:t>
            </w:r>
            <w:r>
              <w:rPr>
                <w:rFonts w:hint="default" w:ascii="Times New Roman" w:hAnsi="Times New Roman" w:cs="Times New Roman"/>
                <w:bCs w:val="0"/>
                <w:color w:val="000000" w:themeColor="text1"/>
                <w14:textFill>
                  <w14:solidFill>
                    <w14:schemeClr w14:val="tx1"/>
                  </w14:solidFill>
                </w14:textFill>
              </w:rPr>
              <w:t>进行打分</w:t>
            </w:r>
            <w:r>
              <w:rPr>
                <w:rFonts w:ascii="Times New Roman" w:hAnsi="Times New Roman" w:cs="Times New Roman"/>
                <w:bCs w:val="0"/>
                <w:color w:val="000000" w:themeColor="text1"/>
                <w14:textFill>
                  <w14:solidFill>
                    <w14:schemeClr w14:val="tx1"/>
                  </w14:solidFill>
                </w14:textFill>
              </w:rPr>
              <w:t xml:space="preserve"> (</w:t>
            </w:r>
            <w:r>
              <w:rPr>
                <w:rFonts w:hint="default" w:ascii="Times New Roman" w:hAnsi="Times New Roman" w:cs="Times New Roman"/>
                <w:bCs w:val="0"/>
                <w:color w:val="000000" w:themeColor="text1"/>
                <w14:textFill>
                  <w14:solidFill>
                    <w14:schemeClr w14:val="tx1"/>
                  </w14:solidFill>
                </w14:textFill>
              </w:rPr>
              <w:t>0-</w:t>
            </w:r>
            <w:r>
              <w:rPr>
                <w:rFonts w:hint="eastAsia" w:ascii="Times New Roman" w:hAnsi="Times New Roman" w:cs="Times New Roman"/>
                <w:bCs w:val="0"/>
                <w:color w:val="000000" w:themeColor="text1"/>
                <w:lang w:val="en-US" w:eastAsia="zh-CN"/>
                <w14:textFill>
                  <w14:solidFill>
                    <w14:schemeClr w14:val="tx1"/>
                  </w14:solidFill>
                </w14:textFill>
              </w:rPr>
              <w:t>3</w:t>
            </w:r>
            <w:r>
              <w:rPr>
                <w:rFonts w:ascii="Times New Roman" w:hAnsi="Times New Roman" w:cs="Times New Roman"/>
                <w:bCs w:val="0"/>
                <w:color w:val="000000" w:themeColor="text1"/>
                <w14:textFill>
                  <w14:solidFill>
                    <w14:schemeClr w14:val="tx1"/>
                  </w14:solidFill>
                </w14:textFill>
              </w:rPr>
              <w:t>分)。</w:t>
            </w:r>
          </w:p>
        </w:tc>
        <w:tc>
          <w:tcPr>
            <w:tcW w:w="538" w:type="pct"/>
            <w:vAlign w:val="center"/>
          </w:tcPr>
          <w:p w14:paraId="45972D2A">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0-3分</w:t>
            </w:r>
          </w:p>
        </w:tc>
      </w:tr>
      <w:tr w14:paraId="4CC0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467" w:type="pct"/>
            <w:vMerge w:val="continue"/>
            <w:vAlign w:val="center"/>
          </w:tcPr>
          <w:p w14:paraId="44C7219C">
            <w:pPr>
              <w:pStyle w:val="35"/>
              <w:rPr>
                <w:rFonts w:hint="default" w:ascii="Times New Roman" w:hAnsi="Times New Roman" w:cs="Times New Roman"/>
                <w:bCs w:val="0"/>
              </w:rPr>
            </w:pPr>
          </w:p>
        </w:tc>
        <w:tc>
          <w:tcPr>
            <w:tcW w:w="781" w:type="pct"/>
            <w:vMerge w:val="continue"/>
            <w:vAlign w:val="center"/>
          </w:tcPr>
          <w:p w14:paraId="62747729">
            <w:pPr>
              <w:pStyle w:val="35"/>
              <w:rPr>
                <w:rFonts w:hint="default" w:ascii="Times New Roman" w:hAnsi="Times New Roman" w:cs="Times New Roman"/>
                <w:bCs w:val="0"/>
              </w:rPr>
            </w:pPr>
          </w:p>
        </w:tc>
        <w:tc>
          <w:tcPr>
            <w:tcW w:w="3214" w:type="pct"/>
            <w:vAlign w:val="center"/>
          </w:tcPr>
          <w:p w14:paraId="34918B6F">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对项目现状进行分析评估，</w:t>
            </w:r>
            <w:r>
              <w:rPr>
                <w:color w:val="000000" w:themeColor="text1"/>
                <w14:textFill>
                  <w14:solidFill>
                    <w14:schemeClr w14:val="tx1"/>
                  </w14:solidFill>
                </w14:textFill>
              </w:rPr>
              <w:t>明确项目机遇、存在的问题、实际差距等</w:t>
            </w:r>
            <w:r>
              <w:rPr>
                <w:rFonts w:hint="default" w:ascii="Times New Roman" w:hAnsi="Times New Roman" w:cs="Times New Roman"/>
                <w:bCs w:val="0"/>
                <w:color w:val="000000" w:themeColor="text1"/>
                <w14:textFill>
                  <w14:solidFill>
                    <w14:schemeClr w14:val="tx1"/>
                  </w14:solidFill>
                </w14:textFill>
              </w:rPr>
              <w:t>根据分析内容的合理性进行打分</w:t>
            </w:r>
            <w:r>
              <w:rPr>
                <w:rFonts w:ascii="Times New Roman" w:hAnsi="Times New Roman" w:cs="Times New Roman"/>
                <w:bCs w:val="0"/>
                <w:color w:val="000000" w:themeColor="text1"/>
                <w14:textFill>
                  <w14:solidFill>
                    <w14:schemeClr w14:val="tx1"/>
                  </w14:solidFill>
                </w14:textFill>
              </w:rPr>
              <w:t>(</w:t>
            </w: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3分)。</w:t>
            </w:r>
          </w:p>
        </w:tc>
        <w:tc>
          <w:tcPr>
            <w:tcW w:w="538" w:type="pct"/>
            <w:vAlign w:val="center"/>
          </w:tcPr>
          <w:p w14:paraId="3C7F91AF">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w:t>
            </w:r>
            <w:r>
              <w:rPr>
                <w:rFonts w:hint="default" w:ascii="Times New Roman" w:hAnsi="Times New Roman" w:cs="Times New Roman"/>
                <w:bCs w:val="0"/>
                <w:color w:val="000000" w:themeColor="text1"/>
                <w14:textFill>
                  <w14:solidFill>
                    <w14:schemeClr w14:val="tx1"/>
                  </w14:solidFill>
                </w14:textFill>
              </w:rPr>
              <w:t>分</w:t>
            </w:r>
          </w:p>
        </w:tc>
      </w:tr>
      <w:tr w14:paraId="6C32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vAlign w:val="center"/>
          </w:tcPr>
          <w:p w14:paraId="78401264">
            <w:pPr>
              <w:pStyle w:val="35"/>
              <w:rPr>
                <w:rFonts w:hint="default" w:ascii="Times New Roman" w:hAnsi="Times New Roman" w:cs="Times New Roman"/>
                <w:bCs w:val="0"/>
              </w:rPr>
            </w:pPr>
          </w:p>
        </w:tc>
        <w:tc>
          <w:tcPr>
            <w:tcW w:w="781" w:type="pct"/>
            <w:vMerge w:val="continue"/>
            <w:vAlign w:val="center"/>
          </w:tcPr>
          <w:p w14:paraId="75F5C915">
            <w:pPr>
              <w:pStyle w:val="35"/>
              <w:rPr>
                <w:rFonts w:hint="default" w:ascii="Times New Roman" w:hAnsi="Times New Roman" w:cs="Times New Roman"/>
                <w:bCs w:val="0"/>
              </w:rPr>
            </w:pPr>
          </w:p>
        </w:tc>
        <w:tc>
          <w:tcPr>
            <w:tcW w:w="3214" w:type="pct"/>
            <w:vAlign w:val="center"/>
          </w:tcPr>
          <w:p w14:paraId="22EEEB4F">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对项目现状进行分析评估，</w:t>
            </w:r>
            <w:r>
              <w:rPr>
                <w:color w:val="000000" w:themeColor="text1"/>
                <w14:textFill>
                  <w14:solidFill>
                    <w14:schemeClr w14:val="tx1"/>
                  </w14:solidFill>
                </w14:textFill>
              </w:rPr>
              <w:t>明确项目优势、存在的问题、实际差距等</w:t>
            </w:r>
            <w:r>
              <w:rPr>
                <w:rFonts w:hint="default" w:ascii="Times New Roman" w:hAnsi="Times New Roman" w:cs="Times New Roman"/>
                <w:bCs w:val="0"/>
                <w:color w:val="000000" w:themeColor="text1"/>
                <w14:textFill>
                  <w14:solidFill>
                    <w14:schemeClr w14:val="tx1"/>
                  </w14:solidFill>
                </w14:textFill>
              </w:rPr>
              <w:t>根据分析内容的全面性进行打分</w:t>
            </w:r>
            <w:r>
              <w:rPr>
                <w:rFonts w:ascii="Times New Roman" w:hAnsi="Times New Roman" w:cs="Times New Roman"/>
                <w:bCs w:val="0"/>
                <w:color w:val="000000" w:themeColor="text1"/>
                <w14:textFill>
                  <w14:solidFill>
                    <w14:schemeClr w14:val="tx1"/>
                  </w14:solidFill>
                </w14:textFill>
              </w:rPr>
              <w:t>(</w:t>
            </w: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3分)。</w:t>
            </w:r>
          </w:p>
        </w:tc>
        <w:tc>
          <w:tcPr>
            <w:tcW w:w="538" w:type="pct"/>
            <w:vAlign w:val="center"/>
          </w:tcPr>
          <w:p w14:paraId="01FBC054">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w:t>
            </w:r>
            <w:r>
              <w:rPr>
                <w:rFonts w:hint="default" w:ascii="Times New Roman" w:hAnsi="Times New Roman" w:cs="Times New Roman"/>
                <w:bCs w:val="0"/>
                <w:color w:val="000000" w:themeColor="text1"/>
                <w14:textFill>
                  <w14:solidFill>
                    <w14:schemeClr w14:val="tx1"/>
                  </w14:solidFill>
                </w14:textFill>
              </w:rPr>
              <w:t>分</w:t>
            </w:r>
          </w:p>
        </w:tc>
      </w:tr>
      <w:tr w14:paraId="26CD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vAlign w:val="center"/>
          </w:tcPr>
          <w:p w14:paraId="287318D9">
            <w:pPr>
              <w:pStyle w:val="35"/>
              <w:rPr>
                <w:rFonts w:hint="default" w:ascii="Times New Roman" w:hAnsi="Times New Roman" w:cs="Times New Roman"/>
                <w:bCs w:val="0"/>
              </w:rPr>
            </w:pPr>
          </w:p>
        </w:tc>
        <w:tc>
          <w:tcPr>
            <w:tcW w:w="781" w:type="pct"/>
            <w:vMerge w:val="continue"/>
            <w:vAlign w:val="center"/>
          </w:tcPr>
          <w:p w14:paraId="3CCAE9CE">
            <w:pPr>
              <w:pStyle w:val="35"/>
              <w:rPr>
                <w:rFonts w:hint="default" w:ascii="Times New Roman" w:hAnsi="Times New Roman" w:cs="Times New Roman"/>
                <w:bCs w:val="0"/>
              </w:rPr>
            </w:pPr>
          </w:p>
        </w:tc>
        <w:tc>
          <w:tcPr>
            <w:tcW w:w="3214" w:type="pct"/>
            <w:vAlign w:val="center"/>
          </w:tcPr>
          <w:p w14:paraId="6BBDE7EA">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对项目现状进行分析评估，</w:t>
            </w:r>
            <w:r>
              <w:rPr>
                <w:color w:val="000000" w:themeColor="text1"/>
                <w14:textFill>
                  <w14:solidFill>
                    <w14:schemeClr w14:val="tx1"/>
                  </w14:solidFill>
                </w14:textFill>
              </w:rPr>
              <w:t>明确项目优势、存在的问题、实际差距等</w:t>
            </w:r>
            <w:r>
              <w:rPr>
                <w:rFonts w:hint="default" w:ascii="Times New Roman" w:hAnsi="Times New Roman" w:cs="Times New Roman"/>
                <w:bCs w:val="0"/>
                <w:color w:val="000000" w:themeColor="text1"/>
                <w14:textFill>
                  <w14:solidFill>
                    <w14:schemeClr w14:val="tx1"/>
                  </w14:solidFill>
                </w14:textFill>
              </w:rPr>
              <w:t>根据分析内容的详细度进行打分</w:t>
            </w:r>
            <w:r>
              <w:rPr>
                <w:rFonts w:ascii="Times New Roman" w:hAnsi="Times New Roman" w:cs="Times New Roman"/>
                <w:bCs w:val="0"/>
                <w:color w:val="000000" w:themeColor="text1"/>
                <w14:textFill>
                  <w14:solidFill>
                    <w14:schemeClr w14:val="tx1"/>
                  </w14:solidFill>
                </w14:textFill>
              </w:rPr>
              <w:t>(</w:t>
            </w: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3分)。</w:t>
            </w:r>
          </w:p>
        </w:tc>
        <w:tc>
          <w:tcPr>
            <w:tcW w:w="538" w:type="pct"/>
            <w:vAlign w:val="center"/>
          </w:tcPr>
          <w:p w14:paraId="430FB6DD">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w:t>
            </w:r>
            <w:r>
              <w:rPr>
                <w:rFonts w:hint="default" w:ascii="Times New Roman" w:hAnsi="Times New Roman" w:cs="Times New Roman"/>
                <w:bCs w:val="0"/>
                <w:color w:val="000000" w:themeColor="text1"/>
                <w14:textFill>
                  <w14:solidFill>
                    <w14:schemeClr w14:val="tx1"/>
                  </w14:solidFill>
                </w14:textFill>
              </w:rPr>
              <w:t>分</w:t>
            </w:r>
          </w:p>
        </w:tc>
      </w:tr>
      <w:tr w14:paraId="4C21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67" w:type="pct"/>
            <w:vMerge w:val="continue"/>
            <w:vAlign w:val="center"/>
          </w:tcPr>
          <w:p w14:paraId="40E61BA4">
            <w:pPr>
              <w:pStyle w:val="35"/>
              <w:rPr>
                <w:rFonts w:hint="default" w:ascii="Times New Roman" w:hAnsi="Times New Roman" w:cs="Times New Roman"/>
                <w:bCs w:val="0"/>
              </w:rPr>
            </w:pPr>
          </w:p>
        </w:tc>
        <w:tc>
          <w:tcPr>
            <w:tcW w:w="781" w:type="pct"/>
            <w:vMerge w:val="continue"/>
            <w:vAlign w:val="center"/>
          </w:tcPr>
          <w:p w14:paraId="13FC6956">
            <w:pPr>
              <w:pStyle w:val="35"/>
              <w:rPr>
                <w:rFonts w:hint="default" w:ascii="Times New Roman" w:hAnsi="Times New Roman" w:cs="Times New Roman"/>
                <w:bCs w:val="0"/>
              </w:rPr>
            </w:pPr>
          </w:p>
        </w:tc>
        <w:tc>
          <w:tcPr>
            <w:tcW w:w="3214" w:type="pct"/>
            <w:vAlign w:val="center"/>
          </w:tcPr>
          <w:p w14:paraId="7949038A">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对项目发展方向</w:t>
            </w:r>
            <w:r>
              <w:rPr>
                <w:rFonts w:ascii="Times New Roman" w:hAnsi="Times New Roman" w:cs="Times New Roman"/>
                <w:bCs w:val="0"/>
                <w:color w:val="000000" w:themeColor="text1"/>
                <w14:textFill>
                  <w14:solidFill>
                    <w14:schemeClr w14:val="tx1"/>
                  </w14:solidFill>
                </w14:textFill>
              </w:rPr>
              <w:t>思考</w:t>
            </w:r>
            <w:r>
              <w:rPr>
                <w:rFonts w:hint="default" w:ascii="Times New Roman" w:hAnsi="Times New Roman" w:cs="Times New Roman"/>
                <w:bCs w:val="0"/>
                <w:color w:val="000000" w:themeColor="text1"/>
                <w14:textFill>
                  <w14:solidFill>
                    <w14:schemeClr w14:val="tx1"/>
                  </w14:solidFill>
                </w14:textFill>
              </w:rPr>
              <w:t>，明确项目总体目标</w:t>
            </w:r>
            <w:r>
              <w:rPr>
                <w:rFonts w:ascii="Times New Roman" w:hAnsi="Times New Roman" w:cs="Times New Roman"/>
                <w:bCs w:val="0"/>
                <w:color w:val="000000" w:themeColor="text1"/>
                <w14:textFill>
                  <w14:solidFill>
                    <w14:schemeClr w14:val="tx1"/>
                  </w14:solidFill>
                </w14:textFill>
              </w:rPr>
              <w:t>的合理性(</w:t>
            </w: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3分)</w:t>
            </w:r>
          </w:p>
          <w:p w14:paraId="4A78770D">
            <w:pPr>
              <w:pStyle w:val="35"/>
              <w:rPr>
                <w:rFonts w:hint="default" w:ascii="Times New Roman" w:hAnsi="Times New Roman" w:cs="Times New Roman"/>
                <w:bCs w:val="0"/>
                <w:color w:val="000000" w:themeColor="text1"/>
                <w14:textFill>
                  <w14:solidFill>
                    <w14:schemeClr w14:val="tx1"/>
                  </w14:solidFill>
                </w14:textFill>
              </w:rPr>
            </w:pPr>
          </w:p>
        </w:tc>
        <w:tc>
          <w:tcPr>
            <w:tcW w:w="538" w:type="pct"/>
            <w:vAlign w:val="center"/>
          </w:tcPr>
          <w:p w14:paraId="0EBEEA3C">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w:t>
            </w:r>
            <w:r>
              <w:rPr>
                <w:rFonts w:hint="default" w:ascii="Times New Roman" w:hAnsi="Times New Roman" w:cs="Times New Roman"/>
                <w:bCs w:val="0"/>
                <w:color w:val="000000" w:themeColor="text1"/>
                <w14:textFill>
                  <w14:solidFill>
                    <w14:schemeClr w14:val="tx1"/>
                  </w14:solidFill>
                </w14:textFill>
              </w:rPr>
              <w:t>分</w:t>
            </w:r>
          </w:p>
        </w:tc>
      </w:tr>
      <w:tr w14:paraId="68CB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vAlign w:val="center"/>
          </w:tcPr>
          <w:p w14:paraId="30DE9B0A">
            <w:pPr>
              <w:pStyle w:val="35"/>
              <w:rPr>
                <w:rFonts w:hint="default" w:ascii="Times New Roman" w:hAnsi="Times New Roman" w:cs="Times New Roman"/>
                <w:bCs w:val="0"/>
              </w:rPr>
            </w:pPr>
          </w:p>
        </w:tc>
        <w:tc>
          <w:tcPr>
            <w:tcW w:w="781" w:type="pct"/>
            <w:vMerge w:val="continue"/>
            <w:vAlign w:val="center"/>
          </w:tcPr>
          <w:p w14:paraId="2A9A99EE">
            <w:pPr>
              <w:pStyle w:val="35"/>
              <w:rPr>
                <w:rFonts w:hint="default" w:ascii="Times New Roman" w:hAnsi="Times New Roman" w:cs="Times New Roman"/>
                <w:bCs w:val="0"/>
              </w:rPr>
            </w:pPr>
          </w:p>
        </w:tc>
        <w:tc>
          <w:tcPr>
            <w:tcW w:w="3214" w:type="pct"/>
            <w:vAlign w:val="center"/>
          </w:tcPr>
          <w:p w14:paraId="431F9E9B">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对项目发展方向</w:t>
            </w:r>
            <w:r>
              <w:rPr>
                <w:rFonts w:ascii="Times New Roman" w:hAnsi="Times New Roman" w:cs="Times New Roman"/>
                <w:bCs w:val="0"/>
                <w:color w:val="000000" w:themeColor="text1"/>
                <w14:textFill>
                  <w14:solidFill>
                    <w14:schemeClr w14:val="tx1"/>
                  </w14:solidFill>
                </w14:textFill>
              </w:rPr>
              <w:t>思考</w:t>
            </w:r>
            <w:r>
              <w:rPr>
                <w:rFonts w:hint="default" w:ascii="Times New Roman" w:hAnsi="Times New Roman" w:cs="Times New Roman"/>
                <w:bCs w:val="0"/>
                <w:color w:val="000000" w:themeColor="text1"/>
                <w14:textFill>
                  <w14:solidFill>
                    <w14:schemeClr w14:val="tx1"/>
                  </w14:solidFill>
                </w14:textFill>
              </w:rPr>
              <w:t>，明确项目总体定位</w:t>
            </w:r>
            <w:r>
              <w:rPr>
                <w:rFonts w:ascii="Times New Roman" w:hAnsi="Times New Roman" w:cs="Times New Roman"/>
                <w:bCs w:val="0"/>
                <w:color w:val="000000" w:themeColor="text1"/>
                <w14:textFill>
                  <w14:solidFill>
                    <w14:schemeClr w14:val="tx1"/>
                  </w14:solidFill>
                </w14:textFill>
              </w:rPr>
              <w:t>的合理性(</w:t>
            </w: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3分)。</w:t>
            </w:r>
          </w:p>
          <w:p w14:paraId="7A600179">
            <w:pPr>
              <w:pStyle w:val="35"/>
              <w:rPr>
                <w:rFonts w:hint="default" w:ascii="Times New Roman" w:hAnsi="Times New Roman" w:cs="Times New Roman"/>
                <w:bCs w:val="0"/>
                <w:color w:val="000000" w:themeColor="text1"/>
                <w14:textFill>
                  <w14:solidFill>
                    <w14:schemeClr w14:val="tx1"/>
                  </w14:solidFill>
                </w14:textFill>
              </w:rPr>
            </w:pPr>
          </w:p>
        </w:tc>
        <w:tc>
          <w:tcPr>
            <w:tcW w:w="538" w:type="pct"/>
            <w:vAlign w:val="center"/>
          </w:tcPr>
          <w:p w14:paraId="26A6C4AC">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w:t>
            </w:r>
            <w:r>
              <w:rPr>
                <w:rFonts w:hint="default" w:ascii="Times New Roman" w:hAnsi="Times New Roman" w:cs="Times New Roman"/>
                <w:bCs w:val="0"/>
                <w:color w:val="000000" w:themeColor="text1"/>
                <w14:textFill>
                  <w14:solidFill>
                    <w14:schemeClr w14:val="tx1"/>
                  </w14:solidFill>
                </w14:textFill>
              </w:rPr>
              <w:t>分</w:t>
            </w:r>
          </w:p>
        </w:tc>
      </w:tr>
      <w:tr w14:paraId="283B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vAlign w:val="center"/>
          </w:tcPr>
          <w:p w14:paraId="40B2AD73">
            <w:pPr>
              <w:pStyle w:val="35"/>
              <w:rPr>
                <w:rFonts w:hint="default" w:ascii="Times New Roman" w:hAnsi="Times New Roman" w:cs="Times New Roman"/>
                <w:bCs w:val="0"/>
              </w:rPr>
            </w:pPr>
          </w:p>
        </w:tc>
        <w:tc>
          <w:tcPr>
            <w:tcW w:w="781" w:type="pct"/>
            <w:vMerge w:val="continue"/>
            <w:vAlign w:val="center"/>
          </w:tcPr>
          <w:p w14:paraId="30384E68">
            <w:pPr>
              <w:pStyle w:val="35"/>
              <w:rPr>
                <w:rFonts w:hint="default" w:ascii="Times New Roman" w:hAnsi="Times New Roman" w:cs="Times New Roman"/>
                <w:bCs w:val="0"/>
              </w:rPr>
            </w:pPr>
          </w:p>
        </w:tc>
        <w:tc>
          <w:tcPr>
            <w:tcW w:w="3214" w:type="pct"/>
            <w:vAlign w:val="center"/>
          </w:tcPr>
          <w:p w14:paraId="52CCB6EA">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对项目发展方向</w:t>
            </w:r>
            <w:r>
              <w:rPr>
                <w:rFonts w:ascii="Times New Roman" w:hAnsi="Times New Roman" w:cs="Times New Roman"/>
                <w:bCs w:val="0"/>
                <w:color w:val="000000" w:themeColor="text1"/>
                <w14:textFill>
                  <w14:solidFill>
                    <w14:schemeClr w14:val="tx1"/>
                  </w14:solidFill>
                </w14:textFill>
              </w:rPr>
              <w:t>思考</w:t>
            </w:r>
            <w:r>
              <w:rPr>
                <w:rFonts w:hint="default" w:ascii="Times New Roman" w:hAnsi="Times New Roman" w:cs="Times New Roman"/>
                <w:bCs w:val="0"/>
                <w:color w:val="000000" w:themeColor="text1"/>
                <w14:textFill>
                  <w14:solidFill>
                    <w14:schemeClr w14:val="tx1"/>
                  </w14:solidFill>
                </w14:textFill>
              </w:rPr>
              <w:t>，明确项目总体产业策略</w:t>
            </w:r>
            <w:r>
              <w:rPr>
                <w:rFonts w:ascii="Times New Roman" w:hAnsi="Times New Roman" w:cs="Times New Roman"/>
                <w:bCs w:val="0"/>
                <w:color w:val="000000" w:themeColor="text1"/>
                <w14:textFill>
                  <w14:solidFill>
                    <w14:schemeClr w14:val="tx1"/>
                  </w14:solidFill>
                </w14:textFill>
              </w:rPr>
              <w:t>的合理性(</w:t>
            </w: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3分)</w:t>
            </w:r>
            <w:r>
              <w:rPr>
                <w:rFonts w:hint="default" w:ascii="Times New Roman" w:hAnsi="Times New Roman" w:cs="Times New Roman"/>
                <w:bCs w:val="0"/>
                <w:color w:val="000000" w:themeColor="text1"/>
                <w14:textFill>
                  <w14:solidFill>
                    <w14:schemeClr w14:val="tx1"/>
                  </w14:solidFill>
                </w14:textFill>
              </w:rPr>
              <w:t>。</w:t>
            </w:r>
          </w:p>
        </w:tc>
        <w:tc>
          <w:tcPr>
            <w:tcW w:w="538" w:type="pct"/>
            <w:vAlign w:val="center"/>
          </w:tcPr>
          <w:p w14:paraId="53539838">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w:t>
            </w:r>
            <w:r>
              <w:rPr>
                <w:rFonts w:hint="default" w:ascii="Times New Roman" w:hAnsi="Times New Roman" w:cs="Times New Roman"/>
                <w:bCs w:val="0"/>
                <w:color w:val="000000" w:themeColor="text1"/>
                <w14:textFill>
                  <w14:solidFill>
                    <w14:schemeClr w14:val="tx1"/>
                  </w14:solidFill>
                </w14:textFill>
              </w:rPr>
              <w:t>分</w:t>
            </w:r>
          </w:p>
        </w:tc>
      </w:tr>
      <w:tr w14:paraId="06E2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vAlign w:val="center"/>
          </w:tcPr>
          <w:p w14:paraId="2C2B70F0">
            <w:pPr>
              <w:pStyle w:val="35"/>
              <w:rPr>
                <w:rFonts w:hint="default" w:ascii="Times New Roman" w:hAnsi="Times New Roman" w:cs="Times New Roman"/>
                <w:bCs w:val="0"/>
              </w:rPr>
            </w:pPr>
          </w:p>
        </w:tc>
        <w:tc>
          <w:tcPr>
            <w:tcW w:w="781" w:type="pct"/>
            <w:vMerge w:val="continue"/>
            <w:vAlign w:val="center"/>
          </w:tcPr>
          <w:p w14:paraId="2FD8F325">
            <w:pPr>
              <w:pStyle w:val="35"/>
              <w:rPr>
                <w:rFonts w:hint="default" w:ascii="Times New Roman" w:hAnsi="Times New Roman" w:cs="Times New Roman"/>
                <w:bCs w:val="0"/>
              </w:rPr>
            </w:pPr>
          </w:p>
        </w:tc>
        <w:tc>
          <w:tcPr>
            <w:tcW w:w="3214" w:type="pct"/>
            <w:vAlign w:val="center"/>
          </w:tcPr>
          <w:p w14:paraId="190669D4">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对本项目进行多方面消防提升内容分析，提出合理性的消防规划方案。</w:t>
            </w:r>
            <w:r>
              <w:rPr>
                <w:rFonts w:ascii="Times New Roman" w:hAnsi="Times New Roman" w:cs="Times New Roman"/>
                <w:bCs w:val="0"/>
                <w:color w:val="000000" w:themeColor="text1"/>
                <w14:textFill>
                  <w14:solidFill>
                    <w14:schemeClr w14:val="tx1"/>
                  </w14:solidFill>
                </w14:textFill>
              </w:rPr>
              <w:t>对</w:t>
            </w:r>
            <w:r>
              <w:rPr>
                <w:rFonts w:hint="default" w:ascii="Times New Roman" w:hAnsi="Times New Roman" w:cs="Times New Roman"/>
                <w:bCs w:val="0"/>
                <w:color w:val="000000" w:themeColor="text1"/>
                <w14:textFill>
                  <w14:solidFill>
                    <w14:schemeClr w14:val="tx1"/>
                  </w14:solidFill>
                </w14:textFill>
              </w:rPr>
              <w:t>方案内容</w:t>
            </w:r>
            <w:r>
              <w:rPr>
                <w:rFonts w:ascii="Times New Roman" w:hAnsi="Times New Roman" w:cs="Times New Roman"/>
                <w:bCs w:val="0"/>
                <w:color w:val="000000" w:themeColor="text1"/>
                <w14:textFill>
                  <w14:solidFill>
                    <w14:schemeClr w14:val="tx1"/>
                  </w14:solidFill>
                </w14:textFill>
              </w:rPr>
              <w:t>全面程度打分(</w:t>
            </w: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3分)。</w:t>
            </w:r>
          </w:p>
        </w:tc>
        <w:tc>
          <w:tcPr>
            <w:tcW w:w="538" w:type="pct"/>
            <w:vAlign w:val="center"/>
          </w:tcPr>
          <w:p w14:paraId="560968C3">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w:t>
            </w:r>
            <w:r>
              <w:rPr>
                <w:rFonts w:hint="default" w:ascii="Times New Roman" w:hAnsi="Times New Roman" w:cs="Times New Roman"/>
                <w:bCs w:val="0"/>
                <w:color w:val="000000" w:themeColor="text1"/>
                <w14:textFill>
                  <w14:solidFill>
                    <w14:schemeClr w14:val="tx1"/>
                  </w14:solidFill>
                </w14:textFill>
              </w:rPr>
              <w:t>分</w:t>
            </w:r>
          </w:p>
        </w:tc>
      </w:tr>
      <w:tr w14:paraId="22C1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7" w:type="pct"/>
            <w:vMerge w:val="continue"/>
            <w:vAlign w:val="center"/>
          </w:tcPr>
          <w:p w14:paraId="071B99EE">
            <w:pPr>
              <w:pStyle w:val="35"/>
              <w:rPr>
                <w:rFonts w:hint="default" w:ascii="Times New Roman" w:hAnsi="Times New Roman" w:cs="Times New Roman"/>
                <w:bCs w:val="0"/>
              </w:rPr>
            </w:pPr>
          </w:p>
        </w:tc>
        <w:tc>
          <w:tcPr>
            <w:tcW w:w="781" w:type="pct"/>
            <w:vMerge w:val="continue"/>
            <w:vAlign w:val="center"/>
          </w:tcPr>
          <w:p w14:paraId="26B0CE80">
            <w:pPr>
              <w:pStyle w:val="35"/>
              <w:rPr>
                <w:rFonts w:hint="default" w:ascii="Times New Roman" w:hAnsi="Times New Roman" w:cs="Times New Roman"/>
                <w:bCs w:val="0"/>
              </w:rPr>
            </w:pPr>
          </w:p>
        </w:tc>
        <w:tc>
          <w:tcPr>
            <w:tcW w:w="3214" w:type="pct"/>
            <w:vAlign w:val="center"/>
          </w:tcPr>
          <w:p w14:paraId="6AF5FCB6">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对本项目进行多方面消防提升内容分析，提出合理性的消防规划方案。</w:t>
            </w:r>
            <w:r>
              <w:rPr>
                <w:rFonts w:ascii="Times New Roman" w:hAnsi="Times New Roman" w:cs="Times New Roman"/>
                <w:bCs w:val="0"/>
                <w:color w:val="000000" w:themeColor="text1"/>
                <w14:textFill>
                  <w14:solidFill>
                    <w14:schemeClr w14:val="tx1"/>
                  </w14:solidFill>
                </w14:textFill>
              </w:rPr>
              <w:t>对</w:t>
            </w:r>
            <w:r>
              <w:rPr>
                <w:rFonts w:hint="default" w:ascii="Times New Roman" w:hAnsi="Times New Roman" w:cs="Times New Roman"/>
                <w:bCs w:val="0"/>
                <w:color w:val="000000" w:themeColor="text1"/>
                <w14:textFill>
                  <w14:solidFill>
                    <w14:schemeClr w14:val="tx1"/>
                  </w14:solidFill>
                </w14:textFill>
              </w:rPr>
              <w:t>方案内容</w:t>
            </w:r>
            <w:r>
              <w:rPr>
                <w:rFonts w:ascii="Times New Roman" w:hAnsi="Times New Roman" w:cs="Times New Roman"/>
                <w:bCs w:val="0"/>
                <w:color w:val="000000" w:themeColor="text1"/>
                <w14:textFill>
                  <w14:solidFill>
                    <w14:schemeClr w14:val="tx1"/>
                  </w14:solidFill>
                </w14:textFill>
              </w:rPr>
              <w:t>详尽程度打分(</w:t>
            </w: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3分)。</w:t>
            </w:r>
          </w:p>
        </w:tc>
        <w:tc>
          <w:tcPr>
            <w:tcW w:w="538" w:type="pct"/>
            <w:vAlign w:val="center"/>
          </w:tcPr>
          <w:p w14:paraId="65FF974B">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w:t>
            </w:r>
            <w:r>
              <w:rPr>
                <w:rFonts w:hint="default" w:ascii="Times New Roman" w:hAnsi="Times New Roman" w:cs="Times New Roman"/>
                <w:bCs w:val="0"/>
                <w:color w:val="000000" w:themeColor="text1"/>
                <w14:textFill>
                  <w14:solidFill>
                    <w14:schemeClr w14:val="tx1"/>
                  </w14:solidFill>
                </w14:textFill>
              </w:rPr>
              <w:t>分</w:t>
            </w:r>
          </w:p>
        </w:tc>
      </w:tr>
      <w:tr w14:paraId="33F7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vAlign w:val="center"/>
          </w:tcPr>
          <w:p w14:paraId="29FAB738">
            <w:pPr>
              <w:pStyle w:val="35"/>
              <w:rPr>
                <w:rFonts w:hint="default" w:ascii="Times New Roman" w:hAnsi="Times New Roman" w:cs="Times New Roman"/>
                <w:bCs w:val="0"/>
              </w:rPr>
            </w:pPr>
          </w:p>
        </w:tc>
        <w:tc>
          <w:tcPr>
            <w:tcW w:w="781" w:type="pct"/>
            <w:vMerge w:val="continue"/>
            <w:vAlign w:val="center"/>
          </w:tcPr>
          <w:p w14:paraId="24EDD7C3">
            <w:pPr>
              <w:pStyle w:val="35"/>
              <w:rPr>
                <w:rFonts w:hint="default" w:ascii="Times New Roman" w:hAnsi="Times New Roman" w:cs="Times New Roman"/>
                <w:bCs w:val="0"/>
              </w:rPr>
            </w:pPr>
          </w:p>
        </w:tc>
        <w:tc>
          <w:tcPr>
            <w:tcW w:w="3214" w:type="pct"/>
            <w:vAlign w:val="center"/>
          </w:tcPr>
          <w:p w14:paraId="031AED3F">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对本项目进行多方面消防提升内容分析，提出合理性的消防规划方案。</w:t>
            </w:r>
            <w:r>
              <w:rPr>
                <w:rFonts w:ascii="Times New Roman" w:hAnsi="Times New Roman" w:cs="Times New Roman"/>
                <w:bCs w:val="0"/>
                <w:color w:val="000000" w:themeColor="text1"/>
                <w14:textFill>
                  <w14:solidFill>
                    <w14:schemeClr w14:val="tx1"/>
                  </w14:solidFill>
                </w14:textFill>
              </w:rPr>
              <w:t>对消防规划</w:t>
            </w:r>
            <w:r>
              <w:rPr>
                <w:rFonts w:hint="default" w:ascii="Times New Roman" w:hAnsi="Times New Roman" w:cs="Times New Roman"/>
                <w:bCs w:val="0"/>
                <w:color w:val="000000" w:themeColor="text1"/>
                <w14:textFill>
                  <w14:solidFill>
                    <w14:schemeClr w14:val="tx1"/>
                  </w14:solidFill>
                </w14:textFill>
              </w:rPr>
              <w:t>方案</w:t>
            </w:r>
            <w:r>
              <w:rPr>
                <w:rFonts w:ascii="Times New Roman" w:hAnsi="Times New Roman" w:cs="Times New Roman"/>
                <w:bCs w:val="0"/>
                <w:color w:val="000000" w:themeColor="text1"/>
                <w14:textFill>
                  <w14:solidFill>
                    <w14:schemeClr w14:val="tx1"/>
                  </w14:solidFill>
                </w14:textFill>
              </w:rPr>
              <w:t>合理性打分(</w:t>
            </w: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3分)。</w:t>
            </w:r>
          </w:p>
        </w:tc>
        <w:tc>
          <w:tcPr>
            <w:tcW w:w="538" w:type="pct"/>
            <w:vAlign w:val="center"/>
          </w:tcPr>
          <w:p w14:paraId="7B2ECCB9">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3</w:t>
            </w:r>
            <w:r>
              <w:rPr>
                <w:rFonts w:hint="default" w:ascii="Times New Roman" w:hAnsi="Times New Roman" w:cs="Times New Roman"/>
                <w:bCs w:val="0"/>
                <w:color w:val="000000" w:themeColor="text1"/>
                <w14:textFill>
                  <w14:solidFill>
                    <w14:schemeClr w14:val="tx1"/>
                  </w14:solidFill>
                </w14:textFill>
              </w:rPr>
              <w:t>分</w:t>
            </w:r>
          </w:p>
        </w:tc>
      </w:tr>
      <w:tr w14:paraId="6572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vAlign w:val="center"/>
          </w:tcPr>
          <w:p w14:paraId="3FEB5F8F">
            <w:pPr>
              <w:pStyle w:val="35"/>
              <w:rPr>
                <w:rFonts w:hint="default" w:ascii="Times New Roman" w:hAnsi="Times New Roman" w:cs="Times New Roman"/>
                <w:bCs w:val="0"/>
              </w:rPr>
            </w:pPr>
          </w:p>
        </w:tc>
        <w:tc>
          <w:tcPr>
            <w:tcW w:w="781" w:type="pct"/>
            <w:vMerge w:val="continue"/>
            <w:vAlign w:val="center"/>
          </w:tcPr>
          <w:p w14:paraId="5EF182DD">
            <w:pPr>
              <w:pStyle w:val="35"/>
              <w:rPr>
                <w:rFonts w:hint="default" w:ascii="Times New Roman" w:hAnsi="Times New Roman" w:cs="Times New Roman"/>
                <w:bCs w:val="0"/>
              </w:rPr>
            </w:pPr>
          </w:p>
        </w:tc>
        <w:tc>
          <w:tcPr>
            <w:tcW w:w="3214" w:type="pct"/>
            <w:vAlign w:val="center"/>
          </w:tcPr>
          <w:p w14:paraId="6F58AACC">
            <w:pPr>
              <w:pStyle w:val="35"/>
              <w:rPr>
                <w:rFonts w:hint="default" w:ascii="Times New Roman" w:hAnsi="Times New Roman" w:cs="Times New Roman"/>
                <w:bCs w:val="0"/>
                <w:color w:val="000000" w:themeColor="text1"/>
                <w14:textFill>
                  <w14:solidFill>
                    <w14:schemeClr w14:val="tx1"/>
                  </w14:solidFill>
                </w14:textFill>
              </w:rPr>
            </w:pPr>
            <w:r>
              <w:rPr>
                <w:color w:val="000000" w:themeColor="text1"/>
                <w14:textFill>
                  <w14:solidFill>
                    <w14:schemeClr w14:val="tx1"/>
                  </w14:solidFill>
                </w14:textFill>
              </w:rPr>
              <w:t>提出区块的规划意义、目标定位和特色理念等</w:t>
            </w:r>
            <w:r>
              <w:rPr>
                <w:rFonts w:hint="default" w:ascii="Times New Roman" w:hAnsi="Times New Roman" w:cs="Times New Roman"/>
                <w:bCs w:val="0"/>
                <w:color w:val="000000" w:themeColor="text1"/>
                <w14:textFill>
                  <w14:solidFill>
                    <w14:schemeClr w14:val="tx1"/>
                  </w14:solidFill>
                </w14:textFill>
              </w:rPr>
              <w:t>围绕森林康养</w:t>
            </w:r>
            <w:r>
              <w:rPr>
                <w:rFonts w:ascii="Times New Roman" w:hAnsi="Times New Roman" w:cs="Times New Roman"/>
                <w:bCs w:val="0"/>
                <w:color w:val="000000" w:themeColor="text1"/>
                <w14:textFill>
                  <w14:solidFill>
                    <w14:schemeClr w14:val="tx1"/>
                  </w14:solidFill>
                </w14:textFill>
              </w:rPr>
              <w:t>、</w:t>
            </w:r>
            <w:r>
              <w:rPr>
                <w:rFonts w:hint="default" w:ascii="Times New Roman" w:hAnsi="Times New Roman" w:cs="Times New Roman"/>
                <w:bCs w:val="0"/>
                <w:color w:val="000000" w:themeColor="text1"/>
                <w14:textFill>
                  <w14:solidFill>
                    <w14:schemeClr w14:val="tx1"/>
                  </w14:solidFill>
                </w14:textFill>
              </w:rPr>
              <w:t>乡村文旅等方面提出合理准确的规划提升方案，根据磋商响应方提出的方案内容进行打分。</w:t>
            </w:r>
            <w:r>
              <w:rPr>
                <w:rFonts w:ascii="Times New Roman" w:hAnsi="Times New Roman" w:cs="Times New Roman"/>
                <w:bCs w:val="0"/>
                <w:color w:val="000000" w:themeColor="text1"/>
                <w14:textFill>
                  <w14:solidFill>
                    <w14:schemeClr w14:val="tx1"/>
                  </w14:solidFill>
                </w14:textFill>
              </w:rPr>
              <w:t>(</w:t>
            </w:r>
            <w:r>
              <w:rPr>
                <w:rFonts w:hint="default" w:ascii="Times New Roman" w:hAnsi="Times New Roman" w:cs="Times New Roman"/>
                <w:bCs w:val="0"/>
                <w:color w:val="000000" w:themeColor="text1"/>
                <w14:textFill>
                  <w14:solidFill>
                    <w14:schemeClr w14:val="tx1"/>
                  </w14:solidFill>
                </w14:textFill>
              </w:rPr>
              <w:t>0-4</w:t>
            </w:r>
            <w:r>
              <w:rPr>
                <w:rFonts w:ascii="Times New Roman" w:hAnsi="Times New Roman" w:cs="Times New Roman"/>
                <w:bCs w:val="0"/>
                <w:color w:val="000000" w:themeColor="text1"/>
                <w14:textFill>
                  <w14:solidFill>
                    <w14:schemeClr w14:val="tx1"/>
                  </w14:solidFill>
                </w14:textFill>
              </w:rPr>
              <w:t>分)。</w:t>
            </w:r>
          </w:p>
        </w:tc>
        <w:tc>
          <w:tcPr>
            <w:tcW w:w="538" w:type="pct"/>
            <w:vAlign w:val="center"/>
          </w:tcPr>
          <w:p w14:paraId="55EC8C8C">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0-4分</w:t>
            </w:r>
          </w:p>
        </w:tc>
      </w:tr>
      <w:tr w14:paraId="617D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vAlign w:val="center"/>
          </w:tcPr>
          <w:p w14:paraId="4075DE19">
            <w:pPr>
              <w:pStyle w:val="35"/>
              <w:rPr>
                <w:rFonts w:hint="default" w:ascii="Times New Roman" w:hAnsi="Times New Roman" w:cs="Times New Roman"/>
                <w:bCs w:val="0"/>
              </w:rPr>
            </w:pPr>
          </w:p>
        </w:tc>
        <w:tc>
          <w:tcPr>
            <w:tcW w:w="781" w:type="pct"/>
            <w:vMerge w:val="continue"/>
            <w:vAlign w:val="center"/>
          </w:tcPr>
          <w:p w14:paraId="5DFA2B39">
            <w:pPr>
              <w:pStyle w:val="35"/>
              <w:rPr>
                <w:rFonts w:hint="default" w:ascii="Times New Roman" w:hAnsi="Times New Roman" w:cs="Times New Roman"/>
                <w:bCs w:val="0"/>
              </w:rPr>
            </w:pPr>
          </w:p>
        </w:tc>
        <w:tc>
          <w:tcPr>
            <w:tcW w:w="3214" w:type="pct"/>
            <w:vAlign w:val="center"/>
          </w:tcPr>
          <w:p w14:paraId="6023E8AA">
            <w:pPr>
              <w:pStyle w:val="35"/>
              <w:rPr>
                <w:rFonts w:hint="default"/>
                <w:color w:val="000000" w:themeColor="text1"/>
                <w14:textFill>
                  <w14:solidFill>
                    <w14:schemeClr w14:val="tx1"/>
                  </w14:solidFill>
                </w14:textFill>
              </w:rPr>
            </w:pPr>
            <w:r>
              <w:rPr>
                <w:color w:val="000000" w:themeColor="text1"/>
                <w14:textFill>
                  <w14:solidFill>
                    <w14:schemeClr w14:val="tx1"/>
                  </w14:solidFill>
                </w14:textFill>
              </w:rPr>
              <w:t>提出区块的规划意义、目标定位和特色理念等</w:t>
            </w:r>
            <w:r>
              <w:rPr>
                <w:rFonts w:hint="default" w:ascii="Times New Roman" w:hAnsi="Times New Roman" w:cs="Times New Roman"/>
                <w:bCs w:val="0"/>
                <w:color w:val="000000" w:themeColor="text1"/>
                <w14:textFill>
                  <w14:solidFill>
                    <w14:schemeClr w14:val="tx1"/>
                  </w14:solidFill>
                </w14:textFill>
              </w:rPr>
              <w:t>围绕森林康养</w:t>
            </w:r>
            <w:r>
              <w:rPr>
                <w:rFonts w:ascii="Times New Roman" w:hAnsi="Times New Roman" w:cs="Times New Roman"/>
                <w:bCs w:val="0"/>
                <w:color w:val="000000" w:themeColor="text1"/>
                <w14:textFill>
                  <w14:solidFill>
                    <w14:schemeClr w14:val="tx1"/>
                  </w14:solidFill>
                </w14:textFill>
              </w:rPr>
              <w:t>、</w:t>
            </w:r>
            <w:r>
              <w:rPr>
                <w:rFonts w:hint="default" w:ascii="Times New Roman" w:hAnsi="Times New Roman" w:cs="Times New Roman"/>
                <w:bCs w:val="0"/>
                <w:color w:val="000000" w:themeColor="text1"/>
                <w14:textFill>
                  <w14:solidFill>
                    <w14:schemeClr w14:val="tx1"/>
                  </w14:solidFill>
                </w14:textFill>
              </w:rPr>
              <w:t>乡村文旅等方面提出</w:t>
            </w:r>
            <w:r>
              <w:rPr>
                <w:rFonts w:ascii="Times New Roman" w:hAnsi="Times New Roman" w:cs="Times New Roman"/>
                <w:bCs w:val="0"/>
                <w:color w:val="000000" w:themeColor="text1"/>
                <w14:textFill>
                  <w14:solidFill>
                    <w14:schemeClr w14:val="tx1"/>
                  </w14:solidFill>
                </w14:textFill>
              </w:rPr>
              <w:t>详细完善</w:t>
            </w:r>
            <w:r>
              <w:rPr>
                <w:rFonts w:hint="default" w:ascii="Times New Roman" w:hAnsi="Times New Roman" w:cs="Times New Roman"/>
                <w:bCs w:val="0"/>
                <w:color w:val="000000" w:themeColor="text1"/>
                <w14:textFill>
                  <w14:solidFill>
                    <w14:schemeClr w14:val="tx1"/>
                  </w14:solidFill>
                </w14:textFill>
              </w:rPr>
              <w:t>的规划提升方案，根据磋商响应方提出的方案内容进行打分。</w:t>
            </w:r>
            <w:r>
              <w:rPr>
                <w:rFonts w:ascii="Times New Roman" w:hAnsi="Times New Roman" w:cs="Times New Roman"/>
                <w:bCs w:val="0"/>
                <w:color w:val="000000" w:themeColor="text1"/>
                <w14:textFill>
                  <w14:solidFill>
                    <w14:schemeClr w14:val="tx1"/>
                  </w14:solidFill>
                </w14:textFill>
              </w:rPr>
              <w:t>(</w:t>
            </w:r>
            <w:r>
              <w:rPr>
                <w:rFonts w:hint="default" w:ascii="Times New Roman" w:hAnsi="Times New Roman" w:cs="Times New Roman"/>
                <w:bCs w:val="0"/>
                <w:color w:val="000000" w:themeColor="text1"/>
                <w14:textFill>
                  <w14:solidFill>
                    <w14:schemeClr w14:val="tx1"/>
                  </w14:solidFill>
                </w14:textFill>
              </w:rPr>
              <w:t>0-4</w:t>
            </w:r>
            <w:r>
              <w:rPr>
                <w:rFonts w:ascii="Times New Roman" w:hAnsi="Times New Roman" w:cs="Times New Roman"/>
                <w:bCs w:val="0"/>
                <w:color w:val="000000" w:themeColor="text1"/>
                <w14:textFill>
                  <w14:solidFill>
                    <w14:schemeClr w14:val="tx1"/>
                  </w14:solidFill>
                </w14:textFill>
              </w:rPr>
              <w:t>分)。</w:t>
            </w:r>
          </w:p>
        </w:tc>
        <w:tc>
          <w:tcPr>
            <w:tcW w:w="538" w:type="pct"/>
            <w:vAlign w:val="center"/>
          </w:tcPr>
          <w:p w14:paraId="753C8BBB">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0-4分</w:t>
            </w:r>
          </w:p>
        </w:tc>
      </w:tr>
      <w:tr w14:paraId="4D25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vAlign w:val="center"/>
          </w:tcPr>
          <w:p w14:paraId="60B7539D">
            <w:pPr>
              <w:pStyle w:val="35"/>
              <w:rPr>
                <w:rFonts w:hint="default" w:ascii="Times New Roman" w:hAnsi="Times New Roman" w:cs="Times New Roman"/>
                <w:bCs w:val="0"/>
              </w:rPr>
            </w:pPr>
          </w:p>
        </w:tc>
        <w:tc>
          <w:tcPr>
            <w:tcW w:w="781" w:type="pct"/>
            <w:vMerge w:val="continue"/>
            <w:vAlign w:val="center"/>
          </w:tcPr>
          <w:p w14:paraId="2631E396">
            <w:pPr>
              <w:pStyle w:val="35"/>
              <w:rPr>
                <w:rFonts w:hint="default" w:ascii="Times New Roman" w:hAnsi="Times New Roman" w:cs="Times New Roman"/>
                <w:bCs w:val="0"/>
              </w:rPr>
            </w:pPr>
          </w:p>
        </w:tc>
        <w:tc>
          <w:tcPr>
            <w:tcW w:w="3214" w:type="pct"/>
            <w:vAlign w:val="center"/>
          </w:tcPr>
          <w:p w14:paraId="3C68945E">
            <w:pPr>
              <w:pStyle w:val="35"/>
              <w:rPr>
                <w:rFonts w:hint="default"/>
                <w:color w:val="000000" w:themeColor="text1"/>
                <w14:textFill>
                  <w14:solidFill>
                    <w14:schemeClr w14:val="tx1"/>
                  </w14:solidFill>
                </w14:textFill>
              </w:rPr>
            </w:pPr>
            <w:r>
              <w:rPr>
                <w:color w:val="000000" w:themeColor="text1"/>
                <w14:textFill>
                  <w14:solidFill>
                    <w14:schemeClr w14:val="tx1"/>
                  </w14:solidFill>
                </w14:textFill>
              </w:rPr>
              <w:t>规划定位及内容是否超前科学合理，区块的规划设计是否具有一定深度，区块规划是否与周边片区相辅相成协同发展。</w:t>
            </w:r>
            <w:r>
              <w:rPr>
                <w:rFonts w:hint="default" w:ascii="Times New Roman" w:hAnsi="Times New Roman" w:cs="Times New Roman"/>
                <w:bCs w:val="0"/>
                <w:color w:val="000000" w:themeColor="text1"/>
                <w14:textFill>
                  <w14:solidFill>
                    <w14:schemeClr w14:val="tx1"/>
                  </w14:solidFill>
                </w14:textFill>
              </w:rPr>
              <w:t>全面把握规划方案的准确性</w:t>
            </w:r>
            <w:r>
              <w:rPr>
                <w:rFonts w:ascii="Times New Roman" w:hAnsi="Times New Roman" w:cs="Times New Roman"/>
                <w:bCs w:val="0"/>
                <w:color w:val="000000" w:themeColor="text1"/>
                <w14:textFill>
                  <w14:solidFill>
                    <w14:schemeClr w14:val="tx1"/>
                  </w14:solidFill>
                </w14:textFill>
              </w:rPr>
              <w:t>(</w:t>
            </w:r>
            <w:r>
              <w:rPr>
                <w:rFonts w:hint="default" w:ascii="Times New Roman" w:hAnsi="Times New Roman" w:cs="Times New Roman"/>
                <w:bCs w:val="0"/>
                <w:color w:val="000000" w:themeColor="text1"/>
                <w14:textFill>
                  <w14:solidFill>
                    <w14:schemeClr w14:val="tx1"/>
                  </w14:solidFill>
                </w14:textFill>
              </w:rPr>
              <w:t>0-</w:t>
            </w:r>
            <w:r>
              <w:rPr>
                <w:rFonts w:ascii="Times New Roman" w:hAnsi="Times New Roman" w:cs="Times New Roman"/>
                <w:bCs w:val="0"/>
                <w:color w:val="000000" w:themeColor="text1"/>
                <w14:textFill>
                  <w14:solidFill>
                    <w14:schemeClr w14:val="tx1"/>
                  </w14:solidFill>
                </w14:textFill>
              </w:rPr>
              <w:t>5分)</w:t>
            </w:r>
            <w:r>
              <w:rPr>
                <w:rFonts w:hint="default"/>
                <w:color w:val="000000" w:themeColor="text1"/>
                <w14:textFill>
                  <w14:solidFill>
                    <w14:schemeClr w14:val="tx1"/>
                  </w14:solidFill>
                </w14:textFill>
              </w:rPr>
              <w:t xml:space="preserve"> </w:t>
            </w:r>
          </w:p>
        </w:tc>
        <w:tc>
          <w:tcPr>
            <w:tcW w:w="538" w:type="pct"/>
            <w:vAlign w:val="center"/>
          </w:tcPr>
          <w:p w14:paraId="0B4D0691">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0-5分</w:t>
            </w:r>
          </w:p>
        </w:tc>
      </w:tr>
      <w:tr w14:paraId="0507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467" w:type="pct"/>
            <w:vMerge w:val="continue"/>
            <w:vAlign w:val="center"/>
          </w:tcPr>
          <w:p w14:paraId="46BEAEFC">
            <w:pPr>
              <w:pStyle w:val="35"/>
              <w:rPr>
                <w:rFonts w:hint="default" w:ascii="Times New Roman" w:hAnsi="Times New Roman" w:cs="Times New Roman"/>
                <w:bCs w:val="0"/>
              </w:rPr>
            </w:pPr>
          </w:p>
        </w:tc>
        <w:tc>
          <w:tcPr>
            <w:tcW w:w="781" w:type="pct"/>
            <w:vMerge w:val="continue"/>
            <w:vAlign w:val="center"/>
          </w:tcPr>
          <w:p w14:paraId="1F49A901">
            <w:pPr>
              <w:pStyle w:val="35"/>
              <w:rPr>
                <w:rFonts w:hint="default" w:ascii="Times New Roman" w:hAnsi="Times New Roman" w:cs="Times New Roman"/>
                <w:bCs w:val="0"/>
              </w:rPr>
            </w:pPr>
          </w:p>
        </w:tc>
        <w:tc>
          <w:tcPr>
            <w:tcW w:w="3214" w:type="pct"/>
            <w:vAlign w:val="center"/>
          </w:tcPr>
          <w:p w14:paraId="771FFB57">
            <w:pPr>
              <w:pStyle w:val="35"/>
              <w:rPr>
                <w:rFonts w:hint="default"/>
                <w:color w:val="000000" w:themeColor="text1"/>
                <w14:textFill>
                  <w14:solidFill>
                    <w14:schemeClr w14:val="tx1"/>
                  </w14:solidFill>
                </w14:textFill>
              </w:rPr>
            </w:pPr>
            <w:r>
              <w:rPr>
                <w:color w:val="000000" w:themeColor="text1"/>
                <w14:textFill>
                  <w14:solidFill>
                    <w14:schemeClr w14:val="tx1"/>
                  </w14:solidFill>
                </w14:textFill>
              </w:rPr>
              <w:t>总平面图功能结构、布点落位是否清晰合理，规划效果展示图是否全面完善地表达规划意图。（0</w:t>
            </w:r>
            <w:r>
              <w:rPr>
                <w:rFonts w:hint="default"/>
                <w:color w:val="000000" w:themeColor="text1"/>
                <w14:textFill>
                  <w14:solidFill>
                    <w14:schemeClr w14:val="tx1"/>
                  </w14:solidFill>
                </w14:textFill>
              </w:rPr>
              <w:t>-5</w:t>
            </w:r>
            <w:r>
              <w:rPr>
                <w:color w:val="000000" w:themeColor="text1"/>
                <w14:textFill>
                  <w14:solidFill>
                    <w14:schemeClr w14:val="tx1"/>
                  </w14:solidFill>
                </w14:textFill>
              </w:rPr>
              <w:t>分）</w:t>
            </w:r>
          </w:p>
        </w:tc>
        <w:tc>
          <w:tcPr>
            <w:tcW w:w="538" w:type="pct"/>
            <w:vAlign w:val="center"/>
          </w:tcPr>
          <w:p w14:paraId="790B6BC9">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0-5分</w:t>
            </w:r>
          </w:p>
        </w:tc>
      </w:tr>
      <w:tr w14:paraId="7013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467" w:type="pct"/>
            <w:vMerge w:val="continue"/>
            <w:vAlign w:val="center"/>
          </w:tcPr>
          <w:p w14:paraId="713085CA">
            <w:pPr>
              <w:pStyle w:val="35"/>
              <w:rPr>
                <w:rFonts w:hint="default" w:ascii="Times New Roman" w:hAnsi="Times New Roman" w:cs="Times New Roman"/>
                <w:bCs w:val="0"/>
              </w:rPr>
            </w:pPr>
          </w:p>
        </w:tc>
        <w:tc>
          <w:tcPr>
            <w:tcW w:w="781" w:type="pct"/>
            <w:vMerge w:val="continue"/>
            <w:vAlign w:val="center"/>
          </w:tcPr>
          <w:p w14:paraId="7D9D36D7">
            <w:pPr>
              <w:pStyle w:val="35"/>
              <w:rPr>
                <w:rFonts w:hint="default" w:ascii="Times New Roman" w:hAnsi="Times New Roman" w:cs="Times New Roman"/>
                <w:bCs w:val="0"/>
              </w:rPr>
            </w:pPr>
          </w:p>
        </w:tc>
        <w:tc>
          <w:tcPr>
            <w:tcW w:w="3214" w:type="pct"/>
            <w:vAlign w:val="center"/>
          </w:tcPr>
          <w:p w14:paraId="4FD762F8">
            <w:pPr>
              <w:pStyle w:val="35"/>
              <w:rPr>
                <w:rFonts w:hint="default"/>
                <w:color w:val="000000" w:themeColor="text1"/>
                <w14:textFill>
                  <w14:solidFill>
                    <w14:schemeClr w14:val="tx1"/>
                  </w14:solidFill>
                </w14:textFill>
              </w:rPr>
            </w:pPr>
            <w:r>
              <w:rPr>
                <w:color w:val="000000" w:themeColor="text1"/>
                <w14:textFill>
                  <w14:solidFill>
                    <w14:schemeClr w14:val="tx1"/>
                  </w14:solidFill>
                </w14:textFill>
              </w:rPr>
              <w:t>规划效果展示图和现状比较是否有对比，和现状是否相符，效果是否表达清晰、美观(</w:t>
            </w:r>
            <w:r>
              <w:rPr>
                <w:rFonts w:hint="default"/>
                <w:color w:val="000000" w:themeColor="text1"/>
                <w14:textFill>
                  <w14:solidFill>
                    <w14:schemeClr w14:val="tx1"/>
                  </w14:solidFill>
                </w14:textFill>
              </w:rPr>
              <w:t>0-5</w:t>
            </w:r>
            <w:r>
              <w:rPr>
                <w:color w:val="000000" w:themeColor="text1"/>
                <w14:textFill>
                  <w14:solidFill>
                    <w14:schemeClr w14:val="tx1"/>
                  </w14:solidFill>
                </w14:textFill>
              </w:rPr>
              <w:t>分</w:t>
            </w:r>
            <w:r>
              <w:rPr>
                <w:rFonts w:hint="default"/>
                <w:color w:val="000000" w:themeColor="text1"/>
                <w14:textFill>
                  <w14:solidFill>
                    <w14:schemeClr w14:val="tx1"/>
                  </w14:solidFill>
                </w14:textFill>
              </w:rPr>
              <w:t xml:space="preserve">) </w:t>
            </w:r>
          </w:p>
        </w:tc>
        <w:tc>
          <w:tcPr>
            <w:tcW w:w="538" w:type="pct"/>
            <w:vAlign w:val="center"/>
          </w:tcPr>
          <w:p w14:paraId="106FFC29">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0-5分</w:t>
            </w:r>
          </w:p>
        </w:tc>
      </w:tr>
      <w:tr w14:paraId="4D22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67" w:type="pct"/>
            <w:vMerge w:val="continue"/>
            <w:vAlign w:val="center"/>
          </w:tcPr>
          <w:p w14:paraId="17D118CA">
            <w:pPr>
              <w:pStyle w:val="35"/>
              <w:rPr>
                <w:rFonts w:hint="default" w:ascii="Times New Roman" w:hAnsi="Times New Roman" w:cs="Times New Roman"/>
                <w:bCs w:val="0"/>
              </w:rPr>
            </w:pPr>
          </w:p>
        </w:tc>
        <w:tc>
          <w:tcPr>
            <w:tcW w:w="781" w:type="pct"/>
            <w:vMerge w:val="continue"/>
            <w:vAlign w:val="center"/>
          </w:tcPr>
          <w:p w14:paraId="2454FFFB">
            <w:pPr>
              <w:pStyle w:val="35"/>
              <w:rPr>
                <w:rFonts w:hint="default" w:ascii="Times New Roman" w:hAnsi="Times New Roman" w:cs="Times New Roman"/>
                <w:bCs w:val="0"/>
              </w:rPr>
            </w:pPr>
          </w:p>
        </w:tc>
        <w:tc>
          <w:tcPr>
            <w:tcW w:w="3214" w:type="pct"/>
            <w:vAlign w:val="center"/>
          </w:tcPr>
          <w:p w14:paraId="1623F76F">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根据供应商编制方案的主要内容是否符合本项目的情况，主要成果的表达方式是否符合采购人要求，由评委横向比较打分</w:t>
            </w:r>
            <w:r>
              <w:rPr>
                <w:rFonts w:ascii="Times New Roman" w:hAnsi="Times New Roman" w:cs="Times New Roman"/>
                <w:bCs w:val="0"/>
                <w:color w:val="000000" w:themeColor="text1"/>
                <w14:textFill>
                  <w14:solidFill>
                    <w14:schemeClr w14:val="tx1"/>
                  </w14:solidFill>
                </w14:textFill>
              </w:rPr>
              <w:t>（</w:t>
            </w:r>
            <w:r>
              <w:rPr>
                <w:rFonts w:hint="default" w:ascii="Times New Roman" w:hAnsi="Times New Roman" w:cs="Times New Roman"/>
                <w:bCs w:val="0"/>
                <w:color w:val="000000" w:themeColor="text1"/>
                <w14:textFill>
                  <w14:solidFill>
                    <w14:schemeClr w14:val="tx1"/>
                  </w14:solidFill>
                </w14:textFill>
              </w:rPr>
              <w:t>0-5</w:t>
            </w:r>
            <w:r>
              <w:rPr>
                <w:rFonts w:ascii="Times New Roman" w:hAnsi="Times New Roman" w:cs="Times New Roman"/>
                <w:bCs w:val="0"/>
                <w:color w:val="000000" w:themeColor="text1"/>
                <w14:textFill>
                  <w14:solidFill>
                    <w14:schemeClr w14:val="tx1"/>
                  </w14:solidFill>
                </w14:textFill>
              </w:rPr>
              <w:t>分），</w:t>
            </w:r>
            <w:r>
              <w:rPr>
                <w:rFonts w:hint="default" w:ascii="Times New Roman" w:hAnsi="Times New Roman" w:cs="Times New Roman"/>
                <w:bCs w:val="0"/>
                <w:color w:val="000000" w:themeColor="text1"/>
                <w14:textFill>
                  <w14:solidFill>
                    <w14:schemeClr w14:val="tx1"/>
                  </w14:solidFill>
                </w14:textFill>
              </w:rPr>
              <w:t>以上得分点未提供相关内容的不得分。</w:t>
            </w:r>
          </w:p>
        </w:tc>
        <w:tc>
          <w:tcPr>
            <w:tcW w:w="538" w:type="pct"/>
            <w:vAlign w:val="center"/>
          </w:tcPr>
          <w:p w14:paraId="5AC74D7C">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0-5分</w:t>
            </w:r>
          </w:p>
        </w:tc>
      </w:tr>
      <w:tr w14:paraId="037F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67" w:type="pct"/>
            <w:vMerge w:val="continue"/>
            <w:vAlign w:val="center"/>
          </w:tcPr>
          <w:p w14:paraId="5C4CAA3B">
            <w:pPr>
              <w:pStyle w:val="35"/>
              <w:rPr>
                <w:rFonts w:hint="default"/>
              </w:rPr>
            </w:pPr>
          </w:p>
        </w:tc>
        <w:tc>
          <w:tcPr>
            <w:tcW w:w="781" w:type="pct"/>
            <w:vMerge w:val="continue"/>
            <w:vAlign w:val="center"/>
          </w:tcPr>
          <w:p w14:paraId="4986D425">
            <w:pPr>
              <w:pStyle w:val="35"/>
              <w:rPr>
                <w:rFonts w:hint="default"/>
              </w:rPr>
            </w:pPr>
          </w:p>
        </w:tc>
        <w:tc>
          <w:tcPr>
            <w:tcW w:w="3214" w:type="pct"/>
            <w:vAlign w:val="center"/>
          </w:tcPr>
          <w:p w14:paraId="67CD664C">
            <w:pPr>
              <w:pStyle w:val="35"/>
              <w:rPr>
                <w:rFonts w:hint="default" w:ascii="Times New Roman" w:hAnsi="Times New Roman" w:cs="Times New Roman"/>
                <w:bCs w:val="0"/>
                <w:color w:val="000000" w:themeColor="text1"/>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根据供应商编制方案的主要成果的表达方式是否符合采购人要求，由评委横向比较打分</w:t>
            </w:r>
            <w:r>
              <w:rPr>
                <w:rFonts w:ascii="Times New Roman" w:hAnsi="Times New Roman" w:cs="Times New Roman"/>
                <w:bCs w:val="0"/>
                <w:color w:val="000000" w:themeColor="text1"/>
                <w14:textFill>
                  <w14:solidFill>
                    <w14:schemeClr w14:val="tx1"/>
                  </w14:solidFill>
                </w14:textFill>
              </w:rPr>
              <w:t>（0</w:t>
            </w:r>
            <w:r>
              <w:rPr>
                <w:rFonts w:hint="default" w:ascii="Times New Roman" w:hAnsi="Times New Roman" w:cs="Times New Roman"/>
                <w:bCs w:val="0"/>
                <w:color w:val="000000" w:themeColor="text1"/>
                <w14:textFill>
                  <w14:solidFill>
                    <w14:schemeClr w14:val="tx1"/>
                  </w14:solidFill>
                </w14:textFill>
              </w:rPr>
              <w:t>-5</w:t>
            </w:r>
            <w:r>
              <w:rPr>
                <w:rFonts w:ascii="Times New Roman" w:hAnsi="Times New Roman" w:cs="Times New Roman"/>
                <w:bCs w:val="0"/>
                <w:color w:val="000000" w:themeColor="text1"/>
                <w14:textFill>
                  <w14:solidFill>
                    <w14:schemeClr w14:val="tx1"/>
                  </w14:solidFill>
                </w14:textFill>
              </w:rPr>
              <w:t>分），</w:t>
            </w:r>
            <w:r>
              <w:rPr>
                <w:rFonts w:hint="default" w:ascii="Times New Roman" w:hAnsi="Times New Roman" w:cs="Times New Roman"/>
                <w:bCs w:val="0"/>
                <w:color w:val="000000" w:themeColor="text1"/>
                <w14:textFill>
                  <w14:solidFill>
                    <w14:schemeClr w14:val="tx1"/>
                  </w14:solidFill>
                </w14:textFill>
              </w:rPr>
              <w:t>以上得分点未提供相关内容的不得分。</w:t>
            </w:r>
          </w:p>
          <w:p w14:paraId="3F85A96A">
            <w:pPr>
              <w:pStyle w:val="35"/>
              <w:rPr>
                <w:rFonts w:hint="default" w:ascii="Times New Roman" w:hAnsi="Times New Roman" w:cs="Times New Roman"/>
                <w:bCs w:val="0"/>
                <w:color w:val="000000" w:themeColor="text1"/>
                <w14:textFill>
                  <w14:solidFill>
                    <w14:schemeClr w14:val="tx1"/>
                  </w14:solidFill>
                </w14:textFill>
              </w:rPr>
            </w:pPr>
          </w:p>
        </w:tc>
        <w:tc>
          <w:tcPr>
            <w:tcW w:w="538" w:type="pct"/>
            <w:vAlign w:val="center"/>
          </w:tcPr>
          <w:p w14:paraId="5BFBFB62">
            <w:pPr>
              <w:pStyle w:val="35"/>
              <w:rPr>
                <w:rFonts w:hint="default" w:ascii="Times New Roman" w:hAnsi="Times New Roman" w:cs="Times New Roman"/>
                <w:bCs w:val="0"/>
                <w:color w:val="000000" w:themeColor="text1"/>
                <w:highlight w:val="cyan"/>
                <w14:textFill>
                  <w14:solidFill>
                    <w14:schemeClr w14:val="tx1"/>
                  </w14:solidFill>
                </w14:textFill>
              </w:rPr>
            </w:pPr>
            <w:r>
              <w:rPr>
                <w:rFonts w:hint="default" w:ascii="Times New Roman" w:hAnsi="Times New Roman" w:cs="Times New Roman"/>
                <w:bCs w:val="0"/>
                <w:color w:val="000000" w:themeColor="text1"/>
                <w14:textFill>
                  <w14:solidFill>
                    <w14:schemeClr w14:val="tx1"/>
                  </w14:solidFill>
                </w14:textFill>
              </w:rPr>
              <w:t>0-5分</w:t>
            </w:r>
          </w:p>
        </w:tc>
      </w:tr>
      <w:tr w14:paraId="64CE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vAlign w:val="center"/>
          </w:tcPr>
          <w:p w14:paraId="15317511">
            <w:pPr>
              <w:pStyle w:val="35"/>
              <w:rPr>
                <w:rFonts w:hint="default" w:ascii="Times New Roman" w:hAnsi="Times New Roman" w:cs="Times New Roman"/>
                <w:bCs w:val="0"/>
              </w:rPr>
            </w:pPr>
          </w:p>
        </w:tc>
        <w:tc>
          <w:tcPr>
            <w:tcW w:w="781" w:type="pct"/>
          </w:tcPr>
          <w:p w14:paraId="01285F18">
            <w:pPr>
              <w:pStyle w:val="37"/>
              <w:rPr>
                <w:rFonts w:hint="default" w:ascii="Times New Roman" w:hAnsi="Times New Roman" w:cs="Times New Roman"/>
                <w:bCs w:val="0"/>
                <w:szCs w:val="24"/>
              </w:rPr>
            </w:pPr>
            <w:r>
              <w:rPr>
                <w:rFonts w:hint="default" w:ascii="Times New Roman" w:hAnsi="Times New Roman" w:cs="Times New Roman"/>
                <w:bCs w:val="0"/>
                <w:szCs w:val="24"/>
              </w:rPr>
              <w:t>项目实施进度控制措施</w:t>
            </w:r>
          </w:p>
          <w:p w14:paraId="1825317F">
            <w:pPr>
              <w:pStyle w:val="37"/>
              <w:rPr>
                <w:rFonts w:hint="default" w:ascii="Times New Roman" w:hAnsi="Times New Roman" w:cs="Times New Roman"/>
                <w:bCs w:val="0"/>
                <w:szCs w:val="24"/>
              </w:rPr>
            </w:pPr>
          </w:p>
        </w:tc>
        <w:tc>
          <w:tcPr>
            <w:tcW w:w="3214" w:type="pct"/>
            <w:vAlign w:val="center"/>
          </w:tcPr>
          <w:p w14:paraId="33401976">
            <w:pPr>
              <w:pStyle w:val="35"/>
              <w:rPr>
                <w:rFonts w:hint="default" w:ascii="Times New Roman" w:hAnsi="Times New Roman" w:cs="Times New Roman"/>
                <w:bCs w:val="0"/>
              </w:rPr>
            </w:pPr>
            <w:r>
              <w:rPr>
                <w:rFonts w:hint="default" w:ascii="Times New Roman" w:hAnsi="Times New Roman" w:cs="Times New Roman"/>
                <w:bCs w:val="0"/>
              </w:rPr>
              <w:t>投标人根据本项目特点，制定实施进度方案，内容详尽、完善、科学合理得</w:t>
            </w:r>
            <w:r>
              <w:rPr>
                <w:rFonts w:ascii="Times New Roman" w:hAnsi="Times New Roman" w:cs="Times New Roman"/>
                <w:bCs w:val="0"/>
              </w:rPr>
              <w:t>3</w:t>
            </w:r>
            <w:r>
              <w:rPr>
                <w:rFonts w:hint="default" w:ascii="Times New Roman" w:hAnsi="Times New Roman" w:cs="Times New Roman"/>
                <w:bCs w:val="0"/>
              </w:rPr>
              <w:t>-</w:t>
            </w:r>
            <w:r>
              <w:rPr>
                <w:rFonts w:ascii="Times New Roman" w:hAnsi="Times New Roman" w:cs="Times New Roman"/>
                <w:bCs w:val="0"/>
              </w:rPr>
              <w:t>5</w:t>
            </w:r>
            <w:r>
              <w:rPr>
                <w:rFonts w:hint="default" w:ascii="Times New Roman" w:hAnsi="Times New Roman" w:cs="Times New Roman"/>
                <w:bCs w:val="0"/>
              </w:rPr>
              <w:t>分；内容存在欠缺得0-</w:t>
            </w:r>
            <w:r>
              <w:rPr>
                <w:rFonts w:ascii="Times New Roman" w:hAnsi="Times New Roman" w:cs="Times New Roman"/>
                <w:bCs w:val="0"/>
              </w:rPr>
              <w:t>2</w:t>
            </w:r>
            <w:r>
              <w:rPr>
                <w:rFonts w:hint="default" w:ascii="Times New Roman" w:hAnsi="Times New Roman" w:cs="Times New Roman"/>
                <w:bCs w:val="0"/>
              </w:rPr>
              <w:t>分。以上得分点未提供相关内容的不得分。</w:t>
            </w:r>
          </w:p>
          <w:p w14:paraId="50F08C29">
            <w:pPr>
              <w:pStyle w:val="35"/>
              <w:rPr>
                <w:rFonts w:hint="default" w:ascii="Times New Roman" w:hAnsi="Times New Roman" w:cs="Times New Roman"/>
                <w:bCs w:val="0"/>
              </w:rPr>
            </w:pPr>
          </w:p>
          <w:p w14:paraId="1E4E4095">
            <w:pPr>
              <w:pStyle w:val="35"/>
              <w:rPr>
                <w:rFonts w:hint="default" w:ascii="Times New Roman" w:hAnsi="Times New Roman" w:cs="Times New Roman"/>
                <w:bCs w:val="0"/>
              </w:rPr>
            </w:pPr>
          </w:p>
        </w:tc>
        <w:tc>
          <w:tcPr>
            <w:tcW w:w="538" w:type="pct"/>
            <w:vAlign w:val="center"/>
          </w:tcPr>
          <w:p w14:paraId="1DB7EABD">
            <w:pPr>
              <w:pStyle w:val="35"/>
              <w:rPr>
                <w:rFonts w:hint="default" w:ascii="Times New Roman" w:hAnsi="Times New Roman" w:cs="Times New Roman"/>
                <w:bCs w:val="0"/>
              </w:rPr>
            </w:pPr>
            <w:r>
              <w:rPr>
                <w:rFonts w:hint="default" w:ascii="Times New Roman" w:hAnsi="Times New Roman" w:cs="Times New Roman"/>
                <w:bCs w:val="0"/>
              </w:rPr>
              <w:t>0-</w:t>
            </w:r>
            <w:r>
              <w:rPr>
                <w:rFonts w:ascii="Times New Roman" w:hAnsi="Times New Roman" w:cs="Times New Roman"/>
                <w:bCs w:val="0"/>
              </w:rPr>
              <w:t>5</w:t>
            </w:r>
            <w:r>
              <w:rPr>
                <w:rFonts w:hint="default" w:ascii="Times New Roman" w:hAnsi="Times New Roman" w:cs="Times New Roman"/>
                <w:bCs w:val="0"/>
              </w:rPr>
              <w:t>分</w:t>
            </w:r>
          </w:p>
        </w:tc>
      </w:tr>
      <w:tr w14:paraId="502B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vAlign w:val="center"/>
          </w:tcPr>
          <w:p w14:paraId="4413D583">
            <w:pPr>
              <w:pStyle w:val="35"/>
              <w:rPr>
                <w:rFonts w:hint="default" w:ascii="Times New Roman" w:hAnsi="Times New Roman" w:cs="Times New Roman"/>
                <w:bCs w:val="0"/>
              </w:rPr>
            </w:pPr>
          </w:p>
        </w:tc>
        <w:tc>
          <w:tcPr>
            <w:tcW w:w="781" w:type="pct"/>
          </w:tcPr>
          <w:p w14:paraId="195ECC40">
            <w:pPr>
              <w:pStyle w:val="37"/>
              <w:rPr>
                <w:rFonts w:hint="default" w:ascii="Times New Roman" w:hAnsi="Times New Roman" w:cs="Times New Roman"/>
                <w:bCs w:val="0"/>
                <w:szCs w:val="24"/>
              </w:rPr>
            </w:pPr>
            <w:r>
              <w:rPr>
                <w:rFonts w:hint="default" w:ascii="Times New Roman" w:hAnsi="Times New Roman" w:cs="Times New Roman"/>
                <w:bCs w:val="0"/>
                <w:szCs w:val="24"/>
              </w:rPr>
              <w:t>服务保障措施</w:t>
            </w:r>
          </w:p>
        </w:tc>
        <w:tc>
          <w:tcPr>
            <w:tcW w:w="3214" w:type="pct"/>
            <w:vAlign w:val="center"/>
          </w:tcPr>
          <w:p w14:paraId="03C9FE29">
            <w:pPr>
              <w:pStyle w:val="35"/>
              <w:rPr>
                <w:rFonts w:hint="default" w:ascii="Times New Roman" w:hAnsi="Times New Roman" w:cs="Times New Roman"/>
                <w:bCs w:val="0"/>
              </w:rPr>
            </w:pPr>
            <w:r>
              <w:rPr>
                <w:rFonts w:hint="default" w:ascii="Times New Roman" w:hAnsi="Times New Roman" w:cs="Times New Roman"/>
                <w:bCs w:val="0"/>
              </w:rPr>
              <w:t>投标磋商响应方确保本项目顺利实施的服务保障措施。内容详尽、完善、科学合理得</w:t>
            </w:r>
            <w:r>
              <w:rPr>
                <w:rFonts w:ascii="Times New Roman" w:hAnsi="Times New Roman" w:cs="Times New Roman"/>
                <w:bCs w:val="0"/>
              </w:rPr>
              <w:t>3</w:t>
            </w:r>
            <w:r>
              <w:rPr>
                <w:rFonts w:hint="default" w:ascii="Times New Roman" w:hAnsi="Times New Roman" w:cs="Times New Roman"/>
                <w:bCs w:val="0"/>
              </w:rPr>
              <w:t>-</w:t>
            </w:r>
            <w:r>
              <w:rPr>
                <w:rFonts w:ascii="Times New Roman" w:hAnsi="Times New Roman" w:cs="Times New Roman"/>
                <w:bCs w:val="0"/>
              </w:rPr>
              <w:t>5</w:t>
            </w:r>
            <w:r>
              <w:rPr>
                <w:rFonts w:hint="default" w:ascii="Times New Roman" w:hAnsi="Times New Roman" w:cs="Times New Roman"/>
                <w:bCs w:val="0"/>
              </w:rPr>
              <w:t>分；内容存在欠缺得0-</w:t>
            </w:r>
            <w:r>
              <w:rPr>
                <w:rFonts w:ascii="Times New Roman" w:hAnsi="Times New Roman" w:cs="Times New Roman"/>
                <w:bCs w:val="0"/>
              </w:rPr>
              <w:t>2</w:t>
            </w:r>
            <w:r>
              <w:rPr>
                <w:rFonts w:hint="default" w:ascii="Times New Roman" w:hAnsi="Times New Roman" w:cs="Times New Roman"/>
                <w:bCs w:val="0"/>
              </w:rPr>
              <w:t>分。以上得分点未提供相关内容的不得分。</w:t>
            </w:r>
          </w:p>
        </w:tc>
        <w:tc>
          <w:tcPr>
            <w:tcW w:w="538" w:type="pct"/>
            <w:vAlign w:val="center"/>
          </w:tcPr>
          <w:p w14:paraId="304CF0F2">
            <w:pPr>
              <w:pStyle w:val="35"/>
              <w:rPr>
                <w:rFonts w:hint="default" w:ascii="Times New Roman" w:hAnsi="Times New Roman" w:cs="Times New Roman"/>
                <w:bCs w:val="0"/>
              </w:rPr>
            </w:pPr>
            <w:r>
              <w:rPr>
                <w:rFonts w:hint="default" w:ascii="Times New Roman" w:hAnsi="Times New Roman" w:cs="Times New Roman"/>
                <w:bCs w:val="0"/>
              </w:rPr>
              <w:t>0-</w:t>
            </w:r>
            <w:r>
              <w:rPr>
                <w:rFonts w:ascii="Times New Roman" w:hAnsi="Times New Roman" w:cs="Times New Roman"/>
                <w:bCs w:val="0"/>
              </w:rPr>
              <w:t>5</w:t>
            </w:r>
            <w:r>
              <w:rPr>
                <w:rFonts w:hint="default" w:ascii="Times New Roman" w:hAnsi="Times New Roman" w:cs="Times New Roman"/>
                <w:bCs w:val="0"/>
              </w:rPr>
              <w:t>分</w:t>
            </w:r>
          </w:p>
        </w:tc>
      </w:tr>
    </w:tbl>
    <w:p w14:paraId="1847EF45">
      <w:pPr>
        <w:pStyle w:val="2"/>
        <w:spacing w:line="240" w:lineRule="auto"/>
      </w:pPr>
      <w:bookmarkStart w:id="465" w:name="_Toc18612"/>
      <w:bookmarkStart w:id="466" w:name="_Toc27239"/>
      <w:bookmarkStart w:id="467" w:name="_Toc5216"/>
      <w:bookmarkStart w:id="468" w:name="_Toc27429"/>
      <w:bookmarkStart w:id="469" w:name="_Toc5157"/>
      <w:bookmarkStart w:id="470" w:name="_Toc24497"/>
      <w:bookmarkStart w:id="471" w:name="_Toc31933"/>
      <w:bookmarkStart w:id="472" w:name="_Toc26923"/>
    </w:p>
    <w:p w14:paraId="7266E52F">
      <w:pPr>
        <w:pStyle w:val="2"/>
      </w:pPr>
      <w:r>
        <w:t>十一、响应或成交无效情形</w:t>
      </w:r>
      <w:bookmarkEnd w:id="465"/>
      <w:bookmarkEnd w:id="466"/>
      <w:bookmarkEnd w:id="467"/>
      <w:bookmarkEnd w:id="468"/>
      <w:bookmarkEnd w:id="469"/>
      <w:bookmarkEnd w:id="470"/>
      <w:bookmarkEnd w:id="471"/>
      <w:bookmarkEnd w:id="472"/>
    </w:p>
    <w:p w14:paraId="5AC01DCA">
      <w:pPr>
        <w:ind w:firstLine="480"/>
      </w:pPr>
      <w:r>
        <w:t>有下列情形之一的，响应或成交无效</w:t>
      </w:r>
    </w:p>
    <w:p w14:paraId="1D686E95">
      <w:pPr>
        <w:ind w:firstLine="480"/>
      </w:pPr>
      <w:r>
        <w:t>1.不符合本次采购供应商资格要求的。</w:t>
      </w:r>
    </w:p>
    <w:p w14:paraId="6E01927F">
      <w:pPr>
        <w:ind w:firstLine="480"/>
      </w:pPr>
      <w:r>
        <w:t>2.提供虚假材料及证明文件的。</w:t>
      </w:r>
    </w:p>
    <w:p w14:paraId="0ECFA060">
      <w:pPr>
        <w:ind w:firstLine="480"/>
      </w:pPr>
      <w:r>
        <w:t>3.磋商报价高于最高限价的。</w:t>
      </w:r>
    </w:p>
    <w:p w14:paraId="0BBA88B7">
      <w:pPr>
        <w:ind w:firstLine="480"/>
      </w:pPr>
      <w:r>
        <w:t>4.本磋商文件是载明属无效处理情形的。</w:t>
      </w:r>
    </w:p>
    <w:p w14:paraId="384573AE">
      <w:pPr>
        <w:ind w:firstLine="480"/>
      </w:pPr>
      <w:r>
        <w:t>5.响应文件含有采购人不能接受的附加条件的。</w:t>
      </w:r>
    </w:p>
    <w:p w14:paraId="0C904DA9">
      <w:pPr>
        <w:ind w:firstLine="480"/>
      </w:pPr>
      <w:r>
        <w:t>6.成交供应商无正当理由拖延或者不与采购人签订采购合同的。</w:t>
      </w:r>
    </w:p>
    <w:p w14:paraId="6F1C7661">
      <w:pPr>
        <w:ind w:firstLine="480"/>
      </w:pPr>
      <w:r>
        <w:t>7.本磋商文件提出要求响应而未响应实质性条款（带▲号）的，或</w:t>
      </w:r>
      <w:r>
        <w:rPr>
          <w:rFonts w:hint="eastAsia"/>
        </w:rPr>
        <w:t>磋商小组</w:t>
      </w:r>
      <w:r>
        <w:t>认定有重大偏离或保留的。</w:t>
      </w:r>
    </w:p>
    <w:p w14:paraId="19D8679F">
      <w:pPr>
        <w:ind w:firstLine="480"/>
      </w:pPr>
      <w:r>
        <w:t>8.</w:t>
      </w:r>
      <w:r>
        <w:rPr>
          <w:rFonts w:hint="eastAsia"/>
        </w:rPr>
        <w:t>磋商小组</w:t>
      </w:r>
      <w:r>
        <w:t>认为供应商的报价明显低于其他通过符合性审查供应商的报价，有可能影响产品质量或者不能诚信履约，供应商不能证明其报价合理性的。</w:t>
      </w:r>
    </w:p>
    <w:p w14:paraId="0A04347D">
      <w:pPr>
        <w:ind w:firstLine="480"/>
        <w:rPr>
          <w:rFonts w:ascii="宋体" w:hAnsi="宋体"/>
          <w:szCs w:val="21"/>
        </w:rPr>
      </w:pPr>
      <w:r>
        <w:t>9.不符合</w:t>
      </w:r>
      <w:r>
        <w:rPr>
          <w:rFonts w:hint="eastAsia"/>
        </w:rPr>
        <w:t>法律法规</w:t>
      </w:r>
      <w:r>
        <w:t>和磋商文件规定的其他实质性要求和无效情形的。</w:t>
      </w:r>
    </w:p>
    <w:p w14:paraId="73E06483">
      <w:pPr>
        <w:pStyle w:val="2"/>
      </w:pPr>
      <w:bookmarkStart w:id="473" w:name="_Toc10638"/>
      <w:bookmarkStart w:id="474" w:name="_Toc28199"/>
      <w:bookmarkStart w:id="475" w:name="_Toc31285"/>
      <w:bookmarkStart w:id="476" w:name="_Toc20175"/>
      <w:bookmarkStart w:id="477" w:name="_Toc29675"/>
      <w:bookmarkStart w:id="478" w:name="_Toc4764"/>
      <w:bookmarkStart w:id="479" w:name="_Toc12954"/>
      <w:bookmarkStart w:id="480" w:name="_Toc30391"/>
      <w:r>
        <w:t>十二、串通磋商情形</w:t>
      </w:r>
      <w:bookmarkEnd w:id="473"/>
      <w:bookmarkEnd w:id="474"/>
      <w:bookmarkEnd w:id="475"/>
      <w:bookmarkEnd w:id="476"/>
      <w:bookmarkEnd w:id="477"/>
      <w:bookmarkEnd w:id="478"/>
      <w:bookmarkEnd w:id="479"/>
      <w:bookmarkEnd w:id="480"/>
    </w:p>
    <w:p w14:paraId="4FF05FAD">
      <w:pPr>
        <w:ind w:firstLine="480"/>
      </w:pPr>
      <w:r>
        <w:t>磋商过程中，有下列情形之一的，属串通行为，其响应无效：</w:t>
      </w:r>
    </w:p>
    <w:p w14:paraId="538688AD">
      <w:pPr>
        <w:ind w:firstLine="480"/>
      </w:pPr>
      <w:r>
        <w:t>1.不同供应商的响应文件由同一单位或者个人编制；</w:t>
      </w:r>
    </w:p>
    <w:p w14:paraId="3DA708FE">
      <w:pPr>
        <w:ind w:firstLine="480"/>
      </w:pPr>
      <w:r>
        <w:t>2.不同供应商委托同一单位或者个人办理磋商活动事宜；</w:t>
      </w:r>
    </w:p>
    <w:p w14:paraId="75C19A18">
      <w:pPr>
        <w:ind w:firstLine="480"/>
      </w:pPr>
      <w:r>
        <w:t>3.不同供应商的响应文件载明的项目管理成员或者联系人员为同一人；</w:t>
      </w:r>
    </w:p>
    <w:p w14:paraId="3D36D78A">
      <w:pPr>
        <w:ind w:firstLine="480"/>
      </w:pPr>
      <w:r>
        <w:t>4.不同供应商的响应文件异常一致或者磋商报价呈规律性差异；</w:t>
      </w:r>
    </w:p>
    <w:p w14:paraId="30016F98">
      <w:pPr>
        <w:ind w:firstLine="480"/>
        <w:rPr>
          <w:rFonts w:ascii="宋体" w:hAnsi="宋体"/>
          <w:szCs w:val="21"/>
        </w:rPr>
      </w:pPr>
      <w:r>
        <w:t>5.不同供应商的响应文件相互混装。</w:t>
      </w:r>
    </w:p>
    <w:p w14:paraId="7DC1CFF2">
      <w:pPr>
        <w:pStyle w:val="2"/>
      </w:pPr>
      <w:bookmarkStart w:id="481" w:name="_Toc7562"/>
      <w:bookmarkStart w:id="482" w:name="_Toc17627"/>
      <w:bookmarkStart w:id="483" w:name="_Toc31161"/>
      <w:bookmarkStart w:id="484" w:name="_Toc29942"/>
      <w:bookmarkStart w:id="485" w:name="_Toc21551"/>
      <w:bookmarkStart w:id="486" w:name="_Toc28363"/>
      <w:bookmarkStart w:id="487" w:name="_Toc21860"/>
      <w:bookmarkStart w:id="488" w:name="_Toc17466"/>
      <w:r>
        <w:t>十三、终止磋商采购活动情形</w:t>
      </w:r>
      <w:bookmarkEnd w:id="481"/>
      <w:bookmarkEnd w:id="482"/>
      <w:bookmarkEnd w:id="483"/>
      <w:bookmarkEnd w:id="484"/>
      <w:bookmarkEnd w:id="485"/>
      <w:bookmarkEnd w:id="486"/>
      <w:bookmarkEnd w:id="487"/>
      <w:bookmarkEnd w:id="488"/>
    </w:p>
    <w:p w14:paraId="590FD7D9">
      <w:pPr>
        <w:ind w:firstLine="480"/>
      </w:pPr>
      <w:r>
        <w:t>出现下列情形之一的，采购人或者采购代理机构应当终止竞争性磋商采购活动，发布项目终止公告并说明原因，重新开展采购活动：</w:t>
      </w:r>
    </w:p>
    <w:p w14:paraId="008D5F9C">
      <w:pPr>
        <w:ind w:firstLine="480"/>
      </w:pPr>
      <w:r>
        <w:t>1.因情况变化，不再符合规定的竞争性磋商采购方式适用情形的；</w:t>
      </w:r>
    </w:p>
    <w:p w14:paraId="41EAD174">
      <w:pPr>
        <w:ind w:firstLine="480"/>
      </w:pPr>
      <w:r>
        <w:t>2.出现影响采购公正的违法、违规行为的；</w:t>
      </w:r>
    </w:p>
    <w:p w14:paraId="0AF573FC">
      <w:pPr>
        <w:ind w:firstLine="480"/>
      </w:pPr>
      <w:r>
        <w:rPr>
          <w:rFonts w:hint="eastAsia"/>
        </w:rPr>
        <w:t>3</w:t>
      </w:r>
      <w:r>
        <w:t>.因重大变故，采购任务取消的。</w:t>
      </w:r>
    </w:p>
    <w:p w14:paraId="3A195B2C">
      <w:pPr>
        <w:widowControl/>
        <w:spacing w:line="240" w:lineRule="auto"/>
        <w:ind w:firstLine="0" w:firstLineChars="0"/>
        <w:jc w:val="left"/>
      </w:pPr>
    </w:p>
    <w:p w14:paraId="2CCA3465">
      <w:pPr>
        <w:widowControl/>
        <w:spacing w:line="240" w:lineRule="auto"/>
        <w:ind w:firstLine="0" w:firstLineChars="0"/>
        <w:jc w:val="left"/>
        <w:rPr>
          <w:b/>
          <w:sz w:val="44"/>
          <w:szCs w:val="20"/>
        </w:rPr>
      </w:pPr>
      <w:r>
        <w:br w:type="page"/>
      </w:r>
    </w:p>
    <w:p w14:paraId="415F933D">
      <w:pPr>
        <w:ind w:firstLine="480"/>
      </w:pPr>
    </w:p>
    <w:p w14:paraId="20A5B3CB">
      <w:pPr>
        <w:pStyle w:val="3"/>
      </w:pPr>
      <w:bookmarkStart w:id="489" w:name="_Toc1983"/>
      <w:bookmarkStart w:id="490" w:name="_Toc18642"/>
      <w:bookmarkStart w:id="491" w:name="_Toc20290"/>
      <w:bookmarkStart w:id="492" w:name="_Toc18562"/>
      <w:bookmarkStart w:id="493" w:name="_Toc16266"/>
      <w:bookmarkStart w:id="494" w:name="_Toc29199"/>
      <w:bookmarkStart w:id="495" w:name="_Toc32495"/>
      <w:bookmarkStart w:id="496" w:name="_Toc29015"/>
      <w:bookmarkStart w:id="633" w:name="_GoBack"/>
      <w:bookmarkEnd w:id="633"/>
      <w:r>
        <w:t>第</w:t>
      </w:r>
      <w:r>
        <w:rPr>
          <w:rFonts w:hint="eastAsia"/>
        </w:rPr>
        <w:t>七</w:t>
      </w:r>
      <w:r>
        <w:t>章</w:t>
      </w:r>
      <w:r>
        <w:rPr>
          <w:rFonts w:hint="eastAsia"/>
        </w:rPr>
        <w:t xml:space="preserve">  响应文件格式</w:t>
      </w:r>
      <w:bookmarkEnd w:id="489"/>
      <w:bookmarkEnd w:id="490"/>
      <w:bookmarkEnd w:id="491"/>
      <w:bookmarkEnd w:id="492"/>
      <w:bookmarkEnd w:id="493"/>
      <w:bookmarkEnd w:id="494"/>
      <w:bookmarkEnd w:id="495"/>
      <w:bookmarkEnd w:id="496"/>
    </w:p>
    <w:p w14:paraId="61B65511">
      <w:pPr>
        <w:widowControl/>
        <w:spacing w:line="240" w:lineRule="auto"/>
        <w:ind w:firstLine="0" w:firstLineChars="0"/>
        <w:jc w:val="left"/>
      </w:pPr>
    </w:p>
    <w:p w14:paraId="3112C74D">
      <w:pPr>
        <w:ind w:firstLine="560"/>
        <w:rPr>
          <w:rFonts w:ascii="Arial" w:hAnsi="Arial" w:cs="Arial"/>
          <w:kern w:val="0"/>
          <w:sz w:val="28"/>
        </w:rPr>
      </w:pPr>
    </w:p>
    <w:p w14:paraId="1BC06CA0">
      <w:pPr>
        <w:ind w:firstLine="560"/>
        <w:rPr>
          <w:rFonts w:ascii="Arial" w:hAnsi="Arial" w:cs="Arial"/>
          <w:kern w:val="0"/>
          <w:sz w:val="28"/>
        </w:rPr>
      </w:pPr>
    </w:p>
    <w:p w14:paraId="02D71CDA">
      <w:pPr>
        <w:ind w:left="1296" w:leftChars="540" w:firstLine="480"/>
        <w:rPr>
          <w:rFonts w:ascii="Arial" w:hAnsi="Arial" w:cs="Arial"/>
          <w:kern w:val="0"/>
        </w:rPr>
      </w:pPr>
    </w:p>
    <w:p w14:paraId="24F25DBA">
      <w:pPr>
        <w:spacing w:line="360" w:lineRule="auto"/>
        <w:ind w:firstLine="0" w:firstLineChars="0"/>
        <w:jc w:val="center"/>
        <w:rPr>
          <w:rFonts w:ascii="Arial" w:hAnsi="Arial" w:cs="Arial"/>
          <w:kern w:val="0"/>
          <w:sz w:val="72"/>
        </w:rPr>
      </w:pPr>
      <w:r>
        <w:rPr>
          <w:rFonts w:hint="eastAsia" w:ascii="Arial" w:hAnsi="Arial" w:cs="Arial"/>
          <w:kern w:val="0"/>
          <w:sz w:val="72"/>
        </w:rPr>
        <w:t>响应文件</w:t>
      </w:r>
    </w:p>
    <w:p w14:paraId="6EEF77FC">
      <w:pPr>
        <w:ind w:left="1296" w:leftChars="540" w:firstLine="480"/>
        <w:rPr>
          <w:rFonts w:ascii="Arial" w:hAnsi="Arial" w:cs="Arial"/>
          <w:kern w:val="0"/>
          <w:szCs w:val="21"/>
        </w:rPr>
      </w:pPr>
    </w:p>
    <w:p w14:paraId="5F1D212A">
      <w:pPr>
        <w:ind w:left="1296" w:leftChars="540" w:firstLine="400"/>
        <w:rPr>
          <w:rFonts w:ascii="Arial" w:hAnsi="Arial" w:cs="Arial"/>
          <w:kern w:val="0"/>
          <w:sz w:val="20"/>
        </w:rPr>
      </w:pPr>
    </w:p>
    <w:p w14:paraId="7E5F041F">
      <w:pPr>
        <w:pStyle w:val="27"/>
        <w:ind w:left="480" w:firstLine="400"/>
        <w:rPr>
          <w:rFonts w:ascii="Arial" w:hAnsi="Arial" w:cs="Arial"/>
          <w:kern w:val="0"/>
          <w:sz w:val="20"/>
        </w:rPr>
      </w:pPr>
    </w:p>
    <w:p w14:paraId="148B4670">
      <w:pPr>
        <w:ind w:firstLine="480"/>
      </w:pPr>
    </w:p>
    <w:p w14:paraId="26D627FD">
      <w:pPr>
        <w:ind w:firstLine="1050" w:firstLineChars="500"/>
        <w:rPr>
          <w:rFonts w:ascii="宋体" w:hAnsi="宋体"/>
          <w:sz w:val="21"/>
          <w:szCs w:val="21"/>
        </w:rPr>
      </w:pPr>
      <w:r>
        <w:rPr>
          <w:rFonts w:hint="eastAsia" w:ascii="宋体" w:hAnsi="宋体"/>
          <w:sz w:val="21"/>
          <w:szCs w:val="21"/>
        </w:rPr>
        <w:t>项目名称：</w:t>
      </w:r>
      <w:r>
        <w:rPr>
          <w:rFonts w:hint="eastAsia"/>
          <w:color w:val="000000" w:themeColor="text1"/>
          <w14:textFill>
            <w14:solidFill>
              <w14:schemeClr w14:val="tx1"/>
            </w14:solidFill>
          </w14:textFill>
        </w:rPr>
        <w:t>大梁山森林防火提升规划及乡村振兴森林康养项目概念设计</w:t>
      </w:r>
    </w:p>
    <w:p w14:paraId="59F6217A">
      <w:pPr>
        <w:ind w:firstLine="1050" w:firstLineChars="500"/>
        <w:rPr>
          <w:rFonts w:ascii="宋体" w:hAnsi="宋体"/>
          <w:sz w:val="21"/>
          <w:szCs w:val="21"/>
        </w:rPr>
      </w:pPr>
      <w:r>
        <w:rPr>
          <w:rFonts w:hint="eastAsia" w:ascii="宋体" w:hAnsi="宋体"/>
          <w:sz w:val="21"/>
          <w:szCs w:val="21"/>
        </w:rPr>
        <w:t>项目编号：</w:t>
      </w:r>
      <w:r>
        <w:rPr>
          <w:rFonts w:hint="eastAsia"/>
          <w:color w:val="000000" w:themeColor="text1"/>
          <w14:textFill>
            <w14:solidFill>
              <w14:schemeClr w14:val="tx1"/>
            </w14:solidFill>
          </w14:textFill>
        </w:rPr>
        <w:t>浙盛康磋商【2024】24号</w:t>
      </w:r>
    </w:p>
    <w:p w14:paraId="2C15D45A">
      <w:pPr>
        <w:ind w:firstLine="1050" w:firstLineChars="500"/>
        <w:rPr>
          <w:rFonts w:ascii="宋体" w:hAnsi="宋体"/>
          <w:sz w:val="21"/>
          <w:szCs w:val="21"/>
        </w:rPr>
      </w:pPr>
    </w:p>
    <w:p w14:paraId="65FF1DC5">
      <w:pPr>
        <w:ind w:firstLine="1050" w:firstLineChars="500"/>
        <w:rPr>
          <w:rFonts w:ascii="宋体" w:hAnsi="宋体"/>
          <w:sz w:val="21"/>
          <w:szCs w:val="21"/>
        </w:rPr>
      </w:pPr>
    </w:p>
    <w:p w14:paraId="733A9225">
      <w:pPr>
        <w:ind w:left="1296" w:leftChars="540" w:firstLine="400"/>
        <w:rPr>
          <w:rFonts w:ascii="Arial" w:hAnsi="Arial" w:cs="Arial"/>
          <w:kern w:val="0"/>
          <w:sz w:val="20"/>
        </w:rPr>
      </w:pPr>
    </w:p>
    <w:p w14:paraId="4603D8FE">
      <w:pPr>
        <w:ind w:left="1296" w:leftChars="540" w:firstLine="400"/>
        <w:rPr>
          <w:rFonts w:ascii="Arial" w:hAnsi="Arial" w:cs="Arial"/>
          <w:kern w:val="0"/>
          <w:sz w:val="20"/>
        </w:rPr>
      </w:pPr>
    </w:p>
    <w:p w14:paraId="0EDDD838">
      <w:pPr>
        <w:ind w:left="1296" w:leftChars="540" w:firstLine="400"/>
        <w:rPr>
          <w:rFonts w:ascii="Arial" w:hAnsi="Arial" w:cs="Arial"/>
          <w:kern w:val="0"/>
          <w:sz w:val="20"/>
        </w:rPr>
      </w:pPr>
    </w:p>
    <w:p w14:paraId="05DD4F5A">
      <w:pPr>
        <w:ind w:left="1296" w:leftChars="540" w:firstLine="400"/>
        <w:rPr>
          <w:rFonts w:ascii="Arial" w:hAnsi="Arial" w:cs="Arial"/>
          <w:kern w:val="0"/>
          <w:sz w:val="20"/>
        </w:rPr>
      </w:pPr>
    </w:p>
    <w:p w14:paraId="1B728EA3">
      <w:pPr>
        <w:ind w:firstLine="480"/>
      </w:pPr>
      <w:r>
        <w:rPr>
          <w:rFonts w:hint="eastAsia"/>
        </w:rPr>
        <w:t>供应商名称（盖章）：</w:t>
      </w:r>
      <w:r>
        <w:t>____________________________________________</w:t>
      </w:r>
    </w:p>
    <w:p w14:paraId="45C60AE2">
      <w:pPr>
        <w:ind w:firstLine="480"/>
      </w:pPr>
      <w:r>
        <w:rPr>
          <w:rFonts w:hint="eastAsia"/>
        </w:rPr>
        <w:t>法定代表人或其授权代表（签字或盖章）：</w:t>
      </w:r>
      <w:r>
        <w:t>____________________________</w:t>
      </w:r>
    </w:p>
    <w:p w14:paraId="35C67C5E">
      <w:pPr>
        <w:ind w:firstLine="480"/>
        <w:rPr>
          <w:rFonts w:ascii="宋体" w:hAnsi="宋体"/>
          <w:sz w:val="21"/>
          <w:szCs w:val="21"/>
        </w:rPr>
      </w:pPr>
      <w:r>
        <w:rPr>
          <w:rFonts w:hint="eastAsia"/>
        </w:rPr>
        <w:t>日期：</w:t>
      </w:r>
      <w:r>
        <w:t>________</w:t>
      </w:r>
      <w:r>
        <w:rPr>
          <w:rFonts w:hint="eastAsia"/>
        </w:rPr>
        <w:t>年</w:t>
      </w:r>
      <w:r>
        <w:t>____</w:t>
      </w:r>
      <w:r>
        <w:rPr>
          <w:rFonts w:hint="eastAsia"/>
        </w:rPr>
        <w:t>月</w:t>
      </w:r>
      <w:r>
        <w:t>____</w:t>
      </w:r>
      <w:r>
        <w:rPr>
          <w:rFonts w:hint="eastAsia"/>
        </w:rPr>
        <w:t>日</w:t>
      </w:r>
    </w:p>
    <w:p w14:paraId="1FDC53B6">
      <w:pPr>
        <w:ind w:firstLine="2744" w:firstLineChars="911"/>
        <w:rPr>
          <w:rFonts w:ascii="宋体" w:hAnsi="宋体" w:cs="宋体"/>
          <w:b/>
          <w:kern w:val="0"/>
          <w:sz w:val="30"/>
          <w:szCs w:val="30"/>
        </w:rPr>
      </w:pPr>
    </w:p>
    <w:p w14:paraId="77150CE3">
      <w:pPr>
        <w:topLinePunct/>
        <w:spacing w:line="360" w:lineRule="auto"/>
        <w:ind w:firstLine="480"/>
        <w:rPr>
          <w:rFonts w:ascii="Arial" w:hAnsi="Arial" w:cs="Arial"/>
          <w:color w:val="000000"/>
          <w:szCs w:val="21"/>
        </w:rPr>
      </w:pPr>
    </w:p>
    <w:p w14:paraId="0CAD3ADF">
      <w:pPr>
        <w:ind w:firstLine="480"/>
        <w:rPr>
          <w:rFonts w:ascii="Arial" w:hAnsi="Arial" w:cs="Arial"/>
          <w:color w:val="000000"/>
          <w:szCs w:val="21"/>
        </w:rPr>
      </w:pPr>
      <w:r>
        <w:rPr>
          <w:rFonts w:ascii="Arial" w:hAnsi="Arial" w:cs="Arial"/>
          <w:color w:val="000000"/>
          <w:szCs w:val="21"/>
        </w:rPr>
        <w:br w:type="page"/>
      </w:r>
    </w:p>
    <w:p w14:paraId="5351C1BF">
      <w:pPr>
        <w:ind w:firstLine="480"/>
        <w:rPr>
          <w:rFonts w:ascii="Arial" w:hAnsi="Arial" w:cs="Arial"/>
          <w:color w:val="000000"/>
          <w:szCs w:val="21"/>
        </w:rPr>
      </w:pPr>
    </w:p>
    <w:p w14:paraId="4B0F0497">
      <w:pPr>
        <w:pStyle w:val="2"/>
        <w:jc w:val="center"/>
      </w:pPr>
      <w:bookmarkStart w:id="497" w:name="_Toc964"/>
      <w:bookmarkStart w:id="498" w:name="_Toc7889"/>
      <w:bookmarkStart w:id="499" w:name="_Toc4107"/>
      <w:bookmarkStart w:id="500" w:name="_Toc7721"/>
      <w:bookmarkStart w:id="501" w:name="_Toc28291"/>
      <w:bookmarkStart w:id="502" w:name="_Toc26772"/>
      <w:bookmarkStart w:id="503" w:name="_Toc4126"/>
      <w:bookmarkStart w:id="504" w:name="_Toc22470"/>
      <w:bookmarkStart w:id="505" w:name="_Toc1425"/>
      <w:r>
        <w:t>客观分部分自评分表</w:t>
      </w:r>
      <w:bookmarkEnd w:id="497"/>
      <w:bookmarkEnd w:id="498"/>
      <w:bookmarkEnd w:id="499"/>
      <w:bookmarkEnd w:id="500"/>
      <w:bookmarkEnd w:id="501"/>
      <w:bookmarkEnd w:id="502"/>
      <w:bookmarkEnd w:id="503"/>
      <w:bookmarkEnd w:id="504"/>
      <w:bookmarkEnd w:id="505"/>
    </w:p>
    <w:tbl>
      <w:tblPr>
        <w:tblStyle w:val="77"/>
        <w:tblW w:w="9281" w:type="dxa"/>
        <w:tblInd w:w="-104" w:type="dxa"/>
        <w:tblLayout w:type="fixed"/>
        <w:tblCellMar>
          <w:top w:w="0" w:type="dxa"/>
          <w:left w:w="109" w:type="dxa"/>
          <w:bottom w:w="0" w:type="dxa"/>
          <w:right w:w="107" w:type="dxa"/>
        </w:tblCellMar>
      </w:tblPr>
      <w:tblGrid>
        <w:gridCol w:w="781"/>
        <w:gridCol w:w="2445"/>
        <w:gridCol w:w="1958"/>
        <w:gridCol w:w="1350"/>
        <w:gridCol w:w="2747"/>
      </w:tblGrid>
      <w:tr w14:paraId="45B5D108">
        <w:tblPrEx>
          <w:tblCellMar>
            <w:top w:w="0" w:type="dxa"/>
            <w:left w:w="109" w:type="dxa"/>
            <w:bottom w:w="0" w:type="dxa"/>
            <w:right w:w="107" w:type="dxa"/>
          </w:tblCellMar>
        </w:tblPrEx>
        <w:trPr>
          <w:trHeight w:val="1119"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285CE6F0">
            <w:pPr>
              <w:pStyle w:val="35"/>
              <w:rPr>
                <w:rFonts w:hint="default"/>
              </w:rPr>
            </w:pPr>
            <w:r>
              <w:t>序号</w:t>
            </w:r>
          </w:p>
        </w:tc>
        <w:tc>
          <w:tcPr>
            <w:tcW w:w="2445" w:type="dxa"/>
            <w:tcBorders>
              <w:top w:val="single" w:color="000000" w:sz="4" w:space="0"/>
              <w:left w:val="single" w:color="000000" w:sz="4" w:space="0"/>
              <w:bottom w:val="single" w:color="000000" w:sz="4" w:space="0"/>
              <w:right w:val="single" w:color="000000" w:sz="4" w:space="0"/>
            </w:tcBorders>
            <w:vAlign w:val="center"/>
          </w:tcPr>
          <w:p w14:paraId="3C670CA1">
            <w:pPr>
              <w:pStyle w:val="35"/>
              <w:rPr>
                <w:rFonts w:hint="default"/>
              </w:rPr>
            </w:pPr>
            <w:r>
              <w:t>评分标准</w:t>
            </w:r>
          </w:p>
        </w:tc>
        <w:tc>
          <w:tcPr>
            <w:tcW w:w="1958" w:type="dxa"/>
            <w:tcBorders>
              <w:top w:val="single" w:color="000000" w:sz="4" w:space="0"/>
              <w:left w:val="single" w:color="000000" w:sz="4" w:space="0"/>
              <w:bottom w:val="single" w:color="000000" w:sz="4" w:space="0"/>
              <w:right w:val="single" w:color="000000" w:sz="4" w:space="0"/>
            </w:tcBorders>
            <w:vAlign w:val="center"/>
          </w:tcPr>
          <w:p w14:paraId="655DCA9D">
            <w:pPr>
              <w:pStyle w:val="35"/>
              <w:rPr>
                <w:rFonts w:hint="default"/>
              </w:rPr>
            </w:pPr>
            <w:r>
              <w:t>响应文件页码</w:t>
            </w:r>
          </w:p>
        </w:tc>
        <w:tc>
          <w:tcPr>
            <w:tcW w:w="1350" w:type="dxa"/>
            <w:tcBorders>
              <w:top w:val="single" w:color="000000" w:sz="4" w:space="0"/>
              <w:left w:val="single" w:color="000000" w:sz="4" w:space="0"/>
              <w:bottom w:val="single" w:color="000000" w:sz="4" w:space="0"/>
              <w:right w:val="single" w:color="000000" w:sz="4" w:space="0"/>
            </w:tcBorders>
            <w:vAlign w:val="center"/>
          </w:tcPr>
          <w:p w14:paraId="565DD316">
            <w:pPr>
              <w:pStyle w:val="35"/>
              <w:rPr>
                <w:rFonts w:hint="default"/>
              </w:rPr>
            </w:pPr>
            <w:r>
              <w:t>得分</w:t>
            </w:r>
          </w:p>
        </w:tc>
        <w:tc>
          <w:tcPr>
            <w:tcW w:w="2747" w:type="dxa"/>
            <w:tcBorders>
              <w:top w:val="single" w:color="000000" w:sz="4" w:space="0"/>
              <w:left w:val="single" w:color="000000" w:sz="4" w:space="0"/>
              <w:bottom w:val="single" w:color="000000" w:sz="4" w:space="0"/>
              <w:right w:val="single" w:color="000000" w:sz="4" w:space="0"/>
            </w:tcBorders>
            <w:vAlign w:val="center"/>
          </w:tcPr>
          <w:p w14:paraId="645F66A5">
            <w:pPr>
              <w:pStyle w:val="35"/>
              <w:rPr>
                <w:rFonts w:hint="default"/>
              </w:rPr>
            </w:pPr>
            <w:r>
              <w:t>说明</w:t>
            </w:r>
          </w:p>
        </w:tc>
      </w:tr>
      <w:tr w14:paraId="3E45345D">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58090C23">
            <w:pPr>
              <w:pStyle w:val="35"/>
              <w:rPr>
                <w:rFonts w:hint="default"/>
              </w:rPr>
            </w:pPr>
            <w:r>
              <w:t>1</w:t>
            </w:r>
          </w:p>
        </w:tc>
        <w:tc>
          <w:tcPr>
            <w:tcW w:w="2445" w:type="dxa"/>
            <w:tcBorders>
              <w:top w:val="single" w:color="000000" w:sz="4" w:space="0"/>
              <w:left w:val="single" w:color="000000" w:sz="4" w:space="0"/>
              <w:bottom w:val="single" w:color="000000" w:sz="4" w:space="0"/>
              <w:right w:val="single" w:color="000000" w:sz="4" w:space="0"/>
            </w:tcBorders>
          </w:tcPr>
          <w:p w14:paraId="2D5F7635">
            <w:pPr>
              <w:pStyle w:val="35"/>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14:paraId="72193DC1">
            <w:pPr>
              <w:pStyle w:val="35"/>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14:paraId="6C02AA04">
            <w:pPr>
              <w:pStyle w:val="35"/>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14:paraId="44D5C40F">
            <w:pPr>
              <w:pStyle w:val="35"/>
              <w:rPr>
                <w:rFonts w:hint="default"/>
              </w:rPr>
            </w:pPr>
          </w:p>
        </w:tc>
      </w:tr>
      <w:tr w14:paraId="2F9E9284">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557C2004">
            <w:pPr>
              <w:pStyle w:val="35"/>
              <w:rPr>
                <w:rFonts w:hint="default"/>
              </w:rPr>
            </w:pPr>
            <w:r>
              <w:t>2</w:t>
            </w:r>
          </w:p>
        </w:tc>
        <w:tc>
          <w:tcPr>
            <w:tcW w:w="2445" w:type="dxa"/>
            <w:tcBorders>
              <w:top w:val="single" w:color="000000" w:sz="4" w:space="0"/>
              <w:left w:val="single" w:color="000000" w:sz="4" w:space="0"/>
              <w:bottom w:val="single" w:color="000000" w:sz="4" w:space="0"/>
              <w:right w:val="single" w:color="000000" w:sz="4" w:space="0"/>
            </w:tcBorders>
          </w:tcPr>
          <w:p w14:paraId="2157EB71">
            <w:pPr>
              <w:pStyle w:val="35"/>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14:paraId="45271E96">
            <w:pPr>
              <w:pStyle w:val="35"/>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14:paraId="55FF380D">
            <w:pPr>
              <w:pStyle w:val="35"/>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14:paraId="1769F558">
            <w:pPr>
              <w:pStyle w:val="35"/>
              <w:rPr>
                <w:rFonts w:hint="default"/>
              </w:rPr>
            </w:pPr>
          </w:p>
        </w:tc>
      </w:tr>
      <w:tr w14:paraId="177B628E">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207DC46C">
            <w:pPr>
              <w:pStyle w:val="35"/>
              <w:rPr>
                <w:rFonts w:hint="default"/>
              </w:rPr>
            </w:pPr>
            <w:r>
              <w:t>3</w:t>
            </w:r>
          </w:p>
        </w:tc>
        <w:tc>
          <w:tcPr>
            <w:tcW w:w="2445" w:type="dxa"/>
            <w:tcBorders>
              <w:top w:val="single" w:color="000000" w:sz="4" w:space="0"/>
              <w:left w:val="single" w:color="000000" w:sz="4" w:space="0"/>
              <w:bottom w:val="single" w:color="000000" w:sz="4" w:space="0"/>
              <w:right w:val="single" w:color="000000" w:sz="4" w:space="0"/>
            </w:tcBorders>
          </w:tcPr>
          <w:p w14:paraId="6FF51121">
            <w:pPr>
              <w:pStyle w:val="35"/>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14:paraId="0833AB95">
            <w:pPr>
              <w:pStyle w:val="35"/>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14:paraId="2E7503B6">
            <w:pPr>
              <w:pStyle w:val="35"/>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14:paraId="68164BB1">
            <w:pPr>
              <w:pStyle w:val="35"/>
              <w:rPr>
                <w:rFonts w:hint="default"/>
              </w:rPr>
            </w:pPr>
          </w:p>
        </w:tc>
      </w:tr>
      <w:tr w14:paraId="4EC0A31D">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71FD8D6B">
            <w:pPr>
              <w:pStyle w:val="35"/>
              <w:rPr>
                <w:rFonts w:hint="default"/>
              </w:rPr>
            </w:pPr>
            <w:r>
              <w:t>....</w:t>
            </w:r>
          </w:p>
        </w:tc>
        <w:tc>
          <w:tcPr>
            <w:tcW w:w="2445" w:type="dxa"/>
            <w:tcBorders>
              <w:top w:val="single" w:color="000000" w:sz="4" w:space="0"/>
              <w:left w:val="single" w:color="000000" w:sz="4" w:space="0"/>
              <w:bottom w:val="single" w:color="000000" w:sz="4" w:space="0"/>
              <w:right w:val="single" w:color="000000" w:sz="4" w:space="0"/>
            </w:tcBorders>
          </w:tcPr>
          <w:p w14:paraId="2F28D015">
            <w:pPr>
              <w:pStyle w:val="35"/>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14:paraId="31A8D03E">
            <w:pPr>
              <w:pStyle w:val="35"/>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14:paraId="29B0B418">
            <w:pPr>
              <w:pStyle w:val="35"/>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14:paraId="4D3776D6">
            <w:pPr>
              <w:pStyle w:val="35"/>
              <w:rPr>
                <w:rFonts w:hint="default"/>
              </w:rPr>
            </w:pPr>
          </w:p>
        </w:tc>
      </w:tr>
      <w:tr w14:paraId="37CEDD90">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tcPr>
          <w:p w14:paraId="5EDECC86">
            <w:pPr>
              <w:pStyle w:val="35"/>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center"/>
          </w:tcPr>
          <w:p w14:paraId="24FD21FA">
            <w:pPr>
              <w:pStyle w:val="35"/>
              <w:rPr>
                <w:rFonts w:hint="default"/>
              </w:rPr>
            </w:pPr>
            <w:r>
              <w:t>合计得分</w:t>
            </w:r>
          </w:p>
        </w:tc>
        <w:tc>
          <w:tcPr>
            <w:tcW w:w="1958" w:type="dxa"/>
            <w:tcBorders>
              <w:top w:val="single" w:color="000000" w:sz="4" w:space="0"/>
              <w:left w:val="single" w:color="000000" w:sz="4" w:space="0"/>
              <w:bottom w:val="single" w:color="000000" w:sz="4" w:space="0"/>
              <w:right w:val="single" w:color="000000" w:sz="4" w:space="0"/>
            </w:tcBorders>
          </w:tcPr>
          <w:p w14:paraId="3A57C3F5">
            <w:pPr>
              <w:pStyle w:val="35"/>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14:paraId="0DFE174B">
            <w:pPr>
              <w:pStyle w:val="35"/>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14:paraId="7F66E3CA">
            <w:pPr>
              <w:pStyle w:val="35"/>
              <w:rPr>
                <w:rFonts w:hint="default"/>
              </w:rPr>
            </w:pPr>
          </w:p>
        </w:tc>
      </w:tr>
    </w:tbl>
    <w:p w14:paraId="23D5A8EE">
      <w:pPr>
        <w:ind w:firstLine="480"/>
        <w:rPr>
          <w:rFonts w:ascii="Arial" w:hAnsi="Arial" w:cs="Arial"/>
          <w:color w:val="000000"/>
          <w:szCs w:val="21"/>
        </w:rPr>
      </w:pPr>
      <w:r>
        <w:rPr>
          <w:rFonts w:ascii="Arial" w:hAnsi="Arial" w:cs="Arial"/>
          <w:color w:val="000000"/>
          <w:szCs w:val="21"/>
        </w:rPr>
        <w:br w:type="page"/>
      </w:r>
    </w:p>
    <w:p w14:paraId="23061BF4">
      <w:pPr>
        <w:pStyle w:val="2"/>
        <w:spacing w:after="168"/>
        <w:ind w:left="10" w:right="142"/>
        <w:jc w:val="center"/>
      </w:pPr>
      <w:bookmarkStart w:id="506" w:name="_Toc21047"/>
      <w:bookmarkStart w:id="507" w:name="_Toc20985"/>
      <w:bookmarkStart w:id="508" w:name="_Toc29177"/>
      <w:bookmarkStart w:id="509" w:name="_Toc30521"/>
      <w:bookmarkStart w:id="510" w:name="_Toc14486"/>
      <w:bookmarkStart w:id="511" w:name="_Toc3508"/>
      <w:bookmarkStart w:id="512" w:name="_Toc23816"/>
      <w:bookmarkStart w:id="513" w:name="_Toc8153"/>
      <w:bookmarkStart w:id="514" w:name="_Toc9638"/>
      <w:r>
        <w:rPr>
          <w:sz w:val="36"/>
        </w:rPr>
        <w:t>目录</w:t>
      </w:r>
      <w:bookmarkEnd w:id="506"/>
      <w:bookmarkEnd w:id="507"/>
      <w:bookmarkEnd w:id="508"/>
      <w:bookmarkEnd w:id="509"/>
      <w:bookmarkEnd w:id="510"/>
      <w:bookmarkEnd w:id="511"/>
      <w:bookmarkEnd w:id="512"/>
      <w:bookmarkEnd w:id="513"/>
      <w:bookmarkEnd w:id="514"/>
    </w:p>
    <w:p w14:paraId="3B071DAB">
      <w:pPr>
        <w:ind w:firstLine="480"/>
        <w:rPr>
          <w:rFonts w:ascii="宋体" w:hAnsi="宋体" w:cs="宋体"/>
          <w:szCs w:val="21"/>
        </w:rPr>
      </w:pPr>
      <w:r>
        <w:rPr>
          <w:rFonts w:hint="eastAsia"/>
        </w:rPr>
        <w:t>【根据响应文件组成内容、顺序、附件格式编制响应文件，编制目录】</w:t>
      </w:r>
    </w:p>
    <w:p w14:paraId="3E97C2C8">
      <w:pPr>
        <w:ind w:firstLine="480"/>
      </w:pPr>
    </w:p>
    <w:p w14:paraId="0495CABF">
      <w:pPr>
        <w:ind w:firstLine="480"/>
        <w:rPr>
          <w:rFonts w:ascii="Arial" w:hAnsi="Arial" w:cs="Arial"/>
          <w:color w:val="000000"/>
          <w:szCs w:val="21"/>
        </w:rPr>
      </w:pPr>
    </w:p>
    <w:p w14:paraId="17D21A98">
      <w:pPr>
        <w:ind w:firstLine="480"/>
        <w:rPr>
          <w:rFonts w:ascii="Arial" w:hAnsi="Arial" w:cs="Arial"/>
          <w:color w:val="000000"/>
          <w:szCs w:val="21"/>
        </w:rPr>
      </w:pPr>
    </w:p>
    <w:p w14:paraId="64013A5F">
      <w:pPr>
        <w:ind w:firstLine="480"/>
      </w:pPr>
      <w:r>
        <w:br w:type="page"/>
      </w:r>
    </w:p>
    <w:p w14:paraId="13426A09">
      <w:pPr>
        <w:ind w:firstLine="480"/>
      </w:pPr>
      <w:r>
        <w:t>附件</w:t>
      </w:r>
      <w:r>
        <w:rPr>
          <w:rFonts w:hint="eastAsia"/>
        </w:rPr>
        <w:t xml:space="preserve">1 </w:t>
      </w:r>
    </w:p>
    <w:p w14:paraId="7F46A2B2">
      <w:pPr>
        <w:widowControl/>
        <w:spacing w:line="240" w:lineRule="auto"/>
        <w:ind w:firstLine="0" w:firstLineChars="0"/>
        <w:jc w:val="left"/>
        <w:rPr>
          <w:sz w:val="21"/>
        </w:rPr>
      </w:pPr>
    </w:p>
    <w:p w14:paraId="7ED6A13E">
      <w:pPr>
        <w:pStyle w:val="2"/>
        <w:ind w:firstLine="643"/>
        <w:jc w:val="center"/>
      </w:pPr>
      <w:bookmarkStart w:id="515" w:name="_Toc20930"/>
      <w:bookmarkStart w:id="516" w:name="_Toc755"/>
      <w:bookmarkStart w:id="517" w:name="_Toc385"/>
      <w:bookmarkStart w:id="518" w:name="_Toc11216"/>
      <w:bookmarkStart w:id="519" w:name="_Toc2197"/>
      <w:bookmarkStart w:id="520" w:name="_Toc29239"/>
      <w:bookmarkStart w:id="521" w:name="_Toc20923"/>
      <w:bookmarkStart w:id="522" w:name="_Toc6710"/>
      <w:r>
        <w:rPr>
          <w:rFonts w:hint="eastAsia"/>
        </w:rPr>
        <w:t>供应商基本情况表</w:t>
      </w:r>
      <w:bookmarkEnd w:id="515"/>
      <w:bookmarkEnd w:id="516"/>
      <w:bookmarkEnd w:id="517"/>
      <w:bookmarkEnd w:id="518"/>
      <w:bookmarkEnd w:id="519"/>
      <w:bookmarkEnd w:id="520"/>
      <w:bookmarkEnd w:id="521"/>
      <w:bookmarkEnd w:id="522"/>
    </w:p>
    <w:tbl>
      <w:tblPr>
        <w:tblStyle w:val="77"/>
        <w:tblW w:w="9242" w:type="dxa"/>
        <w:tblInd w:w="-84" w:type="dxa"/>
        <w:tblLayout w:type="fixed"/>
        <w:tblCellMar>
          <w:top w:w="0" w:type="dxa"/>
          <w:left w:w="107" w:type="dxa"/>
          <w:bottom w:w="0" w:type="dxa"/>
          <w:right w:w="144" w:type="dxa"/>
        </w:tblCellMar>
      </w:tblPr>
      <w:tblGrid>
        <w:gridCol w:w="1652"/>
        <w:gridCol w:w="1362"/>
        <w:gridCol w:w="1050"/>
        <w:gridCol w:w="705"/>
        <w:gridCol w:w="508"/>
        <w:gridCol w:w="1214"/>
        <w:gridCol w:w="1044"/>
        <w:gridCol w:w="1707"/>
      </w:tblGrid>
      <w:tr w14:paraId="7B316750">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13985E8B">
            <w:pPr>
              <w:pStyle w:val="36"/>
            </w:pPr>
            <w:r>
              <w:t>供应商名称</w:t>
            </w:r>
          </w:p>
        </w:tc>
        <w:tc>
          <w:tcPr>
            <w:tcW w:w="7590" w:type="dxa"/>
            <w:gridSpan w:val="7"/>
            <w:tcBorders>
              <w:top w:val="single" w:color="000000" w:sz="4" w:space="0"/>
              <w:left w:val="single" w:color="000000" w:sz="4" w:space="0"/>
              <w:bottom w:val="single" w:color="000000" w:sz="4" w:space="0"/>
              <w:right w:val="single" w:color="000000" w:sz="4" w:space="0"/>
            </w:tcBorders>
          </w:tcPr>
          <w:p w14:paraId="5117F068">
            <w:pPr>
              <w:pStyle w:val="36"/>
              <w:jc w:val="left"/>
            </w:pPr>
          </w:p>
        </w:tc>
      </w:tr>
      <w:tr w14:paraId="4FE39867">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39B21E49">
            <w:pPr>
              <w:pStyle w:val="36"/>
            </w:pPr>
            <w:r>
              <w:t>注册地址</w:t>
            </w:r>
          </w:p>
        </w:tc>
        <w:tc>
          <w:tcPr>
            <w:tcW w:w="3625" w:type="dxa"/>
            <w:gridSpan w:val="4"/>
            <w:tcBorders>
              <w:top w:val="single" w:color="000000" w:sz="4" w:space="0"/>
              <w:left w:val="single" w:color="000000" w:sz="4" w:space="0"/>
              <w:bottom w:val="single" w:color="000000" w:sz="4" w:space="0"/>
              <w:right w:val="single" w:color="000000" w:sz="4" w:space="0"/>
            </w:tcBorders>
          </w:tcPr>
          <w:p w14:paraId="3EE225C4">
            <w:pPr>
              <w:pStyle w:val="36"/>
            </w:pPr>
          </w:p>
        </w:tc>
        <w:tc>
          <w:tcPr>
            <w:tcW w:w="1214" w:type="dxa"/>
            <w:tcBorders>
              <w:top w:val="single" w:color="000000" w:sz="4" w:space="0"/>
              <w:left w:val="single" w:color="000000" w:sz="4" w:space="0"/>
              <w:bottom w:val="single" w:color="000000" w:sz="4" w:space="0"/>
              <w:right w:val="single" w:color="000000" w:sz="4" w:space="0"/>
            </w:tcBorders>
            <w:vAlign w:val="center"/>
          </w:tcPr>
          <w:p w14:paraId="4875C8E8">
            <w:pPr>
              <w:pStyle w:val="36"/>
            </w:pPr>
            <w:r>
              <w:t>邮政编码</w:t>
            </w:r>
          </w:p>
        </w:tc>
        <w:tc>
          <w:tcPr>
            <w:tcW w:w="2751" w:type="dxa"/>
            <w:gridSpan w:val="2"/>
            <w:tcBorders>
              <w:top w:val="single" w:color="000000" w:sz="4" w:space="0"/>
              <w:left w:val="single" w:color="000000" w:sz="4" w:space="0"/>
              <w:bottom w:val="single" w:color="000000" w:sz="4" w:space="0"/>
              <w:right w:val="single" w:color="000000" w:sz="4" w:space="0"/>
            </w:tcBorders>
          </w:tcPr>
          <w:p w14:paraId="4CE67D17">
            <w:pPr>
              <w:pStyle w:val="36"/>
            </w:pPr>
          </w:p>
        </w:tc>
      </w:tr>
      <w:tr w14:paraId="75B854B7">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424A7BB3">
            <w:pPr>
              <w:pStyle w:val="36"/>
            </w:pPr>
            <w:r>
              <w:t>联系方式</w:t>
            </w:r>
          </w:p>
        </w:tc>
        <w:tc>
          <w:tcPr>
            <w:tcW w:w="1362" w:type="dxa"/>
            <w:tcBorders>
              <w:top w:val="single" w:color="000000" w:sz="4" w:space="0"/>
              <w:left w:val="single" w:color="000000" w:sz="4" w:space="0"/>
              <w:bottom w:val="single" w:color="000000" w:sz="4" w:space="0"/>
              <w:right w:val="single" w:color="000000" w:sz="4" w:space="0"/>
            </w:tcBorders>
            <w:vAlign w:val="center"/>
          </w:tcPr>
          <w:p w14:paraId="6F41B3A3">
            <w:pPr>
              <w:pStyle w:val="36"/>
            </w:pPr>
            <w:r>
              <w:t>联系人</w:t>
            </w:r>
          </w:p>
        </w:tc>
        <w:tc>
          <w:tcPr>
            <w:tcW w:w="2263" w:type="dxa"/>
            <w:gridSpan w:val="3"/>
            <w:tcBorders>
              <w:top w:val="single" w:color="000000" w:sz="4" w:space="0"/>
              <w:left w:val="single" w:color="000000" w:sz="4" w:space="0"/>
              <w:bottom w:val="single" w:color="000000" w:sz="4" w:space="0"/>
              <w:right w:val="single" w:color="000000" w:sz="4" w:space="0"/>
            </w:tcBorders>
          </w:tcPr>
          <w:p w14:paraId="516DBC17">
            <w:pPr>
              <w:pStyle w:val="36"/>
            </w:pPr>
          </w:p>
        </w:tc>
        <w:tc>
          <w:tcPr>
            <w:tcW w:w="1214" w:type="dxa"/>
            <w:tcBorders>
              <w:top w:val="single" w:color="000000" w:sz="4" w:space="0"/>
              <w:left w:val="single" w:color="000000" w:sz="4" w:space="0"/>
              <w:bottom w:val="single" w:color="000000" w:sz="4" w:space="0"/>
              <w:right w:val="single" w:color="000000" w:sz="4" w:space="0"/>
            </w:tcBorders>
            <w:vAlign w:val="center"/>
          </w:tcPr>
          <w:p w14:paraId="0B60E8C5">
            <w:pPr>
              <w:pStyle w:val="36"/>
            </w:pPr>
            <w:r>
              <w:t>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01F68AA4">
            <w:pPr>
              <w:pStyle w:val="36"/>
            </w:pPr>
          </w:p>
        </w:tc>
      </w:tr>
      <w:tr w14:paraId="0AF1EDB3">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nil"/>
              <w:right w:val="single" w:color="000000" w:sz="4" w:space="0"/>
            </w:tcBorders>
          </w:tcPr>
          <w:p w14:paraId="2C61D078">
            <w:pPr>
              <w:pStyle w:val="36"/>
            </w:pPr>
          </w:p>
        </w:tc>
        <w:tc>
          <w:tcPr>
            <w:tcW w:w="1362" w:type="dxa"/>
            <w:tcBorders>
              <w:top w:val="single" w:color="000000" w:sz="4" w:space="0"/>
              <w:left w:val="single" w:color="000000" w:sz="4" w:space="0"/>
              <w:bottom w:val="single" w:color="000000" w:sz="4" w:space="0"/>
              <w:right w:val="single" w:color="000000" w:sz="4" w:space="0"/>
            </w:tcBorders>
            <w:vAlign w:val="center"/>
          </w:tcPr>
          <w:p w14:paraId="7122224F">
            <w:pPr>
              <w:pStyle w:val="36"/>
            </w:pPr>
            <w:r>
              <w:t>传真</w:t>
            </w:r>
          </w:p>
        </w:tc>
        <w:tc>
          <w:tcPr>
            <w:tcW w:w="2263" w:type="dxa"/>
            <w:gridSpan w:val="3"/>
            <w:tcBorders>
              <w:top w:val="single" w:color="000000" w:sz="4" w:space="0"/>
              <w:left w:val="single" w:color="000000" w:sz="4" w:space="0"/>
              <w:bottom w:val="single" w:color="000000" w:sz="4" w:space="0"/>
              <w:right w:val="single" w:color="000000" w:sz="4" w:space="0"/>
            </w:tcBorders>
          </w:tcPr>
          <w:p w14:paraId="1B52F605">
            <w:pPr>
              <w:pStyle w:val="36"/>
            </w:pPr>
          </w:p>
        </w:tc>
        <w:tc>
          <w:tcPr>
            <w:tcW w:w="1214" w:type="dxa"/>
            <w:tcBorders>
              <w:top w:val="single" w:color="000000" w:sz="4" w:space="0"/>
              <w:left w:val="single" w:color="000000" w:sz="4" w:space="0"/>
              <w:bottom w:val="single" w:color="000000" w:sz="4" w:space="0"/>
              <w:right w:val="single" w:color="000000" w:sz="4" w:space="0"/>
            </w:tcBorders>
            <w:vAlign w:val="center"/>
          </w:tcPr>
          <w:p w14:paraId="6B5A42AF">
            <w:pPr>
              <w:pStyle w:val="36"/>
            </w:pPr>
            <w:r>
              <w:t>移动电话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2A2DF5AE">
            <w:pPr>
              <w:pStyle w:val="36"/>
            </w:pPr>
          </w:p>
        </w:tc>
      </w:tr>
      <w:tr w14:paraId="620E8394">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29DFB3CB">
            <w:pPr>
              <w:pStyle w:val="36"/>
            </w:pPr>
          </w:p>
        </w:tc>
        <w:tc>
          <w:tcPr>
            <w:tcW w:w="1362" w:type="dxa"/>
            <w:tcBorders>
              <w:top w:val="single" w:color="000000" w:sz="4" w:space="0"/>
              <w:left w:val="single" w:color="000000" w:sz="4" w:space="0"/>
              <w:bottom w:val="single" w:color="000000" w:sz="4" w:space="0"/>
              <w:right w:val="single" w:color="000000" w:sz="4" w:space="0"/>
            </w:tcBorders>
            <w:vAlign w:val="center"/>
          </w:tcPr>
          <w:p w14:paraId="75184998">
            <w:pPr>
              <w:pStyle w:val="36"/>
            </w:pPr>
            <w:r>
              <w:t>电子邮箱</w:t>
            </w:r>
          </w:p>
        </w:tc>
        <w:tc>
          <w:tcPr>
            <w:tcW w:w="2263" w:type="dxa"/>
            <w:gridSpan w:val="3"/>
            <w:tcBorders>
              <w:top w:val="single" w:color="000000" w:sz="4" w:space="0"/>
              <w:left w:val="single" w:color="000000" w:sz="4" w:space="0"/>
              <w:bottom w:val="single" w:color="000000" w:sz="4" w:space="0"/>
              <w:right w:val="single" w:color="000000" w:sz="4" w:space="0"/>
            </w:tcBorders>
          </w:tcPr>
          <w:p w14:paraId="0945F07F">
            <w:pPr>
              <w:pStyle w:val="36"/>
            </w:pPr>
          </w:p>
        </w:tc>
        <w:tc>
          <w:tcPr>
            <w:tcW w:w="1214" w:type="dxa"/>
            <w:tcBorders>
              <w:top w:val="single" w:color="000000" w:sz="4" w:space="0"/>
              <w:left w:val="single" w:color="000000" w:sz="4" w:space="0"/>
              <w:bottom w:val="single" w:color="000000" w:sz="4" w:space="0"/>
              <w:right w:val="single" w:color="000000" w:sz="4" w:space="0"/>
            </w:tcBorders>
            <w:vAlign w:val="center"/>
          </w:tcPr>
          <w:p w14:paraId="43932F1C">
            <w:pPr>
              <w:pStyle w:val="36"/>
            </w:pPr>
            <w:r>
              <w:t>网址</w:t>
            </w:r>
          </w:p>
        </w:tc>
        <w:tc>
          <w:tcPr>
            <w:tcW w:w="2751" w:type="dxa"/>
            <w:gridSpan w:val="2"/>
            <w:tcBorders>
              <w:top w:val="single" w:color="000000" w:sz="4" w:space="0"/>
              <w:left w:val="single" w:color="000000" w:sz="4" w:space="0"/>
              <w:bottom w:val="single" w:color="000000" w:sz="4" w:space="0"/>
              <w:right w:val="single" w:color="000000" w:sz="4" w:space="0"/>
            </w:tcBorders>
          </w:tcPr>
          <w:p w14:paraId="12CE5BF5">
            <w:pPr>
              <w:pStyle w:val="36"/>
            </w:pPr>
          </w:p>
        </w:tc>
      </w:tr>
      <w:tr w14:paraId="35281CD8">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0F7C60F9">
            <w:pPr>
              <w:pStyle w:val="36"/>
            </w:pPr>
            <w:r>
              <w:t>组织结构</w:t>
            </w:r>
          </w:p>
        </w:tc>
        <w:tc>
          <w:tcPr>
            <w:tcW w:w="1362" w:type="dxa"/>
            <w:tcBorders>
              <w:top w:val="single" w:color="000000" w:sz="4" w:space="0"/>
              <w:left w:val="single" w:color="000000" w:sz="4" w:space="0"/>
              <w:bottom w:val="single" w:color="000000" w:sz="4" w:space="0"/>
              <w:right w:val="nil"/>
            </w:tcBorders>
          </w:tcPr>
          <w:p w14:paraId="4AD43A72">
            <w:pPr>
              <w:pStyle w:val="36"/>
            </w:pPr>
          </w:p>
        </w:tc>
        <w:tc>
          <w:tcPr>
            <w:tcW w:w="6228" w:type="dxa"/>
            <w:gridSpan w:val="6"/>
            <w:tcBorders>
              <w:top w:val="single" w:color="000000" w:sz="4" w:space="0"/>
              <w:left w:val="nil"/>
              <w:bottom w:val="single" w:color="000000" w:sz="4" w:space="0"/>
              <w:right w:val="single" w:color="000000" w:sz="4" w:space="0"/>
            </w:tcBorders>
          </w:tcPr>
          <w:p w14:paraId="48349062">
            <w:pPr>
              <w:pStyle w:val="36"/>
            </w:pPr>
          </w:p>
        </w:tc>
      </w:tr>
      <w:tr w14:paraId="26C0AA57">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2F607436">
            <w:pPr>
              <w:pStyle w:val="36"/>
            </w:pPr>
            <w:r>
              <w:t>法定代表人</w:t>
            </w:r>
          </w:p>
        </w:tc>
        <w:tc>
          <w:tcPr>
            <w:tcW w:w="1362" w:type="dxa"/>
            <w:tcBorders>
              <w:top w:val="single" w:color="000000" w:sz="4" w:space="0"/>
              <w:left w:val="single" w:color="000000" w:sz="4" w:space="0"/>
              <w:bottom w:val="single" w:color="000000" w:sz="4" w:space="0"/>
              <w:right w:val="single" w:color="000000" w:sz="4" w:space="0"/>
            </w:tcBorders>
            <w:vAlign w:val="center"/>
          </w:tcPr>
          <w:p w14:paraId="7B9B3192">
            <w:pPr>
              <w:pStyle w:val="36"/>
            </w:pPr>
            <w:r>
              <w:t>姓名</w:t>
            </w:r>
          </w:p>
        </w:tc>
        <w:tc>
          <w:tcPr>
            <w:tcW w:w="1050" w:type="dxa"/>
            <w:tcBorders>
              <w:top w:val="single" w:color="000000" w:sz="4" w:space="0"/>
              <w:left w:val="single" w:color="000000" w:sz="4" w:space="0"/>
              <w:bottom w:val="single" w:color="000000" w:sz="4" w:space="0"/>
              <w:right w:val="single" w:color="000000" w:sz="4" w:space="0"/>
            </w:tcBorders>
          </w:tcPr>
          <w:p w14:paraId="1E44E0D9">
            <w:pPr>
              <w:pStyle w:val="36"/>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72937792">
            <w:pPr>
              <w:pStyle w:val="36"/>
            </w:pPr>
            <w:r>
              <w:t>技术职称</w:t>
            </w:r>
          </w:p>
        </w:tc>
        <w:tc>
          <w:tcPr>
            <w:tcW w:w="1214" w:type="dxa"/>
            <w:tcBorders>
              <w:top w:val="single" w:color="000000" w:sz="4" w:space="0"/>
              <w:left w:val="single" w:color="000000" w:sz="4" w:space="0"/>
              <w:bottom w:val="single" w:color="000000" w:sz="4" w:space="0"/>
              <w:right w:val="single" w:color="000000" w:sz="4" w:space="0"/>
            </w:tcBorders>
          </w:tcPr>
          <w:p w14:paraId="4C0E5E5B">
            <w:pPr>
              <w:pStyle w:val="36"/>
            </w:pPr>
          </w:p>
        </w:tc>
        <w:tc>
          <w:tcPr>
            <w:tcW w:w="1044" w:type="dxa"/>
            <w:tcBorders>
              <w:top w:val="single" w:color="000000" w:sz="4" w:space="0"/>
              <w:left w:val="single" w:color="000000" w:sz="4" w:space="0"/>
              <w:bottom w:val="single" w:color="000000" w:sz="4" w:space="0"/>
              <w:right w:val="single" w:color="000000" w:sz="4" w:space="0"/>
            </w:tcBorders>
            <w:vAlign w:val="center"/>
          </w:tcPr>
          <w:p w14:paraId="15723E09">
            <w:pPr>
              <w:pStyle w:val="36"/>
            </w:pPr>
            <w:r>
              <w:t>电话</w:t>
            </w:r>
          </w:p>
        </w:tc>
        <w:tc>
          <w:tcPr>
            <w:tcW w:w="1707" w:type="dxa"/>
            <w:tcBorders>
              <w:top w:val="single" w:color="000000" w:sz="4" w:space="0"/>
              <w:left w:val="single" w:color="000000" w:sz="4" w:space="0"/>
              <w:bottom w:val="single" w:color="000000" w:sz="4" w:space="0"/>
              <w:right w:val="single" w:color="000000" w:sz="4" w:space="0"/>
            </w:tcBorders>
          </w:tcPr>
          <w:p w14:paraId="0CF03A61">
            <w:pPr>
              <w:pStyle w:val="36"/>
            </w:pPr>
          </w:p>
        </w:tc>
      </w:tr>
      <w:tr w14:paraId="292A385E">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3313E3C1">
            <w:pPr>
              <w:pStyle w:val="36"/>
            </w:pPr>
            <w:r>
              <w:t>技术负责人</w:t>
            </w:r>
          </w:p>
        </w:tc>
        <w:tc>
          <w:tcPr>
            <w:tcW w:w="1362" w:type="dxa"/>
            <w:tcBorders>
              <w:top w:val="single" w:color="000000" w:sz="4" w:space="0"/>
              <w:left w:val="single" w:color="000000" w:sz="4" w:space="0"/>
              <w:bottom w:val="single" w:color="000000" w:sz="4" w:space="0"/>
              <w:right w:val="single" w:color="000000" w:sz="4" w:space="0"/>
            </w:tcBorders>
            <w:vAlign w:val="center"/>
          </w:tcPr>
          <w:p w14:paraId="4C211F69">
            <w:pPr>
              <w:pStyle w:val="36"/>
            </w:pPr>
            <w:r>
              <w:t>姓名</w:t>
            </w:r>
          </w:p>
        </w:tc>
        <w:tc>
          <w:tcPr>
            <w:tcW w:w="1050" w:type="dxa"/>
            <w:tcBorders>
              <w:top w:val="single" w:color="000000" w:sz="4" w:space="0"/>
              <w:left w:val="single" w:color="000000" w:sz="4" w:space="0"/>
              <w:bottom w:val="single" w:color="000000" w:sz="4" w:space="0"/>
              <w:right w:val="single" w:color="000000" w:sz="4" w:space="0"/>
            </w:tcBorders>
          </w:tcPr>
          <w:p w14:paraId="1959B5C9">
            <w:pPr>
              <w:pStyle w:val="36"/>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62EC5720">
            <w:pPr>
              <w:pStyle w:val="36"/>
            </w:pPr>
            <w:r>
              <w:t>技术职称</w:t>
            </w:r>
          </w:p>
        </w:tc>
        <w:tc>
          <w:tcPr>
            <w:tcW w:w="1214" w:type="dxa"/>
            <w:tcBorders>
              <w:top w:val="single" w:color="000000" w:sz="4" w:space="0"/>
              <w:left w:val="single" w:color="000000" w:sz="4" w:space="0"/>
              <w:bottom w:val="single" w:color="000000" w:sz="4" w:space="0"/>
              <w:right w:val="single" w:color="000000" w:sz="4" w:space="0"/>
            </w:tcBorders>
          </w:tcPr>
          <w:p w14:paraId="4C372C5E">
            <w:pPr>
              <w:pStyle w:val="36"/>
            </w:pPr>
          </w:p>
        </w:tc>
        <w:tc>
          <w:tcPr>
            <w:tcW w:w="1044" w:type="dxa"/>
            <w:tcBorders>
              <w:top w:val="single" w:color="000000" w:sz="4" w:space="0"/>
              <w:left w:val="single" w:color="000000" w:sz="4" w:space="0"/>
              <w:bottom w:val="single" w:color="000000" w:sz="4" w:space="0"/>
              <w:right w:val="single" w:color="000000" w:sz="4" w:space="0"/>
            </w:tcBorders>
            <w:vAlign w:val="center"/>
          </w:tcPr>
          <w:p w14:paraId="4C4A3B0D">
            <w:pPr>
              <w:pStyle w:val="36"/>
            </w:pPr>
            <w:r>
              <w:t>电话</w:t>
            </w:r>
          </w:p>
        </w:tc>
        <w:tc>
          <w:tcPr>
            <w:tcW w:w="1707" w:type="dxa"/>
            <w:tcBorders>
              <w:top w:val="single" w:color="000000" w:sz="4" w:space="0"/>
              <w:left w:val="single" w:color="000000" w:sz="4" w:space="0"/>
              <w:bottom w:val="single" w:color="000000" w:sz="4" w:space="0"/>
              <w:right w:val="single" w:color="000000" w:sz="4" w:space="0"/>
            </w:tcBorders>
          </w:tcPr>
          <w:p w14:paraId="7D6D85F0">
            <w:pPr>
              <w:pStyle w:val="36"/>
            </w:pPr>
          </w:p>
        </w:tc>
      </w:tr>
      <w:tr w14:paraId="28C18200">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325DC6FC">
            <w:pPr>
              <w:pStyle w:val="36"/>
            </w:pPr>
            <w:r>
              <w:t>成立时间</w:t>
            </w:r>
          </w:p>
        </w:tc>
        <w:tc>
          <w:tcPr>
            <w:tcW w:w="2412" w:type="dxa"/>
            <w:gridSpan w:val="2"/>
            <w:tcBorders>
              <w:top w:val="single" w:color="000000" w:sz="4" w:space="0"/>
              <w:left w:val="single" w:color="000000" w:sz="4" w:space="0"/>
              <w:bottom w:val="single" w:color="000000" w:sz="4" w:space="0"/>
              <w:right w:val="single" w:color="000000" w:sz="4" w:space="0"/>
            </w:tcBorders>
          </w:tcPr>
          <w:p w14:paraId="0785539D">
            <w:pPr>
              <w:pStyle w:val="36"/>
            </w:pPr>
          </w:p>
        </w:tc>
        <w:tc>
          <w:tcPr>
            <w:tcW w:w="5178" w:type="dxa"/>
            <w:gridSpan w:val="5"/>
            <w:tcBorders>
              <w:top w:val="single" w:color="000000" w:sz="4" w:space="0"/>
              <w:left w:val="single" w:color="000000" w:sz="4" w:space="0"/>
              <w:bottom w:val="single" w:color="000000" w:sz="4" w:space="0"/>
              <w:right w:val="single" w:color="000000" w:sz="4" w:space="0"/>
            </w:tcBorders>
            <w:vAlign w:val="center"/>
          </w:tcPr>
          <w:p w14:paraId="2990F00E">
            <w:pPr>
              <w:pStyle w:val="36"/>
            </w:pPr>
            <w:r>
              <w:t>员工总人数：</w:t>
            </w:r>
          </w:p>
        </w:tc>
      </w:tr>
      <w:tr w14:paraId="0C88E590">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0B31E736">
            <w:pPr>
              <w:pStyle w:val="36"/>
            </w:pPr>
            <w:r>
              <w:t>统一社会信用代码</w:t>
            </w:r>
          </w:p>
        </w:tc>
        <w:tc>
          <w:tcPr>
            <w:tcW w:w="2412" w:type="dxa"/>
            <w:gridSpan w:val="2"/>
            <w:vMerge w:val="restart"/>
            <w:tcBorders>
              <w:top w:val="single" w:color="000000" w:sz="4" w:space="0"/>
              <w:left w:val="single" w:color="000000" w:sz="4" w:space="0"/>
              <w:right w:val="single" w:color="000000" w:sz="4" w:space="0"/>
            </w:tcBorders>
          </w:tcPr>
          <w:p w14:paraId="1DFC88B5">
            <w:pPr>
              <w:pStyle w:val="36"/>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125799C3">
            <w:pPr>
              <w:pStyle w:val="36"/>
            </w:pPr>
            <w:r>
              <w:t>其中</w:t>
            </w: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7E58D80D">
            <w:pPr>
              <w:pStyle w:val="36"/>
            </w:pPr>
            <w:r>
              <w:t>注册职业资格</w:t>
            </w:r>
          </w:p>
        </w:tc>
        <w:tc>
          <w:tcPr>
            <w:tcW w:w="2751" w:type="dxa"/>
            <w:gridSpan w:val="2"/>
            <w:tcBorders>
              <w:top w:val="single" w:color="000000" w:sz="4" w:space="0"/>
              <w:left w:val="single" w:color="000000" w:sz="4" w:space="0"/>
              <w:bottom w:val="single" w:color="000000" w:sz="4" w:space="0"/>
              <w:right w:val="single" w:color="000000" w:sz="4" w:space="0"/>
            </w:tcBorders>
          </w:tcPr>
          <w:p w14:paraId="4604671C">
            <w:pPr>
              <w:pStyle w:val="36"/>
            </w:pPr>
          </w:p>
        </w:tc>
      </w:tr>
      <w:tr w14:paraId="4AAB4589">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5919A495">
            <w:pPr>
              <w:pStyle w:val="36"/>
            </w:pPr>
          </w:p>
        </w:tc>
        <w:tc>
          <w:tcPr>
            <w:tcW w:w="2412" w:type="dxa"/>
            <w:gridSpan w:val="2"/>
            <w:vMerge w:val="continue"/>
            <w:tcBorders>
              <w:left w:val="single" w:color="000000" w:sz="4" w:space="0"/>
              <w:bottom w:val="single" w:color="000000" w:sz="4" w:space="0"/>
              <w:right w:val="single" w:color="000000" w:sz="4" w:space="0"/>
            </w:tcBorders>
          </w:tcPr>
          <w:p w14:paraId="2E3FD411">
            <w:pPr>
              <w:pStyle w:val="36"/>
            </w:pPr>
          </w:p>
        </w:tc>
        <w:tc>
          <w:tcPr>
            <w:tcW w:w="705" w:type="dxa"/>
            <w:vMerge w:val="continue"/>
            <w:tcBorders>
              <w:top w:val="nil"/>
              <w:left w:val="single" w:color="000000" w:sz="4" w:space="0"/>
              <w:bottom w:val="nil"/>
              <w:right w:val="single" w:color="000000" w:sz="4" w:space="0"/>
            </w:tcBorders>
          </w:tcPr>
          <w:p w14:paraId="7155CBBD">
            <w:pPr>
              <w:pStyle w:val="36"/>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4059BDD8">
            <w:pPr>
              <w:pStyle w:val="36"/>
            </w:pPr>
            <w:r>
              <w:t>高级职称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2FF23852">
            <w:pPr>
              <w:pStyle w:val="36"/>
            </w:pPr>
          </w:p>
        </w:tc>
      </w:tr>
      <w:tr w14:paraId="34CBA47F">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37DBE2DE">
            <w:pPr>
              <w:pStyle w:val="36"/>
            </w:pPr>
            <w:r>
              <w:t>注册资本</w:t>
            </w:r>
          </w:p>
        </w:tc>
        <w:tc>
          <w:tcPr>
            <w:tcW w:w="2412" w:type="dxa"/>
            <w:gridSpan w:val="2"/>
            <w:tcBorders>
              <w:top w:val="single" w:color="000000" w:sz="4" w:space="0"/>
              <w:left w:val="single" w:color="000000" w:sz="4" w:space="0"/>
              <w:bottom w:val="single" w:color="000000" w:sz="4" w:space="0"/>
              <w:right w:val="single" w:color="000000" w:sz="4" w:space="0"/>
            </w:tcBorders>
          </w:tcPr>
          <w:p w14:paraId="2F43ED24">
            <w:pPr>
              <w:pStyle w:val="36"/>
            </w:pPr>
          </w:p>
        </w:tc>
        <w:tc>
          <w:tcPr>
            <w:tcW w:w="705" w:type="dxa"/>
            <w:vMerge w:val="continue"/>
            <w:tcBorders>
              <w:top w:val="nil"/>
              <w:left w:val="single" w:color="000000" w:sz="4" w:space="0"/>
              <w:bottom w:val="nil"/>
              <w:right w:val="single" w:color="000000" w:sz="4" w:space="0"/>
            </w:tcBorders>
          </w:tcPr>
          <w:p w14:paraId="6D4E56C4">
            <w:pPr>
              <w:pStyle w:val="36"/>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3A20269A">
            <w:pPr>
              <w:pStyle w:val="36"/>
            </w:pPr>
            <w:r>
              <w:t>中级职称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5BAEDAA3">
            <w:pPr>
              <w:pStyle w:val="36"/>
            </w:pPr>
          </w:p>
        </w:tc>
      </w:tr>
      <w:tr w14:paraId="39CDB04A">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7D042B1">
            <w:pPr>
              <w:pStyle w:val="36"/>
            </w:pPr>
            <w:r>
              <w:t>开户银行</w:t>
            </w:r>
          </w:p>
        </w:tc>
        <w:tc>
          <w:tcPr>
            <w:tcW w:w="2412" w:type="dxa"/>
            <w:gridSpan w:val="2"/>
            <w:tcBorders>
              <w:top w:val="single" w:color="000000" w:sz="4" w:space="0"/>
              <w:left w:val="single" w:color="000000" w:sz="4" w:space="0"/>
              <w:bottom w:val="single" w:color="000000" w:sz="4" w:space="0"/>
              <w:right w:val="single" w:color="000000" w:sz="4" w:space="0"/>
            </w:tcBorders>
          </w:tcPr>
          <w:p w14:paraId="791FAEE9">
            <w:pPr>
              <w:pStyle w:val="36"/>
            </w:pPr>
          </w:p>
        </w:tc>
        <w:tc>
          <w:tcPr>
            <w:tcW w:w="705" w:type="dxa"/>
            <w:vMerge w:val="continue"/>
            <w:tcBorders>
              <w:top w:val="nil"/>
              <w:left w:val="single" w:color="000000" w:sz="4" w:space="0"/>
              <w:bottom w:val="nil"/>
              <w:right w:val="single" w:color="000000" w:sz="4" w:space="0"/>
            </w:tcBorders>
          </w:tcPr>
          <w:p w14:paraId="58FD7535">
            <w:pPr>
              <w:pStyle w:val="36"/>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73AB2104">
            <w:pPr>
              <w:pStyle w:val="36"/>
            </w:pPr>
            <w:r>
              <w:t>初级职称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663294A0">
            <w:pPr>
              <w:pStyle w:val="36"/>
            </w:pPr>
          </w:p>
        </w:tc>
      </w:tr>
      <w:tr w14:paraId="483D1FCE">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5D90C75E">
            <w:pPr>
              <w:pStyle w:val="36"/>
            </w:pPr>
            <w:r>
              <w:t>账号</w:t>
            </w:r>
          </w:p>
        </w:tc>
        <w:tc>
          <w:tcPr>
            <w:tcW w:w="2412" w:type="dxa"/>
            <w:gridSpan w:val="2"/>
            <w:tcBorders>
              <w:top w:val="single" w:color="000000" w:sz="4" w:space="0"/>
              <w:left w:val="single" w:color="000000" w:sz="4" w:space="0"/>
              <w:bottom w:val="single" w:color="000000" w:sz="4" w:space="0"/>
              <w:right w:val="single" w:color="000000" w:sz="4" w:space="0"/>
            </w:tcBorders>
          </w:tcPr>
          <w:p w14:paraId="397F1703">
            <w:pPr>
              <w:pStyle w:val="36"/>
            </w:pPr>
          </w:p>
        </w:tc>
        <w:tc>
          <w:tcPr>
            <w:tcW w:w="705" w:type="dxa"/>
            <w:vMerge w:val="continue"/>
            <w:tcBorders>
              <w:top w:val="nil"/>
              <w:left w:val="single" w:color="000000" w:sz="4" w:space="0"/>
              <w:bottom w:val="single" w:color="000000" w:sz="4" w:space="0"/>
              <w:right w:val="single" w:color="000000" w:sz="4" w:space="0"/>
            </w:tcBorders>
          </w:tcPr>
          <w:p w14:paraId="580CAC78">
            <w:pPr>
              <w:pStyle w:val="36"/>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6216C00B">
            <w:pPr>
              <w:pStyle w:val="36"/>
            </w:pPr>
            <w:r>
              <w:t>其他</w:t>
            </w:r>
          </w:p>
        </w:tc>
        <w:tc>
          <w:tcPr>
            <w:tcW w:w="2751" w:type="dxa"/>
            <w:gridSpan w:val="2"/>
            <w:tcBorders>
              <w:top w:val="single" w:color="000000" w:sz="4" w:space="0"/>
              <w:left w:val="single" w:color="000000" w:sz="4" w:space="0"/>
              <w:bottom w:val="single" w:color="000000" w:sz="4" w:space="0"/>
              <w:right w:val="single" w:color="000000" w:sz="4" w:space="0"/>
            </w:tcBorders>
          </w:tcPr>
          <w:p w14:paraId="224C3FCA">
            <w:pPr>
              <w:pStyle w:val="36"/>
            </w:pPr>
          </w:p>
        </w:tc>
      </w:tr>
      <w:tr w14:paraId="73AD7090">
        <w:tblPrEx>
          <w:tblCellMar>
            <w:top w:w="0" w:type="dxa"/>
            <w:left w:w="107" w:type="dxa"/>
            <w:bottom w:w="0" w:type="dxa"/>
            <w:right w:w="144" w:type="dxa"/>
          </w:tblCellMar>
        </w:tblPrEx>
        <w:trPr>
          <w:trHeight w:val="814"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469D2D37">
            <w:pPr>
              <w:pStyle w:val="36"/>
            </w:pPr>
            <w:r>
              <w:t>经营范围</w:t>
            </w:r>
          </w:p>
        </w:tc>
        <w:tc>
          <w:tcPr>
            <w:tcW w:w="7590" w:type="dxa"/>
            <w:gridSpan w:val="7"/>
            <w:tcBorders>
              <w:top w:val="single" w:color="000000" w:sz="4" w:space="0"/>
              <w:left w:val="single" w:color="000000" w:sz="4" w:space="0"/>
              <w:bottom w:val="single" w:color="000000" w:sz="4" w:space="0"/>
              <w:right w:val="single" w:color="000000" w:sz="4" w:space="0"/>
            </w:tcBorders>
          </w:tcPr>
          <w:p w14:paraId="43AEAFA6">
            <w:pPr>
              <w:pStyle w:val="36"/>
            </w:pPr>
          </w:p>
        </w:tc>
      </w:tr>
      <w:tr w14:paraId="156D4EB5">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4A40B956">
            <w:pPr>
              <w:pStyle w:val="36"/>
            </w:pPr>
            <w:r>
              <w:t>备注</w:t>
            </w:r>
          </w:p>
        </w:tc>
        <w:tc>
          <w:tcPr>
            <w:tcW w:w="7590" w:type="dxa"/>
            <w:gridSpan w:val="7"/>
            <w:tcBorders>
              <w:top w:val="single" w:color="000000" w:sz="4" w:space="0"/>
              <w:left w:val="single" w:color="000000" w:sz="4" w:space="0"/>
              <w:bottom w:val="single" w:color="000000" w:sz="4" w:space="0"/>
              <w:right w:val="single" w:color="000000" w:sz="4" w:space="0"/>
            </w:tcBorders>
          </w:tcPr>
          <w:p w14:paraId="13174DBE">
            <w:pPr>
              <w:pStyle w:val="36"/>
            </w:pPr>
          </w:p>
        </w:tc>
      </w:tr>
    </w:tbl>
    <w:p w14:paraId="43CCF942">
      <w:pPr>
        <w:widowControl/>
        <w:spacing w:line="240" w:lineRule="auto"/>
        <w:ind w:firstLine="0" w:firstLineChars="0"/>
        <w:jc w:val="left"/>
        <w:rPr>
          <w:sz w:val="21"/>
        </w:rPr>
      </w:pPr>
    </w:p>
    <w:p w14:paraId="0895C860">
      <w:pPr>
        <w:ind w:firstLine="480"/>
      </w:pPr>
      <w:r>
        <w:rPr>
          <w:rFonts w:hint="eastAsia"/>
        </w:rPr>
        <w:t>供应商名称（盖章）：</w:t>
      </w:r>
      <w:r>
        <w:t>____________________________________________</w:t>
      </w:r>
    </w:p>
    <w:p w14:paraId="1725F473">
      <w:pPr>
        <w:ind w:firstLine="480"/>
      </w:pPr>
      <w:r>
        <w:rPr>
          <w:rFonts w:hint="eastAsia"/>
        </w:rPr>
        <w:t>法定代表人或其授权代表（签字或盖章）：</w:t>
      </w:r>
      <w:r>
        <w:t>____________________________</w:t>
      </w:r>
    </w:p>
    <w:p w14:paraId="15EB9F24">
      <w:pPr>
        <w:ind w:firstLine="480"/>
      </w:pPr>
      <w:r>
        <w:rPr>
          <w:rFonts w:hint="eastAsia"/>
        </w:rPr>
        <w:t>日期：</w:t>
      </w:r>
      <w:r>
        <w:t>________</w:t>
      </w:r>
      <w:r>
        <w:rPr>
          <w:rFonts w:hint="eastAsia"/>
        </w:rPr>
        <w:t>年</w:t>
      </w:r>
      <w:r>
        <w:t>____</w:t>
      </w:r>
      <w:r>
        <w:rPr>
          <w:rFonts w:hint="eastAsia"/>
        </w:rPr>
        <w:t>月</w:t>
      </w:r>
      <w:r>
        <w:t>____</w:t>
      </w:r>
      <w:r>
        <w:rPr>
          <w:rFonts w:hint="eastAsia"/>
        </w:rPr>
        <w:t>日</w:t>
      </w:r>
    </w:p>
    <w:p w14:paraId="55CE2CE3">
      <w:pPr>
        <w:ind w:firstLine="420"/>
      </w:pPr>
      <w:r>
        <w:rPr>
          <w:sz w:val="21"/>
        </w:rPr>
        <w:br w:type="page"/>
      </w:r>
      <w:r>
        <w:rPr>
          <w:rFonts w:hint="eastAsia"/>
        </w:rPr>
        <w:t>附件2</w:t>
      </w:r>
    </w:p>
    <w:p w14:paraId="53D87D29">
      <w:pPr>
        <w:ind w:firstLine="480"/>
      </w:pPr>
      <w:bookmarkStart w:id="523" w:name="_Toc8801"/>
      <w:bookmarkStart w:id="524" w:name="_Toc31081"/>
      <w:bookmarkStart w:id="525" w:name="_Toc27643"/>
      <w:bookmarkStart w:id="526" w:name="_Toc24347"/>
      <w:bookmarkStart w:id="527" w:name="_Toc28450"/>
      <w:bookmarkStart w:id="528" w:name="_Toc13693"/>
      <w:bookmarkStart w:id="529" w:name="_Toc28434"/>
      <w:bookmarkStart w:id="530" w:name="_Toc31823"/>
      <w:r>
        <w:rPr>
          <w:rFonts w:hint="eastAsia"/>
        </w:rPr>
        <w:t>具有良好的商业信誉和健全的财务会计制度</w:t>
      </w:r>
      <w:bookmarkEnd w:id="523"/>
      <w:bookmarkEnd w:id="524"/>
      <w:bookmarkEnd w:id="525"/>
      <w:bookmarkEnd w:id="526"/>
      <w:bookmarkEnd w:id="527"/>
      <w:bookmarkEnd w:id="528"/>
      <w:bookmarkEnd w:id="529"/>
      <w:bookmarkEnd w:id="530"/>
    </w:p>
    <w:p w14:paraId="280A42D5">
      <w:pPr>
        <w:ind w:firstLine="480"/>
      </w:pPr>
    </w:p>
    <w:p w14:paraId="3E7516C2">
      <w:pPr>
        <w:ind w:firstLine="480"/>
      </w:pPr>
      <w:r>
        <w:rPr>
          <w:rFonts w:hint="eastAsia"/>
        </w:rPr>
        <w:t>丽水经济技术开发区生态林业发展中心：</w:t>
      </w:r>
    </w:p>
    <w:p w14:paraId="451325E9">
      <w:pPr>
        <w:ind w:firstLine="480"/>
      </w:pPr>
    </w:p>
    <w:p w14:paraId="1546960C">
      <w:pPr>
        <w:ind w:firstLine="480"/>
      </w:pPr>
      <w:r>
        <w:rPr>
          <w:rFonts w:hint="eastAsia"/>
        </w:rPr>
        <w:t>本项目的投标截止时间，我方具有良好的商业信誉和健全的财务会计制度。我方对上述声明的真实性负责。如有虚假，愿意承担相应责任，对此无任何异议。特此声明！</w:t>
      </w:r>
    </w:p>
    <w:p w14:paraId="4A1F1C0E">
      <w:pPr>
        <w:ind w:firstLine="480"/>
      </w:pPr>
    </w:p>
    <w:p w14:paraId="063C6849">
      <w:pPr>
        <w:ind w:firstLine="480"/>
      </w:pPr>
    </w:p>
    <w:p w14:paraId="61356B89">
      <w:pPr>
        <w:ind w:firstLine="480"/>
      </w:pPr>
      <w:r>
        <w:rPr>
          <w:rFonts w:hint="eastAsia"/>
        </w:rPr>
        <w:t>供应商名称（盖章）：____________________________________________</w:t>
      </w:r>
    </w:p>
    <w:p w14:paraId="6C42FA86">
      <w:pPr>
        <w:ind w:firstLine="480"/>
      </w:pPr>
      <w:r>
        <w:rPr>
          <w:rFonts w:hint="eastAsia"/>
        </w:rPr>
        <w:t>法定代表人或其授权代表（签字或盖章）：____________________________</w:t>
      </w:r>
    </w:p>
    <w:p w14:paraId="474EE418">
      <w:pPr>
        <w:ind w:firstLine="480"/>
      </w:pPr>
      <w:r>
        <w:rPr>
          <w:rFonts w:hint="eastAsia"/>
        </w:rPr>
        <w:t>日期：________年____月____日</w:t>
      </w:r>
    </w:p>
    <w:p w14:paraId="3B631249">
      <w:pPr>
        <w:ind w:firstLine="480"/>
      </w:pPr>
    </w:p>
    <w:p w14:paraId="6C8FA5D6">
      <w:pPr>
        <w:ind w:firstLine="480"/>
      </w:pPr>
      <w:r>
        <w:rPr>
          <w:rFonts w:hint="eastAsia"/>
        </w:rPr>
        <w:br w:type="page"/>
      </w:r>
      <w:bookmarkStart w:id="531" w:name="_Toc34775143"/>
      <w:r>
        <w:rPr>
          <w:rFonts w:hint="eastAsia"/>
        </w:rPr>
        <w:t>附件3</w:t>
      </w:r>
    </w:p>
    <w:p w14:paraId="1CD63115">
      <w:pPr>
        <w:ind w:firstLine="480"/>
      </w:pPr>
      <w:bookmarkStart w:id="532" w:name="_Toc14804"/>
      <w:bookmarkStart w:id="533" w:name="_Toc29415"/>
      <w:bookmarkStart w:id="534" w:name="_Toc28138"/>
      <w:bookmarkStart w:id="535" w:name="_Toc19984"/>
      <w:bookmarkStart w:id="536" w:name="_Toc3637"/>
      <w:bookmarkStart w:id="537" w:name="_Toc13179"/>
      <w:bookmarkStart w:id="538" w:name="_Toc19516"/>
      <w:bookmarkStart w:id="539" w:name="_Toc28044"/>
      <w:r>
        <w:rPr>
          <w:rFonts w:hint="eastAsia"/>
        </w:rPr>
        <w:t>有依法缴纳税收和社会保障资金的良好记录</w:t>
      </w:r>
      <w:bookmarkEnd w:id="532"/>
      <w:bookmarkEnd w:id="533"/>
      <w:bookmarkEnd w:id="534"/>
      <w:bookmarkEnd w:id="535"/>
      <w:bookmarkEnd w:id="536"/>
      <w:bookmarkEnd w:id="537"/>
      <w:bookmarkEnd w:id="538"/>
      <w:bookmarkEnd w:id="539"/>
    </w:p>
    <w:p w14:paraId="3E61614C">
      <w:pPr>
        <w:ind w:firstLine="480"/>
      </w:pPr>
    </w:p>
    <w:p w14:paraId="172E1EF7">
      <w:pPr>
        <w:ind w:firstLine="480"/>
      </w:pPr>
      <w:r>
        <w:rPr>
          <w:rFonts w:hint="eastAsia"/>
        </w:rPr>
        <w:t>丽水经济技术开发区生态林业发展中心：</w:t>
      </w:r>
    </w:p>
    <w:p w14:paraId="26E2759E">
      <w:pPr>
        <w:ind w:firstLine="480"/>
      </w:pPr>
    </w:p>
    <w:p w14:paraId="2BAAAF0D">
      <w:pPr>
        <w:ind w:firstLine="480"/>
      </w:pPr>
      <w:r>
        <w:rPr>
          <w:rFonts w:hint="eastAsia"/>
        </w:rPr>
        <w:t>本项目的投标截止时间，我方具有依法缴纳税收和社会保障资金的良好记录。我方对上述声明的真实性负责。如有虚假，愿意承担相应责任，对此无任何异议。特此声明！</w:t>
      </w:r>
    </w:p>
    <w:p w14:paraId="34294F3C">
      <w:pPr>
        <w:ind w:firstLine="480"/>
      </w:pPr>
    </w:p>
    <w:p w14:paraId="343D7CCC">
      <w:pPr>
        <w:ind w:firstLine="480"/>
      </w:pPr>
    </w:p>
    <w:p w14:paraId="2DB2EB15">
      <w:pPr>
        <w:ind w:firstLine="480"/>
      </w:pPr>
      <w:r>
        <w:rPr>
          <w:rFonts w:hint="eastAsia"/>
        </w:rPr>
        <w:t>供应商名称（盖章）：____________________________________________</w:t>
      </w:r>
    </w:p>
    <w:p w14:paraId="24F5D0BE">
      <w:pPr>
        <w:ind w:firstLine="480"/>
      </w:pPr>
      <w:r>
        <w:rPr>
          <w:rFonts w:hint="eastAsia"/>
        </w:rPr>
        <w:t>法定代表人或其授权代表（签字或盖章）：____________________________</w:t>
      </w:r>
    </w:p>
    <w:p w14:paraId="1978382C">
      <w:pPr>
        <w:ind w:firstLine="480"/>
      </w:pPr>
      <w:r>
        <w:rPr>
          <w:rFonts w:hint="eastAsia"/>
        </w:rPr>
        <w:t>日期：________年____月____日</w:t>
      </w:r>
    </w:p>
    <w:p w14:paraId="5303E16B">
      <w:pPr>
        <w:ind w:firstLine="480"/>
      </w:pPr>
    </w:p>
    <w:p w14:paraId="57FD10DF">
      <w:pPr>
        <w:ind w:firstLine="480"/>
      </w:pPr>
      <w:r>
        <w:rPr>
          <w:rFonts w:hint="eastAsia"/>
        </w:rPr>
        <w:br w:type="page"/>
      </w:r>
    </w:p>
    <w:p w14:paraId="136F9216">
      <w:pPr>
        <w:ind w:firstLine="480"/>
      </w:pPr>
      <w:r>
        <w:t>附件</w:t>
      </w:r>
      <w:r>
        <w:rPr>
          <w:rFonts w:hint="eastAsia"/>
        </w:rPr>
        <w:t>4</w:t>
      </w:r>
    </w:p>
    <w:p w14:paraId="023ECAED">
      <w:pPr>
        <w:pStyle w:val="2"/>
        <w:ind w:firstLine="643"/>
      </w:pPr>
      <w:bookmarkStart w:id="540" w:name="_Toc27936"/>
      <w:bookmarkStart w:id="541" w:name="_Toc30353"/>
      <w:bookmarkStart w:id="542" w:name="_Toc17975"/>
      <w:bookmarkStart w:id="543" w:name="_Toc31850"/>
      <w:bookmarkStart w:id="544" w:name="_Toc5644"/>
      <w:bookmarkStart w:id="545" w:name="_Toc3045"/>
      <w:bookmarkStart w:id="546" w:name="_Toc16702"/>
      <w:bookmarkStart w:id="547" w:name="_Toc6301"/>
      <w:r>
        <w:rPr>
          <w:rFonts w:hint="eastAsia"/>
        </w:rPr>
        <w:t>具有履行合同所必需的设备和专业技术能力的承诺函</w:t>
      </w:r>
      <w:bookmarkEnd w:id="531"/>
      <w:bookmarkEnd w:id="540"/>
      <w:bookmarkEnd w:id="541"/>
      <w:bookmarkEnd w:id="542"/>
      <w:bookmarkEnd w:id="543"/>
      <w:bookmarkEnd w:id="544"/>
      <w:bookmarkEnd w:id="545"/>
      <w:bookmarkEnd w:id="546"/>
      <w:bookmarkEnd w:id="547"/>
    </w:p>
    <w:p w14:paraId="27A72B25">
      <w:pPr>
        <w:spacing w:line="360" w:lineRule="auto"/>
        <w:ind w:firstLine="480"/>
      </w:pPr>
    </w:p>
    <w:p w14:paraId="4DFC7869">
      <w:pPr>
        <w:spacing w:line="360" w:lineRule="auto"/>
        <w:ind w:firstLine="482"/>
        <w:rPr>
          <w:rFonts w:ascii="宋体" w:hAnsi="宋体" w:cs="Arial"/>
          <w:b/>
          <w:u w:val="single"/>
        </w:rPr>
      </w:pPr>
    </w:p>
    <w:p w14:paraId="7D206ACE">
      <w:pPr>
        <w:ind w:firstLine="0" w:firstLineChars="0"/>
      </w:pPr>
      <w:r>
        <w:rPr>
          <w:rFonts w:hint="eastAsia"/>
          <w:u w:val="single"/>
        </w:rPr>
        <w:t>丽水经济技术开发区生态林业发展中心：</w:t>
      </w:r>
    </w:p>
    <w:p w14:paraId="5A59C077">
      <w:pPr>
        <w:ind w:firstLine="480"/>
      </w:pPr>
    </w:p>
    <w:p w14:paraId="133566AC">
      <w:pPr>
        <w:ind w:firstLine="480"/>
      </w:pPr>
      <w:r>
        <w:rPr>
          <w:rFonts w:hint="eastAsia"/>
        </w:rPr>
        <w:t>我方郑重声明，我方具有履行                项目（项目编号：             ）合同所必需的设备和专业技术能力，如中标，我方将按我方投标文件承诺，保证合同顺利履行。如有虚假或隐瞒，愿意承担一切后果。</w:t>
      </w:r>
    </w:p>
    <w:p w14:paraId="3EB222CB">
      <w:pPr>
        <w:ind w:firstLine="480"/>
      </w:pPr>
    </w:p>
    <w:p w14:paraId="407F978D">
      <w:pPr>
        <w:ind w:firstLine="480"/>
      </w:pPr>
      <w:r>
        <w:rPr>
          <w:rFonts w:hint="eastAsia"/>
        </w:rPr>
        <w:t>特此承诺！</w:t>
      </w:r>
    </w:p>
    <w:p w14:paraId="005FA863">
      <w:pPr>
        <w:ind w:firstLine="480"/>
      </w:pPr>
    </w:p>
    <w:p w14:paraId="2C4B7841">
      <w:pPr>
        <w:ind w:firstLine="480"/>
      </w:pPr>
    </w:p>
    <w:p w14:paraId="7AFF79BA">
      <w:pPr>
        <w:ind w:firstLine="480"/>
      </w:pPr>
    </w:p>
    <w:p w14:paraId="08850102">
      <w:pPr>
        <w:ind w:firstLine="480"/>
      </w:pPr>
      <w:r>
        <w:rPr>
          <w:rFonts w:hint="eastAsia"/>
        </w:rPr>
        <w:t>供应商名称（盖章）：</w:t>
      </w:r>
      <w:r>
        <w:t>____________________________________________</w:t>
      </w:r>
    </w:p>
    <w:p w14:paraId="7C11EE82">
      <w:pPr>
        <w:ind w:firstLine="480"/>
      </w:pPr>
      <w:r>
        <w:rPr>
          <w:rFonts w:hint="eastAsia"/>
        </w:rPr>
        <w:t>法定代表人或其授权代表（签字或盖章）：</w:t>
      </w:r>
      <w:r>
        <w:t>____________________________</w:t>
      </w:r>
    </w:p>
    <w:p w14:paraId="762056EC">
      <w:pPr>
        <w:ind w:firstLine="480"/>
      </w:pPr>
      <w:r>
        <w:rPr>
          <w:rFonts w:hint="eastAsia"/>
        </w:rPr>
        <w:t>日期：</w:t>
      </w:r>
      <w:r>
        <w:t>________</w:t>
      </w:r>
      <w:r>
        <w:rPr>
          <w:rFonts w:hint="eastAsia"/>
        </w:rPr>
        <w:t>年</w:t>
      </w:r>
      <w:r>
        <w:t>____</w:t>
      </w:r>
      <w:r>
        <w:rPr>
          <w:rFonts w:hint="eastAsia"/>
        </w:rPr>
        <w:t>月</w:t>
      </w:r>
      <w:r>
        <w:t>____</w:t>
      </w:r>
      <w:r>
        <w:rPr>
          <w:rFonts w:hint="eastAsia"/>
        </w:rPr>
        <w:t>日</w:t>
      </w:r>
    </w:p>
    <w:p w14:paraId="3F0417C7">
      <w:pPr>
        <w:ind w:firstLine="420"/>
      </w:pPr>
      <w:r>
        <w:rPr>
          <w:sz w:val="21"/>
          <w:szCs w:val="21"/>
        </w:rPr>
        <w:br w:type="page"/>
      </w:r>
      <w:bookmarkStart w:id="548" w:name="_Toc34775145"/>
      <w:r>
        <w:t>附件</w:t>
      </w:r>
      <w:r>
        <w:rPr>
          <w:rFonts w:hint="eastAsia"/>
        </w:rPr>
        <w:t>5</w:t>
      </w:r>
    </w:p>
    <w:p w14:paraId="15BE0EFE">
      <w:pPr>
        <w:pStyle w:val="2"/>
        <w:ind w:firstLine="643"/>
      </w:pPr>
      <w:bookmarkStart w:id="549" w:name="_Toc907"/>
      <w:bookmarkStart w:id="550" w:name="_Toc32260"/>
      <w:bookmarkStart w:id="551" w:name="_Toc22065"/>
      <w:bookmarkStart w:id="552" w:name="_Toc23393"/>
      <w:bookmarkStart w:id="553" w:name="_Toc27109"/>
      <w:bookmarkStart w:id="554" w:name="_Toc7255"/>
      <w:bookmarkStart w:id="555" w:name="_Toc8178"/>
      <w:bookmarkStart w:id="556" w:name="_Toc26963"/>
      <w:r>
        <w:rPr>
          <w:rFonts w:hint="eastAsia"/>
        </w:rPr>
        <w:t>近三年内在经营活动中没有重大违法记录的承诺函</w:t>
      </w:r>
      <w:bookmarkEnd w:id="548"/>
      <w:bookmarkEnd w:id="549"/>
      <w:bookmarkEnd w:id="550"/>
      <w:bookmarkEnd w:id="551"/>
      <w:bookmarkEnd w:id="552"/>
      <w:bookmarkEnd w:id="553"/>
      <w:bookmarkEnd w:id="554"/>
      <w:bookmarkEnd w:id="555"/>
      <w:bookmarkEnd w:id="556"/>
    </w:p>
    <w:p w14:paraId="7565AD15">
      <w:pPr>
        <w:ind w:firstLine="480"/>
      </w:pPr>
    </w:p>
    <w:p w14:paraId="49F5C485">
      <w:pPr>
        <w:spacing w:line="360" w:lineRule="auto"/>
        <w:ind w:firstLine="388"/>
        <w:jc w:val="center"/>
        <w:rPr>
          <w:rFonts w:ascii="宋体" w:hAnsi="宋体" w:cs="Arial"/>
          <w:b/>
          <w:w w:val="80"/>
        </w:rPr>
      </w:pPr>
    </w:p>
    <w:p w14:paraId="725BE91E">
      <w:pPr>
        <w:spacing w:line="360" w:lineRule="auto"/>
        <w:ind w:firstLine="388"/>
        <w:jc w:val="center"/>
        <w:rPr>
          <w:rFonts w:ascii="宋体" w:hAnsi="宋体" w:cs="Arial"/>
          <w:b/>
          <w:w w:val="80"/>
        </w:rPr>
      </w:pPr>
    </w:p>
    <w:p w14:paraId="15E832A5">
      <w:pPr>
        <w:ind w:firstLine="0" w:firstLineChars="0"/>
      </w:pPr>
      <w:r>
        <w:rPr>
          <w:rFonts w:hint="eastAsia"/>
        </w:rPr>
        <w:t>丽水经济技术开发区生态林业发展中心：</w:t>
      </w:r>
    </w:p>
    <w:p w14:paraId="1C7343FC">
      <w:pPr>
        <w:ind w:firstLine="480"/>
      </w:pPr>
    </w:p>
    <w:p w14:paraId="720515EE">
      <w:pPr>
        <w:ind w:firstLine="480"/>
      </w:pPr>
      <w:r>
        <w:rPr>
          <w:rFonts w:hint="eastAsia"/>
        </w:rPr>
        <w:t>我方</w:t>
      </w:r>
      <w:r>
        <w:rPr>
          <w:rFonts w:hint="eastAsia"/>
          <w:u w:val="single"/>
        </w:rPr>
        <w:t>（投标供应商名称）</w:t>
      </w:r>
      <w:r>
        <w:rPr>
          <w:rFonts w:hint="eastAsia"/>
        </w:rPr>
        <w:t>在参加</w:t>
      </w:r>
      <w:r>
        <w:rPr>
          <w:rFonts w:hint="eastAsia"/>
          <w:u w:val="single"/>
        </w:rPr>
        <w:t xml:space="preserve">           项目（项目编号：   ）</w:t>
      </w:r>
      <w:r>
        <w:rPr>
          <w:rFonts w:hint="eastAsia"/>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t>/</w:t>
      </w:r>
      <w:r>
        <w:rPr>
          <w:rFonts w:hint="eastAsia"/>
        </w:rPr>
        <w:t>谈判</w:t>
      </w:r>
      <w:r>
        <w:t>/</w:t>
      </w:r>
      <w:r>
        <w:rPr>
          <w:rFonts w:hint="eastAsia"/>
        </w:rPr>
        <w:t>中标（成交）</w:t>
      </w:r>
      <w:r>
        <w:t>/</w:t>
      </w:r>
      <w:r>
        <w:rPr>
          <w:rFonts w:hint="eastAsia"/>
        </w:rPr>
        <w:t>签订合同），我方对此无任何异议，并愿意承担一切后果和责任。</w:t>
      </w:r>
    </w:p>
    <w:p w14:paraId="7072FD91">
      <w:pPr>
        <w:ind w:firstLine="480"/>
      </w:pPr>
      <w:r>
        <w:rPr>
          <w:rFonts w:hint="eastAsia"/>
        </w:rPr>
        <w:t>特此声明！</w:t>
      </w:r>
    </w:p>
    <w:p w14:paraId="7299C02D">
      <w:pPr>
        <w:ind w:firstLine="480"/>
      </w:pPr>
    </w:p>
    <w:p w14:paraId="668CA43D">
      <w:pPr>
        <w:ind w:firstLine="480"/>
      </w:pPr>
      <w:r>
        <w:rPr>
          <w:rFonts w:hint="eastAsia"/>
        </w:rPr>
        <w:t>供应商名称（盖章）：</w:t>
      </w:r>
      <w:r>
        <w:t>____________________________________________</w:t>
      </w:r>
    </w:p>
    <w:p w14:paraId="19476C51">
      <w:pPr>
        <w:ind w:firstLine="480"/>
      </w:pPr>
      <w:r>
        <w:rPr>
          <w:rFonts w:hint="eastAsia"/>
        </w:rPr>
        <w:t>法定代表人或其授权代表（签字或盖章）：</w:t>
      </w:r>
      <w:r>
        <w:t>____________________________</w:t>
      </w:r>
    </w:p>
    <w:p w14:paraId="4E156175">
      <w:pPr>
        <w:ind w:firstLine="480"/>
      </w:pPr>
      <w:r>
        <w:rPr>
          <w:rFonts w:hint="eastAsia"/>
        </w:rPr>
        <w:t>日期：</w:t>
      </w:r>
      <w:r>
        <w:t>________</w:t>
      </w:r>
      <w:r>
        <w:rPr>
          <w:rFonts w:hint="eastAsia"/>
        </w:rPr>
        <w:t>年</w:t>
      </w:r>
      <w:r>
        <w:t>____</w:t>
      </w:r>
      <w:r>
        <w:rPr>
          <w:rFonts w:hint="eastAsia"/>
        </w:rPr>
        <w:t>月</w:t>
      </w:r>
      <w:r>
        <w:t>____</w:t>
      </w:r>
      <w:r>
        <w:rPr>
          <w:rFonts w:hint="eastAsia"/>
        </w:rPr>
        <w:t>日</w:t>
      </w:r>
    </w:p>
    <w:p w14:paraId="6B157046">
      <w:pPr>
        <w:widowControl/>
        <w:spacing w:line="240" w:lineRule="auto"/>
        <w:ind w:firstLine="0" w:firstLineChars="0"/>
        <w:jc w:val="left"/>
      </w:pPr>
      <w:r>
        <w:br w:type="page"/>
      </w:r>
    </w:p>
    <w:p w14:paraId="31874712">
      <w:pPr>
        <w:ind w:firstLine="480"/>
      </w:pPr>
      <w:r>
        <w:rPr>
          <w:rFonts w:hint="eastAsia"/>
        </w:rPr>
        <w:t>附件6</w:t>
      </w:r>
    </w:p>
    <w:p w14:paraId="5CD310F2">
      <w:pPr>
        <w:pStyle w:val="2"/>
        <w:ind w:firstLine="643"/>
        <w:jc w:val="center"/>
      </w:pPr>
      <w:bookmarkStart w:id="557" w:name="_Toc12025"/>
      <w:bookmarkStart w:id="558" w:name="_Toc15850"/>
      <w:bookmarkStart w:id="559" w:name="_Toc16942"/>
      <w:bookmarkStart w:id="560" w:name="_Toc20387"/>
      <w:bookmarkStart w:id="561" w:name="_Toc7504"/>
      <w:bookmarkStart w:id="562" w:name="_Toc26349"/>
      <w:bookmarkStart w:id="563" w:name="_Toc18378"/>
      <w:bookmarkStart w:id="564" w:name="_Toc9747"/>
      <w:r>
        <w:t>没有行贿犯罪记录申明函</w:t>
      </w:r>
      <w:bookmarkEnd w:id="557"/>
      <w:bookmarkEnd w:id="558"/>
      <w:bookmarkEnd w:id="559"/>
      <w:bookmarkEnd w:id="560"/>
      <w:bookmarkEnd w:id="561"/>
      <w:bookmarkEnd w:id="562"/>
      <w:bookmarkEnd w:id="563"/>
      <w:bookmarkEnd w:id="564"/>
    </w:p>
    <w:p w14:paraId="688EB246">
      <w:pPr>
        <w:pStyle w:val="14"/>
        <w:adjustRightInd w:val="0"/>
        <w:spacing w:line="360" w:lineRule="auto"/>
        <w:ind w:firstLine="480" w:firstLineChars="229"/>
        <w:rPr>
          <w:rFonts w:ascii="Arial" w:hAnsi="Arial" w:cs="Arial"/>
          <w:szCs w:val="21"/>
          <w:u w:val="single"/>
        </w:rPr>
      </w:pPr>
    </w:p>
    <w:p w14:paraId="2904A358">
      <w:pPr>
        <w:ind w:firstLine="0" w:firstLineChars="0"/>
      </w:pPr>
      <w:r>
        <w:rPr>
          <w:rFonts w:hint="eastAsia"/>
          <w:u w:val="single"/>
        </w:rPr>
        <w:t>丽水经济技术开发区生态林业发展中心：</w:t>
      </w:r>
    </w:p>
    <w:p w14:paraId="14B531FB">
      <w:pPr>
        <w:ind w:firstLine="480"/>
      </w:pPr>
    </w:p>
    <w:p w14:paraId="22DD58F5">
      <w:pPr>
        <w:ind w:firstLine="480"/>
      </w:pPr>
      <w:r>
        <w:rPr>
          <w:rFonts w:hint="eastAsia"/>
        </w:rPr>
        <w:t>我方</w:t>
      </w:r>
      <w:r>
        <w:rPr>
          <w:rFonts w:hint="eastAsia"/>
          <w:u w:val="single"/>
        </w:rPr>
        <w:t xml:space="preserve">    （投标供应商名称）</w:t>
      </w:r>
      <w:r>
        <w:rPr>
          <w:rFonts w:hint="eastAsia"/>
        </w:rPr>
        <w:t>郑重声明：供应商、法定代表人在前3年内没有行贿犯罪记录。</w:t>
      </w:r>
    </w:p>
    <w:p w14:paraId="2C766DF1">
      <w:pPr>
        <w:ind w:firstLine="480"/>
      </w:pPr>
      <w:r>
        <w:rPr>
          <w:rFonts w:hint="eastAsia"/>
        </w:rPr>
        <w:t>本单位对上述承诺的内容事项真实性负责，如有虚假，由我单位承担相关法律责任。</w:t>
      </w:r>
    </w:p>
    <w:p w14:paraId="43642CBD">
      <w:pPr>
        <w:ind w:firstLine="480"/>
      </w:pPr>
      <w:r>
        <w:rPr>
          <w:rFonts w:hint="eastAsia"/>
        </w:rPr>
        <w:t>特此声明！</w:t>
      </w:r>
    </w:p>
    <w:p w14:paraId="5CA4B2D1">
      <w:pPr>
        <w:ind w:firstLine="480"/>
      </w:pPr>
    </w:p>
    <w:p w14:paraId="0F7F4233">
      <w:pPr>
        <w:ind w:firstLine="480"/>
      </w:pPr>
    </w:p>
    <w:p w14:paraId="590B50A4">
      <w:pPr>
        <w:ind w:firstLine="480"/>
      </w:pPr>
      <w:r>
        <w:rPr>
          <w:rFonts w:hint="eastAsia"/>
        </w:rPr>
        <w:t>供应商名称（盖章）：</w:t>
      </w:r>
      <w:r>
        <w:t>____________________________________________</w:t>
      </w:r>
    </w:p>
    <w:p w14:paraId="54D1AFE3">
      <w:pPr>
        <w:ind w:firstLine="480"/>
      </w:pPr>
      <w:r>
        <w:rPr>
          <w:rFonts w:hint="eastAsia"/>
        </w:rPr>
        <w:t>法定代表人或其授权代表（签字或盖章）：</w:t>
      </w:r>
      <w:r>
        <w:t>____________________________</w:t>
      </w:r>
    </w:p>
    <w:p w14:paraId="77006359">
      <w:pPr>
        <w:ind w:firstLine="480"/>
      </w:pPr>
      <w:r>
        <w:rPr>
          <w:rFonts w:hint="eastAsia"/>
        </w:rPr>
        <w:t>日期：</w:t>
      </w:r>
      <w:r>
        <w:t>________</w:t>
      </w:r>
      <w:r>
        <w:rPr>
          <w:rFonts w:hint="eastAsia"/>
        </w:rPr>
        <w:t>年</w:t>
      </w:r>
      <w:r>
        <w:t>____</w:t>
      </w:r>
      <w:r>
        <w:rPr>
          <w:rFonts w:hint="eastAsia"/>
        </w:rPr>
        <w:t>月</w:t>
      </w:r>
      <w:r>
        <w:t>____</w:t>
      </w:r>
      <w:r>
        <w:rPr>
          <w:rFonts w:hint="eastAsia"/>
        </w:rPr>
        <w:t>日</w:t>
      </w:r>
    </w:p>
    <w:p w14:paraId="328026ED">
      <w:pPr>
        <w:widowControl/>
        <w:spacing w:line="240" w:lineRule="auto"/>
        <w:ind w:firstLine="0" w:firstLineChars="0"/>
        <w:jc w:val="left"/>
      </w:pPr>
      <w:r>
        <w:br w:type="page"/>
      </w:r>
    </w:p>
    <w:p w14:paraId="76423BB7">
      <w:pPr>
        <w:widowControl/>
        <w:spacing w:line="240" w:lineRule="auto"/>
        <w:ind w:firstLine="0" w:firstLineChars="0"/>
        <w:jc w:val="left"/>
      </w:pPr>
      <w:r>
        <w:t>附件</w:t>
      </w:r>
      <w:r>
        <w:rPr>
          <w:rFonts w:hint="eastAsia"/>
        </w:rPr>
        <w:t>7</w:t>
      </w:r>
    </w:p>
    <w:p w14:paraId="70A442F9">
      <w:pPr>
        <w:pStyle w:val="2"/>
        <w:ind w:firstLine="643"/>
        <w:jc w:val="center"/>
        <w:rPr>
          <w:rFonts w:eastAsiaTheme="majorEastAsia"/>
        </w:rPr>
      </w:pPr>
      <w:bookmarkStart w:id="565" w:name="_Toc23309"/>
      <w:bookmarkStart w:id="566" w:name="_Toc24147"/>
      <w:bookmarkStart w:id="567" w:name="_Toc4947"/>
      <w:r>
        <w:rPr>
          <w:rFonts w:hint="eastAsia"/>
        </w:rPr>
        <w:t>投标声明函</w:t>
      </w:r>
      <w:bookmarkEnd w:id="565"/>
      <w:bookmarkEnd w:id="566"/>
      <w:bookmarkEnd w:id="567"/>
    </w:p>
    <w:p w14:paraId="2A70884C">
      <w:pPr>
        <w:ind w:firstLine="0" w:firstLineChars="0"/>
        <w:rPr>
          <w:rFonts w:ascii="宋体" w:hAnsi="宋体"/>
          <w:sz w:val="21"/>
          <w:szCs w:val="21"/>
        </w:rPr>
      </w:pPr>
    </w:p>
    <w:p w14:paraId="27F550C3">
      <w:pPr>
        <w:ind w:firstLine="480"/>
        <w:rPr>
          <w:lang w:val="zh-CN"/>
        </w:rPr>
      </w:pPr>
      <w:r>
        <w:rPr>
          <w:rFonts w:hint="eastAsia"/>
        </w:rPr>
        <w:t>致：丽水经济技术开发区生态林业发展中心</w:t>
      </w:r>
      <w:r>
        <w:rPr>
          <w:rFonts w:hint="eastAsia"/>
          <w:u w:val="single"/>
        </w:rPr>
        <w:t>（供应商全称）授权（全权代表姓名）（职务、职称）</w:t>
      </w:r>
      <w:r>
        <w:rPr>
          <w:rFonts w:hint="eastAsia"/>
        </w:rPr>
        <w:t>为全权代表，参加贵方组织的</w:t>
      </w:r>
      <w:r>
        <w:rPr>
          <w:rFonts w:hint="eastAsia"/>
          <w:u w:val="single"/>
        </w:rPr>
        <w:t xml:space="preserve">     项目名称  （项目编号：）</w:t>
      </w:r>
      <w:r>
        <w:rPr>
          <w:rFonts w:hint="eastAsia"/>
        </w:rPr>
        <w:t>磋商的有关活动，并对此项目进行磋商。为此：</w:t>
      </w:r>
    </w:p>
    <w:p w14:paraId="6B59AD66">
      <w:pPr>
        <w:ind w:firstLine="480"/>
      </w:pPr>
      <w:r>
        <w:rPr>
          <w:rFonts w:hint="eastAsia"/>
        </w:rPr>
        <w:t>1.我方同意在供应商须知前附表规定的开启日期起遵守本报价函中的承诺且在报价有效期满之前均具有约束力。</w:t>
      </w:r>
    </w:p>
    <w:p w14:paraId="395028A4">
      <w:pPr>
        <w:ind w:firstLine="480"/>
      </w:pPr>
      <w:r>
        <w:rPr>
          <w:rFonts w:hint="eastAsia"/>
        </w:rPr>
        <w:t>2.我方承诺已经具备《中华人民共和国政府采购法》中规定的参加政府采购活动的供应商应当具备的条件。</w:t>
      </w:r>
    </w:p>
    <w:p w14:paraId="3EE8BE59">
      <w:pPr>
        <w:ind w:firstLine="480"/>
      </w:pPr>
      <w:r>
        <w:rPr>
          <w:rFonts w:hint="eastAsia"/>
        </w:rPr>
        <w:t>3.提供竞争性磋商文件供应商须知规定的全部响应文件</w:t>
      </w:r>
    </w:p>
    <w:p w14:paraId="4116463A">
      <w:pPr>
        <w:ind w:firstLine="480"/>
      </w:pPr>
      <w:r>
        <w:rPr>
          <w:rFonts w:hint="eastAsia"/>
        </w:rPr>
        <w:t>4.按竞争性磋商文件要求提供和交付的货物和服务的磋商报价详见磋商报价表。</w:t>
      </w:r>
    </w:p>
    <w:p w14:paraId="70BAEFFF">
      <w:pPr>
        <w:ind w:firstLine="480"/>
      </w:pPr>
      <w:r>
        <w:rPr>
          <w:rFonts w:hint="eastAsia"/>
        </w:rPr>
        <w:t>5.保证忠实地执行双方所签订的合同，并承担合同规定的责任和义务。</w:t>
      </w:r>
    </w:p>
    <w:p w14:paraId="59756D16">
      <w:pPr>
        <w:ind w:firstLine="480"/>
      </w:pPr>
      <w:r>
        <w:rPr>
          <w:rFonts w:hint="eastAsia"/>
        </w:rPr>
        <w:t>6.保证遵守竞争性磋商文件中的其他有关规定。</w:t>
      </w:r>
    </w:p>
    <w:p w14:paraId="7FF208E0">
      <w:pPr>
        <w:ind w:firstLine="480"/>
      </w:pPr>
      <w:r>
        <w:rPr>
          <w:rFonts w:hint="eastAsia"/>
        </w:rPr>
        <w:t>7.在响应文件开启后规定的报价有效期内不得撤回响应文件</w:t>
      </w:r>
    </w:p>
    <w:p w14:paraId="7C462FE9">
      <w:pPr>
        <w:ind w:firstLine="480"/>
      </w:pPr>
      <w:r>
        <w:rPr>
          <w:rFonts w:hint="eastAsia"/>
        </w:rPr>
        <w:t>8.我方完全理解贵方不一定要接受最低价的成交。</w:t>
      </w:r>
    </w:p>
    <w:p w14:paraId="2ED05776">
      <w:pPr>
        <w:ind w:firstLine="480"/>
      </w:pPr>
      <w:r>
        <w:rPr>
          <w:rFonts w:hint="eastAsia"/>
        </w:rPr>
        <w:t>9.我方承诺愿意真实向贵方提供任何与该项磋商有关的数据、情况和技术资料。</w:t>
      </w:r>
    </w:p>
    <w:p w14:paraId="6F6F0DC4">
      <w:pPr>
        <w:ind w:firstLine="480"/>
      </w:pPr>
      <w:r>
        <w:rPr>
          <w:rFonts w:hint="eastAsia"/>
        </w:rPr>
        <w:t>10.我方已详细审核全部竞争性磋商文件，包括竞争性磋商文件修改书（如有的话）、参考资料及有关附件，确认无误。</w:t>
      </w:r>
    </w:p>
    <w:p w14:paraId="43A19820">
      <w:pPr>
        <w:ind w:firstLine="480"/>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E463DD3">
      <w:pPr>
        <w:ind w:firstLine="480"/>
      </w:pPr>
      <w:r>
        <w:rPr>
          <w:rFonts w:hint="eastAsia"/>
        </w:rPr>
        <w:t>（1）提供虚假材料谋取成交、成交的；</w:t>
      </w:r>
    </w:p>
    <w:p w14:paraId="663AE216">
      <w:pPr>
        <w:ind w:firstLine="480"/>
      </w:pPr>
      <w:r>
        <w:rPr>
          <w:rFonts w:hint="eastAsia"/>
        </w:rPr>
        <w:t>（2）采取不正当手段诋毁、排挤其他供应商的；</w:t>
      </w:r>
    </w:p>
    <w:p w14:paraId="72B18711">
      <w:pPr>
        <w:ind w:firstLine="480"/>
      </w:pPr>
      <w:r>
        <w:rPr>
          <w:rFonts w:hint="eastAsia"/>
        </w:rPr>
        <w:t>（3）与采购人、其他供应商或采购代理机构恶意串通的；</w:t>
      </w:r>
    </w:p>
    <w:p w14:paraId="650878FB">
      <w:pPr>
        <w:ind w:firstLine="480"/>
      </w:pPr>
      <w:r>
        <w:rPr>
          <w:rFonts w:hint="eastAsia"/>
        </w:rPr>
        <w:t>（4）向采购人、采购代理机构行贿或者提供其他不正当利益的；</w:t>
      </w:r>
    </w:p>
    <w:p w14:paraId="7A9618B7">
      <w:pPr>
        <w:ind w:firstLine="480"/>
      </w:pPr>
      <w:r>
        <w:rPr>
          <w:rFonts w:hint="eastAsia"/>
        </w:rPr>
        <w:t>（5）在采购过程中与采购人进行协商磋商的；</w:t>
      </w:r>
    </w:p>
    <w:p w14:paraId="3224DA33">
      <w:pPr>
        <w:ind w:firstLine="480"/>
      </w:pPr>
      <w:r>
        <w:rPr>
          <w:rFonts w:hint="eastAsia"/>
        </w:rPr>
        <w:t>（6）拒绝有关部门监督检查或提供虚假情况的。</w:t>
      </w:r>
    </w:p>
    <w:p w14:paraId="2E3461C7">
      <w:pPr>
        <w:ind w:firstLine="480"/>
      </w:pPr>
      <w:r>
        <w:rPr>
          <w:rFonts w:hint="eastAsia"/>
        </w:rPr>
        <w:t>12.其他承诺：</w:t>
      </w:r>
    </w:p>
    <w:p w14:paraId="6C4EDAA3">
      <w:pPr>
        <w:ind w:firstLine="480"/>
      </w:pPr>
      <w:r>
        <w:rPr>
          <w:rFonts w:hint="eastAsia"/>
        </w:rPr>
        <w:t>（1）</w:t>
      </w:r>
      <w:r>
        <w:t>投标有效期内不撤销响应文件；强行撤销的，承诺按采购预算金额的2%赔偿对采购组织机构造成损失；</w:t>
      </w:r>
    </w:p>
    <w:p w14:paraId="6DD623D9">
      <w:pPr>
        <w:ind w:firstLine="480"/>
      </w:pPr>
      <w:r>
        <w:rPr>
          <w:rFonts w:hint="eastAsia"/>
        </w:rPr>
        <w:t>（2）</w:t>
      </w:r>
      <w:r>
        <w:t>中标或者成交后，按采购文件规定与采购人签订合同。拒绝签订合同的，承诺按采购预算金额的2%对采购人进行赔偿；赔偿金额不足以弥补采购人损失的，承诺继续承担超过部分的损失。</w:t>
      </w:r>
    </w:p>
    <w:p w14:paraId="3E5CF09A">
      <w:pPr>
        <w:ind w:firstLine="480"/>
      </w:pPr>
      <w:r>
        <w:rPr>
          <w:rFonts w:hint="eastAsia"/>
        </w:rPr>
        <w:t>（3）</w:t>
      </w:r>
      <w:r>
        <w:t>中标或者成交后，按采购文件规定的采购代理服务费标准，承诺在签订合同前向采购代理机构支付采购代理服务费。</w:t>
      </w:r>
    </w:p>
    <w:p w14:paraId="765BA0AF">
      <w:pPr>
        <w:ind w:firstLine="480"/>
      </w:pPr>
    </w:p>
    <w:p w14:paraId="5E8795A5">
      <w:pPr>
        <w:ind w:firstLine="480"/>
      </w:pPr>
    </w:p>
    <w:p w14:paraId="66456BB0">
      <w:pPr>
        <w:ind w:firstLine="480"/>
      </w:pPr>
    </w:p>
    <w:p w14:paraId="069FFF86">
      <w:pPr>
        <w:ind w:firstLine="480"/>
      </w:pPr>
      <w:r>
        <w:rPr>
          <w:rFonts w:hint="eastAsia"/>
        </w:rPr>
        <w:t>供应商名称（盖章）：</w:t>
      </w:r>
      <w:r>
        <w:t>____________________________________________</w:t>
      </w:r>
    </w:p>
    <w:p w14:paraId="377103D2">
      <w:pPr>
        <w:ind w:firstLine="480"/>
      </w:pPr>
      <w:r>
        <w:rPr>
          <w:rFonts w:hint="eastAsia"/>
        </w:rPr>
        <w:t>法定代表人或其授权代表（签字或盖章）：</w:t>
      </w:r>
      <w:r>
        <w:t>____________________________</w:t>
      </w:r>
    </w:p>
    <w:p w14:paraId="52171CC5">
      <w:pPr>
        <w:ind w:firstLine="480"/>
      </w:pPr>
      <w:r>
        <w:rPr>
          <w:rFonts w:hint="eastAsia"/>
        </w:rPr>
        <w:t>日期：</w:t>
      </w:r>
      <w:r>
        <w:t>________</w:t>
      </w:r>
      <w:r>
        <w:rPr>
          <w:rFonts w:hint="eastAsia"/>
        </w:rPr>
        <w:t>年</w:t>
      </w:r>
      <w:r>
        <w:t>____</w:t>
      </w:r>
      <w:r>
        <w:rPr>
          <w:rFonts w:hint="eastAsia"/>
        </w:rPr>
        <w:t>月</w:t>
      </w:r>
      <w:r>
        <w:t>____</w:t>
      </w:r>
      <w:r>
        <w:rPr>
          <w:rFonts w:hint="eastAsia"/>
        </w:rPr>
        <w:t>日</w:t>
      </w:r>
    </w:p>
    <w:p w14:paraId="48EB21E6">
      <w:pPr>
        <w:ind w:firstLine="480"/>
      </w:pPr>
    </w:p>
    <w:p w14:paraId="4B91B21C">
      <w:pPr>
        <w:ind w:firstLine="480"/>
      </w:pPr>
      <w:r>
        <w:rPr>
          <w:rFonts w:hint="eastAsia"/>
        </w:rPr>
        <w:t>注：未按照本报价函要求填报的将被视为非实质性响应，从而可能导致该响应被拒绝。</w:t>
      </w:r>
    </w:p>
    <w:p w14:paraId="181371D3">
      <w:pPr>
        <w:pStyle w:val="27"/>
        <w:ind w:left="480" w:firstLine="480"/>
      </w:pPr>
    </w:p>
    <w:p w14:paraId="7C396B19">
      <w:pPr>
        <w:pStyle w:val="27"/>
        <w:ind w:left="480" w:firstLine="480"/>
      </w:pPr>
    </w:p>
    <w:p w14:paraId="62D8A5EE">
      <w:pPr>
        <w:widowControl/>
        <w:spacing w:line="240" w:lineRule="auto"/>
        <w:ind w:firstLine="0" w:firstLineChars="0"/>
        <w:jc w:val="left"/>
      </w:pPr>
      <w:r>
        <w:br w:type="page"/>
      </w:r>
    </w:p>
    <w:p w14:paraId="1C6D96ED">
      <w:pPr>
        <w:ind w:firstLine="480"/>
        <w:rPr>
          <w:rFonts w:hAnsi="宋体"/>
          <w:b/>
          <w:sz w:val="30"/>
          <w:szCs w:val="30"/>
        </w:rPr>
      </w:pPr>
      <w:r>
        <w:t>附</w:t>
      </w:r>
      <w:r>
        <w:rPr>
          <w:rFonts w:hint="eastAsia"/>
        </w:rPr>
        <w:t>件8</w:t>
      </w:r>
    </w:p>
    <w:p w14:paraId="1C2A9C88">
      <w:pPr>
        <w:pStyle w:val="2"/>
        <w:ind w:firstLine="643"/>
        <w:jc w:val="center"/>
      </w:pPr>
      <w:bookmarkStart w:id="568" w:name="_Toc16052"/>
      <w:bookmarkStart w:id="569" w:name="_Toc9373"/>
      <w:bookmarkStart w:id="570" w:name="_Toc7064"/>
      <w:bookmarkStart w:id="571" w:name="_Toc237"/>
      <w:bookmarkStart w:id="572" w:name="_Toc2718"/>
      <w:bookmarkStart w:id="573" w:name="_Toc18802"/>
      <w:bookmarkStart w:id="574" w:name="_Toc7019"/>
      <w:bookmarkStart w:id="575" w:name="_Toc25651"/>
      <w:r>
        <w:rPr>
          <w:rFonts w:hint="eastAsia"/>
        </w:rPr>
        <w:t>法定代表人授权书</w:t>
      </w:r>
      <w:bookmarkEnd w:id="568"/>
      <w:bookmarkEnd w:id="569"/>
      <w:bookmarkEnd w:id="570"/>
      <w:bookmarkEnd w:id="571"/>
      <w:bookmarkEnd w:id="572"/>
      <w:bookmarkEnd w:id="573"/>
      <w:bookmarkEnd w:id="574"/>
      <w:bookmarkEnd w:id="575"/>
    </w:p>
    <w:p w14:paraId="4A07A16C">
      <w:pPr>
        <w:ind w:firstLine="723"/>
        <w:rPr>
          <w:rFonts w:hAnsi="宋体"/>
          <w:b/>
          <w:sz w:val="36"/>
          <w:szCs w:val="36"/>
        </w:rPr>
      </w:pPr>
    </w:p>
    <w:p w14:paraId="2CFAF800">
      <w:pPr>
        <w:ind w:firstLine="0" w:firstLineChars="0"/>
      </w:pPr>
      <w:r>
        <w:rPr>
          <w:rFonts w:hint="eastAsia"/>
          <w:u w:val="single"/>
        </w:rPr>
        <w:t>丽水经济技术开发区生态林业发展中心：</w:t>
      </w:r>
    </w:p>
    <w:p w14:paraId="4FBE4336">
      <w:pPr>
        <w:ind w:firstLine="480"/>
      </w:pPr>
    </w:p>
    <w:p w14:paraId="17D2D631">
      <w:pPr>
        <w:ind w:firstLine="480"/>
      </w:pPr>
      <w:r>
        <w:t>我以</w:t>
      </w:r>
      <w:r>
        <w:rPr>
          <w:u w:val="single"/>
        </w:rPr>
        <w:t xml:space="preserve">        （供应商全称）    </w:t>
      </w:r>
      <w:r>
        <w:t>法定代表人的身份授权</w:t>
      </w:r>
      <w:r>
        <w:rPr>
          <w:u w:val="single"/>
        </w:rPr>
        <w:t xml:space="preserve">（全权代表姓名）、  （身份证号）   </w:t>
      </w:r>
      <w:r>
        <w:t>，为我单位的全权代表，参加贵处组织的</w:t>
      </w:r>
      <w:r>
        <w:rPr>
          <w:u w:val="single"/>
        </w:rPr>
        <w:t xml:space="preserve">  （项目名称） （  项目编号  ）</w:t>
      </w:r>
      <w:r>
        <w:t>的磋商，签署本项目相关磋商响应文件并全权处理磋商活动中的一切事宜。我单位承认全权代表做出的与本项目磋商活动有关的全部行为。</w:t>
      </w:r>
    </w:p>
    <w:p w14:paraId="12F59014">
      <w:pPr>
        <w:ind w:firstLine="480"/>
      </w:pPr>
      <w:r>
        <w:t>供应商全称（盖单位公章）：</w:t>
      </w:r>
    </w:p>
    <w:p w14:paraId="2F5D09C8">
      <w:pPr>
        <w:ind w:firstLine="480"/>
      </w:pPr>
      <w:r>
        <w:t>法定代表人（签字或盖章）：</w:t>
      </w:r>
    </w:p>
    <w:p w14:paraId="1D8C1D41">
      <w:pPr>
        <w:ind w:firstLine="480"/>
      </w:pPr>
      <w:r>
        <w:t>电话：</w:t>
      </w:r>
    </w:p>
    <w:p w14:paraId="54174380">
      <w:pPr>
        <w:ind w:firstLine="480"/>
      </w:pPr>
      <w:r>
        <w:t>日期：</w:t>
      </w:r>
    </w:p>
    <w:p w14:paraId="3DD5493C">
      <w:pPr>
        <w:ind w:firstLine="480"/>
      </w:pPr>
      <w:r>
        <w:t>附：</w:t>
      </w:r>
    </w:p>
    <w:p w14:paraId="23762567">
      <w:pPr>
        <w:ind w:firstLine="480"/>
      </w:pPr>
      <w:r>
        <w:t>全权代表姓名：     身份证号码：      职  务：         电  话：</w:t>
      </w:r>
    </w:p>
    <w:p w14:paraId="660088CE">
      <w:pPr>
        <w:ind w:firstLine="482"/>
        <w:rPr>
          <w:rFonts w:ascii="Arial" w:hAnsi="Arial" w:cs="Arial"/>
          <w:b/>
        </w:rPr>
      </w:pPr>
      <w:r>
        <w:rPr>
          <w:rFonts w:hint="eastAsia" w:ascii="Arial" w:hAnsi="Arial" w:cs="Arial"/>
          <w:b/>
        </w:rPr>
        <w:t>授权人及被授权人身份证复印件</w:t>
      </w:r>
      <w:r>
        <w:rPr>
          <w:rFonts w:ascii="Arial" w:hAnsi="Arial" w:cs="Arial"/>
          <w:b/>
        </w:rPr>
        <w:t>：</w:t>
      </w:r>
    </w:p>
    <w:p w14:paraId="3BF495FB">
      <w:pPr>
        <w:ind w:firstLine="480"/>
      </w:pPr>
    </w:p>
    <w:p w14:paraId="472D32E3">
      <w:pPr>
        <w:ind w:firstLine="480"/>
      </w:pPr>
    </w:p>
    <w:p w14:paraId="048B6A6C">
      <w:pPr>
        <w:ind w:firstLine="480"/>
        <w:rPr>
          <w:rFonts w:ascii="Arial" w:hAnsi="Arial" w:cs="Arial"/>
          <w:b/>
          <w:szCs w:val="21"/>
        </w:rPr>
      </w:pPr>
      <w:r>
        <w:t>注：若是法定代表人参加磋商的及签署响应文件的则不需提供该授权书。</w:t>
      </w:r>
    </w:p>
    <w:p w14:paraId="11B84C26">
      <w:pPr>
        <w:widowControl/>
        <w:spacing w:line="240" w:lineRule="auto"/>
        <w:ind w:firstLine="0" w:firstLineChars="0"/>
        <w:jc w:val="left"/>
      </w:pPr>
      <w:r>
        <w:br w:type="page"/>
      </w:r>
      <w:bookmarkStart w:id="576" w:name="_Toc350453713"/>
      <w:bookmarkStart w:id="577" w:name="_Toc462229888"/>
      <w:bookmarkStart w:id="578" w:name="_Toc345575537"/>
      <w:bookmarkStart w:id="579" w:name="_Toc427610949"/>
      <w:r>
        <w:rPr>
          <w:rFonts w:hint="eastAsia"/>
        </w:rPr>
        <w:t>附件9</w:t>
      </w:r>
      <w:bookmarkEnd w:id="576"/>
      <w:bookmarkEnd w:id="577"/>
      <w:bookmarkEnd w:id="578"/>
      <w:bookmarkEnd w:id="579"/>
    </w:p>
    <w:p w14:paraId="0A950F17">
      <w:pPr>
        <w:pStyle w:val="2"/>
        <w:ind w:firstLine="643"/>
        <w:jc w:val="center"/>
        <w:rPr>
          <w:rFonts w:ascii="宋体" w:hAnsi="宋体" w:cs="宋体"/>
          <w:kern w:val="0"/>
          <w:sz w:val="30"/>
          <w:szCs w:val="30"/>
        </w:rPr>
      </w:pPr>
      <w:bookmarkStart w:id="580" w:name="_Toc11030"/>
      <w:bookmarkStart w:id="581" w:name="_Toc2167"/>
      <w:bookmarkStart w:id="582" w:name="_Toc17491"/>
      <w:bookmarkStart w:id="583" w:name="_Toc32696"/>
      <w:bookmarkStart w:id="584" w:name="_Toc5912"/>
      <w:bookmarkStart w:id="585" w:name="_Toc20952"/>
      <w:bookmarkStart w:id="586" w:name="_Toc8435"/>
      <w:bookmarkStart w:id="587" w:name="_Toc1345"/>
      <w:r>
        <w:rPr>
          <w:rFonts w:hint="eastAsia"/>
          <w:lang w:val="zh-CN"/>
        </w:rPr>
        <w:t>投标人</w:t>
      </w:r>
      <w:r>
        <w:rPr>
          <w:rFonts w:hint="eastAsia"/>
        </w:rPr>
        <w:t>同类项目</w:t>
      </w:r>
      <w:r>
        <w:rPr>
          <w:rFonts w:hint="eastAsia"/>
          <w:lang w:val="zh-CN"/>
        </w:rPr>
        <w:t>业绩一览表</w:t>
      </w:r>
      <w:bookmarkEnd w:id="580"/>
      <w:bookmarkEnd w:id="581"/>
      <w:bookmarkEnd w:id="582"/>
      <w:bookmarkEnd w:id="583"/>
      <w:bookmarkEnd w:id="584"/>
      <w:bookmarkEnd w:id="585"/>
      <w:bookmarkEnd w:id="586"/>
      <w:bookmarkEnd w:id="587"/>
    </w:p>
    <w:p w14:paraId="53DC877C">
      <w:pPr>
        <w:ind w:firstLine="0" w:firstLineChars="0"/>
        <w:rPr>
          <w:rFonts w:ascii="宋体" w:hAnsi="宋体"/>
          <w:sz w:val="21"/>
          <w:szCs w:val="21"/>
        </w:rPr>
      </w:pPr>
    </w:p>
    <w:tbl>
      <w:tblPr>
        <w:tblStyle w:val="77"/>
        <w:tblW w:w="9288" w:type="dxa"/>
        <w:tblInd w:w="-107" w:type="dxa"/>
        <w:tblLayout w:type="fixed"/>
        <w:tblCellMar>
          <w:top w:w="56" w:type="dxa"/>
          <w:left w:w="109" w:type="dxa"/>
          <w:bottom w:w="0" w:type="dxa"/>
          <w:right w:w="109" w:type="dxa"/>
        </w:tblCellMar>
      </w:tblPr>
      <w:tblGrid>
        <w:gridCol w:w="698"/>
        <w:gridCol w:w="2123"/>
        <w:gridCol w:w="1081"/>
        <w:gridCol w:w="1134"/>
        <w:gridCol w:w="1601"/>
        <w:gridCol w:w="1530"/>
        <w:gridCol w:w="1121"/>
      </w:tblGrid>
      <w:tr w14:paraId="0A57AE60">
        <w:tblPrEx>
          <w:tblCellMar>
            <w:top w:w="56" w:type="dxa"/>
            <w:left w:w="109" w:type="dxa"/>
            <w:bottom w:w="0" w:type="dxa"/>
            <w:right w:w="109" w:type="dxa"/>
          </w:tblCellMar>
        </w:tblPrEx>
        <w:trPr>
          <w:trHeight w:val="977"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70737DA7">
            <w:pPr>
              <w:pStyle w:val="36"/>
            </w:pPr>
            <w:r>
              <w:t>序号</w:t>
            </w:r>
          </w:p>
        </w:tc>
        <w:tc>
          <w:tcPr>
            <w:tcW w:w="2123" w:type="dxa"/>
            <w:tcBorders>
              <w:top w:val="single" w:color="000000" w:sz="4" w:space="0"/>
              <w:left w:val="single" w:color="000000" w:sz="4" w:space="0"/>
              <w:bottom w:val="single" w:color="000000" w:sz="4" w:space="0"/>
              <w:right w:val="single" w:color="000000" w:sz="4" w:space="0"/>
            </w:tcBorders>
            <w:vAlign w:val="center"/>
          </w:tcPr>
          <w:p w14:paraId="4F7F24C8">
            <w:pPr>
              <w:pStyle w:val="36"/>
            </w:pPr>
            <w:r>
              <w:t>项目名称</w:t>
            </w:r>
          </w:p>
        </w:tc>
        <w:tc>
          <w:tcPr>
            <w:tcW w:w="1081" w:type="dxa"/>
            <w:tcBorders>
              <w:top w:val="single" w:color="000000" w:sz="4" w:space="0"/>
              <w:left w:val="single" w:color="000000" w:sz="4" w:space="0"/>
              <w:bottom w:val="single" w:color="000000" w:sz="4" w:space="0"/>
              <w:right w:val="single" w:color="000000" w:sz="4" w:space="0"/>
            </w:tcBorders>
            <w:vAlign w:val="center"/>
          </w:tcPr>
          <w:p w14:paraId="36BEEEF3">
            <w:pPr>
              <w:pStyle w:val="36"/>
            </w:pPr>
            <w:r>
              <w:t>合同内容</w:t>
            </w:r>
          </w:p>
        </w:tc>
        <w:tc>
          <w:tcPr>
            <w:tcW w:w="1134" w:type="dxa"/>
            <w:tcBorders>
              <w:top w:val="single" w:color="000000" w:sz="4" w:space="0"/>
              <w:left w:val="single" w:color="000000" w:sz="4" w:space="0"/>
              <w:bottom w:val="single" w:color="000000" w:sz="4" w:space="0"/>
              <w:right w:val="single" w:color="000000" w:sz="4" w:space="0"/>
            </w:tcBorders>
            <w:vAlign w:val="center"/>
          </w:tcPr>
          <w:p w14:paraId="46F1F21C">
            <w:pPr>
              <w:pStyle w:val="36"/>
            </w:pPr>
            <w:r>
              <w:t>项目金额（万元）</w:t>
            </w:r>
          </w:p>
        </w:tc>
        <w:tc>
          <w:tcPr>
            <w:tcW w:w="1601" w:type="dxa"/>
            <w:tcBorders>
              <w:top w:val="single" w:color="000000" w:sz="4" w:space="0"/>
              <w:left w:val="single" w:color="000000" w:sz="4" w:space="0"/>
              <w:bottom w:val="single" w:color="000000" w:sz="4" w:space="0"/>
              <w:right w:val="single" w:color="000000" w:sz="4" w:space="0"/>
            </w:tcBorders>
            <w:vAlign w:val="center"/>
          </w:tcPr>
          <w:p w14:paraId="736F5036">
            <w:pPr>
              <w:pStyle w:val="36"/>
            </w:pPr>
            <w:r>
              <w:t>合同签订时间</w:t>
            </w:r>
          </w:p>
        </w:tc>
        <w:tc>
          <w:tcPr>
            <w:tcW w:w="1530" w:type="dxa"/>
            <w:tcBorders>
              <w:top w:val="single" w:color="000000" w:sz="4" w:space="0"/>
              <w:left w:val="single" w:color="000000" w:sz="4" w:space="0"/>
              <w:bottom w:val="single" w:color="000000" w:sz="4" w:space="0"/>
              <w:right w:val="single" w:color="000000" w:sz="4" w:space="0"/>
            </w:tcBorders>
          </w:tcPr>
          <w:p w14:paraId="7424A0A3">
            <w:pPr>
              <w:pStyle w:val="36"/>
            </w:pPr>
            <w:r>
              <w:t>项目单位、联系人及电话</w:t>
            </w:r>
          </w:p>
        </w:tc>
        <w:tc>
          <w:tcPr>
            <w:tcW w:w="1121" w:type="dxa"/>
            <w:tcBorders>
              <w:top w:val="single" w:color="000000" w:sz="4" w:space="0"/>
              <w:left w:val="single" w:color="000000" w:sz="4" w:space="0"/>
              <w:bottom w:val="single" w:color="000000" w:sz="4" w:space="0"/>
              <w:right w:val="single" w:color="000000" w:sz="4" w:space="0"/>
            </w:tcBorders>
            <w:vAlign w:val="center"/>
          </w:tcPr>
          <w:p w14:paraId="5B88864A">
            <w:pPr>
              <w:pStyle w:val="36"/>
            </w:pPr>
            <w:r>
              <w:t>备注</w:t>
            </w:r>
          </w:p>
        </w:tc>
      </w:tr>
      <w:tr w14:paraId="61DBBD34">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45817BA7">
            <w:pPr>
              <w:pStyle w:val="36"/>
            </w:pPr>
            <w:r>
              <w:t>1</w:t>
            </w:r>
          </w:p>
        </w:tc>
        <w:tc>
          <w:tcPr>
            <w:tcW w:w="2123" w:type="dxa"/>
            <w:tcBorders>
              <w:top w:val="single" w:color="000000" w:sz="4" w:space="0"/>
              <w:left w:val="single" w:color="000000" w:sz="4" w:space="0"/>
              <w:bottom w:val="single" w:color="000000" w:sz="4" w:space="0"/>
              <w:right w:val="single" w:color="000000" w:sz="4" w:space="0"/>
            </w:tcBorders>
          </w:tcPr>
          <w:p w14:paraId="0E019C0E">
            <w:pPr>
              <w:pStyle w:val="36"/>
            </w:pPr>
          </w:p>
        </w:tc>
        <w:tc>
          <w:tcPr>
            <w:tcW w:w="1081" w:type="dxa"/>
            <w:tcBorders>
              <w:top w:val="single" w:color="000000" w:sz="4" w:space="0"/>
              <w:left w:val="single" w:color="000000" w:sz="4" w:space="0"/>
              <w:bottom w:val="single" w:color="000000" w:sz="4" w:space="0"/>
              <w:right w:val="single" w:color="000000" w:sz="4" w:space="0"/>
            </w:tcBorders>
          </w:tcPr>
          <w:p w14:paraId="63669924">
            <w:pPr>
              <w:pStyle w:val="36"/>
            </w:pPr>
          </w:p>
        </w:tc>
        <w:tc>
          <w:tcPr>
            <w:tcW w:w="1134" w:type="dxa"/>
            <w:tcBorders>
              <w:top w:val="single" w:color="000000" w:sz="4" w:space="0"/>
              <w:left w:val="single" w:color="000000" w:sz="4" w:space="0"/>
              <w:bottom w:val="single" w:color="000000" w:sz="4" w:space="0"/>
              <w:right w:val="single" w:color="000000" w:sz="4" w:space="0"/>
            </w:tcBorders>
          </w:tcPr>
          <w:p w14:paraId="63693C75">
            <w:pPr>
              <w:pStyle w:val="36"/>
            </w:pPr>
          </w:p>
        </w:tc>
        <w:tc>
          <w:tcPr>
            <w:tcW w:w="1601" w:type="dxa"/>
            <w:tcBorders>
              <w:top w:val="single" w:color="000000" w:sz="4" w:space="0"/>
              <w:left w:val="single" w:color="000000" w:sz="4" w:space="0"/>
              <w:bottom w:val="single" w:color="000000" w:sz="4" w:space="0"/>
              <w:right w:val="single" w:color="000000" w:sz="4" w:space="0"/>
            </w:tcBorders>
          </w:tcPr>
          <w:p w14:paraId="578ECE94">
            <w:pPr>
              <w:pStyle w:val="36"/>
            </w:pPr>
          </w:p>
        </w:tc>
        <w:tc>
          <w:tcPr>
            <w:tcW w:w="1530" w:type="dxa"/>
            <w:tcBorders>
              <w:top w:val="single" w:color="000000" w:sz="4" w:space="0"/>
              <w:left w:val="single" w:color="000000" w:sz="4" w:space="0"/>
              <w:bottom w:val="single" w:color="000000" w:sz="4" w:space="0"/>
              <w:right w:val="single" w:color="000000" w:sz="4" w:space="0"/>
            </w:tcBorders>
          </w:tcPr>
          <w:p w14:paraId="229653D2">
            <w:pPr>
              <w:pStyle w:val="36"/>
            </w:pPr>
          </w:p>
        </w:tc>
        <w:tc>
          <w:tcPr>
            <w:tcW w:w="1121" w:type="dxa"/>
            <w:tcBorders>
              <w:top w:val="single" w:color="000000" w:sz="4" w:space="0"/>
              <w:left w:val="single" w:color="000000" w:sz="4" w:space="0"/>
              <w:bottom w:val="single" w:color="000000" w:sz="4" w:space="0"/>
              <w:right w:val="single" w:color="000000" w:sz="4" w:space="0"/>
            </w:tcBorders>
          </w:tcPr>
          <w:p w14:paraId="7C5C2C62">
            <w:pPr>
              <w:pStyle w:val="36"/>
            </w:pPr>
          </w:p>
        </w:tc>
      </w:tr>
      <w:tr w14:paraId="0C1A7C9A">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14F65288">
            <w:pPr>
              <w:pStyle w:val="36"/>
            </w:pPr>
            <w:r>
              <w:t>2</w:t>
            </w:r>
          </w:p>
        </w:tc>
        <w:tc>
          <w:tcPr>
            <w:tcW w:w="2123" w:type="dxa"/>
            <w:tcBorders>
              <w:top w:val="single" w:color="000000" w:sz="4" w:space="0"/>
              <w:left w:val="single" w:color="000000" w:sz="4" w:space="0"/>
              <w:bottom w:val="single" w:color="000000" w:sz="4" w:space="0"/>
              <w:right w:val="single" w:color="000000" w:sz="4" w:space="0"/>
            </w:tcBorders>
          </w:tcPr>
          <w:p w14:paraId="214FFF31">
            <w:pPr>
              <w:pStyle w:val="36"/>
            </w:pPr>
          </w:p>
        </w:tc>
        <w:tc>
          <w:tcPr>
            <w:tcW w:w="1081" w:type="dxa"/>
            <w:tcBorders>
              <w:top w:val="single" w:color="000000" w:sz="4" w:space="0"/>
              <w:left w:val="single" w:color="000000" w:sz="4" w:space="0"/>
              <w:bottom w:val="single" w:color="000000" w:sz="4" w:space="0"/>
              <w:right w:val="single" w:color="000000" w:sz="4" w:space="0"/>
            </w:tcBorders>
          </w:tcPr>
          <w:p w14:paraId="25C0CE19">
            <w:pPr>
              <w:pStyle w:val="36"/>
            </w:pPr>
          </w:p>
        </w:tc>
        <w:tc>
          <w:tcPr>
            <w:tcW w:w="1134" w:type="dxa"/>
            <w:tcBorders>
              <w:top w:val="single" w:color="000000" w:sz="4" w:space="0"/>
              <w:left w:val="single" w:color="000000" w:sz="4" w:space="0"/>
              <w:bottom w:val="single" w:color="000000" w:sz="4" w:space="0"/>
              <w:right w:val="single" w:color="000000" w:sz="4" w:space="0"/>
            </w:tcBorders>
          </w:tcPr>
          <w:p w14:paraId="551FC9AD">
            <w:pPr>
              <w:pStyle w:val="36"/>
            </w:pPr>
          </w:p>
        </w:tc>
        <w:tc>
          <w:tcPr>
            <w:tcW w:w="1601" w:type="dxa"/>
            <w:tcBorders>
              <w:top w:val="single" w:color="000000" w:sz="4" w:space="0"/>
              <w:left w:val="single" w:color="000000" w:sz="4" w:space="0"/>
              <w:bottom w:val="single" w:color="000000" w:sz="4" w:space="0"/>
              <w:right w:val="single" w:color="000000" w:sz="4" w:space="0"/>
            </w:tcBorders>
          </w:tcPr>
          <w:p w14:paraId="4560CCFA">
            <w:pPr>
              <w:pStyle w:val="36"/>
            </w:pPr>
          </w:p>
        </w:tc>
        <w:tc>
          <w:tcPr>
            <w:tcW w:w="1530" w:type="dxa"/>
            <w:tcBorders>
              <w:top w:val="single" w:color="000000" w:sz="4" w:space="0"/>
              <w:left w:val="single" w:color="000000" w:sz="4" w:space="0"/>
              <w:bottom w:val="single" w:color="000000" w:sz="4" w:space="0"/>
              <w:right w:val="single" w:color="000000" w:sz="4" w:space="0"/>
            </w:tcBorders>
          </w:tcPr>
          <w:p w14:paraId="18B774A6">
            <w:pPr>
              <w:pStyle w:val="36"/>
            </w:pPr>
          </w:p>
        </w:tc>
        <w:tc>
          <w:tcPr>
            <w:tcW w:w="1121" w:type="dxa"/>
            <w:tcBorders>
              <w:top w:val="single" w:color="000000" w:sz="4" w:space="0"/>
              <w:left w:val="single" w:color="000000" w:sz="4" w:space="0"/>
              <w:bottom w:val="single" w:color="000000" w:sz="4" w:space="0"/>
              <w:right w:val="single" w:color="000000" w:sz="4" w:space="0"/>
            </w:tcBorders>
          </w:tcPr>
          <w:p w14:paraId="302052A7">
            <w:pPr>
              <w:pStyle w:val="36"/>
            </w:pPr>
          </w:p>
        </w:tc>
      </w:tr>
      <w:tr w14:paraId="188F38DD">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4A45E502">
            <w:pPr>
              <w:pStyle w:val="36"/>
            </w:pPr>
            <w:r>
              <w:t>3</w:t>
            </w:r>
          </w:p>
        </w:tc>
        <w:tc>
          <w:tcPr>
            <w:tcW w:w="2123" w:type="dxa"/>
            <w:tcBorders>
              <w:top w:val="single" w:color="000000" w:sz="4" w:space="0"/>
              <w:left w:val="single" w:color="000000" w:sz="4" w:space="0"/>
              <w:bottom w:val="single" w:color="000000" w:sz="4" w:space="0"/>
              <w:right w:val="single" w:color="000000" w:sz="4" w:space="0"/>
            </w:tcBorders>
          </w:tcPr>
          <w:p w14:paraId="366DED58">
            <w:pPr>
              <w:pStyle w:val="36"/>
            </w:pPr>
          </w:p>
        </w:tc>
        <w:tc>
          <w:tcPr>
            <w:tcW w:w="1081" w:type="dxa"/>
            <w:tcBorders>
              <w:top w:val="single" w:color="000000" w:sz="4" w:space="0"/>
              <w:left w:val="single" w:color="000000" w:sz="4" w:space="0"/>
              <w:bottom w:val="single" w:color="000000" w:sz="4" w:space="0"/>
              <w:right w:val="single" w:color="000000" w:sz="4" w:space="0"/>
            </w:tcBorders>
          </w:tcPr>
          <w:p w14:paraId="330F3B07">
            <w:pPr>
              <w:pStyle w:val="36"/>
            </w:pPr>
          </w:p>
        </w:tc>
        <w:tc>
          <w:tcPr>
            <w:tcW w:w="1134" w:type="dxa"/>
            <w:tcBorders>
              <w:top w:val="single" w:color="000000" w:sz="4" w:space="0"/>
              <w:left w:val="single" w:color="000000" w:sz="4" w:space="0"/>
              <w:bottom w:val="single" w:color="000000" w:sz="4" w:space="0"/>
              <w:right w:val="single" w:color="000000" w:sz="4" w:space="0"/>
            </w:tcBorders>
          </w:tcPr>
          <w:p w14:paraId="724EBFEB">
            <w:pPr>
              <w:pStyle w:val="36"/>
            </w:pPr>
          </w:p>
        </w:tc>
        <w:tc>
          <w:tcPr>
            <w:tcW w:w="1601" w:type="dxa"/>
            <w:tcBorders>
              <w:top w:val="single" w:color="000000" w:sz="4" w:space="0"/>
              <w:left w:val="single" w:color="000000" w:sz="4" w:space="0"/>
              <w:bottom w:val="single" w:color="000000" w:sz="4" w:space="0"/>
              <w:right w:val="single" w:color="000000" w:sz="4" w:space="0"/>
            </w:tcBorders>
          </w:tcPr>
          <w:p w14:paraId="39D25D79">
            <w:pPr>
              <w:pStyle w:val="36"/>
            </w:pPr>
          </w:p>
        </w:tc>
        <w:tc>
          <w:tcPr>
            <w:tcW w:w="1530" w:type="dxa"/>
            <w:tcBorders>
              <w:top w:val="single" w:color="000000" w:sz="4" w:space="0"/>
              <w:left w:val="single" w:color="000000" w:sz="4" w:space="0"/>
              <w:bottom w:val="single" w:color="000000" w:sz="4" w:space="0"/>
              <w:right w:val="single" w:color="000000" w:sz="4" w:space="0"/>
            </w:tcBorders>
          </w:tcPr>
          <w:p w14:paraId="0F61372F">
            <w:pPr>
              <w:pStyle w:val="36"/>
            </w:pPr>
          </w:p>
        </w:tc>
        <w:tc>
          <w:tcPr>
            <w:tcW w:w="1121" w:type="dxa"/>
            <w:tcBorders>
              <w:top w:val="single" w:color="000000" w:sz="4" w:space="0"/>
              <w:left w:val="single" w:color="000000" w:sz="4" w:space="0"/>
              <w:bottom w:val="single" w:color="000000" w:sz="4" w:space="0"/>
              <w:right w:val="single" w:color="000000" w:sz="4" w:space="0"/>
            </w:tcBorders>
          </w:tcPr>
          <w:p w14:paraId="459112C4">
            <w:pPr>
              <w:pStyle w:val="36"/>
            </w:pPr>
          </w:p>
        </w:tc>
      </w:tr>
      <w:tr w14:paraId="55C68BA4">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3F1F413E">
            <w:pPr>
              <w:pStyle w:val="36"/>
            </w:pPr>
            <w:r>
              <w:t>4</w:t>
            </w:r>
          </w:p>
        </w:tc>
        <w:tc>
          <w:tcPr>
            <w:tcW w:w="2123" w:type="dxa"/>
            <w:tcBorders>
              <w:top w:val="single" w:color="000000" w:sz="4" w:space="0"/>
              <w:left w:val="single" w:color="000000" w:sz="4" w:space="0"/>
              <w:bottom w:val="single" w:color="000000" w:sz="4" w:space="0"/>
              <w:right w:val="single" w:color="000000" w:sz="4" w:space="0"/>
            </w:tcBorders>
          </w:tcPr>
          <w:p w14:paraId="4D592728">
            <w:pPr>
              <w:pStyle w:val="36"/>
            </w:pPr>
          </w:p>
        </w:tc>
        <w:tc>
          <w:tcPr>
            <w:tcW w:w="1081" w:type="dxa"/>
            <w:tcBorders>
              <w:top w:val="single" w:color="000000" w:sz="4" w:space="0"/>
              <w:left w:val="single" w:color="000000" w:sz="4" w:space="0"/>
              <w:bottom w:val="single" w:color="000000" w:sz="4" w:space="0"/>
              <w:right w:val="single" w:color="000000" w:sz="4" w:space="0"/>
            </w:tcBorders>
          </w:tcPr>
          <w:p w14:paraId="3EAA4ACD">
            <w:pPr>
              <w:pStyle w:val="36"/>
            </w:pPr>
          </w:p>
        </w:tc>
        <w:tc>
          <w:tcPr>
            <w:tcW w:w="1134" w:type="dxa"/>
            <w:tcBorders>
              <w:top w:val="single" w:color="000000" w:sz="4" w:space="0"/>
              <w:left w:val="single" w:color="000000" w:sz="4" w:space="0"/>
              <w:bottom w:val="single" w:color="000000" w:sz="4" w:space="0"/>
              <w:right w:val="single" w:color="000000" w:sz="4" w:space="0"/>
            </w:tcBorders>
          </w:tcPr>
          <w:p w14:paraId="5FEA4476">
            <w:pPr>
              <w:pStyle w:val="36"/>
            </w:pPr>
          </w:p>
        </w:tc>
        <w:tc>
          <w:tcPr>
            <w:tcW w:w="1601" w:type="dxa"/>
            <w:tcBorders>
              <w:top w:val="single" w:color="000000" w:sz="4" w:space="0"/>
              <w:left w:val="single" w:color="000000" w:sz="4" w:space="0"/>
              <w:bottom w:val="single" w:color="000000" w:sz="4" w:space="0"/>
              <w:right w:val="single" w:color="000000" w:sz="4" w:space="0"/>
            </w:tcBorders>
          </w:tcPr>
          <w:p w14:paraId="58C2ADC3">
            <w:pPr>
              <w:pStyle w:val="36"/>
            </w:pPr>
          </w:p>
        </w:tc>
        <w:tc>
          <w:tcPr>
            <w:tcW w:w="1530" w:type="dxa"/>
            <w:tcBorders>
              <w:top w:val="single" w:color="000000" w:sz="4" w:space="0"/>
              <w:left w:val="single" w:color="000000" w:sz="4" w:space="0"/>
              <w:bottom w:val="single" w:color="000000" w:sz="4" w:space="0"/>
              <w:right w:val="single" w:color="000000" w:sz="4" w:space="0"/>
            </w:tcBorders>
          </w:tcPr>
          <w:p w14:paraId="6BD6ECE0">
            <w:pPr>
              <w:pStyle w:val="36"/>
            </w:pPr>
          </w:p>
        </w:tc>
        <w:tc>
          <w:tcPr>
            <w:tcW w:w="1121" w:type="dxa"/>
            <w:tcBorders>
              <w:top w:val="single" w:color="000000" w:sz="4" w:space="0"/>
              <w:left w:val="single" w:color="000000" w:sz="4" w:space="0"/>
              <w:bottom w:val="single" w:color="000000" w:sz="4" w:space="0"/>
              <w:right w:val="single" w:color="000000" w:sz="4" w:space="0"/>
            </w:tcBorders>
          </w:tcPr>
          <w:p w14:paraId="426F3BE3">
            <w:pPr>
              <w:pStyle w:val="36"/>
            </w:pPr>
          </w:p>
        </w:tc>
      </w:tr>
      <w:tr w14:paraId="710A6345">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767B5E26">
            <w:pPr>
              <w:pStyle w:val="36"/>
            </w:pPr>
            <w:r>
              <w:t>5</w:t>
            </w:r>
          </w:p>
        </w:tc>
        <w:tc>
          <w:tcPr>
            <w:tcW w:w="2123" w:type="dxa"/>
            <w:tcBorders>
              <w:top w:val="single" w:color="000000" w:sz="4" w:space="0"/>
              <w:left w:val="single" w:color="000000" w:sz="4" w:space="0"/>
              <w:bottom w:val="single" w:color="000000" w:sz="4" w:space="0"/>
              <w:right w:val="single" w:color="000000" w:sz="4" w:space="0"/>
            </w:tcBorders>
          </w:tcPr>
          <w:p w14:paraId="123A4E71">
            <w:pPr>
              <w:pStyle w:val="36"/>
            </w:pPr>
          </w:p>
        </w:tc>
        <w:tc>
          <w:tcPr>
            <w:tcW w:w="1081" w:type="dxa"/>
            <w:tcBorders>
              <w:top w:val="single" w:color="000000" w:sz="4" w:space="0"/>
              <w:left w:val="single" w:color="000000" w:sz="4" w:space="0"/>
              <w:bottom w:val="single" w:color="000000" w:sz="4" w:space="0"/>
              <w:right w:val="single" w:color="000000" w:sz="4" w:space="0"/>
            </w:tcBorders>
          </w:tcPr>
          <w:p w14:paraId="6C9B1786">
            <w:pPr>
              <w:pStyle w:val="36"/>
            </w:pPr>
          </w:p>
        </w:tc>
        <w:tc>
          <w:tcPr>
            <w:tcW w:w="1134" w:type="dxa"/>
            <w:tcBorders>
              <w:top w:val="single" w:color="000000" w:sz="4" w:space="0"/>
              <w:left w:val="single" w:color="000000" w:sz="4" w:space="0"/>
              <w:bottom w:val="single" w:color="000000" w:sz="4" w:space="0"/>
              <w:right w:val="single" w:color="000000" w:sz="4" w:space="0"/>
            </w:tcBorders>
          </w:tcPr>
          <w:p w14:paraId="27B3A17B">
            <w:pPr>
              <w:pStyle w:val="36"/>
            </w:pPr>
          </w:p>
        </w:tc>
        <w:tc>
          <w:tcPr>
            <w:tcW w:w="1601" w:type="dxa"/>
            <w:tcBorders>
              <w:top w:val="single" w:color="000000" w:sz="4" w:space="0"/>
              <w:left w:val="single" w:color="000000" w:sz="4" w:space="0"/>
              <w:bottom w:val="single" w:color="000000" w:sz="4" w:space="0"/>
              <w:right w:val="single" w:color="000000" w:sz="4" w:space="0"/>
            </w:tcBorders>
          </w:tcPr>
          <w:p w14:paraId="235D8D7B">
            <w:pPr>
              <w:pStyle w:val="36"/>
            </w:pPr>
          </w:p>
        </w:tc>
        <w:tc>
          <w:tcPr>
            <w:tcW w:w="1530" w:type="dxa"/>
            <w:tcBorders>
              <w:top w:val="single" w:color="000000" w:sz="4" w:space="0"/>
              <w:left w:val="single" w:color="000000" w:sz="4" w:space="0"/>
              <w:bottom w:val="single" w:color="000000" w:sz="4" w:space="0"/>
              <w:right w:val="single" w:color="000000" w:sz="4" w:space="0"/>
            </w:tcBorders>
          </w:tcPr>
          <w:p w14:paraId="50FEAF77">
            <w:pPr>
              <w:pStyle w:val="36"/>
            </w:pPr>
          </w:p>
        </w:tc>
        <w:tc>
          <w:tcPr>
            <w:tcW w:w="1121" w:type="dxa"/>
            <w:tcBorders>
              <w:top w:val="single" w:color="000000" w:sz="4" w:space="0"/>
              <w:left w:val="single" w:color="000000" w:sz="4" w:space="0"/>
              <w:bottom w:val="single" w:color="000000" w:sz="4" w:space="0"/>
              <w:right w:val="single" w:color="000000" w:sz="4" w:space="0"/>
            </w:tcBorders>
          </w:tcPr>
          <w:p w14:paraId="520D3AF2">
            <w:pPr>
              <w:pStyle w:val="36"/>
            </w:pPr>
          </w:p>
        </w:tc>
      </w:tr>
      <w:tr w14:paraId="667A594C">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17B49E6E">
            <w:pPr>
              <w:pStyle w:val="36"/>
            </w:pPr>
            <w:r>
              <w:t>6</w:t>
            </w:r>
          </w:p>
        </w:tc>
        <w:tc>
          <w:tcPr>
            <w:tcW w:w="2123" w:type="dxa"/>
            <w:tcBorders>
              <w:top w:val="single" w:color="000000" w:sz="4" w:space="0"/>
              <w:left w:val="single" w:color="000000" w:sz="4" w:space="0"/>
              <w:bottom w:val="single" w:color="000000" w:sz="4" w:space="0"/>
              <w:right w:val="single" w:color="000000" w:sz="4" w:space="0"/>
            </w:tcBorders>
          </w:tcPr>
          <w:p w14:paraId="06033DF6">
            <w:pPr>
              <w:pStyle w:val="36"/>
            </w:pPr>
          </w:p>
        </w:tc>
        <w:tc>
          <w:tcPr>
            <w:tcW w:w="1081" w:type="dxa"/>
            <w:tcBorders>
              <w:top w:val="single" w:color="000000" w:sz="4" w:space="0"/>
              <w:left w:val="single" w:color="000000" w:sz="4" w:space="0"/>
              <w:bottom w:val="single" w:color="000000" w:sz="4" w:space="0"/>
              <w:right w:val="single" w:color="000000" w:sz="4" w:space="0"/>
            </w:tcBorders>
          </w:tcPr>
          <w:p w14:paraId="5C1548A9">
            <w:pPr>
              <w:pStyle w:val="36"/>
            </w:pPr>
          </w:p>
        </w:tc>
        <w:tc>
          <w:tcPr>
            <w:tcW w:w="1134" w:type="dxa"/>
            <w:tcBorders>
              <w:top w:val="single" w:color="000000" w:sz="4" w:space="0"/>
              <w:left w:val="single" w:color="000000" w:sz="4" w:space="0"/>
              <w:bottom w:val="single" w:color="000000" w:sz="4" w:space="0"/>
              <w:right w:val="single" w:color="000000" w:sz="4" w:space="0"/>
            </w:tcBorders>
          </w:tcPr>
          <w:p w14:paraId="1C079C22">
            <w:pPr>
              <w:pStyle w:val="36"/>
            </w:pPr>
          </w:p>
        </w:tc>
        <w:tc>
          <w:tcPr>
            <w:tcW w:w="1601" w:type="dxa"/>
            <w:tcBorders>
              <w:top w:val="single" w:color="000000" w:sz="4" w:space="0"/>
              <w:left w:val="single" w:color="000000" w:sz="4" w:space="0"/>
              <w:bottom w:val="single" w:color="000000" w:sz="4" w:space="0"/>
              <w:right w:val="single" w:color="000000" w:sz="4" w:space="0"/>
            </w:tcBorders>
          </w:tcPr>
          <w:p w14:paraId="147F1E71">
            <w:pPr>
              <w:pStyle w:val="36"/>
            </w:pPr>
          </w:p>
        </w:tc>
        <w:tc>
          <w:tcPr>
            <w:tcW w:w="1530" w:type="dxa"/>
            <w:tcBorders>
              <w:top w:val="single" w:color="000000" w:sz="4" w:space="0"/>
              <w:left w:val="single" w:color="000000" w:sz="4" w:space="0"/>
              <w:bottom w:val="single" w:color="000000" w:sz="4" w:space="0"/>
              <w:right w:val="single" w:color="000000" w:sz="4" w:space="0"/>
            </w:tcBorders>
          </w:tcPr>
          <w:p w14:paraId="2544251E">
            <w:pPr>
              <w:pStyle w:val="36"/>
            </w:pPr>
          </w:p>
        </w:tc>
        <w:tc>
          <w:tcPr>
            <w:tcW w:w="1121" w:type="dxa"/>
            <w:tcBorders>
              <w:top w:val="single" w:color="000000" w:sz="4" w:space="0"/>
              <w:left w:val="single" w:color="000000" w:sz="4" w:space="0"/>
              <w:bottom w:val="single" w:color="000000" w:sz="4" w:space="0"/>
              <w:right w:val="single" w:color="000000" w:sz="4" w:space="0"/>
            </w:tcBorders>
          </w:tcPr>
          <w:p w14:paraId="33901636">
            <w:pPr>
              <w:pStyle w:val="36"/>
            </w:pPr>
          </w:p>
        </w:tc>
      </w:tr>
      <w:tr w14:paraId="4C041626">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500BA018">
            <w:pPr>
              <w:pStyle w:val="36"/>
            </w:pPr>
            <w:r>
              <w:t>7</w:t>
            </w:r>
          </w:p>
        </w:tc>
        <w:tc>
          <w:tcPr>
            <w:tcW w:w="2123" w:type="dxa"/>
            <w:tcBorders>
              <w:top w:val="single" w:color="000000" w:sz="4" w:space="0"/>
              <w:left w:val="single" w:color="000000" w:sz="4" w:space="0"/>
              <w:bottom w:val="single" w:color="000000" w:sz="4" w:space="0"/>
              <w:right w:val="single" w:color="000000" w:sz="4" w:space="0"/>
            </w:tcBorders>
          </w:tcPr>
          <w:p w14:paraId="5EFC27F6">
            <w:pPr>
              <w:pStyle w:val="36"/>
            </w:pPr>
          </w:p>
        </w:tc>
        <w:tc>
          <w:tcPr>
            <w:tcW w:w="1081" w:type="dxa"/>
            <w:tcBorders>
              <w:top w:val="single" w:color="000000" w:sz="4" w:space="0"/>
              <w:left w:val="single" w:color="000000" w:sz="4" w:space="0"/>
              <w:bottom w:val="single" w:color="000000" w:sz="4" w:space="0"/>
              <w:right w:val="single" w:color="000000" w:sz="4" w:space="0"/>
            </w:tcBorders>
          </w:tcPr>
          <w:p w14:paraId="2F19A4BA">
            <w:pPr>
              <w:pStyle w:val="36"/>
            </w:pPr>
          </w:p>
        </w:tc>
        <w:tc>
          <w:tcPr>
            <w:tcW w:w="1134" w:type="dxa"/>
            <w:tcBorders>
              <w:top w:val="single" w:color="000000" w:sz="4" w:space="0"/>
              <w:left w:val="single" w:color="000000" w:sz="4" w:space="0"/>
              <w:bottom w:val="single" w:color="000000" w:sz="4" w:space="0"/>
              <w:right w:val="single" w:color="000000" w:sz="4" w:space="0"/>
            </w:tcBorders>
          </w:tcPr>
          <w:p w14:paraId="14B186E0">
            <w:pPr>
              <w:pStyle w:val="36"/>
            </w:pPr>
          </w:p>
        </w:tc>
        <w:tc>
          <w:tcPr>
            <w:tcW w:w="1601" w:type="dxa"/>
            <w:tcBorders>
              <w:top w:val="single" w:color="000000" w:sz="4" w:space="0"/>
              <w:left w:val="single" w:color="000000" w:sz="4" w:space="0"/>
              <w:bottom w:val="single" w:color="000000" w:sz="4" w:space="0"/>
              <w:right w:val="single" w:color="000000" w:sz="4" w:space="0"/>
            </w:tcBorders>
          </w:tcPr>
          <w:p w14:paraId="5CED7015">
            <w:pPr>
              <w:pStyle w:val="36"/>
            </w:pPr>
          </w:p>
        </w:tc>
        <w:tc>
          <w:tcPr>
            <w:tcW w:w="1530" w:type="dxa"/>
            <w:tcBorders>
              <w:top w:val="single" w:color="000000" w:sz="4" w:space="0"/>
              <w:left w:val="single" w:color="000000" w:sz="4" w:space="0"/>
              <w:bottom w:val="single" w:color="000000" w:sz="4" w:space="0"/>
              <w:right w:val="single" w:color="000000" w:sz="4" w:space="0"/>
            </w:tcBorders>
          </w:tcPr>
          <w:p w14:paraId="75E3FE86">
            <w:pPr>
              <w:pStyle w:val="36"/>
            </w:pPr>
          </w:p>
        </w:tc>
        <w:tc>
          <w:tcPr>
            <w:tcW w:w="1121" w:type="dxa"/>
            <w:tcBorders>
              <w:top w:val="single" w:color="000000" w:sz="4" w:space="0"/>
              <w:left w:val="single" w:color="000000" w:sz="4" w:space="0"/>
              <w:bottom w:val="single" w:color="000000" w:sz="4" w:space="0"/>
              <w:right w:val="single" w:color="000000" w:sz="4" w:space="0"/>
            </w:tcBorders>
          </w:tcPr>
          <w:p w14:paraId="4A635D5F">
            <w:pPr>
              <w:pStyle w:val="36"/>
            </w:pPr>
          </w:p>
        </w:tc>
      </w:tr>
      <w:tr w14:paraId="0DE6A8A7">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304EBA3B">
            <w:pPr>
              <w:pStyle w:val="36"/>
            </w:pPr>
            <w:r>
              <w:t>8</w:t>
            </w:r>
          </w:p>
        </w:tc>
        <w:tc>
          <w:tcPr>
            <w:tcW w:w="2123" w:type="dxa"/>
            <w:tcBorders>
              <w:top w:val="single" w:color="000000" w:sz="4" w:space="0"/>
              <w:left w:val="single" w:color="000000" w:sz="4" w:space="0"/>
              <w:bottom w:val="single" w:color="000000" w:sz="4" w:space="0"/>
              <w:right w:val="single" w:color="000000" w:sz="4" w:space="0"/>
            </w:tcBorders>
          </w:tcPr>
          <w:p w14:paraId="2CB0C88C">
            <w:pPr>
              <w:pStyle w:val="36"/>
            </w:pPr>
          </w:p>
        </w:tc>
        <w:tc>
          <w:tcPr>
            <w:tcW w:w="1081" w:type="dxa"/>
            <w:tcBorders>
              <w:top w:val="single" w:color="000000" w:sz="4" w:space="0"/>
              <w:left w:val="single" w:color="000000" w:sz="4" w:space="0"/>
              <w:bottom w:val="single" w:color="000000" w:sz="4" w:space="0"/>
              <w:right w:val="single" w:color="000000" w:sz="4" w:space="0"/>
            </w:tcBorders>
          </w:tcPr>
          <w:p w14:paraId="52636919">
            <w:pPr>
              <w:pStyle w:val="36"/>
            </w:pPr>
          </w:p>
        </w:tc>
        <w:tc>
          <w:tcPr>
            <w:tcW w:w="1134" w:type="dxa"/>
            <w:tcBorders>
              <w:top w:val="single" w:color="000000" w:sz="4" w:space="0"/>
              <w:left w:val="single" w:color="000000" w:sz="4" w:space="0"/>
              <w:bottom w:val="single" w:color="000000" w:sz="4" w:space="0"/>
              <w:right w:val="single" w:color="000000" w:sz="4" w:space="0"/>
            </w:tcBorders>
          </w:tcPr>
          <w:p w14:paraId="52ABE19E">
            <w:pPr>
              <w:pStyle w:val="36"/>
            </w:pPr>
          </w:p>
        </w:tc>
        <w:tc>
          <w:tcPr>
            <w:tcW w:w="1601" w:type="dxa"/>
            <w:tcBorders>
              <w:top w:val="single" w:color="000000" w:sz="4" w:space="0"/>
              <w:left w:val="single" w:color="000000" w:sz="4" w:space="0"/>
              <w:bottom w:val="single" w:color="000000" w:sz="4" w:space="0"/>
              <w:right w:val="single" w:color="000000" w:sz="4" w:space="0"/>
            </w:tcBorders>
          </w:tcPr>
          <w:p w14:paraId="2C58B4F7">
            <w:pPr>
              <w:pStyle w:val="36"/>
            </w:pPr>
          </w:p>
        </w:tc>
        <w:tc>
          <w:tcPr>
            <w:tcW w:w="1530" w:type="dxa"/>
            <w:tcBorders>
              <w:top w:val="single" w:color="000000" w:sz="4" w:space="0"/>
              <w:left w:val="single" w:color="000000" w:sz="4" w:space="0"/>
              <w:bottom w:val="single" w:color="000000" w:sz="4" w:space="0"/>
              <w:right w:val="single" w:color="000000" w:sz="4" w:space="0"/>
            </w:tcBorders>
          </w:tcPr>
          <w:p w14:paraId="7931B1AE">
            <w:pPr>
              <w:pStyle w:val="36"/>
            </w:pPr>
          </w:p>
        </w:tc>
        <w:tc>
          <w:tcPr>
            <w:tcW w:w="1121" w:type="dxa"/>
            <w:tcBorders>
              <w:top w:val="single" w:color="000000" w:sz="4" w:space="0"/>
              <w:left w:val="single" w:color="000000" w:sz="4" w:space="0"/>
              <w:bottom w:val="single" w:color="000000" w:sz="4" w:space="0"/>
              <w:right w:val="single" w:color="000000" w:sz="4" w:space="0"/>
            </w:tcBorders>
          </w:tcPr>
          <w:p w14:paraId="07F9797A">
            <w:pPr>
              <w:pStyle w:val="36"/>
            </w:pPr>
          </w:p>
        </w:tc>
      </w:tr>
      <w:tr w14:paraId="41467166">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75783409">
            <w:pPr>
              <w:pStyle w:val="36"/>
            </w:pPr>
            <w:r>
              <w:t>9</w:t>
            </w:r>
          </w:p>
        </w:tc>
        <w:tc>
          <w:tcPr>
            <w:tcW w:w="2123" w:type="dxa"/>
            <w:tcBorders>
              <w:top w:val="single" w:color="000000" w:sz="4" w:space="0"/>
              <w:left w:val="single" w:color="000000" w:sz="4" w:space="0"/>
              <w:bottom w:val="single" w:color="000000" w:sz="4" w:space="0"/>
              <w:right w:val="single" w:color="000000" w:sz="4" w:space="0"/>
            </w:tcBorders>
          </w:tcPr>
          <w:p w14:paraId="676822AB">
            <w:pPr>
              <w:pStyle w:val="36"/>
            </w:pPr>
          </w:p>
        </w:tc>
        <w:tc>
          <w:tcPr>
            <w:tcW w:w="1081" w:type="dxa"/>
            <w:tcBorders>
              <w:top w:val="single" w:color="000000" w:sz="4" w:space="0"/>
              <w:left w:val="single" w:color="000000" w:sz="4" w:space="0"/>
              <w:bottom w:val="single" w:color="000000" w:sz="4" w:space="0"/>
              <w:right w:val="single" w:color="000000" w:sz="4" w:space="0"/>
            </w:tcBorders>
          </w:tcPr>
          <w:p w14:paraId="70DE3DD6">
            <w:pPr>
              <w:pStyle w:val="36"/>
            </w:pPr>
          </w:p>
        </w:tc>
        <w:tc>
          <w:tcPr>
            <w:tcW w:w="1134" w:type="dxa"/>
            <w:tcBorders>
              <w:top w:val="single" w:color="000000" w:sz="4" w:space="0"/>
              <w:left w:val="single" w:color="000000" w:sz="4" w:space="0"/>
              <w:bottom w:val="single" w:color="000000" w:sz="4" w:space="0"/>
              <w:right w:val="single" w:color="000000" w:sz="4" w:space="0"/>
            </w:tcBorders>
          </w:tcPr>
          <w:p w14:paraId="221ACB36">
            <w:pPr>
              <w:pStyle w:val="36"/>
            </w:pPr>
          </w:p>
        </w:tc>
        <w:tc>
          <w:tcPr>
            <w:tcW w:w="1601" w:type="dxa"/>
            <w:tcBorders>
              <w:top w:val="single" w:color="000000" w:sz="4" w:space="0"/>
              <w:left w:val="single" w:color="000000" w:sz="4" w:space="0"/>
              <w:bottom w:val="single" w:color="000000" w:sz="4" w:space="0"/>
              <w:right w:val="single" w:color="000000" w:sz="4" w:space="0"/>
            </w:tcBorders>
          </w:tcPr>
          <w:p w14:paraId="068D1B4B">
            <w:pPr>
              <w:pStyle w:val="36"/>
            </w:pPr>
          </w:p>
        </w:tc>
        <w:tc>
          <w:tcPr>
            <w:tcW w:w="1530" w:type="dxa"/>
            <w:tcBorders>
              <w:top w:val="single" w:color="000000" w:sz="4" w:space="0"/>
              <w:left w:val="single" w:color="000000" w:sz="4" w:space="0"/>
              <w:bottom w:val="single" w:color="000000" w:sz="4" w:space="0"/>
              <w:right w:val="single" w:color="000000" w:sz="4" w:space="0"/>
            </w:tcBorders>
          </w:tcPr>
          <w:p w14:paraId="1BEBC550">
            <w:pPr>
              <w:pStyle w:val="36"/>
            </w:pPr>
          </w:p>
        </w:tc>
        <w:tc>
          <w:tcPr>
            <w:tcW w:w="1121" w:type="dxa"/>
            <w:tcBorders>
              <w:top w:val="single" w:color="000000" w:sz="4" w:space="0"/>
              <w:left w:val="single" w:color="000000" w:sz="4" w:space="0"/>
              <w:bottom w:val="single" w:color="000000" w:sz="4" w:space="0"/>
              <w:right w:val="single" w:color="000000" w:sz="4" w:space="0"/>
            </w:tcBorders>
          </w:tcPr>
          <w:p w14:paraId="3BB0FA08">
            <w:pPr>
              <w:pStyle w:val="36"/>
            </w:pPr>
          </w:p>
        </w:tc>
      </w:tr>
      <w:tr w14:paraId="539B7E79">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6954F9C8">
            <w:pPr>
              <w:pStyle w:val="36"/>
            </w:pPr>
            <w:r>
              <w:t>10</w:t>
            </w:r>
          </w:p>
        </w:tc>
        <w:tc>
          <w:tcPr>
            <w:tcW w:w="2123" w:type="dxa"/>
            <w:tcBorders>
              <w:top w:val="single" w:color="000000" w:sz="4" w:space="0"/>
              <w:left w:val="single" w:color="000000" w:sz="4" w:space="0"/>
              <w:bottom w:val="single" w:color="000000" w:sz="4" w:space="0"/>
              <w:right w:val="single" w:color="000000" w:sz="4" w:space="0"/>
            </w:tcBorders>
          </w:tcPr>
          <w:p w14:paraId="3F676782">
            <w:pPr>
              <w:pStyle w:val="36"/>
            </w:pPr>
          </w:p>
        </w:tc>
        <w:tc>
          <w:tcPr>
            <w:tcW w:w="1081" w:type="dxa"/>
            <w:tcBorders>
              <w:top w:val="single" w:color="000000" w:sz="4" w:space="0"/>
              <w:left w:val="single" w:color="000000" w:sz="4" w:space="0"/>
              <w:bottom w:val="single" w:color="000000" w:sz="4" w:space="0"/>
              <w:right w:val="single" w:color="000000" w:sz="4" w:space="0"/>
            </w:tcBorders>
          </w:tcPr>
          <w:p w14:paraId="77A92807">
            <w:pPr>
              <w:pStyle w:val="36"/>
            </w:pPr>
          </w:p>
        </w:tc>
        <w:tc>
          <w:tcPr>
            <w:tcW w:w="1134" w:type="dxa"/>
            <w:tcBorders>
              <w:top w:val="single" w:color="000000" w:sz="4" w:space="0"/>
              <w:left w:val="single" w:color="000000" w:sz="4" w:space="0"/>
              <w:bottom w:val="single" w:color="000000" w:sz="4" w:space="0"/>
              <w:right w:val="single" w:color="000000" w:sz="4" w:space="0"/>
            </w:tcBorders>
          </w:tcPr>
          <w:p w14:paraId="2A430AFE">
            <w:pPr>
              <w:pStyle w:val="36"/>
            </w:pPr>
          </w:p>
        </w:tc>
        <w:tc>
          <w:tcPr>
            <w:tcW w:w="1601" w:type="dxa"/>
            <w:tcBorders>
              <w:top w:val="single" w:color="000000" w:sz="4" w:space="0"/>
              <w:left w:val="single" w:color="000000" w:sz="4" w:space="0"/>
              <w:bottom w:val="single" w:color="000000" w:sz="4" w:space="0"/>
              <w:right w:val="single" w:color="000000" w:sz="4" w:space="0"/>
            </w:tcBorders>
          </w:tcPr>
          <w:p w14:paraId="118D0430">
            <w:pPr>
              <w:pStyle w:val="36"/>
            </w:pPr>
          </w:p>
        </w:tc>
        <w:tc>
          <w:tcPr>
            <w:tcW w:w="1530" w:type="dxa"/>
            <w:tcBorders>
              <w:top w:val="single" w:color="000000" w:sz="4" w:space="0"/>
              <w:left w:val="single" w:color="000000" w:sz="4" w:space="0"/>
              <w:bottom w:val="single" w:color="000000" w:sz="4" w:space="0"/>
              <w:right w:val="single" w:color="000000" w:sz="4" w:space="0"/>
            </w:tcBorders>
          </w:tcPr>
          <w:p w14:paraId="1F48A290">
            <w:pPr>
              <w:pStyle w:val="36"/>
            </w:pPr>
          </w:p>
        </w:tc>
        <w:tc>
          <w:tcPr>
            <w:tcW w:w="1121" w:type="dxa"/>
            <w:tcBorders>
              <w:top w:val="single" w:color="000000" w:sz="4" w:space="0"/>
              <w:left w:val="single" w:color="000000" w:sz="4" w:space="0"/>
              <w:bottom w:val="single" w:color="000000" w:sz="4" w:space="0"/>
              <w:right w:val="single" w:color="000000" w:sz="4" w:space="0"/>
            </w:tcBorders>
          </w:tcPr>
          <w:p w14:paraId="693FD8B0">
            <w:pPr>
              <w:pStyle w:val="36"/>
            </w:pPr>
          </w:p>
        </w:tc>
      </w:tr>
      <w:tr w14:paraId="08E60962">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5E6544B5">
            <w:pPr>
              <w:pStyle w:val="36"/>
            </w:pPr>
            <w:r>
              <w:t>……</w:t>
            </w:r>
          </w:p>
        </w:tc>
        <w:tc>
          <w:tcPr>
            <w:tcW w:w="2123" w:type="dxa"/>
            <w:tcBorders>
              <w:top w:val="single" w:color="000000" w:sz="4" w:space="0"/>
              <w:left w:val="single" w:color="000000" w:sz="4" w:space="0"/>
              <w:bottom w:val="single" w:color="000000" w:sz="4" w:space="0"/>
              <w:right w:val="single" w:color="000000" w:sz="4" w:space="0"/>
            </w:tcBorders>
          </w:tcPr>
          <w:p w14:paraId="777F516C">
            <w:pPr>
              <w:pStyle w:val="36"/>
            </w:pPr>
          </w:p>
        </w:tc>
        <w:tc>
          <w:tcPr>
            <w:tcW w:w="1081" w:type="dxa"/>
            <w:tcBorders>
              <w:top w:val="single" w:color="000000" w:sz="4" w:space="0"/>
              <w:left w:val="single" w:color="000000" w:sz="4" w:space="0"/>
              <w:bottom w:val="single" w:color="000000" w:sz="4" w:space="0"/>
              <w:right w:val="single" w:color="000000" w:sz="4" w:space="0"/>
            </w:tcBorders>
          </w:tcPr>
          <w:p w14:paraId="072F8C71">
            <w:pPr>
              <w:pStyle w:val="36"/>
            </w:pPr>
          </w:p>
        </w:tc>
        <w:tc>
          <w:tcPr>
            <w:tcW w:w="1134" w:type="dxa"/>
            <w:tcBorders>
              <w:top w:val="single" w:color="000000" w:sz="4" w:space="0"/>
              <w:left w:val="single" w:color="000000" w:sz="4" w:space="0"/>
              <w:bottom w:val="single" w:color="000000" w:sz="4" w:space="0"/>
              <w:right w:val="single" w:color="000000" w:sz="4" w:space="0"/>
            </w:tcBorders>
          </w:tcPr>
          <w:p w14:paraId="450FB19F">
            <w:pPr>
              <w:pStyle w:val="36"/>
            </w:pPr>
          </w:p>
        </w:tc>
        <w:tc>
          <w:tcPr>
            <w:tcW w:w="1601" w:type="dxa"/>
            <w:tcBorders>
              <w:top w:val="single" w:color="000000" w:sz="4" w:space="0"/>
              <w:left w:val="single" w:color="000000" w:sz="4" w:space="0"/>
              <w:bottom w:val="single" w:color="000000" w:sz="4" w:space="0"/>
              <w:right w:val="single" w:color="000000" w:sz="4" w:space="0"/>
            </w:tcBorders>
          </w:tcPr>
          <w:p w14:paraId="5E502285">
            <w:pPr>
              <w:pStyle w:val="36"/>
            </w:pPr>
          </w:p>
        </w:tc>
        <w:tc>
          <w:tcPr>
            <w:tcW w:w="1530" w:type="dxa"/>
            <w:tcBorders>
              <w:top w:val="single" w:color="000000" w:sz="4" w:space="0"/>
              <w:left w:val="single" w:color="000000" w:sz="4" w:space="0"/>
              <w:bottom w:val="single" w:color="000000" w:sz="4" w:space="0"/>
              <w:right w:val="single" w:color="000000" w:sz="4" w:space="0"/>
            </w:tcBorders>
          </w:tcPr>
          <w:p w14:paraId="1F9E01D9">
            <w:pPr>
              <w:pStyle w:val="36"/>
            </w:pPr>
          </w:p>
        </w:tc>
        <w:tc>
          <w:tcPr>
            <w:tcW w:w="1121" w:type="dxa"/>
            <w:tcBorders>
              <w:top w:val="single" w:color="000000" w:sz="4" w:space="0"/>
              <w:left w:val="single" w:color="000000" w:sz="4" w:space="0"/>
              <w:bottom w:val="single" w:color="000000" w:sz="4" w:space="0"/>
              <w:right w:val="single" w:color="000000" w:sz="4" w:space="0"/>
            </w:tcBorders>
          </w:tcPr>
          <w:p w14:paraId="58969FAE">
            <w:pPr>
              <w:pStyle w:val="36"/>
            </w:pPr>
          </w:p>
        </w:tc>
      </w:tr>
    </w:tbl>
    <w:p w14:paraId="6BD893F2">
      <w:pPr>
        <w:ind w:firstLine="0" w:firstLineChars="0"/>
        <w:jc w:val="center"/>
        <w:rPr>
          <w:lang w:val="zh-CN"/>
        </w:rPr>
      </w:pPr>
    </w:p>
    <w:p w14:paraId="76D81B52">
      <w:pPr>
        <w:pStyle w:val="27"/>
        <w:ind w:left="480" w:firstLine="480"/>
        <w:rPr>
          <w:lang w:val="zh-CN"/>
        </w:rPr>
      </w:pPr>
    </w:p>
    <w:p w14:paraId="7A49D1F5">
      <w:pPr>
        <w:ind w:firstLine="480"/>
        <w:rPr>
          <w:lang w:val="zh-CN"/>
        </w:rPr>
      </w:pPr>
    </w:p>
    <w:p w14:paraId="0C4AA9E4">
      <w:pPr>
        <w:ind w:firstLine="480"/>
      </w:pPr>
      <w:r>
        <w:rPr>
          <w:rFonts w:hint="eastAsia"/>
        </w:rPr>
        <w:t>供应商名称（盖章）：</w:t>
      </w:r>
      <w:r>
        <w:t>____________________________________________</w:t>
      </w:r>
    </w:p>
    <w:p w14:paraId="55E1237C">
      <w:pPr>
        <w:ind w:firstLine="480"/>
      </w:pPr>
      <w:r>
        <w:rPr>
          <w:rFonts w:hint="eastAsia"/>
        </w:rPr>
        <w:t>法定代表人或其授权代表（签字或盖章）：</w:t>
      </w:r>
      <w:r>
        <w:t>____________________________</w:t>
      </w:r>
    </w:p>
    <w:p w14:paraId="5CCB0F5D">
      <w:pPr>
        <w:ind w:firstLine="480"/>
      </w:pPr>
      <w:r>
        <w:rPr>
          <w:rFonts w:hint="eastAsia"/>
        </w:rPr>
        <w:t>日期：</w:t>
      </w:r>
      <w:r>
        <w:t>________</w:t>
      </w:r>
      <w:r>
        <w:rPr>
          <w:rFonts w:hint="eastAsia"/>
        </w:rPr>
        <w:t>年</w:t>
      </w:r>
      <w:r>
        <w:t>____</w:t>
      </w:r>
      <w:r>
        <w:rPr>
          <w:rFonts w:hint="eastAsia"/>
        </w:rPr>
        <w:t>月</w:t>
      </w:r>
      <w:r>
        <w:t>____</w:t>
      </w:r>
      <w:r>
        <w:rPr>
          <w:rFonts w:hint="eastAsia"/>
        </w:rPr>
        <w:t>日</w:t>
      </w:r>
    </w:p>
    <w:p w14:paraId="7E4F0C30">
      <w:pPr>
        <w:widowControl/>
        <w:spacing w:line="240" w:lineRule="auto"/>
        <w:ind w:firstLine="0" w:firstLineChars="0"/>
        <w:jc w:val="left"/>
        <w:rPr>
          <w:sz w:val="21"/>
          <w:szCs w:val="21"/>
        </w:rPr>
      </w:pPr>
      <w:r>
        <w:rPr>
          <w:sz w:val="21"/>
          <w:szCs w:val="21"/>
        </w:rPr>
        <w:br w:type="page"/>
      </w:r>
      <w:r>
        <w:rPr>
          <w:sz w:val="21"/>
          <w:szCs w:val="21"/>
        </w:rPr>
        <w:t>附件</w:t>
      </w:r>
      <w:r>
        <w:rPr>
          <w:rFonts w:hint="eastAsia"/>
          <w:sz w:val="21"/>
          <w:szCs w:val="21"/>
        </w:rPr>
        <w:t>10</w:t>
      </w:r>
    </w:p>
    <w:p w14:paraId="59D42295">
      <w:pPr>
        <w:pStyle w:val="2"/>
        <w:ind w:firstLine="643"/>
        <w:jc w:val="center"/>
        <w:rPr>
          <w:sz w:val="21"/>
          <w:szCs w:val="21"/>
        </w:rPr>
      </w:pPr>
      <w:bookmarkStart w:id="588" w:name="_Toc21210"/>
      <w:bookmarkStart w:id="589" w:name="_Toc6177"/>
      <w:bookmarkStart w:id="590" w:name="_Toc883"/>
      <w:bookmarkStart w:id="591" w:name="_Toc6103"/>
      <w:bookmarkStart w:id="592" w:name="_Toc25444"/>
      <w:bookmarkStart w:id="593" w:name="_Toc16167"/>
      <w:bookmarkStart w:id="594" w:name="_Toc12193"/>
      <w:bookmarkStart w:id="595" w:name="_Toc30771"/>
      <w:r>
        <w:t>拟派本项目团队人员配备一览表</w:t>
      </w:r>
      <w:bookmarkEnd w:id="588"/>
      <w:bookmarkEnd w:id="589"/>
      <w:bookmarkEnd w:id="590"/>
      <w:bookmarkEnd w:id="591"/>
      <w:bookmarkEnd w:id="592"/>
      <w:bookmarkEnd w:id="593"/>
      <w:bookmarkEnd w:id="594"/>
      <w:bookmarkEnd w:id="595"/>
    </w:p>
    <w:tbl>
      <w:tblPr>
        <w:tblStyle w:val="77"/>
        <w:tblW w:w="9099" w:type="dxa"/>
        <w:tblInd w:w="-13" w:type="dxa"/>
        <w:tblLayout w:type="fixed"/>
        <w:tblCellMar>
          <w:top w:w="0" w:type="dxa"/>
          <w:left w:w="109" w:type="dxa"/>
          <w:bottom w:w="0" w:type="dxa"/>
          <w:right w:w="107" w:type="dxa"/>
        </w:tblCellMar>
      </w:tblPr>
      <w:tblGrid>
        <w:gridCol w:w="696"/>
        <w:gridCol w:w="1247"/>
        <w:gridCol w:w="867"/>
        <w:gridCol w:w="932"/>
        <w:gridCol w:w="2917"/>
        <w:gridCol w:w="2440"/>
      </w:tblGrid>
      <w:tr w14:paraId="33B405BB">
        <w:tblPrEx>
          <w:tblCellMar>
            <w:top w:w="0" w:type="dxa"/>
            <w:left w:w="109" w:type="dxa"/>
            <w:bottom w:w="0" w:type="dxa"/>
            <w:right w:w="107" w:type="dxa"/>
          </w:tblCellMar>
        </w:tblPrEx>
        <w:trPr>
          <w:trHeight w:val="79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0DB86539">
            <w:pPr>
              <w:pStyle w:val="36"/>
            </w:pPr>
            <w:r>
              <w:t>序号</w:t>
            </w:r>
          </w:p>
        </w:tc>
        <w:tc>
          <w:tcPr>
            <w:tcW w:w="1247" w:type="dxa"/>
            <w:tcBorders>
              <w:top w:val="single" w:color="000000" w:sz="4" w:space="0"/>
              <w:left w:val="single" w:color="000000" w:sz="4" w:space="0"/>
              <w:bottom w:val="single" w:color="000000" w:sz="4" w:space="0"/>
              <w:right w:val="single" w:color="000000" w:sz="4" w:space="0"/>
            </w:tcBorders>
            <w:vAlign w:val="center"/>
          </w:tcPr>
          <w:p w14:paraId="0D056191">
            <w:pPr>
              <w:pStyle w:val="36"/>
            </w:pPr>
            <w:r>
              <w:t>姓名</w:t>
            </w:r>
          </w:p>
        </w:tc>
        <w:tc>
          <w:tcPr>
            <w:tcW w:w="867" w:type="dxa"/>
            <w:tcBorders>
              <w:top w:val="single" w:color="000000" w:sz="4" w:space="0"/>
              <w:left w:val="single" w:color="000000" w:sz="4" w:space="0"/>
              <w:bottom w:val="single" w:color="000000" w:sz="4" w:space="0"/>
              <w:right w:val="single" w:color="000000" w:sz="4" w:space="0"/>
            </w:tcBorders>
            <w:vAlign w:val="center"/>
          </w:tcPr>
          <w:p w14:paraId="22502E7F">
            <w:pPr>
              <w:pStyle w:val="36"/>
            </w:pPr>
            <w:r>
              <w:rPr>
                <w:rFonts w:hint="eastAsia"/>
              </w:rPr>
              <w:t>性别</w:t>
            </w:r>
          </w:p>
        </w:tc>
        <w:tc>
          <w:tcPr>
            <w:tcW w:w="932" w:type="dxa"/>
            <w:tcBorders>
              <w:top w:val="single" w:color="000000" w:sz="4" w:space="0"/>
              <w:left w:val="single" w:color="000000" w:sz="4" w:space="0"/>
              <w:bottom w:val="single" w:color="000000" w:sz="4" w:space="0"/>
              <w:right w:val="single" w:color="000000" w:sz="4" w:space="0"/>
            </w:tcBorders>
            <w:vAlign w:val="center"/>
          </w:tcPr>
          <w:p w14:paraId="5C54F650">
            <w:pPr>
              <w:pStyle w:val="36"/>
            </w:pPr>
            <w:r>
              <w:t>年龄</w:t>
            </w:r>
          </w:p>
        </w:tc>
        <w:tc>
          <w:tcPr>
            <w:tcW w:w="2917" w:type="dxa"/>
            <w:tcBorders>
              <w:top w:val="single" w:color="000000" w:sz="4" w:space="0"/>
              <w:left w:val="single" w:color="000000" w:sz="4" w:space="0"/>
              <w:bottom w:val="single" w:color="000000" w:sz="4" w:space="0"/>
              <w:right w:val="single" w:color="000000" w:sz="4" w:space="0"/>
            </w:tcBorders>
            <w:vAlign w:val="center"/>
          </w:tcPr>
          <w:p w14:paraId="4D0B5F33">
            <w:pPr>
              <w:pStyle w:val="36"/>
            </w:pPr>
            <w:r>
              <w:t>证书名称</w:t>
            </w:r>
          </w:p>
        </w:tc>
        <w:tc>
          <w:tcPr>
            <w:tcW w:w="2440" w:type="dxa"/>
            <w:tcBorders>
              <w:top w:val="single" w:color="000000" w:sz="4" w:space="0"/>
              <w:left w:val="single" w:color="000000" w:sz="4" w:space="0"/>
              <w:bottom w:val="single" w:color="000000" w:sz="4" w:space="0"/>
              <w:right w:val="single" w:color="000000" w:sz="4" w:space="0"/>
            </w:tcBorders>
            <w:vAlign w:val="center"/>
          </w:tcPr>
          <w:p w14:paraId="202F24F1">
            <w:pPr>
              <w:pStyle w:val="36"/>
            </w:pPr>
            <w:r>
              <w:t>职务</w:t>
            </w:r>
          </w:p>
        </w:tc>
      </w:tr>
      <w:tr w14:paraId="2732B512">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0BA269F0">
            <w:pPr>
              <w:pStyle w:val="36"/>
            </w:pPr>
            <w:r>
              <w:t>1</w:t>
            </w:r>
          </w:p>
        </w:tc>
        <w:tc>
          <w:tcPr>
            <w:tcW w:w="1247" w:type="dxa"/>
            <w:tcBorders>
              <w:top w:val="single" w:color="000000" w:sz="4" w:space="0"/>
              <w:left w:val="single" w:color="000000" w:sz="4" w:space="0"/>
              <w:bottom w:val="single" w:color="000000" w:sz="4" w:space="0"/>
              <w:right w:val="single" w:color="000000" w:sz="4" w:space="0"/>
            </w:tcBorders>
          </w:tcPr>
          <w:p w14:paraId="4A3B006E">
            <w:pPr>
              <w:pStyle w:val="36"/>
            </w:pPr>
          </w:p>
        </w:tc>
        <w:tc>
          <w:tcPr>
            <w:tcW w:w="867" w:type="dxa"/>
            <w:tcBorders>
              <w:top w:val="single" w:color="000000" w:sz="4" w:space="0"/>
              <w:left w:val="single" w:color="000000" w:sz="4" w:space="0"/>
              <w:bottom w:val="single" w:color="000000" w:sz="4" w:space="0"/>
              <w:right w:val="single" w:color="000000" w:sz="4" w:space="0"/>
            </w:tcBorders>
          </w:tcPr>
          <w:p w14:paraId="10430B6D">
            <w:pPr>
              <w:pStyle w:val="36"/>
            </w:pPr>
          </w:p>
        </w:tc>
        <w:tc>
          <w:tcPr>
            <w:tcW w:w="932" w:type="dxa"/>
            <w:tcBorders>
              <w:top w:val="single" w:color="000000" w:sz="4" w:space="0"/>
              <w:left w:val="single" w:color="000000" w:sz="4" w:space="0"/>
              <w:bottom w:val="single" w:color="000000" w:sz="4" w:space="0"/>
              <w:right w:val="single" w:color="000000" w:sz="4" w:space="0"/>
            </w:tcBorders>
          </w:tcPr>
          <w:p w14:paraId="1E7E7A48">
            <w:pPr>
              <w:pStyle w:val="36"/>
            </w:pPr>
          </w:p>
        </w:tc>
        <w:tc>
          <w:tcPr>
            <w:tcW w:w="2917" w:type="dxa"/>
            <w:tcBorders>
              <w:top w:val="single" w:color="000000" w:sz="4" w:space="0"/>
              <w:left w:val="single" w:color="000000" w:sz="4" w:space="0"/>
              <w:bottom w:val="single" w:color="000000" w:sz="4" w:space="0"/>
              <w:right w:val="single" w:color="000000" w:sz="4" w:space="0"/>
            </w:tcBorders>
          </w:tcPr>
          <w:p w14:paraId="33951DD7">
            <w:pPr>
              <w:pStyle w:val="36"/>
            </w:pPr>
          </w:p>
        </w:tc>
        <w:tc>
          <w:tcPr>
            <w:tcW w:w="2440" w:type="dxa"/>
            <w:tcBorders>
              <w:top w:val="single" w:color="000000" w:sz="4" w:space="0"/>
              <w:left w:val="single" w:color="000000" w:sz="4" w:space="0"/>
              <w:bottom w:val="single" w:color="000000" w:sz="4" w:space="0"/>
              <w:right w:val="single" w:color="000000" w:sz="4" w:space="0"/>
            </w:tcBorders>
          </w:tcPr>
          <w:p w14:paraId="21F2F7DE">
            <w:pPr>
              <w:pStyle w:val="36"/>
            </w:pPr>
          </w:p>
        </w:tc>
      </w:tr>
      <w:tr w14:paraId="5E1743AA">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55B26C70">
            <w:pPr>
              <w:pStyle w:val="36"/>
            </w:pPr>
            <w:r>
              <w:t>2</w:t>
            </w:r>
          </w:p>
        </w:tc>
        <w:tc>
          <w:tcPr>
            <w:tcW w:w="1247" w:type="dxa"/>
            <w:tcBorders>
              <w:top w:val="single" w:color="000000" w:sz="4" w:space="0"/>
              <w:left w:val="single" w:color="000000" w:sz="4" w:space="0"/>
              <w:bottom w:val="single" w:color="000000" w:sz="4" w:space="0"/>
              <w:right w:val="single" w:color="000000" w:sz="4" w:space="0"/>
            </w:tcBorders>
          </w:tcPr>
          <w:p w14:paraId="2F4F0C1A">
            <w:pPr>
              <w:pStyle w:val="36"/>
            </w:pPr>
          </w:p>
        </w:tc>
        <w:tc>
          <w:tcPr>
            <w:tcW w:w="867" w:type="dxa"/>
            <w:tcBorders>
              <w:top w:val="single" w:color="000000" w:sz="4" w:space="0"/>
              <w:left w:val="single" w:color="000000" w:sz="4" w:space="0"/>
              <w:bottom w:val="single" w:color="000000" w:sz="4" w:space="0"/>
              <w:right w:val="single" w:color="000000" w:sz="4" w:space="0"/>
            </w:tcBorders>
          </w:tcPr>
          <w:p w14:paraId="5921E16E">
            <w:pPr>
              <w:pStyle w:val="36"/>
            </w:pPr>
          </w:p>
        </w:tc>
        <w:tc>
          <w:tcPr>
            <w:tcW w:w="932" w:type="dxa"/>
            <w:tcBorders>
              <w:top w:val="single" w:color="000000" w:sz="4" w:space="0"/>
              <w:left w:val="single" w:color="000000" w:sz="4" w:space="0"/>
              <w:bottom w:val="single" w:color="000000" w:sz="4" w:space="0"/>
              <w:right w:val="single" w:color="000000" w:sz="4" w:space="0"/>
            </w:tcBorders>
          </w:tcPr>
          <w:p w14:paraId="5AFF8ACE">
            <w:pPr>
              <w:pStyle w:val="36"/>
            </w:pPr>
          </w:p>
        </w:tc>
        <w:tc>
          <w:tcPr>
            <w:tcW w:w="2917" w:type="dxa"/>
            <w:tcBorders>
              <w:top w:val="single" w:color="000000" w:sz="4" w:space="0"/>
              <w:left w:val="single" w:color="000000" w:sz="4" w:space="0"/>
              <w:bottom w:val="single" w:color="000000" w:sz="4" w:space="0"/>
              <w:right w:val="single" w:color="000000" w:sz="4" w:space="0"/>
            </w:tcBorders>
          </w:tcPr>
          <w:p w14:paraId="548E9389">
            <w:pPr>
              <w:pStyle w:val="36"/>
            </w:pPr>
          </w:p>
        </w:tc>
        <w:tc>
          <w:tcPr>
            <w:tcW w:w="2440" w:type="dxa"/>
            <w:tcBorders>
              <w:top w:val="single" w:color="000000" w:sz="4" w:space="0"/>
              <w:left w:val="single" w:color="000000" w:sz="4" w:space="0"/>
              <w:bottom w:val="single" w:color="000000" w:sz="4" w:space="0"/>
              <w:right w:val="single" w:color="000000" w:sz="4" w:space="0"/>
            </w:tcBorders>
          </w:tcPr>
          <w:p w14:paraId="6BC08F07">
            <w:pPr>
              <w:pStyle w:val="36"/>
            </w:pPr>
          </w:p>
        </w:tc>
      </w:tr>
      <w:tr w14:paraId="27035474">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0597EC7D">
            <w:pPr>
              <w:pStyle w:val="36"/>
            </w:pPr>
            <w:r>
              <w:t>3</w:t>
            </w:r>
          </w:p>
        </w:tc>
        <w:tc>
          <w:tcPr>
            <w:tcW w:w="1247" w:type="dxa"/>
            <w:tcBorders>
              <w:top w:val="single" w:color="000000" w:sz="4" w:space="0"/>
              <w:left w:val="single" w:color="000000" w:sz="4" w:space="0"/>
              <w:bottom w:val="single" w:color="000000" w:sz="4" w:space="0"/>
              <w:right w:val="single" w:color="000000" w:sz="4" w:space="0"/>
            </w:tcBorders>
          </w:tcPr>
          <w:p w14:paraId="4B9EBE34">
            <w:pPr>
              <w:pStyle w:val="36"/>
            </w:pPr>
          </w:p>
        </w:tc>
        <w:tc>
          <w:tcPr>
            <w:tcW w:w="867" w:type="dxa"/>
            <w:tcBorders>
              <w:top w:val="single" w:color="000000" w:sz="4" w:space="0"/>
              <w:left w:val="single" w:color="000000" w:sz="4" w:space="0"/>
              <w:bottom w:val="single" w:color="000000" w:sz="4" w:space="0"/>
              <w:right w:val="single" w:color="000000" w:sz="4" w:space="0"/>
            </w:tcBorders>
          </w:tcPr>
          <w:p w14:paraId="21692CE2">
            <w:pPr>
              <w:pStyle w:val="36"/>
            </w:pPr>
          </w:p>
        </w:tc>
        <w:tc>
          <w:tcPr>
            <w:tcW w:w="932" w:type="dxa"/>
            <w:tcBorders>
              <w:top w:val="single" w:color="000000" w:sz="4" w:space="0"/>
              <w:left w:val="single" w:color="000000" w:sz="4" w:space="0"/>
              <w:bottom w:val="single" w:color="000000" w:sz="4" w:space="0"/>
              <w:right w:val="single" w:color="000000" w:sz="4" w:space="0"/>
            </w:tcBorders>
          </w:tcPr>
          <w:p w14:paraId="453BF812">
            <w:pPr>
              <w:pStyle w:val="36"/>
            </w:pPr>
          </w:p>
        </w:tc>
        <w:tc>
          <w:tcPr>
            <w:tcW w:w="2917" w:type="dxa"/>
            <w:tcBorders>
              <w:top w:val="single" w:color="000000" w:sz="4" w:space="0"/>
              <w:left w:val="single" w:color="000000" w:sz="4" w:space="0"/>
              <w:bottom w:val="single" w:color="000000" w:sz="4" w:space="0"/>
              <w:right w:val="single" w:color="000000" w:sz="4" w:space="0"/>
            </w:tcBorders>
          </w:tcPr>
          <w:p w14:paraId="1D0B07DA">
            <w:pPr>
              <w:pStyle w:val="36"/>
            </w:pPr>
          </w:p>
        </w:tc>
        <w:tc>
          <w:tcPr>
            <w:tcW w:w="2440" w:type="dxa"/>
            <w:tcBorders>
              <w:top w:val="single" w:color="000000" w:sz="4" w:space="0"/>
              <w:left w:val="single" w:color="000000" w:sz="4" w:space="0"/>
              <w:bottom w:val="single" w:color="000000" w:sz="4" w:space="0"/>
              <w:right w:val="single" w:color="000000" w:sz="4" w:space="0"/>
            </w:tcBorders>
          </w:tcPr>
          <w:p w14:paraId="34813C69">
            <w:pPr>
              <w:pStyle w:val="36"/>
            </w:pPr>
          </w:p>
        </w:tc>
      </w:tr>
      <w:tr w14:paraId="1F84B609">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2BB27E69">
            <w:pPr>
              <w:pStyle w:val="36"/>
            </w:pPr>
            <w:r>
              <w:t>4</w:t>
            </w:r>
          </w:p>
        </w:tc>
        <w:tc>
          <w:tcPr>
            <w:tcW w:w="1247" w:type="dxa"/>
            <w:tcBorders>
              <w:top w:val="single" w:color="000000" w:sz="4" w:space="0"/>
              <w:left w:val="single" w:color="000000" w:sz="4" w:space="0"/>
              <w:bottom w:val="single" w:color="000000" w:sz="4" w:space="0"/>
              <w:right w:val="single" w:color="000000" w:sz="4" w:space="0"/>
            </w:tcBorders>
          </w:tcPr>
          <w:p w14:paraId="03C1A3A4">
            <w:pPr>
              <w:pStyle w:val="36"/>
            </w:pPr>
          </w:p>
        </w:tc>
        <w:tc>
          <w:tcPr>
            <w:tcW w:w="867" w:type="dxa"/>
            <w:tcBorders>
              <w:top w:val="single" w:color="000000" w:sz="4" w:space="0"/>
              <w:left w:val="single" w:color="000000" w:sz="4" w:space="0"/>
              <w:bottom w:val="single" w:color="000000" w:sz="4" w:space="0"/>
              <w:right w:val="single" w:color="000000" w:sz="4" w:space="0"/>
            </w:tcBorders>
          </w:tcPr>
          <w:p w14:paraId="3BAC713B">
            <w:pPr>
              <w:pStyle w:val="36"/>
            </w:pPr>
          </w:p>
        </w:tc>
        <w:tc>
          <w:tcPr>
            <w:tcW w:w="932" w:type="dxa"/>
            <w:tcBorders>
              <w:top w:val="single" w:color="000000" w:sz="4" w:space="0"/>
              <w:left w:val="single" w:color="000000" w:sz="4" w:space="0"/>
              <w:bottom w:val="single" w:color="000000" w:sz="4" w:space="0"/>
              <w:right w:val="single" w:color="000000" w:sz="4" w:space="0"/>
            </w:tcBorders>
          </w:tcPr>
          <w:p w14:paraId="0C57FDDA">
            <w:pPr>
              <w:pStyle w:val="36"/>
            </w:pPr>
          </w:p>
        </w:tc>
        <w:tc>
          <w:tcPr>
            <w:tcW w:w="2917" w:type="dxa"/>
            <w:tcBorders>
              <w:top w:val="single" w:color="000000" w:sz="4" w:space="0"/>
              <w:left w:val="single" w:color="000000" w:sz="4" w:space="0"/>
              <w:bottom w:val="single" w:color="000000" w:sz="4" w:space="0"/>
              <w:right w:val="single" w:color="000000" w:sz="4" w:space="0"/>
            </w:tcBorders>
          </w:tcPr>
          <w:p w14:paraId="3AB5E598">
            <w:pPr>
              <w:pStyle w:val="36"/>
            </w:pPr>
          </w:p>
        </w:tc>
        <w:tc>
          <w:tcPr>
            <w:tcW w:w="2440" w:type="dxa"/>
            <w:tcBorders>
              <w:top w:val="single" w:color="000000" w:sz="4" w:space="0"/>
              <w:left w:val="single" w:color="000000" w:sz="4" w:space="0"/>
              <w:bottom w:val="single" w:color="000000" w:sz="4" w:space="0"/>
              <w:right w:val="single" w:color="000000" w:sz="4" w:space="0"/>
            </w:tcBorders>
          </w:tcPr>
          <w:p w14:paraId="0D9F635B">
            <w:pPr>
              <w:pStyle w:val="36"/>
            </w:pPr>
          </w:p>
        </w:tc>
      </w:tr>
      <w:tr w14:paraId="259FA83D">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62B553C8">
            <w:pPr>
              <w:pStyle w:val="36"/>
            </w:pPr>
            <w:r>
              <w:t>5</w:t>
            </w:r>
          </w:p>
        </w:tc>
        <w:tc>
          <w:tcPr>
            <w:tcW w:w="1247" w:type="dxa"/>
            <w:tcBorders>
              <w:top w:val="single" w:color="000000" w:sz="4" w:space="0"/>
              <w:left w:val="single" w:color="000000" w:sz="4" w:space="0"/>
              <w:bottom w:val="single" w:color="000000" w:sz="4" w:space="0"/>
              <w:right w:val="single" w:color="000000" w:sz="4" w:space="0"/>
            </w:tcBorders>
          </w:tcPr>
          <w:p w14:paraId="47DE2137">
            <w:pPr>
              <w:pStyle w:val="36"/>
            </w:pPr>
          </w:p>
        </w:tc>
        <w:tc>
          <w:tcPr>
            <w:tcW w:w="867" w:type="dxa"/>
            <w:tcBorders>
              <w:top w:val="single" w:color="000000" w:sz="4" w:space="0"/>
              <w:left w:val="single" w:color="000000" w:sz="4" w:space="0"/>
              <w:bottom w:val="single" w:color="000000" w:sz="4" w:space="0"/>
              <w:right w:val="single" w:color="000000" w:sz="4" w:space="0"/>
            </w:tcBorders>
          </w:tcPr>
          <w:p w14:paraId="0F5E4B1B">
            <w:pPr>
              <w:pStyle w:val="36"/>
            </w:pPr>
          </w:p>
        </w:tc>
        <w:tc>
          <w:tcPr>
            <w:tcW w:w="932" w:type="dxa"/>
            <w:tcBorders>
              <w:top w:val="single" w:color="000000" w:sz="4" w:space="0"/>
              <w:left w:val="single" w:color="000000" w:sz="4" w:space="0"/>
              <w:bottom w:val="single" w:color="000000" w:sz="4" w:space="0"/>
              <w:right w:val="single" w:color="000000" w:sz="4" w:space="0"/>
            </w:tcBorders>
          </w:tcPr>
          <w:p w14:paraId="7EBA4E1F">
            <w:pPr>
              <w:pStyle w:val="36"/>
            </w:pPr>
          </w:p>
        </w:tc>
        <w:tc>
          <w:tcPr>
            <w:tcW w:w="2917" w:type="dxa"/>
            <w:tcBorders>
              <w:top w:val="single" w:color="000000" w:sz="4" w:space="0"/>
              <w:left w:val="single" w:color="000000" w:sz="4" w:space="0"/>
              <w:bottom w:val="single" w:color="000000" w:sz="4" w:space="0"/>
              <w:right w:val="single" w:color="000000" w:sz="4" w:space="0"/>
            </w:tcBorders>
          </w:tcPr>
          <w:p w14:paraId="34A684AC">
            <w:pPr>
              <w:pStyle w:val="36"/>
            </w:pPr>
          </w:p>
        </w:tc>
        <w:tc>
          <w:tcPr>
            <w:tcW w:w="2440" w:type="dxa"/>
            <w:tcBorders>
              <w:top w:val="single" w:color="000000" w:sz="4" w:space="0"/>
              <w:left w:val="single" w:color="000000" w:sz="4" w:space="0"/>
              <w:bottom w:val="single" w:color="000000" w:sz="4" w:space="0"/>
              <w:right w:val="single" w:color="000000" w:sz="4" w:space="0"/>
            </w:tcBorders>
          </w:tcPr>
          <w:p w14:paraId="364036D7">
            <w:pPr>
              <w:pStyle w:val="36"/>
            </w:pPr>
          </w:p>
        </w:tc>
      </w:tr>
      <w:tr w14:paraId="4EFBE37D">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4F4AC045">
            <w:pPr>
              <w:pStyle w:val="36"/>
            </w:pPr>
            <w:r>
              <w:t>6</w:t>
            </w:r>
          </w:p>
        </w:tc>
        <w:tc>
          <w:tcPr>
            <w:tcW w:w="1247" w:type="dxa"/>
            <w:tcBorders>
              <w:top w:val="single" w:color="000000" w:sz="4" w:space="0"/>
              <w:left w:val="single" w:color="000000" w:sz="4" w:space="0"/>
              <w:bottom w:val="single" w:color="000000" w:sz="4" w:space="0"/>
              <w:right w:val="single" w:color="000000" w:sz="4" w:space="0"/>
            </w:tcBorders>
          </w:tcPr>
          <w:p w14:paraId="7356B234">
            <w:pPr>
              <w:pStyle w:val="36"/>
            </w:pPr>
          </w:p>
        </w:tc>
        <w:tc>
          <w:tcPr>
            <w:tcW w:w="867" w:type="dxa"/>
            <w:tcBorders>
              <w:top w:val="single" w:color="000000" w:sz="4" w:space="0"/>
              <w:left w:val="single" w:color="000000" w:sz="4" w:space="0"/>
              <w:bottom w:val="single" w:color="000000" w:sz="4" w:space="0"/>
              <w:right w:val="single" w:color="000000" w:sz="4" w:space="0"/>
            </w:tcBorders>
          </w:tcPr>
          <w:p w14:paraId="5F14D8F1">
            <w:pPr>
              <w:pStyle w:val="36"/>
            </w:pPr>
          </w:p>
        </w:tc>
        <w:tc>
          <w:tcPr>
            <w:tcW w:w="932" w:type="dxa"/>
            <w:tcBorders>
              <w:top w:val="single" w:color="000000" w:sz="4" w:space="0"/>
              <w:left w:val="single" w:color="000000" w:sz="4" w:space="0"/>
              <w:bottom w:val="single" w:color="000000" w:sz="4" w:space="0"/>
              <w:right w:val="single" w:color="000000" w:sz="4" w:space="0"/>
            </w:tcBorders>
          </w:tcPr>
          <w:p w14:paraId="649702F0">
            <w:pPr>
              <w:pStyle w:val="36"/>
            </w:pPr>
          </w:p>
        </w:tc>
        <w:tc>
          <w:tcPr>
            <w:tcW w:w="2917" w:type="dxa"/>
            <w:tcBorders>
              <w:top w:val="single" w:color="000000" w:sz="4" w:space="0"/>
              <w:left w:val="single" w:color="000000" w:sz="4" w:space="0"/>
              <w:bottom w:val="single" w:color="000000" w:sz="4" w:space="0"/>
              <w:right w:val="single" w:color="000000" w:sz="4" w:space="0"/>
            </w:tcBorders>
          </w:tcPr>
          <w:p w14:paraId="59156934">
            <w:pPr>
              <w:pStyle w:val="36"/>
            </w:pPr>
          </w:p>
        </w:tc>
        <w:tc>
          <w:tcPr>
            <w:tcW w:w="2440" w:type="dxa"/>
            <w:tcBorders>
              <w:top w:val="single" w:color="000000" w:sz="4" w:space="0"/>
              <w:left w:val="single" w:color="000000" w:sz="4" w:space="0"/>
              <w:bottom w:val="single" w:color="000000" w:sz="4" w:space="0"/>
              <w:right w:val="single" w:color="000000" w:sz="4" w:space="0"/>
            </w:tcBorders>
          </w:tcPr>
          <w:p w14:paraId="66BE3637">
            <w:pPr>
              <w:pStyle w:val="36"/>
            </w:pPr>
          </w:p>
        </w:tc>
      </w:tr>
      <w:tr w14:paraId="5EA45F0C">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3FEE401E">
            <w:pPr>
              <w:pStyle w:val="36"/>
            </w:pPr>
            <w:r>
              <w:t>7</w:t>
            </w:r>
          </w:p>
        </w:tc>
        <w:tc>
          <w:tcPr>
            <w:tcW w:w="1247" w:type="dxa"/>
            <w:tcBorders>
              <w:top w:val="single" w:color="000000" w:sz="4" w:space="0"/>
              <w:left w:val="single" w:color="000000" w:sz="4" w:space="0"/>
              <w:bottom w:val="single" w:color="000000" w:sz="4" w:space="0"/>
              <w:right w:val="single" w:color="000000" w:sz="4" w:space="0"/>
            </w:tcBorders>
          </w:tcPr>
          <w:p w14:paraId="401F3A71">
            <w:pPr>
              <w:pStyle w:val="36"/>
            </w:pPr>
          </w:p>
        </w:tc>
        <w:tc>
          <w:tcPr>
            <w:tcW w:w="867" w:type="dxa"/>
            <w:tcBorders>
              <w:top w:val="single" w:color="000000" w:sz="4" w:space="0"/>
              <w:left w:val="single" w:color="000000" w:sz="4" w:space="0"/>
              <w:bottom w:val="single" w:color="000000" w:sz="4" w:space="0"/>
              <w:right w:val="single" w:color="000000" w:sz="4" w:space="0"/>
            </w:tcBorders>
          </w:tcPr>
          <w:p w14:paraId="54C6F261">
            <w:pPr>
              <w:pStyle w:val="36"/>
            </w:pPr>
          </w:p>
        </w:tc>
        <w:tc>
          <w:tcPr>
            <w:tcW w:w="932" w:type="dxa"/>
            <w:tcBorders>
              <w:top w:val="single" w:color="000000" w:sz="4" w:space="0"/>
              <w:left w:val="single" w:color="000000" w:sz="4" w:space="0"/>
              <w:bottom w:val="single" w:color="000000" w:sz="4" w:space="0"/>
              <w:right w:val="single" w:color="000000" w:sz="4" w:space="0"/>
            </w:tcBorders>
          </w:tcPr>
          <w:p w14:paraId="68C63769">
            <w:pPr>
              <w:pStyle w:val="36"/>
            </w:pPr>
          </w:p>
        </w:tc>
        <w:tc>
          <w:tcPr>
            <w:tcW w:w="2917" w:type="dxa"/>
            <w:tcBorders>
              <w:top w:val="single" w:color="000000" w:sz="4" w:space="0"/>
              <w:left w:val="single" w:color="000000" w:sz="4" w:space="0"/>
              <w:bottom w:val="single" w:color="000000" w:sz="4" w:space="0"/>
              <w:right w:val="single" w:color="000000" w:sz="4" w:space="0"/>
            </w:tcBorders>
          </w:tcPr>
          <w:p w14:paraId="313AE8BA">
            <w:pPr>
              <w:pStyle w:val="36"/>
            </w:pPr>
          </w:p>
        </w:tc>
        <w:tc>
          <w:tcPr>
            <w:tcW w:w="2440" w:type="dxa"/>
            <w:tcBorders>
              <w:top w:val="single" w:color="000000" w:sz="4" w:space="0"/>
              <w:left w:val="single" w:color="000000" w:sz="4" w:space="0"/>
              <w:bottom w:val="single" w:color="000000" w:sz="4" w:space="0"/>
              <w:right w:val="single" w:color="000000" w:sz="4" w:space="0"/>
            </w:tcBorders>
          </w:tcPr>
          <w:p w14:paraId="526EE3C0">
            <w:pPr>
              <w:pStyle w:val="36"/>
            </w:pPr>
          </w:p>
        </w:tc>
      </w:tr>
      <w:tr w14:paraId="22325CA2">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032D9B89">
            <w:pPr>
              <w:pStyle w:val="36"/>
            </w:pPr>
            <w:r>
              <w:t>8</w:t>
            </w:r>
          </w:p>
        </w:tc>
        <w:tc>
          <w:tcPr>
            <w:tcW w:w="1247" w:type="dxa"/>
            <w:tcBorders>
              <w:top w:val="single" w:color="000000" w:sz="4" w:space="0"/>
              <w:left w:val="single" w:color="000000" w:sz="4" w:space="0"/>
              <w:bottom w:val="single" w:color="000000" w:sz="4" w:space="0"/>
              <w:right w:val="single" w:color="000000" w:sz="4" w:space="0"/>
            </w:tcBorders>
          </w:tcPr>
          <w:p w14:paraId="3B73540E">
            <w:pPr>
              <w:pStyle w:val="36"/>
            </w:pPr>
          </w:p>
        </w:tc>
        <w:tc>
          <w:tcPr>
            <w:tcW w:w="867" w:type="dxa"/>
            <w:tcBorders>
              <w:top w:val="single" w:color="000000" w:sz="4" w:space="0"/>
              <w:left w:val="single" w:color="000000" w:sz="4" w:space="0"/>
              <w:bottom w:val="single" w:color="000000" w:sz="4" w:space="0"/>
              <w:right w:val="single" w:color="000000" w:sz="4" w:space="0"/>
            </w:tcBorders>
          </w:tcPr>
          <w:p w14:paraId="2BBAF802">
            <w:pPr>
              <w:pStyle w:val="36"/>
            </w:pPr>
          </w:p>
        </w:tc>
        <w:tc>
          <w:tcPr>
            <w:tcW w:w="932" w:type="dxa"/>
            <w:tcBorders>
              <w:top w:val="single" w:color="000000" w:sz="4" w:space="0"/>
              <w:left w:val="single" w:color="000000" w:sz="4" w:space="0"/>
              <w:bottom w:val="single" w:color="000000" w:sz="4" w:space="0"/>
              <w:right w:val="single" w:color="000000" w:sz="4" w:space="0"/>
            </w:tcBorders>
          </w:tcPr>
          <w:p w14:paraId="0E014A72">
            <w:pPr>
              <w:pStyle w:val="36"/>
            </w:pPr>
          </w:p>
        </w:tc>
        <w:tc>
          <w:tcPr>
            <w:tcW w:w="2917" w:type="dxa"/>
            <w:tcBorders>
              <w:top w:val="single" w:color="000000" w:sz="4" w:space="0"/>
              <w:left w:val="single" w:color="000000" w:sz="4" w:space="0"/>
              <w:bottom w:val="single" w:color="000000" w:sz="4" w:space="0"/>
              <w:right w:val="single" w:color="000000" w:sz="4" w:space="0"/>
            </w:tcBorders>
          </w:tcPr>
          <w:p w14:paraId="62311B2D">
            <w:pPr>
              <w:pStyle w:val="36"/>
            </w:pPr>
          </w:p>
        </w:tc>
        <w:tc>
          <w:tcPr>
            <w:tcW w:w="2440" w:type="dxa"/>
            <w:tcBorders>
              <w:top w:val="single" w:color="000000" w:sz="4" w:space="0"/>
              <w:left w:val="single" w:color="000000" w:sz="4" w:space="0"/>
              <w:bottom w:val="single" w:color="000000" w:sz="4" w:space="0"/>
              <w:right w:val="single" w:color="000000" w:sz="4" w:space="0"/>
            </w:tcBorders>
          </w:tcPr>
          <w:p w14:paraId="26938193">
            <w:pPr>
              <w:pStyle w:val="36"/>
            </w:pPr>
          </w:p>
        </w:tc>
      </w:tr>
      <w:tr w14:paraId="16C0477D">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0AB20A05">
            <w:pPr>
              <w:pStyle w:val="36"/>
            </w:pPr>
            <w:r>
              <w:t>9</w:t>
            </w:r>
          </w:p>
        </w:tc>
        <w:tc>
          <w:tcPr>
            <w:tcW w:w="1247" w:type="dxa"/>
            <w:tcBorders>
              <w:top w:val="single" w:color="000000" w:sz="4" w:space="0"/>
              <w:left w:val="single" w:color="000000" w:sz="4" w:space="0"/>
              <w:bottom w:val="single" w:color="000000" w:sz="4" w:space="0"/>
              <w:right w:val="single" w:color="000000" w:sz="4" w:space="0"/>
            </w:tcBorders>
          </w:tcPr>
          <w:p w14:paraId="39186420">
            <w:pPr>
              <w:pStyle w:val="36"/>
            </w:pPr>
          </w:p>
        </w:tc>
        <w:tc>
          <w:tcPr>
            <w:tcW w:w="867" w:type="dxa"/>
            <w:tcBorders>
              <w:top w:val="single" w:color="000000" w:sz="4" w:space="0"/>
              <w:left w:val="single" w:color="000000" w:sz="4" w:space="0"/>
              <w:bottom w:val="single" w:color="000000" w:sz="4" w:space="0"/>
              <w:right w:val="single" w:color="000000" w:sz="4" w:space="0"/>
            </w:tcBorders>
          </w:tcPr>
          <w:p w14:paraId="018664D4">
            <w:pPr>
              <w:pStyle w:val="36"/>
            </w:pPr>
          </w:p>
        </w:tc>
        <w:tc>
          <w:tcPr>
            <w:tcW w:w="932" w:type="dxa"/>
            <w:tcBorders>
              <w:top w:val="single" w:color="000000" w:sz="4" w:space="0"/>
              <w:left w:val="single" w:color="000000" w:sz="4" w:space="0"/>
              <w:bottom w:val="single" w:color="000000" w:sz="4" w:space="0"/>
              <w:right w:val="single" w:color="000000" w:sz="4" w:space="0"/>
            </w:tcBorders>
          </w:tcPr>
          <w:p w14:paraId="1F58FA31">
            <w:pPr>
              <w:pStyle w:val="36"/>
            </w:pPr>
          </w:p>
        </w:tc>
        <w:tc>
          <w:tcPr>
            <w:tcW w:w="2917" w:type="dxa"/>
            <w:tcBorders>
              <w:top w:val="single" w:color="000000" w:sz="4" w:space="0"/>
              <w:left w:val="single" w:color="000000" w:sz="4" w:space="0"/>
              <w:bottom w:val="single" w:color="000000" w:sz="4" w:space="0"/>
              <w:right w:val="single" w:color="000000" w:sz="4" w:space="0"/>
            </w:tcBorders>
          </w:tcPr>
          <w:p w14:paraId="7069D9C1">
            <w:pPr>
              <w:pStyle w:val="36"/>
            </w:pPr>
          </w:p>
        </w:tc>
        <w:tc>
          <w:tcPr>
            <w:tcW w:w="2440" w:type="dxa"/>
            <w:tcBorders>
              <w:top w:val="single" w:color="000000" w:sz="4" w:space="0"/>
              <w:left w:val="single" w:color="000000" w:sz="4" w:space="0"/>
              <w:bottom w:val="single" w:color="000000" w:sz="4" w:space="0"/>
              <w:right w:val="single" w:color="000000" w:sz="4" w:space="0"/>
            </w:tcBorders>
          </w:tcPr>
          <w:p w14:paraId="24CB054A">
            <w:pPr>
              <w:pStyle w:val="36"/>
            </w:pPr>
          </w:p>
        </w:tc>
      </w:tr>
      <w:tr w14:paraId="485CC882">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3AFB9F11">
            <w:pPr>
              <w:pStyle w:val="36"/>
            </w:pPr>
            <w:r>
              <w:t>……</w:t>
            </w:r>
          </w:p>
        </w:tc>
        <w:tc>
          <w:tcPr>
            <w:tcW w:w="1247" w:type="dxa"/>
            <w:tcBorders>
              <w:top w:val="single" w:color="000000" w:sz="4" w:space="0"/>
              <w:left w:val="single" w:color="000000" w:sz="4" w:space="0"/>
              <w:bottom w:val="single" w:color="000000" w:sz="4" w:space="0"/>
              <w:right w:val="single" w:color="000000" w:sz="4" w:space="0"/>
            </w:tcBorders>
          </w:tcPr>
          <w:p w14:paraId="60C7B8EF">
            <w:pPr>
              <w:pStyle w:val="36"/>
            </w:pPr>
          </w:p>
        </w:tc>
        <w:tc>
          <w:tcPr>
            <w:tcW w:w="867" w:type="dxa"/>
            <w:tcBorders>
              <w:top w:val="single" w:color="000000" w:sz="4" w:space="0"/>
              <w:left w:val="single" w:color="000000" w:sz="4" w:space="0"/>
              <w:bottom w:val="single" w:color="000000" w:sz="4" w:space="0"/>
              <w:right w:val="single" w:color="000000" w:sz="4" w:space="0"/>
            </w:tcBorders>
          </w:tcPr>
          <w:p w14:paraId="5407A171">
            <w:pPr>
              <w:pStyle w:val="36"/>
            </w:pPr>
          </w:p>
        </w:tc>
        <w:tc>
          <w:tcPr>
            <w:tcW w:w="932" w:type="dxa"/>
            <w:tcBorders>
              <w:top w:val="single" w:color="000000" w:sz="4" w:space="0"/>
              <w:left w:val="single" w:color="000000" w:sz="4" w:space="0"/>
              <w:bottom w:val="single" w:color="000000" w:sz="4" w:space="0"/>
              <w:right w:val="single" w:color="000000" w:sz="4" w:space="0"/>
            </w:tcBorders>
          </w:tcPr>
          <w:p w14:paraId="2E50C9D8">
            <w:pPr>
              <w:pStyle w:val="36"/>
            </w:pPr>
          </w:p>
        </w:tc>
        <w:tc>
          <w:tcPr>
            <w:tcW w:w="2917" w:type="dxa"/>
            <w:tcBorders>
              <w:top w:val="single" w:color="000000" w:sz="4" w:space="0"/>
              <w:left w:val="single" w:color="000000" w:sz="4" w:space="0"/>
              <w:bottom w:val="single" w:color="000000" w:sz="4" w:space="0"/>
              <w:right w:val="single" w:color="000000" w:sz="4" w:space="0"/>
            </w:tcBorders>
          </w:tcPr>
          <w:p w14:paraId="630BCFCD">
            <w:pPr>
              <w:pStyle w:val="36"/>
            </w:pPr>
          </w:p>
        </w:tc>
        <w:tc>
          <w:tcPr>
            <w:tcW w:w="2440" w:type="dxa"/>
            <w:tcBorders>
              <w:top w:val="single" w:color="000000" w:sz="4" w:space="0"/>
              <w:left w:val="single" w:color="000000" w:sz="4" w:space="0"/>
              <w:bottom w:val="single" w:color="000000" w:sz="4" w:space="0"/>
              <w:right w:val="single" w:color="000000" w:sz="4" w:space="0"/>
            </w:tcBorders>
          </w:tcPr>
          <w:p w14:paraId="7C25F5FF">
            <w:pPr>
              <w:pStyle w:val="36"/>
            </w:pPr>
          </w:p>
        </w:tc>
      </w:tr>
    </w:tbl>
    <w:p w14:paraId="23EF94EF">
      <w:pPr>
        <w:widowControl/>
        <w:ind w:firstLine="0" w:firstLineChars="0"/>
        <w:jc w:val="left"/>
        <w:rPr>
          <w:sz w:val="21"/>
          <w:szCs w:val="21"/>
        </w:rPr>
      </w:pPr>
    </w:p>
    <w:p w14:paraId="5E6686A1">
      <w:pPr>
        <w:widowControl/>
        <w:spacing w:line="240" w:lineRule="auto"/>
        <w:ind w:firstLine="0" w:firstLineChars="0"/>
        <w:jc w:val="left"/>
        <w:rPr>
          <w:szCs w:val="21"/>
        </w:rPr>
      </w:pPr>
    </w:p>
    <w:p w14:paraId="25C5A545">
      <w:pPr>
        <w:ind w:firstLine="480"/>
      </w:pPr>
    </w:p>
    <w:p w14:paraId="6D8E3EE3">
      <w:pPr>
        <w:ind w:firstLine="480"/>
      </w:pPr>
      <w:r>
        <w:rPr>
          <w:rFonts w:hint="eastAsia"/>
        </w:rPr>
        <w:t>供应商名称（盖章）：</w:t>
      </w:r>
      <w:r>
        <w:t>____________________________________________</w:t>
      </w:r>
    </w:p>
    <w:p w14:paraId="6FEEDD1C">
      <w:pPr>
        <w:ind w:firstLine="480"/>
      </w:pPr>
      <w:r>
        <w:rPr>
          <w:rFonts w:hint="eastAsia"/>
        </w:rPr>
        <w:t>法定代表人或其授权代表（签字或盖章）：</w:t>
      </w:r>
      <w:r>
        <w:t>____________________________</w:t>
      </w:r>
    </w:p>
    <w:p w14:paraId="58D31680">
      <w:pPr>
        <w:ind w:firstLine="480"/>
      </w:pPr>
      <w:r>
        <w:rPr>
          <w:rFonts w:hint="eastAsia"/>
        </w:rPr>
        <w:t>日期：</w:t>
      </w:r>
      <w:r>
        <w:t>________</w:t>
      </w:r>
      <w:r>
        <w:rPr>
          <w:rFonts w:hint="eastAsia"/>
        </w:rPr>
        <w:t>年</w:t>
      </w:r>
      <w:r>
        <w:t>____</w:t>
      </w:r>
      <w:r>
        <w:rPr>
          <w:rFonts w:hint="eastAsia"/>
        </w:rPr>
        <w:t>月</w:t>
      </w:r>
      <w:r>
        <w:t>____</w:t>
      </w:r>
      <w:r>
        <w:rPr>
          <w:rFonts w:hint="eastAsia"/>
        </w:rPr>
        <w:t>日</w:t>
      </w:r>
    </w:p>
    <w:p w14:paraId="0BEA42FF">
      <w:pPr>
        <w:widowControl/>
        <w:spacing w:line="240" w:lineRule="auto"/>
        <w:ind w:firstLine="0" w:firstLineChars="0"/>
        <w:jc w:val="left"/>
        <w:rPr>
          <w:rFonts w:ascii="宋体" w:hAnsi="宋体" w:cs="Arial"/>
          <w:spacing w:val="20"/>
          <w:szCs w:val="21"/>
        </w:rPr>
      </w:pPr>
      <w:r>
        <w:rPr>
          <w:rFonts w:ascii="宋体" w:hAnsi="宋体" w:cs="Arial"/>
          <w:spacing w:val="20"/>
          <w:szCs w:val="21"/>
        </w:rPr>
        <w:br w:type="page"/>
      </w:r>
    </w:p>
    <w:p w14:paraId="6B2DA5C6">
      <w:pPr>
        <w:ind w:firstLine="480"/>
      </w:pPr>
      <w:bookmarkStart w:id="596" w:name="_Toc462229891"/>
      <w:bookmarkStart w:id="597" w:name="_Toc350453720"/>
      <w:bookmarkStart w:id="598" w:name="_Toc427610950"/>
      <w:bookmarkStart w:id="599" w:name="_Toc345575543"/>
      <w:bookmarkStart w:id="600" w:name="_Toc336683581"/>
      <w:r>
        <w:rPr>
          <w:rFonts w:hint="eastAsia"/>
        </w:rPr>
        <w:t>附件11</w:t>
      </w:r>
      <w:bookmarkEnd w:id="596"/>
      <w:bookmarkEnd w:id="597"/>
      <w:bookmarkEnd w:id="598"/>
      <w:bookmarkEnd w:id="599"/>
      <w:bookmarkEnd w:id="600"/>
    </w:p>
    <w:p w14:paraId="371BAC21">
      <w:pPr>
        <w:pStyle w:val="2"/>
        <w:ind w:firstLine="643"/>
        <w:jc w:val="center"/>
      </w:pPr>
      <w:bookmarkStart w:id="601" w:name="_Toc14959"/>
      <w:bookmarkStart w:id="602" w:name="_Toc2822"/>
      <w:bookmarkStart w:id="603" w:name="_Toc24686"/>
      <w:bookmarkStart w:id="604" w:name="_Toc29121"/>
      <w:bookmarkStart w:id="605" w:name="_Toc26596"/>
      <w:bookmarkStart w:id="606" w:name="_Toc15976"/>
      <w:bookmarkStart w:id="607" w:name="_Toc4116"/>
      <w:bookmarkStart w:id="608" w:name="_Toc18933"/>
      <w:r>
        <w:rPr>
          <w:rFonts w:hint="eastAsia"/>
        </w:rPr>
        <w:t>报价一览表</w:t>
      </w:r>
      <w:bookmarkEnd w:id="601"/>
      <w:bookmarkEnd w:id="602"/>
      <w:bookmarkEnd w:id="603"/>
      <w:bookmarkEnd w:id="604"/>
      <w:bookmarkEnd w:id="605"/>
      <w:bookmarkEnd w:id="606"/>
      <w:bookmarkEnd w:id="607"/>
      <w:bookmarkEnd w:id="608"/>
    </w:p>
    <w:p w14:paraId="6CFDC04B">
      <w:pPr>
        <w:ind w:left="1680" w:leftChars="200" w:hanging="1200" w:hangingChars="500"/>
      </w:pPr>
      <w:r>
        <w:t>项目名称</w:t>
      </w:r>
      <w:r>
        <w:rPr>
          <w:rFonts w:hint="eastAsia"/>
        </w:rPr>
        <w:t>：</w:t>
      </w:r>
      <w:r>
        <w:rPr>
          <w:rFonts w:hint="eastAsia"/>
          <w:u w:val="single"/>
        </w:rPr>
        <w:t>大梁山森林防火提升规划及乡村振兴森林康养项目概念设计项目</w:t>
      </w:r>
    </w:p>
    <w:p w14:paraId="540F6317">
      <w:pPr>
        <w:ind w:firstLine="480"/>
      </w:pPr>
      <w:r>
        <w:t>项目编号</w:t>
      </w:r>
      <w:r>
        <w:rPr>
          <w:rFonts w:hint="eastAsia"/>
        </w:rPr>
        <w:t>：</w:t>
      </w:r>
      <w:r>
        <w:rPr>
          <w:rFonts w:hint="eastAsia"/>
          <w:u w:val="single"/>
        </w:rPr>
        <w:t>浙盛康磋商【2024】24号</w:t>
      </w:r>
    </w:p>
    <w:p w14:paraId="01EFFFFF">
      <w:pPr>
        <w:ind w:firstLine="480"/>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5"/>
        <w:gridCol w:w="1421"/>
        <w:gridCol w:w="2681"/>
      </w:tblGrid>
      <w:tr w14:paraId="60264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exact"/>
          <w:jc w:val="center"/>
        </w:trPr>
        <w:tc>
          <w:tcPr>
            <w:tcW w:w="3555" w:type="dxa"/>
            <w:tcBorders>
              <w:top w:val="single" w:color="auto" w:sz="4" w:space="0"/>
              <w:left w:val="single" w:color="auto" w:sz="4" w:space="0"/>
              <w:bottom w:val="single" w:color="auto" w:sz="4" w:space="0"/>
              <w:right w:val="single" w:color="auto" w:sz="4" w:space="0"/>
            </w:tcBorders>
            <w:vAlign w:val="center"/>
          </w:tcPr>
          <w:p w14:paraId="1929F33E">
            <w:pPr>
              <w:snapToGrid w:val="0"/>
              <w:ind w:firstLine="480"/>
              <w:jc w:val="center"/>
              <w:rPr>
                <w:rFonts w:ascii="宋体" w:hAnsi="宋体" w:cs="宋体"/>
                <w:bCs/>
              </w:rPr>
            </w:pPr>
            <w:r>
              <w:rPr>
                <w:rFonts w:hint="eastAsia" w:ascii="宋体" w:hAnsi="宋体" w:cs="宋体"/>
                <w:bCs/>
              </w:rPr>
              <w:t>项目名称</w:t>
            </w:r>
          </w:p>
        </w:tc>
        <w:tc>
          <w:tcPr>
            <w:tcW w:w="1421" w:type="dxa"/>
            <w:tcBorders>
              <w:top w:val="single" w:color="auto" w:sz="4" w:space="0"/>
              <w:left w:val="single" w:color="auto" w:sz="4" w:space="0"/>
              <w:bottom w:val="single" w:color="auto" w:sz="4" w:space="0"/>
              <w:right w:val="single" w:color="auto" w:sz="4" w:space="0"/>
            </w:tcBorders>
            <w:vAlign w:val="center"/>
          </w:tcPr>
          <w:p w14:paraId="040FB375">
            <w:pPr>
              <w:snapToGrid w:val="0"/>
              <w:ind w:firstLine="480"/>
              <w:rPr>
                <w:rFonts w:ascii="宋体" w:hAnsi="宋体" w:cs="宋体"/>
                <w:bCs/>
              </w:rPr>
            </w:pPr>
            <w:r>
              <w:rPr>
                <w:rFonts w:hint="eastAsia" w:ascii="宋体" w:hAnsi="宋体" w:cs="宋体"/>
                <w:bCs/>
              </w:rPr>
              <w:t>数量</w:t>
            </w:r>
          </w:p>
        </w:tc>
        <w:tc>
          <w:tcPr>
            <w:tcW w:w="2681" w:type="dxa"/>
            <w:tcBorders>
              <w:top w:val="single" w:color="auto" w:sz="4" w:space="0"/>
              <w:left w:val="single" w:color="auto" w:sz="4" w:space="0"/>
              <w:bottom w:val="single" w:color="auto" w:sz="4" w:space="0"/>
              <w:right w:val="single" w:color="auto" w:sz="4" w:space="0"/>
            </w:tcBorders>
            <w:vAlign w:val="center"/>
          </w:tcPr>
          <w:p w14:paraId="099C8A0E">
            <w:pPr>
              <w:snapToGrid w:val="0"/>
              <w:ind w:firstLine="480"/>
              <w:jc w:val="center"/>
              <w:rPr>
                <w:rFonts w:ascii="宋体" w:hAnsi="宋体" w:cs="宋体"/>
                <w:bCs/>
              </w:rPr>
            </w:pPr>
            <w:r>
              <w:rPr>
                <w:rFonts w:hint="eastAsia" w:ascii="宋体" w:hAnsi="宋体" w:cs="宋体"/>
                <w:bCs/>
              </w:rPr>
              <w:t>合  价</w:t>
            </w:r>
          </w:p>
        </w:tc>
      </w:tr>
      <w:tr w14:paraId="6A154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3555" w:type="dxa"/>
            <w:tcBorders>
              <w:top w:val="single" w:color="auto" w:sz="4" w:space="0"/>
              <w:left w:val="single" w:color="auto" w:sz="4" w:space="0"/>
              <w:bottom w:val="single" w:color="auto" w:sz="4" w:space="0"/>
              <w:right w:val="single" w:color="auto" w:sz="4" w:space="0"/>
            </w:tcBorders>
            <w:vAlign w:val="center"/>
          </w:tcPr>
          <w:p w14:paraId="65E77913">
            <w:pPr>
              <w:snapToGrid w:val="0"/>
              <w:ind w:firstLine="0" w:firstLineChars="0"/>
              <w:rPr>
                <w:rFonts w:ascii="宋体" w:hAnsi="宋体" w:cs="宋体"/>
                <w:b/>
                <w:bCs/>
              </w:rPr>
            </w:pPr>
            <w:r>
              <w:rPr>
                <w:rFonts w:hint="eastAsia"/>
              </w:rPr>
              <w:t>大梁山森林防火提升规划及乡村振兴森林康养项目概念设计项目</w:t>
            </w:r>
          </w:p>
        </w:tc>
        <w:tc>
          <w:tcPr>
            <w:tcW w:w="1421" w:type="dxa"/>
            <w:tcBorders>
              <w:top w:val="single" w:color="auto" w:sz="4" w:space="0"/>
              <w:left w:val="single" w:color="auto" w:sz="4" w:space="0"/>
              <w:bottom w:val="single" w:color="auto" w:sz="4" w:space="0"/>
              <w:right w:val="single" w:color="auto" w:sz="4" w:space="0"/>
            </w:tcBorders>
            <w:vAlign w:val="center"/>
          </w:tcPr>
          <w:p w14:paraId="0760899F">
            <w:pPr>
              <w:snapToGrid w:val="0"/>
              <w:ind w:firstLine="480"/>
              <w:rPr>
                <w:rFonts w:ascii="宋体" w:hAnsi="宋体" w:cs="宋体"/>
                <w:bCs/>
              </w:rPr>
            </w:pPr>
            <w:r>
              <w:rPr>
                <w:rFonts w:hint="eastAsia" w:ascii="宋体" w:hAnsi="宋体" w:cs="宋体"/>
              </w:rPr>
              <w:t>1</w:t>
            </w:r>
          </w:p>
        </w:tc>
        <w:tc>
          <w:tcPr>
            <w:tcW w:w="2681" w:type="dxa"/>
            <w:tcBorders>
              <w:top w:val="single" w:color="auto" w:sz="4" w:space="0"/>
              <w:left w:val="single" w:color="auto" w:sz="4" w:space="0"/>
              <w:bottom w:val="single" w:color="auto" w:sz="4" w:space="0"/>
              <w:right w:val="single" w:color="auto" w:sz="4" w:space="0"/>
            </w:tcBorders>
            <w:vAlign w:val="center"/>
          </w:tcPr>
          <w:p w14:paraId="37A48572">
            <w:pPr>
              <w:snapToGrid w:val="0"/>
              <w:ind w:firstLine="0" w:firstLineChars="0"/>
              <w:jc w:val="left"/>
              <w:rPr>
                <w:rFonts w:ascii="宋体" w:hAnsi="宋体" w:cs="宋体"/>
                <w:u w:val="single"/>
              </w:rPr>
            </w:pPr>
            <w:r>
              <w:rPr>
                <w:rFonts w:hint="eastAsia" w:ascii="宋体" w:hAnsi="宋体" w:cs="宋体"/>
              </w:rPr>
              <w:t>小写：       元</w:t>
            </w:r>
          </w:p>
          <w:p w14:paraId="7C38F7A9">
            <w:pPr>
              <w:snapToGrid w:val="0"/>
              <w:ind w:firstLine="0" w:firstLineChars="0"/>
              <w:jc w:val="left"/>
              <w:rPr>
                <w:rFonts w:ascii="宋体" w:hAnsi="宋体" w:cs="宋体"/>
              </w:rPr>
            </w:pPr>
          </w:p>
          <w:p w14:paraId="13B5C449">
            <w:pPr>
              <w:pStyle w:val="26"/>
              <w:ind w:firstLine="0" w:firstLineChars="0"/>
              <w:jc w:val="left"/>
              <w:rPr>
                <w:rFonts w:ascii="宋体" w:hAnsi="宋体" w:cs="宋体"/>
                <w:bCs/>
              </w:rPr>
            </w:pPr>
            <w:r>
              <w:rPr>
                <w:rFonts w:hint="eastAsia" w:ascii="宋体" w:hAnsi="宋体" w:cs="宋体"/>
                <w:bCs/>
              </w:rPr>
              <w:t>大写：</w:t>
            </w:r>
            <w:r>
              <w:rPr>
                <w:rFonts w:hint="eastAsia" w:ascii="宋体" w:hAnsi="宋体" w:cs="宋体"/>
              </w:rPr>
              <w:t xml:space="preserve">       元 </w:t>
            </w:r>
          </w:p>
        </w:tc>
      </w:tr>
    </w:tbl>
    <w:p w14:paraId="74083CF9">
      <w:pPr>
        <w:pStyle w:val="27"/>
        <w:ind w:left="480"/>
        <w:rPr>
          <w:rFonts w:ascii="宋体" w:hAnsi="宋体" w:cs="宋体"/>
          <w:sz w:val="21"/>
          <w:szCs w:val="21"/>
          <w:u w:val="single"/>
        </w:rPr>
      </w:pPr>
    </w:p>
    <w:p w14:paraId="5E05C58E">
      <w:pPr>
        <w:ind w:firstLine="480"/>
        <w:rPr>
          <w:lang w:val="zh-CN"/>
        </w:rPr>
      </w:pPr>
      <w:r>
        <w:rPr>
          <w:rFonts w:hint="eastAsia"/>
          <w:lang w:val="zh-CN"/>
        </w:rPr>
        <w:t>注：</w:t>
      </w:r>
    </w:p>
    <w:p w14:paraId="1BD7CEC7">
      <w:pPr>
        <w:ind w:firstLine="480"/>
      </w:pPr>
      <w:r>
        <w:rPr>
          <w:rFonts w:hint="eastAsia"/>
          <w:lang w:val="zh-CN"/>
        </w:rPr>
        <w:t>1</w:t>
      </w:r>
      <w:r>
        <w:rPr>
          <w:rFonts w:hint="eastAsia"/>
        </w:rPr>
        <w:t>.</w:t>
      </w:r>
      <w:r>
        <w:rPr>
          <w:rFonts w:hint="eastAsia"/>
          <w:lang w:val="zh-CN"/>
        </w:rPr>
        <w:t>本表由磋商响应供应商填写。供磋商小组参考所用。</w:t>
      </w:r>
      <w:r>
        <w:rPr>
          <w:rFonts w:hint="eastAsia"/>
        </w:rPr>
        <w:t>▲报价填写必须为印刷体打印，手写无效报价</w:t>
      </w:r>
      <w:r>
        <w:rPr>
          <w:rFonts w:hint="eastAsia"/>
          <w:lang w:val="zh-CN"/>
        </w:rPr>
        <w:t>。</w:t>
      </w:r>
    </w:p>
    <w:p w14:paraId="47DE5EB2">
      <w:pPr>
        <w:ind w:firstLine="480"/>
      </w:pPr>
      <w:r>
        <w:rPr>
          <w:rFonts w:hint="eastAsia"/>
        </w:rPr>
        <w:t>2.报价包括人工费、交通费、保险费、成果评审费、采购代理费、管理费、利润和税金，以及政策性文件规定及所有风险、责任等各项费用。</w:t>
      </w:r>
    </w:p>
    <w:p w14:paraId="56EB67B4">
      <w:pPr>
        <w:ind w:firstLine="480"/>
        <w:rPr>
          <w:lang w:val="zh-CN"/>
        </w:rPr>
      </w:pPr>
      <w:r>
        <w:rPr>
          <w:rFonts w:hint="eastAsia"/>
        </w:rPr>
        <w:t>3.</w:t>
      </w:r>
      <w:r>
        <w:rPr>
          <w:rFonts w:hint="eastAsia"/>
          <w:lang w:val="zh-CN"/>
        </w:rPr>
        <w:t>本次报价仅做磋商参考，不做成交依据。</w:t>
      </w:r>
    </w:p>
    <w:p w14:paraId="6368FBEF">
      <w:pPr>
        <w:ind w:firstLine="480"/>
      </w:pPr>
      <w:r>
        <w:rPr>
          <w:rFonts w:hint="eastAsia"/>
        </w:rPr>
        <w:t>4.</w:t>
      </w:r>
      <w:r>
        <w:rPr>
          <w:rFonts w:hint="eastAsia"/>
          <w:lang w:val="zh-CN"/>
        </w:rPr>
        <w:t>报价不得超过总限价。</w:t>
      </w:r>
    </w:p>
    <w:p w14:paraId="63C696A8">
      <w:pPr>
        <w:ind w:firstLine="480"/>
        <w:rPr>
          <w:color w:val="000000" w:themeColor="text1"/>
          <w:lang w:val="zh-CN"/>
          <w14:textFill>
            <w14:solidFill>
              <w14:schemeClr w14:val="tx1"/>
            </w14:solidFill>
          </w14:textFill>
        </w:rPr>
      </w:pPr>
      <w:r>
        <w:rPr>
          <w:rFonts w:hint="eastAsia"/>
        </w:rPr>
        <w:t>▲此表不得自行增减内容，不提供此表格将被视为没有实质性响应招标文件。</w:t>
      </w:r>
    </w:p>
    <w:p w14:paraId="2B1C8B5B">
      <w:pPr>
        <w:ind w:firstLine="480"/>
        <w:rPr>
          <w:color w:val="000000" w:themeColor="text1"/>
          <w:lang w:val="zh-CN"/>
          <w14:textFill>
            <w14:solidFill>
              <w14:schemeClr w14:val="tx1"/>
            </w14:solidFill>
          </w14:textFill>
        </w:rPr>
      </w:pPr>
    </w:p>
    <w:p w14:paraId="08196C52">
      <w:pPr>
        <w:ind w:firstLine="480"/>
        <w:rPr>
          <w:lang w:val="zh-CN"/>
        </w:rPr>
      </w:pPr>
    </w:p>
    <w:p w14:paraId="23083488">
      <w:pPr>
        <w:ind w:firstLine="480"/>
      </w:pPr>
      <w:r>
        <w:rPr>
          <w:rFonts w:hint="eastAsia"/>
        </w:rPr>
        <w:t>供应商名称（盖章）：</w:t>
      </w:r>
      <w:r>
        <w:t>____________________________________________</w:t>
      </w:r>
    </w:p>
    <w:p w14:paraId="2BB6585D">
      <w:pPr>
        <w:ind w:firstLine="480"/>
      </w:pPr>
      <w:r>
        <w:rPr>
          <w:rFonts w:hint="eastAsia"/>
        </w:rPr>
        <w:t>法定代表人或其授权代表（签字或盖章）：</w:t>
      </w:r>
      <w:r>
        <w:t>____________________________</w:t>
      </w:r>
    </w:p>
    <w:p w14:paraId="5C5A223F">
      <w:pPr>
        <w:ind w:firstLine="480"/>
      </w:pPr>
      <w:r>
        <w:rPr>
          <w:rFonts w:hint="eastAsia"/>
        </w:rPr>
        <w:t>日期：</w:t>
      </w:r>
      <w:r>
        <w:t>________</w:t>
      </w:r>
      <w:r>
        <w:rPr>
          <w:rFonts w:hint="eastAsia"/>
        </w:rPr>
        <w:t>年</w:t>
      </w:r>
      <w:r>
        <w:t>____</w:t>
      </w:r>
      <w:r>
        <w:rPr>
          <w:rFonts w:hint="eastAsia"/>
        </w:rPr>
        <w:t>月</w:t>
      </w:r>
      <w:r>
        <w:t>____</w:t>
      </w:r>
      <w:r>
        <w:rPr>
          <w:rFonts w:hint="eastAsia"/>
        </w:rPr>
        <w:t>日</w:t>
      </w:r>
    </w:p>
    <w:p w14:paraId="22FF6344">
      <w:pPr>
        <w:widowControl/>
        <w:spacing w:line="240" w:lineRule="auto"/>
        <w:ind w:firstLine="0" w:firstLineChars="0"/>
        <w:jc w:val="left"/>
        <w:rPr>
          <w:rFonts w:ascii="宋体" w:hAnsi="宋体"/>
          <w:b/>
        </w:rPr>
      </w:pPr>
      <w:r>
        <w:rPr>
          <w:rFonts w:ascii="宋体" w:hAnsi="宋体"/>
          <w:b/>
        </w:rPr>
        <w:br w:type="page"/>
      </w:r>
    </w:p>
    <w:p w14:paraId="1E3DD153">
      <w:pPr>
        <w:ind w:firstLine="480"/>
      </w:pPr>
      <w:r>
        <w:rPr>
          <w:rFonts w:hint="eastAsia"/>
        </w:rPr>
        <w:t>附件12</w:t>
      </w:r>
    </w:p>
    <w:p w14:paraId="40BCFB62">
      <w:pPr>
        <w:pStyle w:val="2"/>
        <w:ind w:firstLine="643"/>
        <w:jc w:val="center"/>
      </w:pPr>
      <w:bookmarkStart w:id="609" w:name="_Toc23729"/>
      <w:bookmarkStart w:id="610" w:name="_Toc28018"/>
      <w:bookmarkStart w:id="611" w:name="_Toc14488"/>
      <w:bookmarkStart w:id="612" w:name="_Toc18362"/>
      <w:bookmarkStart w:id="613" w:name="_Toc31791"/>
      <w:bookmarkStart w:id="614" w:name="_Toc17542"/>
      <w:bookmarkStart w:id="615" w:name="_Toc9605"/>
      <w:bookmarkStart w:id="616" w:name="_Toc13028"/>
      <w:r>
        <w:rPr>
          <w:rFonts w:hint="eastAsia"/>
        </w:rPr>
        <w:t>中小企业声明函</w:t>
      </w:r>
      <w:bookmarkEnd w:id="609"/>
      <w:bookmarkEnd w:id="610"/>
      <w:bookmarkEnd w:id="611"/>
      <w:bookmarkEnd w:id="612"/>
      <w:bookmarkEnd w:id="613"/>
      <w:bookmarkEnd w:id="614"/>
      <w:bookmarkEnd w:id="615"/>
      <w:r>
        <w:rPr>
          <w:rFonts w:hint="eastAsia"/>
        </w:rPr>
        <w:t>（服务）</w:t>
      </w:r>
      <w:bookmarkEnd w:id="616"/>
    </w:p>
    <w:p w14:paraId="05FA8C1F">
      <w:pPr>
        <w:snapToGrid w:val="0"/>
        <w:spacing w:line="360" w:lineRule="auto"/>
        <w:ind w:firstLine="480"/>
        <w:jc w:val="center"/>
        <w:rPr>
          <w:rFonts w:ascii="宋体" w:hAnsi="宋体"/>
          <w:szCs w:val="21"/>
        </w:rPr>
      </w:pPr>
    </w:p>
    <w:p w14:paraId="16203A05">
      <w:pPr>
        <w:ind w:firstLine="480"/>
      </w:pPr>
      <w:r>
        <w:rPr>
          <w:rFonts w:hint="eastAsia"/>
        </w:rPr>
        <w:t>本公司（联合体）郑重声明，根据《政府采购促进中小企业发展管理办法》（财库〔2020〕46号）的规定，本公司参加</w:t>
      </w:r>
      <w:r>
        <w:rPr>
          <w:rFonts w:hint="eastAsia"/>
          <w:u w:val="single"/>
        </w:rPr>
        <w:t xml:space="preserve">  （单位名称）</w:t>
      </w:r>
      <w:r>
        <w:rPr>
          <w:rFonts w:hint="eastAsia"/>
        </w:rPr>
        <w:t>的</w:t>
      </w:r>
      <w:r>
        <w:rPr>
          <w:rFonts w:hint="eastAsia"/>
          <w:u w:val="single"/>
        </w:rPr>
        <w:t xml:space="preserve">  （项目名称）</w:t>
      </w:r>
      <w:r>
        <w:rPr>
          <w:rFonts w:hint="eastAsia"/>
        </w:rPr>
        <w:t>的采购活动，服务全部由符合政策要求的中小企业承接。相关企业（含联合体中的中小企业、签订分包意向协议的中小企业）的具体情况如下：</w:t>
      </w:r>
    </w:p>
    <w:p w14:paraId="416633DA">
      <w:pPr>
        <w:numPr>
          <w:ilvl w:val="0"/>
          <w:numId w:val="3"/>
        </w:numPr>
        <w:ind w:firstLine="480"/>
      </w:pPr>
      <w:r>
        <w:rPr>
          <w:rFonts w:hint="eastAsia"/>
          <w:u w:val="single"/>
        </w:rPr>
        <w:t xml:space="preserve"> （标的名称）</w:t>
      </w:r>
      <w:r>
        <w:rPr>
          <w:rFonts w:hint="eastAsia"/>
        </w:rPr>
        <w:t>，属于</w:t>
      </w:r>
      <w:r>
        <w:rPr>
          <w:rFonts w:hint="eastAsia"/>
          <w:u w:val="single"/>
        </w:rPr>
        <w:t xml:space="preserve">     </w:t>
      </w:r>
      <w:r>
        <w:rPr>
          <w:rFonts w:hint="eastAsia"/>
        </w:rPr>
        <w:t>（采购文件中明确的所属行业）；承接企业为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万元，属于（中型企业、小型企业、微型企业）；</w:t>
      </w:r>
    </w:p>
    <w:p w14:paraId="311488DE">
      <w:pPr>
        <w:ind w:firstLine="480"/>
      </w:pPr>
      <w:r>
        <w:rPr>
          <w:rFonts w:hint="eastAsia"/>
        </w:rPr>
        <w:t>2.</w:t>
      </w:r>
      <w:r>
        <w:rPr>
          <w:rFonts w:hint="eastAsia"/>
          <w:u w:val="single"/>
        </w:rPr>
        <w:t xml:space="preserve"> （标的名称）</w:t>
      </w:r>
      <w:r>
        <w:rPr>
          <w:rFonts w:hint="eastAsia"/>
        </w:rPr>
        <w:t>，属于</w:t>
      </w:r>
      <w:r>
        <w:rPr>
          <w:rFonts w:hint="eastAsia"/>
          <w:u w:val="single"/>
        </w:rPr>
        <w:t xml:space="preserve">     </w:t>
      </w:r>
      <w:r>
        <w:rPr>
          <w:rFonts w:hint="eastAsia"/>
        </w:rPr>
        <w:t>（采购文件中明确的所属行业）；承接企业为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万元，属于（中型企业、小型企业、微型企业）；</w:t>
      </w:r>
    </w:p>
    <w:p w14:paraId="4C0E24B2">
      <w:pPr>
        <w:ind w:firstLine="480"/>
      </w:pPr>
      <w:r>
        <w:rPr>
          <w:rFonts w:hint="eastAsia"/>
        </w:rPr>
        <w:t>…………</w:t>
      </w:r>
    </w:p>
    <w:p w14:paraId="54BE0122">
      <w:pPr>
        <w:ind w:firstLine="480"/>
      </w:pPr>
      <w:r>
        <w:rPr>
          <w:rFonts w:hint="eastAsia"/>
        </w:rPr>
        <w:t>以上企业，不属于大企业的分支机构，不存在控股股东为大企业的情形，也不存在与大企业的负责人为同一人的情形。</w:t>
      </w:r>
    </w:p>
    <w:p w14:paraId="0575DA5E">
      <w:pPr>
        <w:ind w:firstLine="480"/>
      </w:pPr>
      <w:r>
        <w:rPr>
          <w:rFonts w:hint="eastAsia"/>
        </w:rPr>
        <w:t>本企业对上述声明内容的真实性负责。如有虚假，将依法承担相应责任。</w:t>
      </w:r>
    </w:p>
    <w:p w14:paraId="6F0E06AB">
      <w:pPr>
        <w:ind w:firstLine="480"/>
      </w:pPr>
    </w:p>
    <w:p w14:paraId="2FD1C3A1">
      <w:pPr>
        <w:ind w:firstLine="480"/>
      </w:pPr>
    </w:p>
    <w:p w14:paraId="718D17E1">
      <w:pPr>
        <w:ind w:firstLine="480"/>
      </w:pPr>
      <w:r>
        <w:rPr>
          <w:rFonts w:hint="eastAsia"/>
        </w:rPr>
        <w:t>供应商名称（盖章）：</w:t>
      </w:r>
      <w:r>
        <w:t>____________________________________________</w:t>
      </w:r>
    </w:p>
    <w:p w14:paraId="00FA033F">
      <w:pPr>
        <w:ind w:firstLine="480"/>
      </w:pPr>
      <w:r>
        <w:rPr>
          <w:rFonts w:hint="eastAsia"/>
        </w:rPr>
        <w:t>法定代表人或其授权代表（签字或盖章）：</w:t>
      </w:r>
      <w:r>
        <w:t>____________________________</w:t>
      </w:r>
    </w:p>
    <w:p w14:paraId="16A8B2BC">
      <w:pPr>
        <w:ind w:firstLine="480"/>
      </w:pPr>
      <w:r>
        <w:rPr>
          <w:rFonts w:hint="eastAsia"/>
        </w:rPr>
        <w:t>日期：</w:t>
      </w:r>
      <w:r>
        <w:t>________</w:t>
      </w:r>
      <w:r>
        <w:rPr>
          <w:rFonts w:hint="eastAsia"/>
        </w:rPr>
        <w:t>年</w:t>
      </w:r>
      <w:r>
        <w:t>____</w:t>
      </w:r>
      <w:r>
        <w:rPr>
          <w:rFonts w:hint="eastAsia"/>
        </w:rPr>
        <w:t>月</w:t>
      </w:r>
      <w:r>
        <w:t>____</w:t>
      </w:r>
      <w:r>
        <w:rPr>
          <w:rFonts w:hint="eastAsia"/>
        </w:rPr>
        <w:t>日</w:t>
      </w:r>
    </w:p>
    <w:p w14:paraId="122B3BAD">
      <w:pPr>
        <w:ind w:firstLine="480"/>
      </w:pPr>
    </w:p>
    <w:p w14:paraId="6520399F">
      <w:pPr>
        <w:ind w:firstLine="480"/>
      </w:pPr>
    </w:p>
    <w:p w14:paraId="35981360">
      <w:pPr>
        <w:ind w:firstLine="480"/>
      </w:pPr>
      <w:r>
        <w:rPr>
          <w:rFonts w:hint="eastAsia"/>
        </w:rPr>
        <w:t>注：从业人员、营业收入、资产总额填报上一年度数据，无上一年度数据的新成立企业可不填报。</w:t>
      </w:r>
    </w:p>
    <w:p w14:paraId="248B633D">
      <w:pPr>
        <w:ind w:firstLine="480"/>
      </w:pPr>
      <w:r>
        <w:rPr>
          <w:rFonts w:hint="eastAsia"/>
        </w:rPr>
        <w:t>供应商不属于小型、微型企业，不需要提供此函。</w:t>
      </w:r>
    </w:p>
    <w:p w14:paraId="674C1E3D">
      <w:pPr>
        <w:pStyle w:val="11"/>
        <w:spacing w:line="500" w:lineRule="exact"/>
        <w:ind w:firstLine="420"/>
        <w:rPr>
          <w:rFonts w:ascii="宋体" w:hAnsi="宋体"/>
        </w:rPr>
      </w:pPr>
    </w:p>
    <w:p w14:paraId="2A364379">
      <w:pPr>
        <w:pStyle w:val="11"/>
        <w:spacing w:line="500" w:lineRule="exact"/>
        <w:ind w:firstLine="420"/>
        <w:rPr>
          <w:rFonts w:ascii="宋体" w:hAnsi="宋体"/>
          <w:color w:val="000000"/>
        </w:rPr>
      </w:pPr>
    </w:p>
    <w:p w14:paraId="17632CEF">
      <w:pPr>
        <w:ind w:firstLine="480"/>
      </w:pPr>
      <w:r>
        <w:br w:type="page"/>
      </w:r>
    </w:p>
    <w:p w14:paraId="2963E2C8">
      <w:pPr>
        <w:ind w:firstLine="480"/>
      </w:pPr>
      <w:r>
        <w:t>附件</w:t>
      </w:r>
      <w:r>
        <w:rPr>
          <w:rFonts w:hint="eastAsia"/>
        </w:rPr>
        <w:t>13</w:t>
      </w:r>
    </w:p>
    <w:p w14:paraId="39D2409E">
      <w:pPr>
        <w:pStyle w:val="2"/>
        <w:ind w:firstLine="643"/>
        <w:jc w:val="center"/>
      </w:pPr>
      <w:bookmarkStart w:id="617" w:name="_Toc653"/>
      <w:bookmarkStart w:id="618" w:name="_Toc15257"/>
      <w:bookmarkStart w:id="619" w:name="_Toc285"/>
      <w:bookmarkStart w:id="620" w:name="_Toc4176"/>
      <w:bookmarkStart w:id="621" w:name="_Toc18040"/>
      <w:bookmarkStart w:id="622" w:name="_Toc9077"/>
      <w:bookmarkStart w:id="623" w:name="_Toc3015"/>
      <w:bookmarkStart w:id="624" w:name="_Toc9334"/>
      <w:r>
        <w:rPr>
          <w:rFonts w:hint="eastAsia"/>
        </w:rPr>
        <w:t>监狱企业声明函</w:t>
      </w:r>
      <w:bookmarkEnd w:id="617"/>
      <w:bookmarkEnd w:id="618"/>
      <w:bookmarkEnd w:id="619"/>
      <w:bookmarkEnd w:id="620"/>
      <w:bookmarkEnd w:id="621"/>
      <w:bookmarkEnd w:id="622"/>
      <w:bookmarkEnd w:id="623"/>
      <w:bookmarkEnd w:id="624"/>
    </w:p>
    <w:p w14:paraId="58F80874">
      <w:pPr>
        <w:autoSpaceDE w:val="0"/>
        <w:autoSpaceDN w:val="0"/>
        <w:adjustRightInd w:val="0"/>
        <w:snapToGrid w:val="0"/>
        <w:spacing w:after="326" w:afterLines="100" w:line="500" w:lineRule="exact"/>
        <w:ind w:firstLine="560"/>
        <w:jc w:val="center"/>
        <w:rPr>
          <w:rFonts w:ascii="宋体" w:hAnsi="宋体"/>
          <w:sz w:val="28"/>
          <w:szCs w:val="28"/>
        </w:rPr>
      </w:pPr>
      <w:r>
        <w:rPr>
          <w:rFonts w:hint="eastAsia" w:ascii="宋体" w:hAnsi="宋体"/>
          <w:sz w:val="28"/>
          <w:szCs w:val="28"/>
        </w:rPr>
        <w:t>【非监狱企业不需提供】</w:t>
      </w:r>
    </w:p>
    <w:p w14:paraId="4CE95B91">
      <w:pPr>
        <w:ind w:firstLine="480"/>
      </w:pPr>
      <w:r>
        <w:rPr>
          <w:rFonts w:hint="eastAsia"/>
        </w:rPr>
        <w:t>本企业郑重声明，根据《关于政府采购支持监狱企业发展有关问题的通知》（财库[2014]68号）的规定，本企业为监狱企业。</w:t>
      </w:r>
    </w:p>
    <w:p w14:paraId="195212C7">
      <w:pPr>
        <w:ind w:firstLine="480"/>
      </w:pPr>
      <w:r>
        <w:rPr>
          <w:rFonts w:hint="eastAsia"/>
        </w:rPr>
        <w:t>根据上述标准，我企业属于监狱企业的理由为：</w:t>
      </w:r>
    </w:p>
    <w:p w14:paraId="5EBE374D">
      <w:pPr>
        <w:ind w:firstLine="480"/>
      </w:pPr>
      <w:r>
        <w:rPr>
          <w:rFonts w:hint="eastAsia"/>
        </w:rPr>
        <w:t>本企业为参加</w:t>
      </w:r>
      <w:r>
        <w:rPr>
          <w:rFonts w:hint="eastAsia"/>
          <w:u w:val="single"/>
        </w:rPr>
        <w:t>（项目名称：     ）（项目编号：   ）</w:t>
      </w:r>
      <w:r>
        <w:rPr>
          <w:rFonts w:hint="eastAsia"/>
        </w:rPr>
        <w:t>采购活动提供本企业的产品。</w:t>
      </w:r>
    </w:p>
    <w:p w14:paraId="57E2813A">
      <w:pPr>
        <w:ind w:firstLine="480"/>
      </w:pPr>
      <w:r>
        <w:rPr>
          <w:rFonts w:hint="eastAsia"/>
        </w:rPr>
        <w:t>本企业对上述声明的真实性负责。如有虚假，将依法承担相应责任。</w:t>
      </w:r>
    </w:p>
    <w:p w14:paraId="20E1A0EB">
      <w:pPr>
        <w:ind w:firstLine="480"/>
      </w:pPr>
    </w:p>
    <w:p w14:paraId="72AC9AC4">
      <w:pPr>
        <w:ind w:firstLine="480"/>
      </w:pPr>
    </w:p>
    <w:p w14:paraId="28EE1AF5">
      <w:pPr>
        <w:ind w:firstLine="480"/>
      </w:pPr>
    </w:p>
    <w:p w14:paraId="0C0A7E85">
      <w:pPr>
        <w:ind w:firstLine="480"/>
      </w:pPr>
    </w:p>
    <w:p w14:paraId="5FFD48E5">
      <w:pPr>
        <w:ind w:firstLine="480"/>
      </w:pPr>
    </w:p>
    <w:p w14:paraId="5015D16A">
      <w:pPr>
        <w:ind w:firstLine="480"/>
      </w:pPr>
    </w:p>
    <w:p w14:paraId="5CE6B966">
      <w:pPr>
        <w:ind w:firstLine="480"/>
      </w:pPr>
    </w:p>
    <w:p w14:paraId="73210339">
      <w:pPr>
        <w:ind w:firstLine="480"/>
      </w:pPr>
    </w:p>
    <w:p w14:paraId="2F37F573">
      <w:pPr>
        <w:ind w:firstLine="480"/>
      </w:pPr>
      <w:r>
        <w:rPr>
          <w:rFonts w:hint="eastAsia"/>
        </w:rPr>
        <w:t>供应商名称（盖章）：</w:t>
      </w:r>
      <w:r>
        <w:t>____________________________________________</w:t>
      </w:r>
    </w:p>
    <w:p w14:paraId="69413B45">
      <w:pPr>
        <w:ind w:firstLine="480"/>
      </w:pPr>
      <w:r>
        <w:rPr>
          <w:rFonts w:hint="eastAsia"/>
        </w:rPr>
        <w:t>法定代表人或其授权代表（签字或盖章）：</w:t>
      </w:r>
      <w:r>
        <w:t>____________________________</w:t>
      </w:r>
    </w:p>
    <w:p w14:paraId="2948B9D8">
      <w:pPr>
        <w:ind w:firstLine="480"/>
      </w:pPr>
      <w:r>
        <w:rPr>
          <w:rFonts w:hint="eastAsia"/>
        </w:rPr>
        <w:t>日期：</w:t>
      </w:r>
      <w:r>
        <w:t>________</w:t>
      </w:r>
      <w:r>
        <w:rPr>
          <w:rFonts w:hint="eastAsia"/>
        </w:rPr>
        <w:t>年</w:t>
      </w:r>
      <w:r>
        <w:t>____</w:t>
      </w:r>
      <w:r>
        <w:rPr>
          <w:rFonts w:hint="eastAsia"/>
        </w:rPr>
        <w:t>月</w:t>
      </w:r>
      <w:r>
        <w:t>____</w:t>
      </w:r>
      <w:r>
        <w:rPr>
          <w:rFonts w:hint="eastAsia"/>
        </w:rPr>
        <w:t>日</w:t>
      </w:r>
    </w:p>
    <w:p w14:paraId="0A579CCB">
      <w:pPr>
        <w:ind w:firstLine="480"/>
      </w:pPr>
    </w:p>
    <w:p w14:paraId="3C00F49D">
      <w:pPr>
        <w:ind w:firstLine="480"/>
      </w:pPr>
    </w:p>
    <w:p w14:paraId="6FBE6BAE">
      <w:pPr>
        <w:ind w:firstLine="480"/>
      </w:pPr>
      <w:r>
        <w:rPr>
          <w:rFonts w:hint="eastAsia"/>
        </w:rPr>
        <w:t>注：供应商为监狱企业的提供此函。</w:t>
      </w:r>
    </w:p>
    <w:p w14:paraId="2C5E47DE">
      <w:pPr>
        <w:ind w:firstLine="480"/>
        <w:rPr>
          <w:rFonts w:ascii="宋体" w:hAnsi="宋体"/>
          <w:szCs w:val="21"/>
        </w:rPr>
      </w:pPr>
      <w:r>
        <w:rPr>
          <w:rFonts w:hint="eastAsia"/>
        </w:rPr>
        <w:t>监狱企业参加政府采购活动时，应当提供由省级以上监狱管理局、戒毒管理局（含新疆生产建设兵团）出具的属于监狱企业的证明文件。</w:t>
      </w:r>
    </w:p>
    <w:p w14:paraId="3D030F13">
      <w:pPr>
        <w:adjustRightInd w:val="0"/>
        <w:snapToGrid w:val="0"/>
        <w:spacing w:line="500" w:lineRule="exact"/>
        <w:ind w:firstLine="480"/>
        <w:textAlignment w:val="baseline"/>
        <w:rPr>
          <w:rFonts w:ascii="宋体" w:hAnsi="宋体"/>
        </w:rPr>
      </w:pPr>
    </w:p>
    <w:p w14:paraId="657CB235">
      <w:pPr>
        <w:ind w:firstLine="480"/>
      </w:pPr>
      <w:r>
        <w:rPr>
          <w:rFonts w:hint="eastAsia"/>
        </w:rPr>
        <w:br w:type="page"/>
      </w:r>
      <w:r>
        <w:rPr>
          <w:rFonts w:hint="eastAsia"/>
        </w:rPr>
        <w:t>附件14</w:t>
      </w:r>
    </w:p>
    <w:p w14:paraId="20C43B79">
      <w:pPr>
        <w:pStyle w:val="2"/>
        <w:ind w:firstLine="643"/>
        <w:jc w:val="center"/>
      </w:pPr>
      <w:bookmarkStart w:id="625" w:name="_Toc20030"/>
      <w:bookmarkStart w:id="626" w:name="_Toc24607"/>
      <w:bookmarkStart w:id="627" w:name="_Toc18052"/>
      <w:bookmarkStart w:id="628" w:name="_Toc14184"/>
      <w:bookmarkStart w:id="629" w:name="_Toc25747"/>
      <w:bookmarkStart w:id="630" w:name="_Toc27972"/>
      <w:bookmarkStart w:id="631" w:name="_Toc19489"/>
      <w:bookmarkStart w:id="632" w:name="_Toc26836"/>
      <w:r>
        <w:rPr>
          <w:rFonts w:hint="eastAsia"/>
        </w:rPr>
        <w:t>残疾人福利性单位声明函</w:t>
      </w:r>
      <w:bookmarkEnd w:id="625"/>
      <w:bookmarkEnd w:id="626"/>
      <w:bookmarkEnd w:id="627"/>
      <w:bookmarkEnd w:id="628"/>
      <w:bookmarkEnd w:id="629"/>
      <w:bookmarkEnd w:id="630"/>
      <w:bookmarkEnd w:id="631"/>
      <w:bookmarkEnd w:id="632"/>
    </w:p>
    <w:p w14:paraId="07EDB34C">
      <w:pPr>
        <w:autoSpaceDE w:val="0"/>
        <w:autoSpaceDN w:val="0"/>
        <w:adjustRightInd w:val="0"/>
        <w:snapToGrid w:val="0"/>
        <w:spacing w:after="326" w:afterLines="100" w:line="500" w:lineRule="exact"/>
        <w:ind w:firstLine="560"/>
        <w:jc w:val="center"/>
        <w:rPr>
          <w:rFonts w:ascii="宋体" w:hAnsi="宋体"/>
          <w:sz w:val="28"/>
          <w:szCs w:val="28"/>
        </w:rPr>
      </w:pPr>
      <w:r>
        <w:rPr>
          <w:rFonts w:hint="eastAsia" w:ascii="宋体" w:hAnsi="宋体"/>
          <w:sz w:val="28"/>
          <w:szCs w:val="28"/>
        </w:rPr>
        <w:t>【非残疾人福利性单位不需提供】</w:t>
      </w:r>
    </w:p>
    <w:p w14:paraId="281D77DE">
      <w:pPr>
        <w:ind w:firstLine="480"/>
      </w:pPr>
      <w:r>
        <w:rPr>
          <w:rFonts w:hint="eastAsia"/>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43EC7D68">
      <w:pPr>
        <w:ind w:firstLine="480"/>
      </w:pPr>
      <w:r>
        <w:rPr>
          <w:rFonts w:hint="eastAsia"/>
        </w:rPr>
        <w:t>本单位对上述声明的真实性负责。如有虚假，将依法承担相应责任。</w:t>
      </w:r>
    </w:p>
    <w:p w14:paraId="1C0687A3">
      <w:pPr>
        <w:ind w:firstLine="480"/>
      </w:pPr>
    </w:p>
    <w:p w14:paraId="3C168D38">
      <w:pPr>
        <w:ind w:firstLine="480"/>
      </w:pPr>
    </w:p>
    <w:p w14:paraId="01DDFAED">
      <w:pPr>
        <w:ind w:firstLine="480"/>
      </w:pPr>
    </w:p>
    <w:p w14:paraId="490308CA">
      <w:pPr>
        <w:ind w:firstLine="480"/>
      </w:pPr>
    </w:p>
    <w:p w14:paraId="4C671840">
      <w:pPr>
        <w:ind w:firstLine="480"/>
      </w:pPr>
      <w:r>
        <w:rPr>
          <w:rFonts w:hint="eastAsia"/>
        </w:rPr>
        <w:t>供应商名称（盖章）：</w:t>
      </w:r>
      <w:r>
        <w:t>____________________________________________</w:t>
      </w:r>
    </w:p>
    <w:p w14:paraId="4F331810">
      <w:pPr>
        <w:ind w:firstLine="480"/>
      </w:pPr>
      <w:r>
        <w:rPr>
          <w:rFonts w:hint="eastAsia"/>
        </w:rPr>
        <w:t>法定代表人或其授权代表（签字或盖章）：</w:t>
      </w:r>
      <w:r>
        <w:t>____________________________</w:t>
      </w:r>
    </w:p>
    <w:p w14:paraId="57899636">
      <w:pPr>
        <w:ind w:firstLine="480"/>
      </w:pPr>
      <w:r>
        <w:rPr>
          <w:rFonts w:hint="eastAsia"/>
        </w:rPr>
        <w:t>日期：</w:t>
      </w:r>
      <w:r>
        <w:t>________</w:t>
      </w:r>
      <w:r>
        <w:rPr>
          <w:rFonts w:hint="eastAsia"/>
        </w:rPr>
        <w:t>年</w:t>
      </w:r>
      <w:r>
        <w:t>____</w:t>
      </w:r>
      <w:r>
        <w:rPr>
          <w:rFonts w:hint="eastAsia"/>
        </w:rPr>
        <w:t>月</w:t>
      </w:r>
      <w:r>
        <w:t>____</w:t>
      </w:r>
      <w:r>
        <w:rPr>
          <w:rFonts w:hint="eastAsia"/>
        </w:rPr>
        <w:t>日</w:t>
      </w:r>
    </w:p>
    <w:p w14:paraId="41228518">
      <w:pPr>
        <w:adjustRightInd w:val="0"/>
        <w:snapToGrid w:val="0"/>
        <w:spacing w:line="500" w:lineRule="exact"/>
        <w:ind w:firstLine="420"/>
        <w:rPr>
          <w:rFonts w:ascii="宋体" w:hAnsi="宋体"/>
          <w:sz w:val="21"/>
          <w:szCs w:val="21"/>
        </w:rPr>
      </w:pPr>
    </w:p>
    <w:p w14:paraId="712528F1">
      <w:pPr>
        <w:adjustRightInd w:val="0"/>
        <w:snapToGrid w:val="0"/>
        <w:spacing w:line="500" w:lineRule="exact"/>
        <w:ind w:firstLine="420"/>
        <w:rPr>
          <w:rFonts w:ascii="宋体" w:hAnsi="宋体"/>
          <w:sz w:val="21"/>
          <w:szCs w:val="21"/>
        </w:rPr>
      </w:pPr>
    </w:p>
    <w:p w14:paraId="15D36411">
      <w:pPr>
        <w:ind w:firstLine="480"/>
      </w:pPr>
      <w:r>
        <w:rPr>
          <w:rFonts w:hint="eastAsia"/>
        </w:rPr>
        <w:t>供应商为残疾人福利性单位的提供此函。</w:t>
      </w:r>
    </w:p>
    <w:p w14:paraId="2B0D0F09">
      <w:pPr>
        <w:ind w:firstLine="480"/>
      </w:pPr>
      <w:r>
        <w:rPr>
          <w:rFonts w:hint="eastAsia"/>
        </w:rPr>
        <w:t>备注：成交供应商为残疾人福利性单位的，应当随成交结果同时公告其《残疾人福利性单位声明函》，接受社会监督。</w:t>
      </w:r>
      <w:r>
        <w:rPr>
          <w:rFonts w:hint="eastAsia"/>
        </w:rPr>
        <w:br w:type="page"/>
      </w:r>
    </w:p>
    <w:p w14:paraId="1D94C503">
      <w:pPr>
        <w:ind w:firstLine="600" w:firstLineChars="250"/>
      </w:pPr>
    </w:p>
    <w:p w14:paraId="654FAC82">
      <w:pPr>
        <w:ind w:firstLine="480"/>
      </w:pPr>
      <w:r>
        <w:rPr>
          <w:rFonts w:hint="eastAsia"/>
        </w:rPr>
        <w:t>六</w:t>
      </w:r>
      <w:r>
        <w:t>、</w:t>
      </w:r>
      <w:r>
        <w:rPr>
          <w:rFonts w:hint="eastAsia"/>
        </w:rPr>
        <w:t>投标人认为需要提供的其他资料</w:t>
      </w:r>
    </w:p>
    <w:p w14:paraId="61CCB17A">
      <w:pPr>
        <w:pStyle w:val="27"/>
        <w:ind w:left="480" w:firstLine="480"/>
      </w:pPr>
    </w:p>
    <w:p w14:paraId="07C0D05C">
      <w:pPr>
        <w:pStyle w:val="27"/>
        <w:ind w:left="480" w:firstLine="480"/>
      </w:pPr>
    </w:p>
    <w:p w14:paraId="0D21E4E9">
      <w:pPr>
        <w:ind w:firstLine="480"/>
      </w:pPr>
      <w:r>
        <w:rPr>
          <w:rFonts w:hint="eastAsia"/>
        </w:rPr>
        <w:t>（格式自拟，按采购文件要求及打分条款内容自行编制）</w:t>
      </w:r>
    </w:p>
    <w:p w14:paraId="580AEB42">
      <w:pPr>
        <w:widowControl/>
        <w:spacing w:line="240" w:lineRule="auto"/>
        <w:ind w:firstLine="0" w:firstLineChars="0"/>
        <w:jc w:val="left"/>
      </w:pPr>
    </w:p>
    <w:sectPr>
      <w:footerReference r:id="rId15" w:type="first"/>
      <w:footerReference r:id="rId14" w:type="default"/>
      <w:pgSz w:w="11906" w:h="16838"/>
      <w:pgMar w:top="1440" w:right="1800" w:bottom="1440" w:left="1800" w:header="1020" w:footer="992"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兰亭纤黑简体">
    <w:altName w:val="黑体"/>
    <w:panose1 w:val="00000000000000000000"/>
    <w:charset w:val="00"/>
    <w:family w:val="auto"/>
    <w:pitch w:val="default"/>
    <w:sig w:usb0="00000000" w:usb1="00000000" w:usb2="00000000" w:usb3="00000000" w:csb0="00040001" w:csb1="00000000"/>
  </w:font>
  <w:font w:name="文鼎小标宋简">
    <w:altName w:val="微软雅黑"/>
    <w:panose1 w:val="00000000000000000000"/>
    <w:charset w:val="01"/>
    <w:family w:val="roman"/>
    <w:pitch w:val="default"/>
    <w:sig w:usb0="00000000" w:usb1="00000000" w:usb2="00000000" w:usb3="00000000" w:csb0="000001FF" w:csb1="00000000"/>
  </w:font>
  <w:font w:name="-webkit-standard">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96366">
    <w:pPr>
      <w:pStyle w:val="18"/>
      <w:pBdr>
        <w:top w:val="single" w:color="auto" w:sz="4" w:space="1"/>
      </w:pBdr>
      <w:ind w:firstLine="0" w:firstLineChars="0"/>
      <w:rPr>
        <w:sz w:val="21"/>
        <w:szCs w:val="21"/>
      </w:rPr>
    </w:pPr>
    <w:r>
      <w:rPr>
        <w:rFonts w:hint="eastAsia"/>
        <w:sz w:val="21"/>
        <w:szCs w:val="21"/>
      </w:rPr>
      <w:t>浙江盛康工程管理有限公司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708F">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9F86E">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33375">
    <w:pPr>
      <w:pStyle w:val="18"/>
      <w:pBdr>
        <w:top w:val="single" w:color="auto" w:sz="4" w:space="1"/>
      </w:pBdr>
      <w:ind w:firstLine="0" w:firstLineChars="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2A5CC">
                          <w:pPr>
                            <w:pStyle w:val="18"/>
                            <w:ind w:firstLine="3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11B2A5CC">
                    <w:pPr>
                      <w:pStyle w:val="18"/>
                      <w:ind w:firstLine="360"/>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sz w:val="21"/>
        <w:szCs w:val="21"/>
      </w:rPr>
      <w:t>浙江盛康工程管理有限公司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C844">
    <w:pPr>
      <w:pStyle w:val="1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A1F42">
                          <w:pPr>
                            <w:pStyle w:val="1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5CA1F42">
                    <w:pPr>
                      <w:pStyle w:val="1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39428">
    <w:pPr>
      <w:pStyle w:val="18"/>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36D6F">
                          <w:pPr>
                            <w:pStyle w:val="18"/>
                            <w:ind w:firstLine="36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7D736D6F">
                    <w:pPr>
                      <w:pStyle w:val="18"/>
                      <w:ind w:firstLine="360"/>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sz w:val="21"/>
        <w:szCs w:val="21"/>
      </w:rPr>
      <w:t>浙江盛康工程管理有限公司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F82C">
    <w:pPr>
      <w:pStyle w:val="18"/>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3BCD1">
                          <w:pPr>
                            <w:pStyle w:val="1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2BD3BCD1">
                    <w:pPr>
                      <w:pStyle w:val="18"/>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rPr>
      <w:t>浙江盛康工程管理有限公司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2B4BD">
    <w:pPr>
      <w:pStyle w:val="18"/>
      <w:pBdr>
        <w:top w:val="single" w:color="auto" w:sz="4" w:space="1"/>
        <w:left w:val="none" w:color="auto" w:sz="0" w:space="4"/>
        <w:bottom w:val="none" w:color="auto" w:sz="0" w:space="1"/>
        <w:right w:val="none" w:color="auto" w:sz="0" w:space="4"/>
      </w:pBdr>
      <w:ind w:firstLine="0" w:firstLineChars="0"/>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D4BFE">
                          <w:pPr>
                            <w:pStyle w:val="18"/>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12D4BFE">
                    <w:pPr>
                      <w:pStyle w:val="18"/>
                      <w:ind w:firstLine="360"/>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sz w:val="21"/>
        <w:szCs w:val="21"/>
      </w:rPr>
      <w:t>浙江盛康工程管理有限公司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07E66">
    <w:pPr>
      <w:pStyle w:val="18"/>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EF08D">
                          <w:pPr>
                            <w:pStyle w:val="18"/>
                            <w:ind w:firstLine="36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60EF08D">
                    <w:pPr>
                      <w:pStyle w:val="18"/>
                      <w:ind w:firstLine="360"/>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sz w:val="21"/>
        <w:szCs w:val="21"/>
      </w:rPr>
      <w:t>浙江盛康工程管理有限公司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CCC65">
    <w:pPr>
      <w:pStyle w:val="19"/>
      <w:ind w:firstLine="420"/>
      <w:rPr>
        <w:rFonts w:asciiTheme="minorEastAsia" w:hAnsiTheme="minorEastAsia" w:eastAsiaTheme="minorEastAsia"/>
        <w:sz w:val="21"/>
        <w:szCs w:val="21"/>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65070">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DAC1F"/>
    <w:multiLevelType w:val="singleLevel"/>
    <w:tmpl w:val="988DAC1F"/>
    <w:lvl w:ilvl="0" w:tentative="0">
      <w:start w:val="5"/>
      <w:numFmt w:val="chineseCounting"/>
      <w:suff w:val="nothing"/>
      <w:lvlText w:val="%1、"/>
      <w:lvlJc w:val="left"/>
      <w:rPr>
        <w:rFonts w:hint="eastAsia"/>
      </w:rPr>
    </w:lvl>
  </w:abstractNum>
  <w:abstractNum w:abstractNumId="1">
    <w:nsid w:val="D31FF2FB"/>
    <w:multiLevelType w:val="singleLevel"/>
    <w:tmpl w:val="D31FF2FB"/>
    <w:lvl w:ilvl="0" w:tentative="0">
      <w:start w:val="1"/>
      <w:numFmt w:val="decimal"/>
      <w:lvlText w:val="%1."/>
      <w:lvlJc w:val="left"/>
      <w:pPr>
        <w:tabs>
          <w:tab w:val="left" w:pos="312"/>
        </w:tabs>
      </w:pPr>
    </w:lvl>
  </w:abstractNum>
  <w:abstractNum w:abstractNumId="2">
    <w:nsid w:val="3C45802B"/>
    <w:multiLevelType w:val="singleLevel"/>
    <w:tmpl w:val="3C45802B"/>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zYTNmN2RmNWY1ZTgwZmU5MzdiYWZkMzgzYjQ0ZDUifQ=="/>
  </w:docVars>
  <w:rsids>
    <w:rsidRoot w:val="00AD442D"/>
    <w:rsid w:val="00003171"/>
    <w:rsid w:val="00005231"/>
    <w:rsid w:val="0000685D"/>
    <w:rsid w:val="000121E9"/>
    <w:rsid w:val="00014F39"/>
    <w:rsid w:val="00014FF2"/>
    <w:rsid w:val="000327FC"/>
    <w:rsid w:val="0003649D"/>
    <w:rsid w:val="0003775C"/>
    <w:rsid w:val="00040CF3"/>
    <w:rsid w:val="000433C0"/>
    <w:rsid w:val="00057A3A"/>
    <w:rsid w:val="00070F8E"/>
    <w:rsid w:val="0007602F"/>
    <w:rsid w:val="00096BE6"/>
    <w:rsid w:val="000A26FC"/>
    <w:rsid w:val="000C064F"/>
    <w:rsid w:val="000E19AA"/>
    <w:rsid w:val="000F016A"/>
    <w:rsid w:val="001013AC"/>
    <w:rsid w:val="001034D3"/>
    <w:rsid w:val="0011158D"/>
    <w:rsid w:val="00123126"/>
    <w:rsid w:val="001367CD"/>
    <w:rsid w:val="00143D4C"/>
    <w:rsid w:val="001542A5"/>
    <w:rsid w:val="00156E8E"/>
    <w:rsid w:val="00161F81"/>
    <w:rsid w:val="00164F27"/>
    <w:rsid w:val="00170FF8"/>
    <w:rsid w:val="00172FBC"/>
    <w:rsid w:val="00176C1B"/>
    <w:rsid w:val="001836FD"/>
    <w:rsid w:val="00187FA7"/>
    <w:rsid w:val="00192E3D"/>
    <w:rsid w:val="001A18B3"/>
    <w:rsid w:val="001B311F"/>
    <w:rsid w:val="001B743C"/>
    <w:rsid w:val="001D0292"/>
    <w:rsid w:val="001D0835"/>
    <w:rsid w:val="001D74B4"/>
    <w:rsid w:val="001F2F96"/>
    <w:rsid w:val="00201904"/>
    <w:rsid w:val="002022BA"/>
    <w:rsid w:val="002074D1"/>
    <w:rsid w:val="00212102"/>
    <w:rsid w:val="0021743D"/>
    <w:rsid w:val="002307C1"/>
    <w:rsid w:val="002378D1"/>
    <w:rsid w:val="002414A7"/>
    <w:rsid w:val="00244317"/>
    <w:rsid w:val="00244928"/>
    <w:rsid w:val="002543B0"/>
    <w:rsid w:val="00292AB7"/>
    <w:rsid w:val="002A7ADE"/>
    <w:rsid w:val="002B0DA7"/>
    <w:rsid w:val="002B1DE4"/>
    <w:rsid w:val="002C43B2"/>
    <w:rsid w:val="002C5A38"/>
    <w:rsid w:val="002D2AB2"/>
    <w:rsid w:val="002E230C"/>
    <w:rsid w:val="00300713"/>
    <w:rsid w:val="003105E7"/>
    <w:rsid w:val="00312C4A"/>
    <w:rsid w:val="0031521A"/>
    <w:rsid w:val="00320C71"/>
    <w:rsid w:val="00330B01"/>
    <w:rsid w:val="003314A3"/>
    <w:rsid w:val="00332FFC"/>
    <w:rsid w:val="00341904"/>
    <w:rsid w:val="00343E1E"/>
    <w:rsid w:val="003460B5"/>
    <w:rsid w:val="003462F8"/>
    <w:rsid w:val="0039475B"/>
    <w:rsid w:val="00396635"/>
    <w:rsid w:val="003A601C"/>
    <w:rsid w:val="003A6EB4"/>
    <w:rsid w:val="003A7864"/>
    <w:rsid w:val="003B2EC9"/>
    <w:rsid w:val="003C6DB8"/>
    <w:rsid w:val="003D06EE"/>
    <w:rsid w:val="003D32F2"/>
    <w:rsid w:val="003D3FC5"/>
    <w:rsid w:val="003D6BC8"/>
    <w:rsid w:val="003E6178"/>
    <w:rsid w:val="0040003D"/>
    <w:rsid w:val="00413713"/>
    <w:rsid w:val="004151C2"/>
    <w:rsid w:val="0042032C"/>
    <w:rsid w:val="00425388"/>
    <w:rsid w:val="00427AD6"/>
    <w:rsid w:val="00430F62"/>
    <w:rsid w:val="00447CBB"/>
    <w:rsid w:val="00447E00"/>
    <w:rsid w:val="004531AB"/>
    <w:rsid w:val="00453D11"/>
    <w:rsid w:val="00462FE6"/>
    <w:rsid w:val="00475443"/>
    <w:rsid w:val="00475656"/>
    <w:rsid w:val="004759A3"/>
    <w:rsid w:val="00480CE2"/>
    <w:rsid w:val="004A06FC"/>
    <w:rsid w:val="004B4DE1"/>
    <w:rsid w:val="004B52AC"/>
    <w:rsid w:val="004E3AC8"/>
    <w:rsid w:val="004E4752"/>
    <w:rsid w:val="004F6294"/>
    <w:rsid w:val="004F636B"/>
    <w:rsid w:val="00501B57"/>
    <w:rsid w:val="0051206F"/>
    <w:rsid w:val="00512F37"/>
    <w:rsid w:val="00540E78"/>
    <w:rsid w:val="005443A8"/>
    <w:rsid w:val="005577F9"/>
    <w:rsid w:val="00563D70"/>
    <w:rsid w:val="005735C4"/>
    <w:rsid w:val="005818F3"/>
    <w:rsid w:val="00582B45"/>
    <w:rsid w:val="00590BF3"/>
    <w:rsid w:val="005A6584"/>
    <w:rsid w:val="005B5683"/>
    <w:rsid w:val="005B5878"/>
    <w:rsid w:val="005B6DCD"/>
    <w:rsid w:val="005C48B8"/>
    <w:rsid w:val="005D2CF9"/>
    <w:rsid w:val="005E09D3"/>
    <w:rsid w:val="005F48D2"/>
    <w:rsid w:val="005F57C8"/>
    <w:rsid w:val="00610AD7"/>
    <w:rsid w:val="0063181D"/>
    <w:rsid w:val="006327C8"/>
    <w:rsid w:val="00644B69"/>
    <w:rsid w:val="00655AA4"/>
    <w:rsid w:val="00660EA9"/>
    <w:rsid w:val="006659CA"/>
    <w:rsid w:val="006665DF"/>
    <w:rsid w:val="006808E4"/>
    <w:rsid w:val="00686F93"/>
    <w:rsid w:val="0069501E"/>
    <w:rsid w:val="006A40D9"/>
    <w:rsid w:val="006A75B1"/>
    <w:rsid w:val="006B187F"/>
    <w:rsid w:val="006C77D6"/>
    <w:rsid w:val="006D2E75"/>
    <w:rsid w:val="006D45A7"/>
    <w:rsid w:val="006D5F9A"/>
    <w:rsid w:val="006D6833"/>
    <w:rsid w:val="006E1F1F"/>
    <w:rsid w:val="006E2618"/>
    <w:rsid w:val="00703B61"/>
    <w:rsid w:val="0070490A"/>
    <w:rsid w:val="00706F3D"/>
    <w:rsid w:val="0071408D"/>
    <w:rsid w:val="007168C2"/>
    <w:rsid w:val="0072109C"/>
    <w:rsid w:val="007329B0"/>
    <w:rsid w:val="00736C67"/>
    <w:rsid w:val="0074669B"/>
    <w:rsid w:val="0075234D"/>
    <w:rsid w:val="00753EC8"/>
    <w:rsid w:val="00755D36"/>
    <w:rsid w:val="007776CD"/>
    <w:rsid w:val="00786AA5"/>
    <w:rsid w:val="007968BC"/>
    <w:rsid w:val="0079763D"/>
    <w:rsid w:val="007A3C79"/>
    <w:rsid w:val="007A4ABE"/>
    <w:rsid w:val="007B3E33"/>
    <w:rsid w:val="007B6B3B"/>
    <w:rsid w:val="007D0D68"/>
    <w:rsid w:val="007D1188"/>
    <w:rsid w:val="007D41F0"/>
    <w:rsid w:val="007D43A3"/>
    <w:rsid w:val="007D52F8"/>
    <w:rsid w:val="007E621B"/>
    <w:rsid w:val="00811C89"/>
    <w:rsid w:val="00823036"/>
    <w:rsid w:val="008247EA"/>
    <w:rsid w:val="00831BB9"/>
    <w:rsid w:val="008329BE"/>
    <w:rsid w:val="00847FE8"/>
    <w:rsid w:val="00857BDC"/>
    <w:rsid w:val="00861A16"/>
    <w:rsid w:val="00863B65"/>
    <w:rsid w:val="00871453"/>
    <w:rsid w:val="008714A2"/>
    <w:rsid w:val="008732CB"/>
    <w:rsid w:val="00873605"/>
    <w:rsid w:val="0087571C"/>
    <w:rsid w:val="0087788A"/>
    <w:rsid w:val="00896C98"/>
    <w:rsid w:val="008A13AC"/>
    <w:rsid w:val="008B3D8A"/>
    <w:rsid w:val="008C3FA3"/>
    <w:rsid w:val="008C755D"/>
    <w:rsid w:val="008E3B42"/>
    <w:rsid w:val="008F249F"/>
    <w:rsid w:val="008F27C6"/>
    <w:rsid w:val="00902464"/>
    <w:rsid w:val="00912423"/>
    <w:rsid w:val="0091595F"/>
    <w:rsid w:val="00923593"/>
    <w:rsid w:val="00926812"/>
    <w:rsid w:val="00951826"/>
    <w:rsid w:val="00964CFE"/>
    <w:rsid w:val="00971B44"/>
    <w:rsid w:val="00974F06"/>
    <w:rsid w:val="009968FF"/>
    <w:rsid w:val="009A7262"/>
    <w:rsid w:val="009B12E9"/>
    <w:rsid w:val="009B5626"/>
    <w:rsid w:val="009B63AD"/>
    <w:rsid w:val="009D0510"/>
    <w:rsid w:val="009E224D"/>
    <w:rsid w:val="009E3B6F"/>
    <w:rsid w:val="009E6919"/>
    <w:rsid w:val="009F7F44"/>
    <w:rsid w:val="00A05B0D"/>
    <w:rsid w:val="00A10EA2"/>
    <w:rsid w:val="00A14D5A"/>
    <w:rsid w:val="00A17E30"/>
    <w:rsid w:val="00A244E3"/>
    <w:rsid w:val="00A44890"/>
    <w:rsid w:val="00A71FC5"/>
    <w:rsid w:val="00A8334C"/>
    <w:rsid w:val="00A87C6E"/>
    <w:rsid w:val="00A91966"/>
    <w:rsid w:val="00A932B6"/>
    <w:rsid w:val="00AB7E3E"/>
    <w:rsid w:val="00AC1323"/>
    <w:rsid w:val="00AD442D"/>
    <w:rsid w:val="00AD6576"/>
    <w:rsid w:val="00AE59AA"/>
    <w:rsid w:val="00AF2C2A"/>
    <w:rsid w:val="00B00D60"/>
    <w:rsid w:val="00B018F6"/>
    <w:rsid w:val="00B0363F"/>
    <w:rsid w:val="00B1164E"/>
    <w:rsid w:val="00B13D53"/>
    <w:rsid w:val="00B545BC"/>
    <w:rsid w:val="00B57330"/>
    <w:rsid w:val="00B602AB"/>
    <w:rsid w:val="00B67429"/>
    <w:rsid w:val="00B74E97"/>
    <w:rsid w:val="00B74F65"/>
    <w:rsid w:val="00B81FAC"/>
    <w:rsid w:val="00B846ED"/>
    <w:rsid w:val="00B87BAE"/>
    <w:rsid w:val="00BA54B5"/>
    <w:rsid w:val="00BB15C1"/>
    <w:rsid w:val="00BC3650"/>
    <w:rsid w:val="00BC763A"/>
    <w:rsid w:val="00BD7514"/>
    <w:rsid w:val="00BF2742"/>
    <w:rsid w:val="00BF30F7"/>
    <w:rsid w:val="00BF3F55"/>
    <w:rsid w:val="00C11040"/>
    <w:rsid w:val="00C213A4"/>
    <w:rsid w:val="00C24B08"/>
    <w:rsid w:val="00C57980"/>
    <w:rsid w:val="00C65D3E"/>
    <w:rsid w:val="00C749C0"/>
    <w:rsid w:val="00C75388"/>
    <w:rsid w:val="00C76B77"/>
    <w:rsid w:val="00C7713B"/>
    <w:rsid w:val="00C8092A"/>
    <w:rsid w:val="00C85823"/>
    <w:rsid w:val="00C9454B"/>
    <w:rsid w:val="00C963A6"/>
    <w:rsid w:val="00C967DD"/>
    <w:rsid w:val="00C96EAE"/>
    <w:rsid w:val="00CA177D"/>
    <w:rsid w:val="00CA3523"/>
    <w:rsid w:val="00CB3172"/>
    <w:rsid w:val="00CB34B4"/>
    <w:rsid w:val="00CC395F"/>
    <w:rsid w:val="00CD4835"/>
    <w:rsid w:val="00CE44D7"/>
    <w:rsid w:val="00CF64BC"/>
    <w:rsid w:val="00D03031"/>
    <w:rsid w:val="00D06FC0"/>
    <w:rsid w:val="00D07C0B"/>
    <w:rsid w:val="00D10F01"/>
    <w:rsid w:val="00D17559"/>
    <w:rsid w:val="00D207FA"/>
    <w:rsid w:val="00D22F3D"/>
    <w:rsid w:val="00D32460"/>
    <w:rsid w:val="00D5236C"/>
    <w:rsid w:val="00D71C14"/>
    <w:rsid w:val="00D734FF"/>
    <w:rsid w:val="00D75C4F"/>
    <w:rsid w:val="00DA25AA"/>
    <w:rsid w:val="00DA5F38"/>
    <w:rsid w:val="00DC0D87"/>
    <w:rsid w:val="00E06041"/>
    <w:rsid w:val="00E15097"/>
    <w:rsid w:val="00E240BB"/>
    <w:rsid w:val="00E35191"/>
    <w:rsid w:val="00E35DA0"/>
    <w:rsid w:val="00E4736D"/>
    <w:rsid w:val="00E6374C"/>
    <w:rsid w:val="00E670EC"/>
    <w:rsid w:val="00E706BC"/>
    <w:rsid w:val="00E748FC"/>
    <w:rsid w:val="00E756FF"/>
    <w:rsid w:val="00E81FDF"/>
    <w:rsid w:val="00EA026D"/>
    <w:rsid w:val="00EA15AF"/>
    <w:rsid w:val="00EB0228"/>
    <w:rsid w:val="00EB02A4"/>
    <w:rsid w:val="00EB129E"/>
    <w:rsid w:val="00EB39A9"/>
    <w:rsid w:val="00EB3CE0"/>
    <w:rsid w:val="00EC4258"/>
    <w:rsid w:val="00EC5BE2"/>
    <w:rsid w:val="00F003D9"/>
    <w:rsid w:val="00F005D5"/>
    <w:rsid w:val="00F04FDB"/>
    <w:rsid w:val="00F268BA"/>
    <w:rsid w:val="00F273ED"/>
    <w:rsid w:val="00F3021A"/>
    <w:rsid w:val="00F51993"/>
    <w:rsid w:val="00F60CD7"/>
    <w:rsid w:val="00F73A43"/>
    <w:rsid w:val="00F74B17"/>
    <w:rsid w:val="00F93832"/>
    <w:rsid w:val="00F96C15"/>
    <w:rsid w:val="00FB16CB"/>
    <w:rsid w:val="00FD4077"/>
    <w:rsid w:val="00FE33C3"/>
    <w:rsid w:val="00FE4663"/>
    <w:rsid w:val="00FE46A6"/>
    <w:rsid w:val="00FE5F8B"/>
    <w:rsid w:val="00FF6FF4"/>
    <w:rsid w:val="013C690E"/>
    <w:rsid w:val="029C6837"/>
    <w:rsid w:val="02E206A7"/>
    <w:rsid w:val="02F715E8"/>
    <w:rsid w:val="032675B7"/>
    <w:rsid w:val="03D0258B"/>
    <w:rsid w:val="03FD1E0D"/>
    <w:rsid w:val="047878DC"/>
    <w:rsid w:val="05B178F5"/>
    <w:rsid w:val="05BB5160"/>
    <w:rsid w:val="068E09C2"/>
    <w:rsid w:val="082A0F4F"/>
    <w:rsid w:val="08EB0A15"/>
    <w:rsid w:val="08FF5BAE"/>
    <w:rsid w:val="098D6AA8"/>
    <w:rsid w:val="09DF535F"/>
    <w:rsid w:val="09EC3B8D"/>
    <w:rsid w:val="0A036F3E"/>
    <w:rsid w:val="0A286225"/>
    <w:rsid w:val="0AB70C51"/>
    <w:rsid w:val="0AFC2356"/>
    <w:rsid w:val="0B5967CF"/>
    <w:rsid w:val="0B9702B7"/>
    <w:rsid w:val="0C9431C0"/>
    <w:rsid w:val="0DC664A8"/>
    <w:rsid w:val="0E896644"/>
    <w:rsid w:val="0E9C1C2E"/>
    <w:rsid w:val="0EE933D9"/>
    <w:rsid w:val="0EEB5E84"/>
    <w:rsid w:val="0FD05C09"/>
    <w:rsid w:val="10192846"/>
    <w:rsid w:val="101D515C"/>
    <w:rsid w:val="10B70FCF"/>
    <w:rsid w:val="10BB784F"/>
    <w:rsid w:val="114E14F4"/>
    <w:rsid w:val="116C00E2"/>
    <w:rsid w:val="11A2456B"/>
    <w:rsid w:val="11DF0883"/>
    <w:rsid w:val="11E971D3"/>
    <w:rsid w:val="12031614"/>
    <w:rsid w:val="12164809"/>
    <w:rsid w:val="12270EBA"/>
    <w:rsid w:val="12B31281"/>
    <w:rsid w:val="131A4FC5"/>
    <w:rsid w:val="132D6B62"/>
    <w:rsid w:val="137D78D9"/>
    <w:rsid w:val="13A97E33"/>
    <w:rsid w:val="142A43D6"/>
    <w:rsid w:val="154F497D"/>
    <w:rsid w:val="1581102E"/>
    <w:rsid w:val="158467DB"/>
    <w:rsid w:val="15B8610B"/>
    <w:rsid w:val="160F0761"/>
    <w:rsid w:val="1639016C"/>
    <w:rsid w:val="166F0C7A"/>
    <w:rsid w:val="16C50DD7"/>
    <w:rsid w:val="17E70043"/>
    <w:rsid w:val="180E3144"/>
    <w:rsid w:val="18241530"/>
    <w:rsid w:val="183776F5"/>
    <w:rsid w:val="185D044A"/>
    <w:rsid w:val="191B2D9D"/>
    <w:rsid w:val="196F4F13"/>
    <w:rsid w:val="1A4B1203"/>
    <w:rsid w:val="1A580458"/>
    <w:rsid w:val="1A621740"/>
    <w:rsid w:val="1AE70FFC"/>
    <w:rsid w:val="1B39309C"/>
    <w:rsid w:val="1B4350CC"/>
    <w:rsid w:val="1D1E53EE"/>
    <w:rsid w:val="1D21754C"/>
    <w:rsid w:val="1D6E4FE8"/>
    <w:rsid w:val="1E1201EA"/>
    <w:rsid w:val="1E29333F"/>
    <w:rsid w:val="1E316639"/>
    <w:rsid w:val="1E857F63"/>
    <w:rsid w:val="1EEFD3E8"/>
    <w:rsid w:val="1F1448B0"/>
    <w:rsid w:val="1F230533"/>
    <w:rsid w:val="1F647880"/>
    <w:rsid w:val="2067199D"/>
    <w:rsid w:val="20A9058E"/>
    <w:rsid w:val="212B26B1"/>
    <w:rsid w:val="21FC034B"/>
    <w:rsid w:val="227B613E"/>
    <w:rsid w:val="22E97F18"/>
    <w:rsid w:val="23105BAE"/>
    <w:rsid w:val="23164DB9"/>
    <w:rsid w:val="233D4F39"/>
    <w:rsid w:val="24C96914"/>
    <w:rsid w:val="257D2ECD"/>
    <w:rsid w:val="260A5617"/>
    <w:rsid w:val="26B1403B"/>
    <w:rsid w:val="27035654"/>
    <w:rsid w:val="27AE3812"/>
    <w:rsid w:val="2804198D"/>
    <w:rsid w:val="285B013A"/>
    <w:rsid w:val="28A713F5"/>
    <w:rsid w:val="29340703"/>
    <w:rsid w:val="29B0163F"/>
    <w:rsid w:val="2A227168"/>
    <w:rsid w:val="2A3224EB"/>
    <w:rsid w:val="2A607352"/>
    <w:rsid w:val="2AB078A1"/>
    <w:rsid w:val="2AB83C71"/>
    <w:rsid w:val="2B84641F"/>
    <w:rsid w:val="2C094F50"/>
    <w:rsid w:val="2D12039F"/>
    <w:rsid w:val="2E7F3812"/>
    <w:rsid w:val="2EC77B2C"/>
    <w:rsid w:val="2ED32036"/>
    <w:rsid w:val="2EE93507"/>
    <w:rsid w:val="2FCE4C71"/>
    <w:rsid w:val="30AB1FF6"/>
    <w:rsid w:val="311763EB"/>
    <w:rsid w:val="31545EF3"/>
    <w:rsid w:val="31757605"/>
    <w:rsid w:val="31A93F5C"/>
    <w:rsid w:val="31D01E70"/>
    <w:rsid w:val="31D62A2A"/>
    <w:rsid w:val="322D6D5B"/>
    <w:rsid w:val="326773AF"/>
    <w:rsid w:val="32E469F5"/>
    <w:rsid w:val="33CE1F01"/>
    <w:rsid w:val="33D765A1"/>
    <w:rsid w:val="35575A87"/>
    <w:rsid w:val="355B3010"/>
    <w:rsid w:val="3577501F"/>
    <w:rsid w:val="36693878"/>
    <w:rsid w:val="36753CE8"/>
    <w:rsid w:val="368C334C"/>
    <w:rsid w:val="37287063"/>
    <w:rsid w:val="37AD7EC0"/>
    <w:rsid w:val="37B5146C"/>
    <w:rsid w:val="38436219"/>
    <w:rsid w:val="38B03123"/>
    <w:rsid w:val="39162B6F"/>
    <w:rsid w:val="396665B7"/>
    <w:rsid w:val="3A591968"/>
    <w:rsid w:val="3A602052"/>
    <w:rsid w:val="3AD33466"/>
    <w:rsid w:val="3B7E0668"/>
    <w:rsid w:val="3C154667"/>
    <w:rsid w:val="3C1D7CFF"/>
    <w:rsid w:val="3C331D70"/>
    <w:rsid w:val="3C501163"/>
    <w:rsid w:val="3C611123"/>
    <w:rsid w:val="3C875AED"/>
    <w:rsid w:val="3D4C78D3"/>
    <w:rsid w:val="3DE537C3"/>
    <w:rsid w:val="3E9A69FA"/>
    <w:rsid w:val="3F5D01FF"/>
    <w:rsid w:val="3FA5616C"/>
    <w:rsid w:val="3FDC1819"/>
    <w:rsid w:val="40311172"/>
    <w:rsid w:val="409E6419"/>
    <w:rsid w:val="40A73B8C"/>
    <w:rsid w:val="40C04D18"/>
    <w:rsid w:val="410C1CDC"/>
    <w:rsid w:val="41DB21C0"/>
    <w:rsid w:val="423B0C32"/>
    <w:rsid w:val="42B33D02"/>
    <w:rsid w:val="432F5A9A"/>
    <w:rsid w:val="435B1A92"/>
    <w:rsid w:val="43631293"/>
    <w:rsid w:val="438F3899"/>
    <w:rsid w:val="43A84943"/>
    <w:rsid w:val="440C0C13"/>
    <w:rsid w:val="443708ED"/>
    <w:rsid w:val="450D562C"/>
    <w:rsid w:val="45A943D2"/>
    <w:rsid w:val="461944C0"/>
    <w:rsid w:val="46224BDF"/>
    <w:rsid w:val="46FA2B59"/>
    <w:rsid w:val="4823556A"/>
    <w:rsid w:val="485B5636"/>
    <w:rsid w:val="491944CD"/>
    <w:rsid w:val="49533ECE"/>
    <w:rsid w:val="49FF716F"/>
    <w:rsid w:val="4A8B47D7"/>
    <w:rsid w:val="4A9330E1"/>
    <w:rsid w:val="4AA30810"/>
    <w:rsid w:val="4B4323EB"/>
    <w:rsid w:val="4BE8025A"/>
    <w:rsid w:val="4C5551C1"/>
    <w:rsid w:val="4CFC691B"/>
    <w:rsid w:val="4D7542DB"/>
    <w:rsid w:val="4D7C7E2A"/>
    <w:rsid w:val="4D85602B"/>
    <w:rsid w:val="4DA068CE"/>
    <w:rsid w:val="4DE85D46"/>
    <w:rsid w:val="4E7870BD"/>
    <w:rsid w:val="4E830CA5"/>
    <w:rsid w:val="4F69202E"/>
    <w:rsid w:val="4F7B3806"/>
    <w:rsid w:val="4F880A73"/>
    <w:rsid w:val="501F0E83"/>
    <w:rsid w:val="50897318"/>
    <w:rsid w:val="50A66F3A"/>
    <w:rsid w:val="51C73A68"/>
    <w:rsid w:val="52214A5D"/>
    <w:rsid w:val="528B0652"/>
    <w:rsid w:val="5309508B"/>
    <w:rsid w:val="538C597A"/>
    <w:rsid w:val="53AC1121"/>
    <w:rsid w:val="54AF7153"/>
    <w:rsid w:val="54B02769"/>
    <w:rsid w:val="550028D5"/>
    <w:rsid w:val="559E20B1"/>
    <w:rsid w:val="55AA7799"/>
    <w:rsid w:val="561D6AC4"/>
    <w:rsid w:val="56D85400"/>
    <w:rsid w:val="58524E01"/>
    <w:rsid w:val="586205C4"/>
    <w:rsid w:val="58FE6BD5"/>
    <w:rsid w:val="592F4C99"/>
    <w:rsid w:val="5A8663D9"/>
    <w:rsid w:val="5AA71877"/>
    <w:rsid w:val="5B9238F2"/>
    <w:rsid w:val="5BEC21A3"/>
    <w:rsid w:val="5C36292C"/>
    <w:rsid w:val="5C4C0BFA"/>
    <w:rsid w:val="5CB77B5B"/>
    <w:rsid w:val="5CC15BF4"/>
    <w:rsid w:val="5CF87F3D"/>
    <w:rsid w:val="5D2604F4"/>
    <w:rsid w:val="5E4338FF"/>
    <w:rsid w:val="5E572B92"/>
    <w:rsid w:val="5E715F75"/>
    <w:rsid w:val="5E9665A7"/>
    <w:rsid w:val="5F730366"/>
    <w:rsid w:val="5F751D4B"/>
    <w:rsid w:val="5FEF5487"/>
    <w:rsid w:val="60672A96"/>
    <w:rsid w:val="608A3596"/>
    <w:rsid w:val="609A17EF"/>
    <w:rsid w:val="60D26BB9"/>
    <w:rsid w:val="61B60347"/>
    <w:rsid w:val="61CA0A3D"/>
    <w:rsid w:val="62D46007"/>
    <w:rsid w:val="62F44E30"/>
    <w:rsid w:val="635E6B42"/>
    <w:rsid w:val="64290EE7"/>
    <w:rsid w:val="64AD0668"/>
    <w:rsid w:val="64F83B40"/>
    <w:rsid w:val="650024AE"/>
    <w:rsid w:val="65CC0289"/>
    <w:rsid w:val="66336518"/>
    <w:rsid w:val="66EA5F3C"/>
    <w:rsid w:val="67097D3D"/>
    <w:rsid w:val="67101F1F"/>
    <w:rsid w:val="67E4351B"/>
    <w:rsid w:val="68CA30B7"/>
    <w:rsid w:val="69A44F08"/>
    <w:rsid w:val="69E57386"/>
    <w:rsid w:val="6A213724"/>
    <w:rsid w:val="6AFA6E60"/>
    <w:rsid w:val="6B693081"/>
    <w:rsid w:val="6B6F4633"/>
    <w:rsid w:val="6BC86FB6"/>
    <w:rsid w:val="6BEF6F32"/>
    <w:rsid w:val="6C410EEF"/>
    <w:rsid w:val="6C8F1CC3"/>
    <w:rsid w:val="6CC841AA"/>
    <w:rsid w:val="6D240731"/>
    <w:rsid w:val="6DD79324"/>
    <w:rsid w:val="6DF32D55"/>
    <w:rsid w:val="6E242F18"/>
    <w:rsid w:val="6E7C691E"/>
    <w:rsid w:val="6E954BA6"/>
    <w:rsid w:val="6EA15275"/>
    <w:rsid w:val="6F4F789F"/>
    <w:rsid w:val="6FA62C3E"/>
    <w:rsid w:val="6FD81647"/>
    <w:rsid w:val="700478B9"/>
    <w:rsid w:val="704C49D6"/>
    <w:rsid w:val="70D95EFC"/>
    <w:rsid w:val="7154491D"/>
    <w:rsid w:val="71B717AD"/>
    <w:rsid w:val="71D32CB8"/>
    <w:rsid w:val="71D46BA0"/>
    <w:rsid w:val="72224F51"/>
    <w:rsid w:val="7232487C"/>
    <w:rsid w:val="730779A3"/>
    <w:rsid w:val="734C3CB7"/>
    <w:rsid w:val="735D0320"/>
    <w:rsid w:val="7362379D"/>
    <w:rsid w:val="73992AF6"/>
    <w:rsid w:val="73D90DA3"/>
    <w:rsid w:val="749F5273"/>
    <w:rsid w:val="750630AE"/>
    <w:rsid w:val="75157379"/>
    <w:rsid w:val="752913AF"/>
    <w:rsid w:val="75A128F3"/>
    <w:rsid w:val="765B0A08"/>
    <w:rsid w:val="770147B7"/>
    <w:rsid w:val="773A690F"/>
    <w:rsid w:val="77C54743"/>
    <w:rsid w:val="784A6BD2"/>
    <w:rsid w:val="78850D41"/>
    <w:rsid w:val="78B67568"/>
    <w:rsid w:val="79E3136F"/>
    <w:rsid w:val="7A7A588C"/>
    <w:rsid w:val="7A8C140A"/>
    <w:rsid w:val="7AC524E1"/>
    <w:rsid w:val="7AC74440"/>
    <w:rsid w:val="7AF16E13"/>
    <w:rsid w:val="7B486965"/>
    <w:rsid w:val="7B8D3FBD"/>
    <w:rsid w:val="7BA27F9D"/>
    <w:rsid w:val="7BA824F1"/>
    <w:rsid w:val="7C803629"/>
    <w:rsid w:val="7D11323D"/>
    <w:rsid w:val="7D73334C"/>
    <w:rsid w:val="7D857E63"/>
    <w:rsid w:val="7DBA9066"/>
    <w:rsid w:val="7DF7759C"/>
    <w:rsid w:val="7E066731"/>
    <w:rsid w:val="7E432063"/>
    <w:rsid w:val="7F4F8ACE"/>
    <w:rsid w:val="7FBF570E"/>
    <w:rsid w:val="7FCB7C32"/>
    <w:rsid w:val="7FFF4EE2"/>
    <w:rsid w:val="A6DFCA34"/>
    <w:rsid w:val="BDFF9B7E"/>
    <w:rsid w:val="D3CF22EB"/>
    <w:rsid w:val="DE71C381"/>
    <w:rsid w:val="F3F37766"/>
    <w:rsid w:val="FC7DFC5F"/>
    <w:rsid w:val="FEBFE5E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2"/>
    <w:next w:val="1"/>
    <w:link w:val="43"/>
    <w:qFormat/>
    <w:uiPriority w:val="0"/>
    <w:pPr>
      <w:tabs>
        <w:tab w:val="left" w:pos="480"/>
      </w:tabs>
      <w:spacing w:line="360" w:lineRule="auto"/>
      <w:jc w:val="center"/>
      <w:outlineLvl w:val="0"/>
    </w:pPr>
    <w:rPr>
      <w:sz w:val="44"/>
      <w:szCs w:val="20"/>
    </w:rPr>
  </w:style>
  <w:style w:type="paragraph" w:styleId="2">
    <w:name w:val="heading 2"/>
    <w:basedOn w:val="1"/>
    <w:next w:val="1"/>
    <w:link w:val="34"/>
    <w:unhideWhenUsed/>
    <w:qFormat/>
    <w:uiPriority w:val="9"/>
    <w:pPr>
      <w:keepNext/>
      <w:keepLines/>
      <w:ind w:firstLine="0" w:firstLineChars="0"/>
      <w:jc w:val="left"/>
      <w:outlineLvl w:val="1"/>
    </w:pPr>
    <w:rPr>
      <w:rFonts w:asciiTheme="majorHAnsi" w:hAnsiTheme="majorHAnsi" w:cstheme="majorBidi"/>
      <w:b/>
      <w:bCs/>
      <w:sz w:val="32"/>
      <w:szCs w:val="32"/>
    </w:rPr>
  </w:style>
  <w:style w:type="paragraph" w:styleId="4">
    <w:name w:val="heading 3"/>
    <w:basedOn w:val="1"/>
    <w:next w:val="1"/>
    <w:link w:val="46"/>
    <w:unhideWhenUsed/>
    <w:qFormat/>
    <w:uiPriority w:val="9"/>
    <w:pPr>
      <w:keepNext/>
      <w:keepLines/>
      <w:spacing w:line="240" w:lineRule="auto"/>
      <w:ind w:firstLine="0" w:firstLineChars="0"/>
      <w:outlineLvl w:val="2"/>
    </w:pPr>
    <w:rPr>
      <w:b/>
      <w:bCs/>
      <w:sz w:val="28"/>
      <w:szCs w:val="32"/>
    </w:rPr>
  </w:style>
  <w:style w:type="paragraph" w:styleId="5">
    <w:name w:val="heading 4"/>
    <w:basedOn w:val="1"/>
    <w:next w:val="1"/>
    <w:link w:val="47"/>
    <w:unhideWhenUsed/>
    <w:qFormat/>
    <w:uiPriority w:val="9"/>
    <w:pPr>
      <w:keepNext/>
      <w:keepLines/>
      <w:spacing w:line="240" w:lineRule="auto"/>
      <w:ind w:firstLine="0" w:firstLineChars="0"/>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spacing w:line="240" w:lineRule="auto"/>
      <w:ind w:firstLine="0" w:firstLineChars="0"/>
      <w:outlineLvl w:val="4"/>
    </w:pPr>
    <w:rPr>
      <w:b/>
      <w:sz w:val="28"/>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7">
    <w:name w:val="Normal Indent"/>
    <w:basedOn w:val="1"/>
    <w:next w:val="1"/>
    <w:unhideWhenUsed/>
    <w:qFormat/>
    <w:uiPriority w:val="0"/>
    <w:pPr>
      <w:spacing w:line="240" w:lineRule="auto"/>
      <w:ind w:firstLine="420"/>
    </w:pPr>
    <w:rPr>
      <w:sz w:val="21"/>
    </w:rPr>
  </w:style>
  <w:style w:type="paragraph" w:styleId="8">
    <w:name w:val="Document Map"/>
    <w:basedOn w:val="1"/>
    <w:link w:val="57"/>
    <w:qFormat/>
    <w:uiPriority w:val="0"/>
    <w:pPr>
      <w:spacing w:line="240" w:lineRule="auto"/>
      <w:ind w:firstLine="0" w:firstLineChars="0"/>
    </w:pPr>
    <w:rPr>
      <w:rFonts w:ascii="宋体" w:hAnsi="Calibri"/>
      <w:sz w:val="18"/>
      <w:szCs w:val="18"/>
    </w:rPr>
  </w:style>
  <w:style w:type="paragraph" w:styleId="9">
    <w:name w:val="toa heading"/>
    <w:basedOn w:val="1"/>
    <w:next w:val="1"/>
    <w:qFormat/>
    <w:uiPriority w:val="0"/>
    <w:pPr>
      <w:spacing w:before="120"/>
    </w:pPr>
    <w:rPr>
      <w:rFonts w:ascii="Arial" w:hAnsi="Arial"/>
    </w:rPr>
  </w:style>
  <w:style w:type="paragraph" w:styleId="10">
    <w:name w:val="annotation text"/>
    <w:basedOn w:val="1"/>
    <w:unhideWhenUsed/>
    <w:qFormat/>
    <w:uiPriority w:val="99"/>
    <w:pPr>
      <w:jc w:val="left"/>
    </w:pPr>
  </w:style>
  <w:style w:type="paragraph" w:styleId="11">
    <w:name w:val="Body Text"/>
    <w:basedOn w:val="1"/>
    <w:next w:val="1"/>
    <w:link w:val="54"/>
    <w:qFormat/>
    <w:uiPriority w:val="0"/>
    <w:pPr>
      <w:spacing w:after="120"/>
    </w:pPr>
    <w:rPr>
      <w:rFonts w:asciiTheme="minorHAnsi" w:hAnsiTheme="minorHAnsi" w:eastAsiaTheme="minorEastAsia" w:cstheme="minorBidi"/>
      <w:sz w:val="21"/>
    </w:rPr>
  </w:style>
  <w:style w:type="paragraph" w:styleId="12">
    <w:name w:val="Body Text Indent"/>
    <w:basedOn w:val="1"/>
    <w:next w:val="7"/>
    <w:link w:val="45"/>
    <w:unhideWhenUsed/>
    <w:qFormat/>
    <w:uiPriority w:val="99"/>
    <w:pPr>
      <w:spacing w:after="120"/>
      <w:ind w:left="420" w:leftChars="200"/>
    </w:pPr>
  </w:style>
  <w:style w:type="paragraph" w:styleId="13">
    <w:name w:val="toc 3"/>
    <w:basedOn w:val="1"/>
    <w:next w:val="1"/>
    <w:unhideWhenUsed/>
    <w:qFormat/>
    <w:uiPriority w:val="0"/>
    <w:pPr>
      <w:tabs>
        <w:tab w:val="right" w:leader="dot" w:pos="9060"/>
      </w:tabs>
      <w:spacing w:line="264" w:lineRule="auto"/>
      <w:ind w:left="680"/>
      <w:jc w:val="left"/>
    </w:pPr>
    <w:rPr>
      <w:rFonts w:hAnsi="宋体" w:cs="宋体"/>
      <w:iCs/>
      <w:sz w:val="22"/>
    </w:rPr>
  </w:style>
  <w:style w:type="paragraph" w:styleId="14">
    <w:name w:val="Plain Text"/>
    <w:basedOn w:val="1"/>
    <w:next w:val="1"/>
    <w:link w:val="60"/>
    <w:qFormat/>
    <w:uiPriority w:val="99"/>
    <w:pPr>
      <w:spacing w:line="240" w:lineRule="auto"/>
      <w:ind w:firstLine="0" w:firstLineChars="0"/>
    </w:pPr>
    <w:rPr>
      <w:rFonts w:ascii="宋体" w:hAnsi="Courier New"/>
      <w:sz w:val="21"/>
    </w:rPr>
  </w:style>
  <w:style w:type="paragraph" w:styleId="15">
    <w:name w:val="Date"/>
    <w:basedOn w:val="1"/>
    <w:next w:val="1"/>
    <w:link w:val="55"/>
    <w:unhideWhenUsed/>
    <w:qFormat/>
    <w:uiPriority w:val="99"/>
    <w:pPr>
      <w:ind w:left="100" w:leftChars="2500"/>
    </w:pPr>
  </w:style>
  <w:style w:type="paragraph" w:styleId="16">
    <w:name w:val="Body Text Indent 2"/>
    <w:basedOn w:val="1"/>
    <w:link w:val="67"/>
    <w:unhideWhenUsed/>
    <w:qFormat/>
    <w:uiPriority w:val="99"/>
    <w:pPr>
      <w:spacing w:after="120" w:line="480" w:lineRule="auto"/>
      <w:ind w:left="420" w:leftChars="200"/>
    </w:pPr>
  </w:style>
  <w:style w:type="paragraph" w:styleId="17">
    <w:name w:val="Balloon Text"/>
    <w:basedOn w:val="1"/>
    <w:link w:val="83"/>
    <w:semiHidden/>
    <w:unhideWhenUsed/>
    <w:qFormat/>
    <w:uiPriority w:val="99"/>
    <w:pPr>
      <w:spacing w:line="240" w:lineRule="auto"/>
    </w:pPr>
    <w:rPr>
      <w:sz w:val="18"/>
      <w:szCs w:val="18"/>
    </w:rPr>
  </w:style>
  <w:style w:type="paragraph" w:styleId="18">
    <w:name w:val="footer"/>
    <w:basedOn w:val="1"/>
    <w:link w:val="53"/>
    <w:unhideWhenUsed/>
    <w:qFormat/>
    <w:uiPriority w:val="99"/>
    <w:pPr>
      <w:tabs>
        <w:tab w:val="center" w:pos="4153"/>
        <w:tab w:val="right" w:pos="8306"/>
      </w:tabs>
      <w:snapToGrid w:val="0"/>
      <w:jc w:val="left"/>
    </w:pPr>
    <w:rPr>
      <w:sz w:val="18"/>
      <w:szCs w:val="18"/>
    </w:rPr>
  </w:style>
  <w:style w:type="paragraph" w:styleId="19">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left" w:pos="1470"/>
        <w:tab w:val="right" w:leader="dot" w:pos="8296"/>
      </w:tabs>
      <w:spacing w:line="300" w:lineRule="exact"/>
      <w:ind w:firstLine="480"/>
    </w:pPr>
  </w:style>
  <w:style w:type="paragraph" w:styleId="21">
    <w:name w:val="Subtitle"/>
    <w:basedOn w:val="1"/>
    <w:next w:val="1"/>
    <w:qFormat/>
    <w:uiPriority w:val="11"/>
    <w:pPr>
      <w:spacing w:before="240" w:after="60"/>
      <w:jc w:val="center"/>
      <w:outlineLvl w:val="1"/>
    </w:pPr>
    <w:rPr>
      <w:b/>
      <w:bCs/>
      <w:kern w:val="28"/>
      <w:sz w:val="32"/>
      <w:szCs w:val="32"/>
    </w:rPr>
  </w:style>
  <w:style w:type="paragraph" w:styleId="22">
    <w:name w:val="List"/>
    <w:basedOn w:val="1"/>
    <w:qFormat/>
    <w:uiPriority w:val="0"/>
    <w:pPr>
      <w:spacing w:line="240" w:lineRule="auto"/>
      <w:ind w:left="200" w:hanging="200" w:hangingChars="200"/>
    </w:pPr>
    <w:rPr>
      <w:rFonts w:ascii="仿宋_GB2312" w:eastAsia="仿宋_GB2312"/>
      <w:sz w:val="28"/>
      <w:szCs w:val="28"/>
    </w:rPr>
  </w:style>
  <w:style w:type="paragraph" w:styleId="23">
    <w:name w:val="Body Text Indent 3"/>
    <w:basedOn w:val="1"/>
    <w:link w:val="68"/>
    <w:unhideWhenUsed/>
    <w:qFormat/>
    <w:uiPriority w:val="99"/>
    <w:pPr>
      <w:spacing w:after="120"/>
      <w:ind w:left="420" w:leftChars="200"/>
    </w:pPr>
    <w:rPr>
      <w:sz w:val="16"/>
      <w:szCs w:val="16"/>
    </w:rPr>
  </w:style>
  <w:style w:type="paragraph" w:styleId="24">
    <w:name w:val="toc 2"/>
    <w:basedOn w:val="1"/>
    <w:next w:val="1"/>
    <w:unhideWhenUsed/>
    <w:qFormat/>
    <w:uiPriority w:val="39"/>
    <w:pPr>
      <w:ind w:left="420" w:leftChars="200"/>
    </w:pPr>
  </w:style>
  <w:style w:type="paragraph" w:styleId="25">
    <w:name w:val="Title"/>
    <w:basedOn w:val="1"/>
    <w:next w:val="1"/>
    <w:qFormat/>
    <w:uiPriority w:val="0"/>
    <w:pPr>
      <w:spacing w:before="240" w:after="60"/>
      <w:jc w:val="center"/>
      <w:outlineLvl w:val="0"/>
    </w:pPr>
    <w:rPr>
      <w:rFonts w:ascii="Cambria" w:hAnsi="Cambria"/>
      <w:b/>
      <w:bCs/>
      <w:sz w:val="32"/>
      <w:szCs w:val="32"/>
    </w:rPr>
  </w:style>
  <w:style w:type="paragraph" w:styleId="26">
    <w:name w:val="Body Text First Indent"/>
    <w:basedOn w:val="11"/>
    <w:next w:val="1"/>
    <w:link w:val="74"/>
    <w:unhideWhenUsed/>
    <w:qFormat/>
    <w:uiPriority w:val="99"/>
    <w:pPr>
      <w:ind w:firstLine="420" w:firstLineChars="100"/>
    </w:pPr>
    <w:rPr>
      <w:rFonts w:ascii="Times New Roman" w:hAnsi="Times New Roman" w:eastAsia="宋体" w:cs="Times New Roman"/>
      <w:sz w:val="24"/>
    </w:rPr>
  </w:style>
  <w:style w:type="paragraph" w:styleId="27">
    <w:name w:val="Body Text First Indent 2"/>
    <w:basedOn w:val="12"/>
    <w:next w:val="1"/>
    <w:link w:val="44"/>
    <w:unhideWhenUsed/>
    <w:qFormat/>
    <w:uiPriority w:val="99"/>
    <w:pPr>
      <w:ind w:firstLine="420"/>
    </w:pPr>
  </w:style>
  <w:style w:type="table" w:styleId="29">
    <w:name w:val="Table Grid"/>
    <w:basedOn w:val="2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1">
    <w:name w:val="Hyperlink"/>
    <w:basedOn w:val="30"/>
    <w:unhideWhenUsed/>
    <w:qFormat/>
    <w:uiPriority w:val="99"/>
    <w:rPr>
      <w:color w:val="0000FF" w:themeColor="hyperlink"/>
      <w:u w:val="single"/>
      <w14:textFill>
        <w14:solidFill>
          <w14:schemeClr w14:val="hlink"/>
        </w14:solidFill>
      </w14:textFill>
    </w:rPr>
  </w:style>
  <w:style w:type="character" w:styleId="32">
    <w:name w:val="annotation reference"/>
    <w:basedOn w:val="30"/>
    <w:semiHidden/>
    <w:unhideWhenUsed/>
    <w:qFormat/>
    <w:uiPriority w:val="99"/>
    <w:rPr>
      <w:sz w:val="21"/>
      <w:szCs w:val="21"/>
    </w:rPr>
  </w:style>
  <w:style w:type="character" w:customStyle="1" w:styleId="33">
    <w:name w:val="正文文本 Char"/>
    <w:qFormat/>
    <w:uiPriority w:val="0"/>
    <w:rPr>
      <w:szCs w:val="24"/>
    </w:rPr>
  </w:style>
  <w:style w:type="character" w:customStyle="1" w:styleId="34">
    <w:name w:val="标题 2 字符"/>
    <w:basedOn w:val="30"/>
    <w:link w:val="2"/>
    <w:qFormat/>
    <w:uiPriority w:val="9"/>
    <w:rPr>
      <w:rFonts w:eastAsia="宋体" w:asciiTheme="majorHAnsi" w:hAnsiTheme="majorHAnsi" w:cstheme="majorBidi"/>
      <w:b/>
      <w:bCs/>
      <w:sz w:val="32"/>
      <w:szCs w:val="32"/>
    </w:rPr>
  </w:style>
  <w:style w:type="paragraph" w:customStyle="1" w:styleId="35">
    <w:name w:val="表格"/>
    <w:basedOn w:val="1"/>
    <w:qFormat/>
    <w:uiPriority w:val="0"/>
    <w:pPr>
      <w:adjustRightInd w:val="0"/>
      <w:spacing w:line="240" w:lineRule="auto"/>
      <w:ind w:firstLine="0" w:firstLineChars="0"/>
    </w:pPr>
    <w:rPr>
      <w:rFonts w:hint="eastAsia" w:ascii="宋体" w:hAnsi="宋体" w:cs="宋体"/>
      <w:bCs/>
    </w:rPr>
  </w:style>
  <w:style w:type="paragraph" w:customStyle="1" w:styleId="36">
    <w:name w:val="表格2"/>
    <w:basedOn w:val="1"/>
    <w:qFormat/>
    <w:uiPriority w:val="0"/>
    <w:pPr>
      <w:spacing w:line="240" w:lineRule="auto"/>
      <w:ind w:firstLine="0" w:firstLineChars="0"/>
    </w:pPr>
    <w:rPr>
      <w:rFonts w:ascii="宋体" w:hAnsi="宋体"/>
      <w:szCs w:val="32"/>
      <w:lang w:val="zh-CN"/>
    </w:rPr>
  </w:style>
  <w:style w:type="paragraph" w:customStyle="1" w:styleId="37">
    <w:name w:val="表格新"/>
    <w:basedOn w:val="1"/>
    <w:qFormat/>
    <w:uiPriority w:val="0"/>
    <w:pPr>
      <w:adjustRightInd w:val="0"/>
      <w:spacing w:line="240" w:lineRule="auto"/>
      <w:ind w:firstLine="0" w:firstLineChars="0"/>
    </w:pPr>
    <w:rPr>
      <w:rFonts w:hint="eastAsia" w:ascii="宋体" w:hAnsi="宋体" w:cs="宋体"/>
      <w:bCs/>
      <w:szCs w:val="21"/>
    </w:rPr>
  </w:style>
  <w:style w:type="paragraph" w:customStyle="1" w:styleId="38">
    <w:name w:val="样式 表格正文 + 两端对齐"/>
    <w:basedOn w:val="1"/>
    <w:next w:val="39"/>
    <w:qFormat/>
    <w:uiPriority w:val="0"/>
    <w:pPr>
      <w:spacing w:line="300" w:lineRule="auto"/>
      <w:ind w:firstLine="0"/>
    </w:pPr>
  </w:style>
  <w:style w:type="paragraph" w:customStyle="1" w:styleId="39">
    <w:name w:val="正文1"/>
    <w:basedOn w:val="13"/>
    <w:next w:val="40"/>
    <w:qFormat/>
    <w:uiPriority w:val="0"/>
    <w:pPr>
      <w:widowControl/>
      <w:snapToGrid w:val="0"/>
      <w:spacing w:line="500" w:lineRule="exact"/>
      <w:ind w:firstLine="567"/>
    </w:pPr>
    <w:rPr>
      <w:rFonts w:ascii="楷体_GB2312" w:eastAsia="楷体_GB2312"/>
      <w:kern w:val="0"/>
      <w:sz w:val="28"/>
      <w:szCs w:val="20"/>
    </w:rPr>
  </w:style>
  <w:style w:type="paragraph" w:customStyle="1" w:styleId="40">
    <w:name w:val="自动更正"/>
    <w:next w:val="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xl39"/>
    <w:basedOn w:val="1"/>
    <w:next w:val="42"/>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43">
    <w:name w:val="标题 1 字符"/>
    <w:basedOn w:val="30"/>
    <w:link w:val="3"/>
    <w:qFormat/>
    <w:uiPriority w:val="0"/>
    <w:rPr>
      <w:rFonts w:ascii="Times New Roman" w:hAnsi="Times New Roman" w:eastAsia="宋体" w:cs="Times New Roman"/>
      <w:b/>
      <w:sz w:val="44"/>
      <w:szCs w:val="20"/>
    </w:rPr>
  </w:style>
  <w:style w:type="character" w:customStyle="1" w:styleId="44">
    <w:name w:val="正文首行缩进 2 字符"/>
    <w:basedOn w:val="45"/>
    <w:link w:val="27"/>
    <w:qFormat/>
    <w:uiPriority w:val="99"/>
    <w:rPr>
      <w:rFonts w:ascii="Times New Roman" w:hAnsi="Times New Roman" w:eastAsia="宋体" w:cs="Times New Roman"/>
      <w:sz w:val="24"/>
      <w:szCs w:val="24"/>
    </w:rPr>
  </w:style>
  <w:style w:type="character" w:customStyle="1" w:styleId="45">
    <w:name w:val="正文文本缩进 字符"/>
    <w:basedOn w:val="30"/>
    <w:link w:val="12"/>
    <w:qFormat/>
    <w:uiPriority w:val="99"/>
    <w:rPr>
      <w:rFonts w:ascii="Times New Roman" w:hAnsi="Times New Roman" w:eastAsia="宋体" w:cs="Times New Roman"/>
      <w:sz w:val="24"/>
      <w:szCs w:val="24"/>
    </w:rPr>
  </w:style>
  <w:style w:type="character" w:customStyle="1" w:styleId="46">
    <w:name w:val="标题 3 字符"/>
    <w:basedOn w:val="30"/>
    <w:link w:val="4"/>
    <w:semiHidden/>
    <w:qFormat/>
    <w:uiPriority w:val="9"/>
    <w:rPr>
      <w:rFonts w:ascii="Times New Roman" w:hAnsi="Times New Roman" w:eastAsia="宋体" w:cs="Times New Roman"/>
      <w:b/>
      <w:bCs/>
      <w:sz w:val="28"/>
      <w:szCs w:val="32"/>
    </w:rPr>
  </w:style>
  <w:style w:type="character" w:customStyle="1" w:styleId="47">
    <w:name w:val="标题 4 字符"/>
    <w:basedOn w:val="30"/>
    <w:link w:val="5"/>
    <w:semiHidden/>
    <w:qFormat/>
    <w:uiPriority w:val="9"/>
    <w:rPr>
      <w:rFonts w:asciiTheme="majorHAnsi" w:hAnsiTheme="majorHAnsi" w:eastAsiaTheme="majorEastAsia" w:cstheme="majorBidi"/>
      <w:b/>
      <w:bCs/>
      <w:sz w:val="28"/>
      <w:szCs w:val="28"/>
    </w:rPr>
  </w:style>
  <w:style w:type="paragraph" w:customStyle="1" w:styleId="4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9">
    <w:name w:val="BodyText"/>
    <w:basedOn w:val="1"/>
    <w:next w:val="1"/>
    <w:qFormat/>
    <w:uiPriority w:val="0"/>
    <w:pPr>
      <w:widowControl/>
      <w:spacing w:after="120"/>
      <w:jc w:val="left"/>
    </w:pPr>
    <w:rPr>
      <w:rFonts w:ascii="FuturaA Bk BT" w:hAnsi="FuturaA Bk BT" w:eastAsia="仿宋_GB2312"/>
      <w:kern w:val="0"/>
      <w:sz w:val="20"/>
    </w:rPr>
  </w:style>
  <w:style w:type="paragraph" w:customStyle="1" w:styleId="50">
    <w:name w:val="无间隔1"/>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styleId="5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2">
    <w:name w:val="页眉 字符"/>
    <w:basedOn w:val="30"/>
    <w:link w:val="19"/>
    <w:semiHidden/>
    <w:qFormat/>
    <w:uiPriority w:val="99"/>
    <w:rPr>
      <w:sz w:val="18"/>
      <w:szCs w:val="18"/>
    </w:rPr>
  </w:style>
  <w:style w:type="character" w:customStyle="1" w:styleId="53">
    <w:name w:val="页脚 字符"/>
    <w:basedOn w:val="30"/>
    <w:link w:val="18"/>
    <w:qFormat/>
    <w:uiPriority w:val="99"/>
    <w:rPr>
      <w:sz w:val="18"/>
      <w:szCs w:val="18"/>
    </w:rPr>
  </w:style>
  <w:style w:type="character" w:customStyle="1" w:styleId="54">
    <w:name w:val="正文文本 字符"/>
    <w:basedOn w:val="30"/>
    <w:link w:val="11"/>
    <w:semiHidden/>
    <w:qFormat/>
    <w:uiPriority w:val="99"/>
    <w:rPr>
      <w:rFonts w:ascii="Times New Roman" w:hAnsi="Times New Roman" w:eastAsia="宋体" w:cs="Times New Roman"/>
      <w:sz w:val="24"/>
      <w:szCs w:val="24"/>
    </w:rPr>
  </w:style>
  <w:style w:type="character" w:customStyle="1" w:styleId="55">
    <w:name w:val="日期 字符"/>
    <w:basedOn w:val="30"/>
    <w:link w:val="15"/>
    <w:semiHidden/>
    <w:qFormat/>
    <w:uiPriority w:val="99"/>
    <w:rPr>
      <w:rFonts w:ascii="Times New Roman" w:hAnsi="Times New Roman" w:eastAsia="宋体" w:cs="Times New Roman"/>
      <w:sz w:val="24"/>
      <w:szCs w:val="24"/>
    </w:rPr>
  </w:style>
  <w:style w:type="paragraph" w:customStyle="1" w:styleId="56">
    <w:name w:val="列出段落1"/>
    <w:basedOn w:val="1"/>
    <w:qFormat/>
    <w:uiPriority w:val="34"/>
    <w:pPr>
      <w:ind w:firstLine="420"/>
    </w:pPr>
  </w:style>
  <w:style w:type="character" w:customStyle="1" w:styleId="57">
    <w:name w:val="文档结构图 字符"/>
    <w:basedOn w:val="30"/>
    <w:link w:val="8"/>
    <w:qFormat/>
    <w:uiPriority w:val="0"/>
    <w:rPr>
      <w:rFonts w:ascii="宋体" w:hAnsi="Calibri" w:eastAsia="宋体" w:cs="Times New Roman"/>
      <w:sz w:val="18"/>
      <w:szCs w:val="18"/>
    </w:rPr>
  </w:style>
  <w:style w:type="character" w:customStyle="1" w:styleId="58">
    <w:name w:val="bookmark-item"/>
    <w:basedOn w:val="30"/>
    <w:qFormat/>
    <w:uiPriority w:val="0"/>
  </w:style>
  <w:style w:type="character" w:customStyle="1" w:styleId="59">
    <w:name w:val="纯文本 Char"/>
    <w:basedOn w:val="30"/>
    <w:qFormat/>
    <w:uiPriority w:val="0"/>
    <w:rPr>
      <w:rFonts w:ascii="宋体" w:hAnsi="Courier New" w:eastAsia="宋体" w:cs="Courier New"/>
      <w:szCs w:val="21"/>
    </w:rPr>
  </w:style>
  <w:style w:type="character" w:customStyle="1" w:styleId="60">
    <w:name w:val="纯文本 字符1"/>
    <w:basedOn w:val="30"/>
    <w:link w:val="14"/>
    <w:qFormat/>
    <w:uiPriority w:val="99"/>
    <w:rPr>
      <w:rFonts w:ascii="宋体" w:hAnsi="Courier New" w:eastAsia="宋体" w:cs="Times New Roman"/>
      <w:szCs w:val="24"/>
    </w:rPr>
  </w:style>
  <w:style w:type="character" w:customStyle="1" w:styleId="61">
    <w:name w:val="纯文本 字符"/>
    <w:qFormat/>
    <w:uiPriority w:val="0"/>
    <w:rPr>
      <w:rFonts w:ascii="宋体" w:hAnsi="Courier New"/>
      <w:kern w:val="2"/>
      <w:sz w:val="21"/>
    </w:rPr>
  </w:style>
  <w:style w:type="character" w:customStyle="1" w:styleId="62">
    <w:name w:val="样式1 Char Char"/>
    <w:link w:val="63"/>
    <w:qFormat/>
    <w:uiPriority w:val="0"/>
    <w:rPr>
      <w:rFonts w:ascii="Arial" w:hAnsi="Arial"/>
      <w:szCs w:val="24"/>
    </w:rPr>
  </w:style>
  <w:style w:type="paragraph" w:customStyle="1" w:styleId="63">
    <w:name w:val="样式1"/>
    <w:basedOn w:val="1"/>
    <w:link w:val="62"/>
    <w:qFormat/>
    <w:uiPriority w:val="0"/>
    <w:pPr>
      <w:spacing w:line="360" w:lineRule="exact"/>
    </w:pPr>
    <w:rPr>
      <w:rFonts w:ascii="Arial" w:hAnsi="Arial" w:eastAsiaTheme="minorEastAsia" w:cstheme="minorBidi"/>
      <w:sz w:val="21"/>
    </w:rPr>
  </w:style>
  <w:style w:type="character" w:customStyle="1" w:styleId="64">
    <w:name w:val="正文文本缩进 3 Char1"/>
    <w:semiHidden/>
    <w:qFormat/>
    <w:uiPriority w:val="99"/>
    <w:rPr>
      <w:rFonts w:ascii="Times New Roman" w:hAnsi="Times New Roman" w:eastAsia="宋体" w:cs="Times New Roman"/>
      <w:sz w:val="16"/>
      <w:szCs w:val="16"/>
    </w:rPr>
  </w:style>
  <w:style w:type="character" w:customStyle="1" w:styleId="65">
    <w:name w:val="font71"/>
    <w:qFormat/>
    <w:uiPriority w:val="0"/>
    <w:rPr>
      <w:rFonts w:hint="eastAsia" w:ascii="宋体" w:hAnsi="宋体" w:eastAsia="宋体" w:cs="宋体"/>
      <w:b/>
      <w:color w:val="000000"/>
      <w:sz w:val="21"/>
      <w:szCs w:val="21"/>
      <w:u w:val="none"/>
    </w:rPr>
  </w:style>
  <w:style w:type="paragraph" w:customStyle="1" w:styleId="66">
    <w:name w:val="批注框文本1"/>
    <w:basedOn w:val="1"/>
    <w:qFormat/>
    <w:uiPriority w:val="0"/>
    <w:pPr>
      <w:spacing w:line="240" w:lineRule="auto"/>
      <w:ind w:firstLine="0" w:firstLineChars="0"/>
    </w:pPr>
    <w:rPr>
      <w:rFonts w:ascii="Calibri" w:hAnsi="Calibri"/>
      <w:sz w:val="18"/>
      <w:szCs w:val="18"/>
    </w:rPr>
  </w:style>
  <w:style w:type="character" w:customStyle="1" w:styleId="67">
    <w:name w:val="正文文本缩进 2 字符"/>
    <w:basedOn w:val="30"/>
    <w:link w:val="16"/>
    <w:semiHidden/>
    <w:qFormat/>
    <w:uiPriority w:val="99"/>
    <w:rPr>
      <w:rFonts w:ascii="Times New Roman" w:hAnsi="Times New Roman" w:eastAsia="宋体" w:cs="Times New Roman"/>
      <w:sz w:val="24"/>
      <w:szCs w:val="24"/>
    </w:rPr>
  </w:style>
  <w:style w:type="character" w:customStyle="1" w:styleId="68">
    <w:name w:val="正文文本缩进 3 字符"/>
    <w:basedOn w:val="30"/>
    <w:link w:val="23"/>
    <w:semiHidden/>
    <w:qFormat/>
    <w:uiPriority w:val="99"/>
    <w:rPr>
      <w:rFonts w:ascii="Times New Roman" w:hAnsi="Times New Roman" w:eastAsia="宋体" w:cs="Times New Roman"/>
      <w:sz w:val="16"/>
      <w:szCs w:val="16"/>
    </w:rPr>
  </w:style>
  <w:style w:type="paragraph" w:customStyle="1" w:styleId="69">
    <w:name w:val="表内文字"/>
    <w:basedOn w:val="1"/>
    <w:qFormat/>
    <w:uiPriority w:val="0"/>
    <w:pPr>
      <w:tabs>
        <w:tab w:val="left" w:pos="1418"/>
      </w:tabs>
      <w:spacing w:line="360" w:lineRule="auto"/>
      <w:ind w:firstLine="0" w:firstLineChars="0"/>
      <w:jc w:val="center"/>
    </w:pPr>
    <w:rPr>
      <w:rFonts w:hint="eastAsia" w:ascii="仿宋_GB2312" w:eastAsia="仿宋_GB2312"/>
      <w:spacing w:val="-20"/>
      <w:kern w:val="0"/>
    </w:rPr>
  </w:style>
  <w:style w:type="character" w:customStyle="1" w:styleId="70">
    <w:name w:val="gray s"/>
    <w:basedOn w:val="30"/>
    <w:qFormat/>
    <w:uiPriority w:val="0"/>
  </w:style>
  <w:style w:type="paragraph" w:customStyle="1" w:styleId="71">
    <w:name w:val="Proposals body"/>
    <w:basedOn w:val="1"/>
    <w:next w:val="1"/>
    <w:qFormat/>
    <w:uiPriority w:val="0"/>
    <w:pPr>
      <w:widowControl/>
      <w:adjustRightInd w:val="0"/>
      <w:snapToGrid w:val="0"/>
      <w:spacing w:after="200" w:line="360" w:lineRule="auto"/>
      <w:ind w:firstLine="0" w:firstLineChars="0"/>
      <w:jc w:val="left"/>
    </w:pPr>
    <w:rPr>
      <w:rFonts w:ascii="宋体" w:hAnsi="Tahoma" w:eastAsia="仿宋_GB2312"/>
      <w:snapToGrid w:val="0"/>
      <w:color w:val="000000"/>
      <w:kern w:val="0"/>
      <w:sz w:val="22"/>
      <w:szCs w:val="22"/>
    </w:rPr>
  </w:style>
  <w:style w:type="character" w:customStyle="1" w:styleId="72">
    <w:name w:val="gonggao-downline1"/>
    <w:qFormat/>
    <w:uiPriority w:val="0"/>
    <w:rPr>
      <w:b/>
      <w:u w:val="single"/>
    </w:rPr>
  </w:style>
  <w:style w:type="character" w:customStyle="1" w:styleId="73">
    <w:name w:val="font11"/>
    <w:basedOn w:val="30"/>
    <w:qFormat/>
    <w:uiPriority w:val="0"/>
    <w:rPr>
      <w:rFonts w:ascii="宋体" w:hAnsi="宋体" w:eastAsia="宋体" w:cs="宋体"/>
      <w:b/>
      <w:color w:val="000000"/>
      <w:sz w:val="20"/>
      <w:szCs w:val="20"/>
      <w:u w:val="none"/>
    </w:rPr>
  </w:style>
  <w:style w:type="character" w:customStyle="1" w:styleId="74">
    <w:name w:val="正文首行缩进 字符"/>
    <w:basedOn w:val="33"/>
    <w:link w:val="26"/>
    <w:semiHidden/>
    <w:qFormat/>
    <w:uiPriority w:val="99"/>
    <w:rPr>
      <w:rFonts w:ascii="Times New Roman" w:hAnsi="Times New Roman" w:eastAsia="宋体" w:cs="Times New Roman"/>
      <w:sz w:val="24"/>
      <w:szCs w:val="24"/>
    </w:rPr>
  </w:style>
  <w:style w:type="character" w:customStyle="1" w:styleId="75">
    <w:name w:val="font112"/>
    <w:qFormat/>
    <w:uiPriority w:val="0"/>
    <w:rPr>
      <w:rFonts w:hint="default" w:ascii="方正兰亭纤黑简体" w:hAnsi="方正兰亭纤黑简体" w:eastAsia="方正兰亭纤黑简体" w:cs="方正兰亭纤黑简体"/>
      <w:color w:val="000000"/>
      <w:sz w:val="22"/>
      <w:szCs w:val="22"/>
      <w:u w:val="none"/>
    </w:rPr>
  </w:style>
  <w:style w:type="character" w:customStyle="1" w:styleId="76">
    <w:name w:val="large1"/>
    <w:qFormat/>
    <w:uiPriority w:val="0"/>
    <w:rPr>
      <w:rFonts w:hint="eastAsia" w:ascii="宋体" w:hAnsi="宋体" w:eastAsia="宋体"/>
      <w:sz w:val="21"/>
      <w:szCs w:val="21"/>
    </w:rPr>
  </w:style>
  <w:style w:type="table" w:customStyle="1" w:styleId="77">
    <w:name w:val="TableGrid"/>
    <w:qFormat/>
    <w:uiPriority w:val="0"/>
    <w:tblPr>
      <w:tblCellMar>
        <w:top w:w="0" w:type="dxa"/>
        <w:left w:w="0" w:type="dxa"/>
        <w:bottom w:w="0" w:type="dxa"/>
        <w:right w:w="0" w:type="dxa"/>
      </w:tblCellMar>
    </w:tblPr>
  </w:style>
  <w:style w:type="character" w:customStyle="1" w:styleId="78">
    <w:name w:val="font81"/>
    <w:qFormat/>
    <w:uiPriority w:val="0"/>
    <w:rPr>
      <w:rFonts w:hint="eastAsia" w:ascii="宋体" w:hAnsi="宋体" w:eastAsia="宋体"/>
      <w:color w:val="000000"/>
      <w:sz w:val="21"/>
      <w:szCs w:val="21"/>
      <w:u w:val="none"/>
    </w:rPr>
  </w:style>
  <w:style w:type="character" w:customStyle="1" w:styleId="79">
    <w:name w:val="批注文字 Char Char"/>
    <w:qFormat/>
    <w:uiPriority w:val="0"/>
    <w:rPr>
      <w:kern w:val="2"/>
      <w:sz w:val="21"/>
      <w:szCs w:val="24"/>
    </w:rPr>
  </w:style>
  <w:style w:type="character" w:customStyle="1" w:styleId="80">
    <w:name w:val="标题 2 Char Char Char"/>
    <w:qFormat/>
    <w:uiPriority w:val="0"/>
    <w:rPr>
      <w:rFonts w:ascii="文鼎小标宋简" w:hAnsi="Times New Roman" w:eastAsia="文鼎小标宋简" w:cs="Times New Roman"/>
      <w:b/>
      <w:sz w:val="36"/>
      <w:lang w:val="en-US" w:eastAsia="zh-CN" w:bidi="ar-SA"/>
    </w:rPr>
  </w:style>
  <w:style w:type="character" w:customStyle="1" w:styleId="81">
    <w:name w:val="fontstyle01"/>
    <w:basedOn w:val="30"/>
    <w:qFormat/>
    <w:uiPriority w:val="0"/>
    <w:rPr>
      <w:rFonts w:hint="eastAsia" w:ascii="宋体" w:hAnsi="宋体" w:eastAsia="宋体" w:cs="Times New Roman"/>
      <w:color w:val="000000"/>
      <w:sz w:val="22"/>
      <w:szCs w:val="22"/>
    </w:rPr>
  </w:style>
  <w:style w:type="paragraph" w:customStyle="1" w:styleId="82">
    <w:name w:val="Table Paragraph"/>
    <w:basedOn w:val="1"/>
    <w:qFormat/>
    <w:uiPriority w:val="1"/>
    <w:rPr>
      <w:rFonts w:ascii="宋体" w:hAnsi="宋体" w:cs="宋体"/>
    </w:rPr>
  </w:style>
  <w:style w:type="character" w:customStyle="1" w:styleId="83">
    <w:name w:val="批注框文本 字符"/>
    <w:basedOn w:val="30"/>
    <w:link w:val="17"/>
    <w:semiHidden/>
    <w:qFormat/>
    <w:uiPriority w:val="99"/>
    <w:rPr>
      <w:kern w:val="2"/>
      <w:sz w:val="18"/>
      <w:szCs w:val="18"/>
    </w:rPr>
  </w:style>
  <w:style w:type="character" w:customStyle="1" w:styleId="84">
    <w:name w:val="font51"/>
    <w:basedOn w:val="30"/>
    <w:qFormat/>
    <w:uiPriority w:val="0"/>
    <w:rPr>
      <w:rFonts w:hint="eastAsia" w:ascii="宋体" w:hAnsi="宋体" w:eastAsia="宋体" w:cs="宋体"/>
      <w:color w:val="000000"/>
      <w:sz w:val="32"/>
      <w:szCs w:val="32"/>
      <w:u w:val="none"/>
    </w:rPr>
  </w:style>
  <w:style w:type="character" w:customStyle="1" w:styleId="85">
    <w:name w:val="font91"/>
    <w:basedOn w:val="30"/>
    <w:qFormat/>
    <w:uiPriority w:val="0"/>
    <w:rPr>
      <w:rFonts w:hint="eastAsia" w:ascii="宋体" w:hAnsi="宋体" w:eastAsia="宋体" w:cs="宋体"/>
      <w:color w:val="000000"/>
      <w:sz w:val="32"/>
      <w:szCs w:val="32"/>
      <w:u w:val="none"/>
    </w:rPr>
  </w:style>
  <w:style w:type="character" w:customStyle="1" w:styleId="86">
    <w:name w:val="font101"/>
    <w:basedOn w:val="30"/>
    <w:qFormat/>
    <w:uiPriority w:val="0"/>
    <w:rPr>
      <w:rFonts w:hint="eastAsia" w:ascii="宋体" w:hAnsi="宋体" w:eastAsia="宋体" w:cs="宋体"/>
      <w:color w:val="FF0000"/>
      <w:sz w:val="32"/>
      <w:szCs w:val="32"/>
      <w:u w:val="none"/>
    </w:rPr>
  </w:style>
  <w:style w:type="character" w:customStyle="1" w:styleId="87">
    <w:name w:val="font111"/>
    <w:basedOn w:val="30"/>
    <w:qFormat/>
    <w:uiPriority w:val="0"/>
    <w:rPr>
      <w:rFonts w:hint="eastAsia" w:ascii="宋体" w:hAnsi="宋体" w:eastAsia="宋体" w:cs="宋体"/>
      <w:color w:val="000000"/>
      <w:sz w:val="21"/>
      <w:szCs w:val="21"/>
      <w:u w:val="none"/>
    </w:rPr>
  </w:style>
  <w:style w:type="character" w:customStyle="1" w:styleId="88">
    <w:name w:val="font122"/>
    <w:basedOn w:val="30"/>
    <w:qFormat/>
    <w:uiPriority w:val="0"/>
    <w:rPr>
      <w:rFonts w:hint="default" w:ascii="Times New Roman" w:hAnsi="Times New Roman" w:cs="Times New Roman"/>
      <w:color w:val="000000"/>
      <w:sz w:val="32"/>
      <w:szCs w:val="32"/>
      <w:u w:val="none"/>
    </w:rPr>
  </w:style>
  <w:style w:type="character" w:customStyle="1" w:styleId="89">
    <w:name w:val="font131"/>
    <w:basedOn w:val="30"/>
    <w:qFormat/>
    <w:uiPriority w:val="0"/>
    <w:rPr>
      <w:rFonts w:hint="default" w:ascii="Times New Roman" w:hAnsi="Times New Roman" w:cs="Times New Roman"/>
      <w:color w:val="000000"/>
      <w:sz w:val="21"/>
      <w:szCs w:val="21"/>
      <w:u w:val="none"/>
    </w:rPr>
  </w:style>
  <w:style w:type="character" w:customStyle="1" w:styleId="90">
    <w:name w:val="font141"/>
    <w:basedOn w:val="30"/>
    <w:qFormat/>
    <w:uiPriority w:val="0"/>
    <w:rPr>
      <w:rFonts w:hint="default" w:ascii="Times New Roman" w:hAnsi="Times New Roman" w:cs="Times New Roman"/>
      <w:color w:val="000000"/>
      <w:sz w:val="21"/>
      <w:szCs w:val="21"/>
      <w:u w:val="none"/>
    </w:rPr>
  </w:style>
  <w:style w:type="character" w:customStyle="1" w:styleId="91">
    <w:name w:val="font161"/>
    <w:basedOn w:val="30"/>
    <w:qFormat/>
    <w:uiPriority w:val="0"/>
    <w:rPr>
      <w:rFonts w:hint="eastAsia" w:ascii="宋体" w:hAnsi="宋体" w:eastAsia="宋体" w:cs="宋体"/>
      <w:color w:val="003366"/>
      <w:sz w:val="21"/>
      <w:szCs w:val="21"/>
      <w:u w:val="none"/>
    </w:rPr>
  </w:style>
  <w:style w:type="character" w:customStyle="1" w:styleId="92">
    <w:name w:val="font151"/>
    <w:basedOn w:val="30"/>
    <w:qFormat/>
    <w:uiPriority w:val="0"/>
    <w:rPr>
      <w:rFonts w:hint="default" w:ascii="Times New Roman" w:hAnsi="Times New Roman" w:cs="Times New Roman"/>
      <w:color w:val="000000"/>
      <w:sz w:val="32"/>
      <w:szCs w:val="32"/>
      <w:u w:val="none"/>
    </w:rPr>
  </w:style>
  <w:style w:type="character" w:customStyle="1" w:styleId="93">
    <w:name w:val="font121"/>
    <w:basedOn w:val="30"/>
    <w:qFormat/>
    <w:uiPriority w:val="0"/>
    <w:rPr>
      <w:rFonts w:hint="eastAsia" w:ascii="宋体" w:hAnsi="宋体" w:eastAsia="宋体" w:cs="宋体"/>
      <w:color w:val="FF0000"/>
      <w:sz w:val="32"/>
      <w:szCs w:val="32"/>
      <w:u w:val="none"/>
    </w:rPr>
  </w:style>
  <w:style w:type="character" w:customStyle="1" w:styleId="94">
    <w:name w:val="font31"/>
    <w:basedOn w:val="30"/>
    <w:qFormat/>
    <w:uiPriority w:val="0"/>
    <w:rPr>
      <w:rFonts w:hint="eastAsia" w:ascii="宋体" w:hAnsi="宋体" w:eastAsia="宋体" w:cs="宋体"/>
      <w:color w:val="003366"/>
      <w:sz w:val="21"/>
      <w:szCs w:val="21"/>
      <w:u w:val="none"/>
    </w:rPr>
  </w:style>
  <w:style w:type="paragraph" w:customStyle="1" w:styleId="95">
    <w:name w:val="Body A"/>
    <w:qFormat/>
    <w:uiPriority w:val="0"/>
    <w:pPr>
      <w:spacing w:line="360" w:lineRule="auto"/>
    </w:pPr>
    <w:rPr>
      <w:rFonts w:ascii="Times New Roman" w:hAnsi="Times New Roman" w:eastAsia="Times New Roman" w:cs="Times New Roman"/>
      <w:color w:val="000000"/>
      <w:sz w:val="28"/>
      <w:szCs w:val="28"/>
      <w:u w:color="000000"/>
      <w:lang w:val="en-US" w:eastAsia="zh-CN" w:bidi="ar-SA"/>
    </w:rPr>
  </w:style>
  <w:style w:type="table" w:customStyle="1" w:styleId="96">
    <w:name w:val="网格型1"/>
    <w:basedOn w:val="2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97">
    <w:name w:val="样式6"/>
    <w:basedOn w:val="14"/>
    <w:qFormat/>
    <w:uiPriority w:val="0"/>
    <w:pPr>
      <w:adjustRightInd w:val="0"/>
      <w:spacing w:line="460" w:lineRule="exact"/>
      <w:outlineLvl w:val="2"/>
    </w:pPr>
    <w:rPr>
      <w:rFonts w:ascii="仿宋_GB2312" w:hAnsi="宋体" w:eastAsia="仿宋_GB2312"/>
      <w:b/>
      <w:bCs/>
      <w:sz w:val="24"/>
    </w:rPr>
  </w:style>
  <w:style w:type="character" w:customStyle="1" w:styleId="98">
    <w:name w:val="15"/>
    <w:basedOn w:val="30"/>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E18FA-AF65-4A47-B136-C7E304BAFF2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25253</Words>
  <Characters>27948</Characters>
  <Lines>215</Lines>
  <Paragraphs>60</Paragraphs>
  <TotalTime>36</TotalTime>
  <ScaleCrop>false</ScaleCrop>
  <LinksUpToDate>false</LinksUpToDate>
  <CharactersWithSpaces>28445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2024-09-11T14:52:00Z</dcterms:created>
  <dc:creator>JM</dc:creator>
  <cp:lastModifiedBy>WPS_350516242</cp:lastModifiedBy>
  <cp:lastPrinted>2023-03-10T11:12:00Z</cp:lastPrinted>
  <dcterms:modified xsi:type="dcterms:W3CDTF">2024-09-14T08:49:17Z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D4E01508EC044DAF91168DB182A02E5D_13</vt:lpwstr>
  </property>
  <property fmtid="{D5CDD505-2E9C-101B-9397-08002B2CF9AE}" pid="4" name="commondata">
    <vt:lpwstr>eyJoZGlkIjoiNTgzMzFmYzEwMGEwYzNjNzhmY2ZhZTJiMTZhZDFkN2EifQ==</vt:lpwstr>
  </property>
</Properties>
</file>