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E0765E">
      <w:pPr>
        <w:spacing w:line="360" w:lineRule="auto"/>
        <w:jc w:val="center"/>
        <w:rPr>
          <w:rFonts w:hint="eastAsia" w:ascii="仿宋" w:hAnsi="仿宋" w:eastAsia="仿宋" w:cs="仿宋"/>
          <w:b/>
          <w:color w:val="auto"/>
          <w:sz w:val="24"/>
          <w:highlight w:val="none"/>
        </w:rPr>
      </w:pPr>
    </w:p>
    <w:p w14:paraId="7FABD30C">
      <w:pPr>
        <w:rPr>
          <w:rFonts w:hint="eastAsia" w:ascii="仿宋" w:hAnsi="仿宋" w:eastAsia="仿宋" w:cs="仿宋"/>
          <w:b/>
          <w:color w:val="auto"/>
          <w:sz w:val="28"/>
          <w:szCs w:val="28"/>
          <w:highlight w:val="none"/>
        </w:rPr>
      </w:pPr>
    </w:p>
    <w:p w14:paraId="7E343E1E">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b/>
          <w:bCs/>
          <w:color w:val="auto"/>
          <w:sz w:val="48"/>
          <w:szCs w:val="48"/>
          <w:highlight w:val="none"/>
          <w:lang w:eastAsia="zh-CN"/>
        </w:rPr>
      </w:pPr>
      <w:r>
        <w:rPr>
          <w:rFonts w:hint="eastAsia" w:ascii="仿宋" w:hAnsi="仿宋" w:eastAsia="仿宋" w:cs="仿宋"/>
          <w:b/>
          <w:bCs/>
          <w:color w:val="auto"/>
          <w:sz w:val="48"/>
          <w:szCs w:val="48"/>
          <w:highlight w:val="none"/>
          <w:lang w:eastAsia="zh-CN"/>
        </w:rPr>
        <w:t xml:space="preserve">遂昌县第二污水处理厂2025-2026年度代管运维服务项目 </w:t>
      </w:r>
    </w:p>
    <w:p w14:paraId="73011C4A">
      <w:pPr>
        <w:rPr>
          <w:rFonts w:hint="eastAsia" w:ascii="仿宋" w:hAnsi="仿宋" w:eastAsia="仿宋" w:cs="仿宋"/>
          <w:color w:val="auto"/>
          <w:lang w:eastAsia="zh-CN"/>
        </w:rPr>
      </w:pPr>
    </w:p>
    <w:p w14:paraId="65CAA18C">
      <w:pPr>
        <w:rPr>
          <w:rFonts w:hint="eastAsia" w:ascii="仿宋" w:hAnsi="仿宋" w:eastAsia="仿宋" w:cs="仿宋"/>
          <w:color w:val="auto"/>
          <w:lang w:eastAsia="zh-CN"/>
        </w:rPr>
      </w:pPr>
    </w:p>
    <w:p w14:paraId="398ABAE8">
      <w:pPr>
        <w:pStyle w:val="3"/>
        <w:rPr>
          <w:rFonts w:hint="eastAsia" w:ascii="仿宋" w:hAnsi="仿宋" w:eastAsia="仿宋" w:cs="仿宋"/>
          <w:color w:val="auto"/>
          <w:lang w:eastAsia="zh-CN"/>
        </w:rPr>
      </w:pPr>
    </w:p>
    <w:p w14:paraId="09DA7112">
      <w:pPr>
        <w:pStyle w:val="2"/>
        <w:rPr>
          <w:rFonts w:hint="eastAsia" w:ascii="仿宋" w:hAnsi="仿宋" w:eastAsia="仿宋" w:cs="仿宋"/>
          <w:color w:val="auto"/>
          <w:lang w:eastAsia="zh-CN"/>
        </w:rPr>
      </w:pPr>
    </w:p>
    <w:p w14:paraId="0915563D">
      <w:pPr>
        <w:rPr>
          <w:rFonts w:hint="eastAsia" w:ascii="仿宋" w:hAnsi="仿宋" w:eastAsia="仿宋" w:cs="仿宋"/>
          <w:color w:val="auto"/>
          <w:lang w:eastAsia="zh-CN"/>
        </w:rPr>
      </w:pPr>
    </w:p>
    <w:p w14:paraId="23E4685C">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招标文件</w:t>
      </w:r>
    </w:p>
    <w:p w14:paraId="71055EE3">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4C8AD168">
      <w:pPr>
        <w:keepNext w:val="0"/>
        <w:keepLines w:val="0"/>
        <w:pageBreakBefore w:val="0"/>
        <w:widowControl w:val="0"/>
        <w:kinsoku/>
        <w:wordWrap/>
        <w:overflowPunct/>
        <w:topLinePunct w:val="0"/>
        <w:autoSpaceDE/>
        <w:autoSpaceDN/>
        <w:bidi w:val="0"/>
        <w:snapToGrid w:val="0"/>
        <w:spacing w:line="360" w:lineRule="auto"/>
        <w:jc w:val="center"/>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项目</w:t>
      </w: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val="en-US" w:eastAsia="zh-CN"/>
        </w:rPr>
        <w:t>SCYH【2025】020-公07</w:t>
      </w:r>
    </w:p>
    <w:p w14:paraId="5EA26A5C">
      <w:pPr>
        <w:adjustRightInd/>
        <w:spacing w:line="360" w:lineRule="auto"/>
        <w:rPr>
          <w:rFonts w:hint="eastAsia" w:ascii="仿宋" w:hAnsi="仿宋" w:eastAsia="仿宋" w:cs="仿宋"/>
          <w:color w:val="auto"/>
          <w:sz w:val="28"/>
          <w:szCs w:val="20"/>
          <w:highlight w:val="none"/>
        </w:rPr>
      </w:pPr>
    </w:p>
    <w:p w14:paraId="1F59EA0D">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759E371A">
      <w:pPr>
        <w:spacing w:line="360" w:lineRule="auto"/>
        <w:jc w:val="center"/>
        <w:rPr>
          <w:rFonts w:hint="eastAsia" w:ascii="仿宋" w:hAnsi="仿宋" w:eastAsia="仿宋" w:cs="仿宋"/>
          <w:b/>
          <w:color w:val="auto"/>
          <w:sz w:val="44"/>
          <w:szCs w:val="44"/>
          <w:highlight w:val="none"/>
        </w:rPr>
      </w:pPr>
    </w:p>
    <w:p w14:paraId="3C8E442C">
      <w:pPr>
        <w:spacing w:line="360" w:lineRule="auto"/>
        <w:jc w:val="center"/>
        <w:rPr>
          <w:rFonts w:hint="eastAsia" w:ascii="仿宋" w:hAnsi="仿宋" w:eastAsia="仿宋" w:cs="仿宋"/>
          <w:color w:val="auto"/>
          <w:sz w:val="24"/>
          <w:highlight w:val="none"/>
        </w:rPr>
      </w:pPr>
    </w:p>
    <w:p w14:paraId="21F2D4C4">
      <w:pPr>
        <w:spacing w:line="360" w:lineRule="auto"/>
        <w:jc w:val="center"/>
        <w:rPr>
          <w:rFonts w:hint="eastAsia" w:ascii="仿宋" w:hAnsi="仿宋" w:eastAsia="仿宋" w:cs="仿宋"/>
          <w:color w:val="auto"/>
          <w:sz w:val="24"/>
          <w:highlight w:val="none"/>
        </w:rPr>
      </w:pPr>
    </w:p>
    <w:p w14:paraId="6F944966">
      <w:pPr>
        <w:spacing w:line="360" w:lineRule="auto"/>
        <w:rPr>
          <w:rFonts w:hint="eastAsia" w:ascii="仿宋" w:hAnsi="仿宋" w:eastAsia="仿宋" w:cs="仿宋"/>
          <w:color w:val="auto"/>
          <w:sz w:val="32"/>
          <w:szCs w:val="32"/>
          <w:highlight w:val="none"/>
        </w:rPr>
      </w:pPr>
    </w:p>
    <w:p w14:paraId="691E0D1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浙江遂昌经济开发区管理委员会</w:t>
      </w:r>
    </w:p>
    <w:p w14:paraId="5575B8D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Cs/>
          <w:color w:val="auto"/>
          <w:sz w:val="32"/>
          <w:szCs w:val="32"/>
          <w:highlight w:val="none"/>
          <w:lang w:val="en-US" w:eastAsia="zh-CN"/>
        </w:rPr>
      </w:pPr>
      <w:r>
        <w:rPr>
          <w:rFonts w:hint="eastAsia" w:ascii="仿宋" w:hAnsi="仿宋" w:eastAsia="仿宋" w:cs="仿宋"/>
          <w:bCs/>
          <w:color w:val="auto"/>
          <w:sz w:val="32"/>
          <w:szCs w:val="32"/>
          <w:highlight w:val="none"/>
          <w:lang w:val="en-US" w:eastAsia="zh-CN"/>
        </w:rPr>
        <w:t>遂昌一航采购代理有限公司</w:t>
      </w:r>
    </w:p>
    <w:p w14:paraId="0EDA2C2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二</w:t>
      </w:r>
      <w:r>
        <w:rPr>
          <w:rFonts w:hint="eastAsia" w:ascii="仿宋" w:hAnsi="仿宋" w:eastAsia="仿宋" w:cs="仿宋"/>
          <w:bCs/>
          <w:color w:val="auto"/>
          <w:sz w:val="32"/>
          <w:szCs w:val="32"/>
          <w:highlight w:val="none"/>
        </w:rPr>
        <w:t>月</w:t>
      </w:r>
      <w:r>
        <w:rPr>
          <w:rFonts w:hint="eastAsia" w:ascii="仿宋" w:hAnsi="仿宋" w:eastAsia="仿宋" w:cs="仿宋"/>
          <w:bCs/>
          <w:color w:val="auto"/>
          <w:sz w:val="32"/>
          <w:szCs w:val="32"/>
          <w:highlight w:val="none"/>
          <w:lang w:val="en-US" w:eastAsia="zh-CN"/>
        </w:rPr>
        <w:t>二十八</w:t>
      </w:r>
      <w:r>
        <w:rPr>
          <w:rFonts w:hint="eastAsia" w:ascii="仿宋" w:hAnsi="仿宋" w:eastAsia="仿宋" w:cs="仿宋"/>
          <w:bCs/>
          <w:color w:val="auto"/>
          <w:sz w:val="32"/>
          <w:szCs w:val="32"/>
          <w:highlight w:val="none"/>
        </w:rPr>
        <w:t>日</w:t>
      </w:r>
    </w:p>
    <w:p w14:paraId="14392877">
      <w:pPr>
        <w:pStyle w:val="19"/>
        <w:rPr>
          <w:rFonts w:hint="eastAsia" w:ascii="仿宋" w:hAnsi="仿宋" w:eastAsia="仿宋" w:cs="仿宋"/>
          <w:bCs/>
          <w:color w:val="auto"/>
          <w:sz w:val="32"/>
          <w:szCs w:val="32"/>
          <w:highlight w:val="none"/>
        </w:rPr>
      </w:pPr>
    </w:p>
    <w:p w14:paraId="63C0E1B1">
      <w:pPr>
        <w:spacing w:line="360" w:lineRule="auto"/>
        <w:jc w:val="center"/>
        <w:rPr>
          <w:rFonts w:hint="eastAsia" w:ascii="仿宋" w:hAnsi="仿宋" w:eastAsia="仿宋" w:cs="仿宋"/>
          <w:b/>
          <w:color w:val="auto"/>
          <w:sz w:val="48"/>
          <w:szCs w:val="48"/>
          <w:highlight w:val="none"/>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titlePg/>
          <w:docGrid w:type="lines" w:linePitch="312" w:charSpace="0"/>
        </w:sectPr>
      </w:pPr>
    </w:p>
    <w:p w14:paraId="4280AA0E">
      <w:pPr>
        <w:rPr>
          <w:rFonts w:hint="eastAsia" w:ascii="仿宋" w:hAnsi="仿宋" w:eastAsia="仿宋" w:cs="仿宋"/>
          <w:color w:val="auto"/>
        </w:rPr>
      </w:pPr>
    </w:p>
    <w:p w14:paraId="7ACFF6AB">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6FA541BC">
      <w:pPr>
        <w:spacing w:line="360" w:lineRule="auto"/>
        <w:rPr>
          <w:rFonts w:hint="eastAsia" w:ascii="仿宋" w:hAnsi="仿宋" w:eastAsia="仿宋" w:cs="仿宋"/>
          <w:color w:val="auto"/>
          <w:sz w:val="32"/>
          <w:szCs w:val="32"/>
          <w:highlight w:val="none"/>
        </w:rPr>
      </w:pPr>
    </w:p>
    <w:p w14:paraId="6B06B6A7">
      <w:pPr>
        <w:rPr>
          <w:rFonts w:hint="eastAsia" w:ascii="仿宋" w:hAnsi="仿宋" w:eastAsia="仿宋" w:cs="仿宋"/>
        </w:rPr>
      </w:pPr>
    </w:p>
    <w:p w14:paraId="71D17F9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07D4EBF8">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72FEC9EF">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5F0E712F">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03D784A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3659580">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2438EAD1">
      <w:pPr>
        <w:rPr>
          <w:rFonts w:hint="eastAsia" w:ascii="仿宋" w:hAnsi="仿宋" w:eastAsia="仿宋" w:cs="仿宋"/>
          <w:color w:val="auto"/>
        </w:rPr>
      </w:pPr>
    </w:p>
    <w:p w14:paraId="7AEB07FE">
      <w:pPr>
        <w:rPr>
          <w:rFonts w:hint="eastAsia" w:ascii="仿宋" w:hAnsi="仿宋" w:eastAsia="仿宋" w:cs="仿宋"/>
          <w:color w:val="auto"/>
        </w:rPr>
      </w:pPr>
    </w:p>
    <w:p w14:paraId="2BFAFC8C">
      <w:pPr>
        <w:rPr>
          <w:rFonts w:hint="eastAsia" w:ascii="仿宋" w:hAnsi="仿宋" w:eastAsia="仿宋" w:cs="仿宋"/>
          <w:color w:val="auto"/>
        </w:rPr>
      </w:pPr>
    </w:p>
    <w:p w14:paraId="39D4A13A">
      <w:pPr>
        <w:rPr>
          <w:rFonts w:hint="eastAsia" w:ascii="仿宋" w:hAnsi="仿宋" w:eastAsia="仿宋" w:cs="仿宋"/>
          <w:color w:val="auto"/>
        </w:rPr>
      </w:pPr>
    </w:p>
    <w:p w14:paraId="723CB0E7">
      <w:pPr>
        <w:rPr>
          <w:rFonts w:hint="eastAsia" w:ascii="仿宋" w:hAnsi="仿宋" w:eastAsia="仿宋" w:cs="仿宋"/>
          <w:color w:val="auto"/>
        </w:rPr>
      </w:pPr>
    </w:p>
    <w:p w14:paraId="2503E885">
      <w:pPr>
        <w:rPr>
          <w:rFonts w:hint="eastAsia" w:ascii="仿宋" w:hAnsi="仿宋" w:eastAsia="仿宋" w:cs="仿宋"/>
          <w:color w:val="auto"/>
        </w:rPr>
      </w:pPr>
    </w:p>
    <w:p w14:paraId="06DFECCD">
      <w:pPr>
        <w:rPr>
          <w:rFonts w:hint="eastAsia" w:ascii="仿宋" w:hAnsi="仿宋" w:eastAsia="仿宋" w:cs="仿宋"/>
          <w:color w:val="auto"/>
        </w:rPr>
      </w:pPr>
    </w:p>
    <w:p w14:paraId="6CE456DD">
      <w:pPr>
        <w:rPr>
          <w:rFonts w:hint="eastAsia" w:ascii="仿宋" w:hAnsi="仿宋" w:eastAsia="仿宋" w:cs="仿宋"/>
          <w:color w:val="auto"/>
        </w:rPr>
      </w:pPr>
    </w:p>
    <w:p w14:paraId="20E8762B">
      <w:pPr>
        <w:rPr>
          <w:rFonts w:hint="eastAsia" w:ascii="仿宋" w:hAnsi="仿宋" w:eastAsia="仿宋" w:cs="仿宋"/>
          <w:color w:val="auto"/>
        </w:rPr>
      </w:pPr>
    </w:p>
    <w:p w14:paraId="4540F159">
      <w:pPr>
        <w:rPr>
          <w:rFonts w:hint="eastAsia" w:ascii="仿宋" w:hAnsi="仿宋" w:eastAsia="仿宋" w:cs="仿宋"/>
          <w:color w:val="auto"/>
        </w:rPr>
      </w:pPr>
    </w:p>
    <w:p w14:paraId="357C54D0">
      <w:pPr>
        <w:rPr>
          <w:rFonts w:hint="eastAsia" w:ascii="仿宋" w:hAnsi="仿宋" w:eastAsia="仿宋" w:cs="仿宋"/>
          <w:color w:val="auto"/>
        </w:rPr>
      </w:pPr>
    </w:p>
    <w:p w14:paraId="4CBE4C2A">
      <w:pPr>
        <w:rPr>
          <w:rFonts w:hint="eastAsia" w:ascii="仿宋" w:hAnsi="仿宋" w:eastAsia="仿宋" w:cs="仿宋"/>
          <w:color w:val="auto"/>
        </w:rPr>
      </w:pPr>
    </w:p>
    <w:p w14:paraId="73A12E07">
      <w:pPr>
        <w:rPr>
          <w:rFonts w:hint="eastAsia" w:ascii="仿宋" w:hAnsi="仿宋" w:eastAsia="仿宋" w:cs="仿宋"/>
          <w:color w:val="auto"/>
        </w:rPr>
      </w:pPr>
    </w:p>
    <w:p w14:paraId="1A809E68">
      <w:pPr>
        <w:rPr>
          <w:rFonts w:hint="eastAsia" w:ascii="仿宋" w:hAnsi="仿宋" w:eastAsia="仿宋" w:cs="仿宋"/>
          <w:color w:val="auto"/>
        </w:rPr>
      </w:pPr>
    </w:p>
    <w:p w14:paraId="3299481D">
      <w:pPr>
        <w:rPr>
          <w:rFonts w:hint="eastAsia" w:ascii="仿宋" w:hAnsi="仿宋" w:eastAsia="仿宋" w:cs="仿宋"/>
          <w:color w:val="auto"/>
        </w:rPr>
      </w:pPr>
    </w:p>
    <w:p w14:paraId="3BF6D3DB">
      <w:pPr>
        <w:rPr>
          <w:rFonts w:hint="eastAsia" w:ascii="仿宋" w:hAnsi="仿宋" w:eastAsia="仿宋" w:cs="仿宋"/>
          <w:color w:val="auto"/>
        </w:rPr>
      </w:pPr>
    </w:p>
    <w:p w14:paraId="1764B581">
      <w:pPr>
        <w:rPr>
          <w:rFonts w:hint="eastAsia" w:ascii="仿宋" w:hAnsi="仿宋" w:eastAsia="仿宋" w:cs="仿宋"/>
          <w:color w:val="auto"/>
        </w:rPr>
      </w:pPr>
    </w:p>
    <w:p w14:paraId="5D93F70E">
      <w:pPr>
        <w:rPr>
          <w:rFonts w:hint="eastAsia" w:ascii="仿宋" w:hAnsi="仿宋" w:eastAsia="仿宋" w:cs="仿宋"/>
          <w:color w:val="auto"/>
        </w:rPr>
      </w:pPr>
    </w:p>
    <w:p w14:paraId="4E75B939">
      <w:pPr>
        <w:rPr>
          <w:rFonts w:hint="eastAsia" w:ascii="仿宋" w:hAnsi="仿宋" w:eastAsia="仿宋" w:cs="仿宋"/>
          <w:color w:val="auto"/>
        </w:rPr>
      </w:pPr>
    </w:p>
    <w:p w14:paraId="05C877D4">
      <w:pPr>
        <w:rPr>
          <w:rFonts w:hint="eastAsia" w:ascii="仿宋" w:hAnsi="仿宋" w:eastAsia="仿宋" w:cs="仿宋"/>
          <w:color w:val="auto"/>
        </w:rPr>
      </w:pPr>
    </w:p>
    <w:p w14:paraId="380B359F">
      <w:pPr>
        <w:rPr>
          <w:rFonts w:hint="eastAsia" w:ascii="仿宋" w:hAnsi="仿宋" w:eastAsia="仿宋" w:cs="仿宋"/>
          <w:color w:val="auto"/>
        </w:rPr>
      </w:pPr>
    </w:p>
    <w:p w14:paraId="6BE9A5D1">
      <w:pPr>
        <w:rPr>
          <w:rFonts w:hint="eastAsia" w:ascii="仿宋" w:hAnsi="仿宋" w:eastAsia="仿宋" w:cs="仿宋"/>
          <w:color w:val="auto"/>
        </w:rPr>
      </w:pPr>
    </w:p>
    <w:p w14:paraId="70F9F944">
      <w:pPr>
        <w:rPr>
          <w:rFonts w:hint="eastAsia" w:ascii="仿宋" w:hAnsi="仿宋" w:eastAsia="仿宋" w:cs="仿宋"/>
          <w:color w:val="auto"/>
        </w:rPr>
      </w:pPr>
    </w:p>
    <w:p w14:paraId="6BF7E864">
      <w:pPr>
        <w:rPr>
          <w:rFonts w:hint="eastAsia" w:ascii="仿宋" w:hAnsi="仿宋" w:eastAsia="仿宋" w:cs="仿宋"/>
          <w:color w:val="auto"/>
        </w:rPr>
      </w:pPr>
    </w:p>
    <w:p w14:paraId="155E30F1">
      <w:pPr>
        <w:wordWrap w:val="0"/>
        <w:adjustRightInd/>
        <w:spacing w:line="360" w:lineRule="auto"/>
        <w:ind w:firstLine="723"/>
        <w:jc w:val="center"/>
        <w:outlineLvl w:val="0"/>
        <w:rPr>
          <w:rFonts w:hint="eastAsia" w:ascii="仿宋" w:hAnsi="仿宋" w:eastAsia="仿宋" w:cs="仿宋"/>
          <w:b/>
          <w:color w:val="auto"/>
          <w:sz w:val="36"/>
          <w:szCs w:val="20"/>
          <w:highlight w:val="none"/>
        </w:rPr>
        <w:sectPr>
          <w:headerReference r:id="rId6" w:type="first"/>
          <w:footerReference r:id="rId8" w:type="first"/>
          <w:headerReference r:id="rId5" w:type="default"/>
          <w:footerReference r:id="rId7" w:type="default"/>
          <w:pgSz w:w="11906" w:h="16838"/>
          <w:pgMar w:top="1440" w:right="1800" w:bottom="1440" w:left="1800" w:header="907" w:footer="907" w:gutter="0"/>
          <w:pgBorders>
            <w:top w:val="none" w:sz="0" w:space="0"/>
            <w:left w:val="none" w:sz="0" w:space="0"/>
            <w:bottom w:val="none" w:sz="0" w:space="0"/>
            <w:right w:val="none" w:sz="0" w:space="0"/>
          </w:pgBorders>
          <w:pgNumType w:fmt="decimal"/>
          <w:cols w:space="425" w:num="1"/>
          <w:titlePg/>
          <w:docGrid w:type="lines" w:linePitch="312" w:charSpace="0"/>
        </w:sectPr>
      </w:pPr>
      <w:bookmarkStart w:id="0" w:name="_Toc15208"/>
      <w:bookmarkStart w:id="1" w:name="_Toc20941"/>
    </w:p>
    <w:p w14:paraId="22B67FE6">
      <w:pPr>
        <w:wordWrap w:val="0"/>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bookmarkEnd w:id="0"/>
      <w:bookmarkEnd w:id="1"/>
    </w:p>
    <w:p w14:paraId="3227B047">
      <w:pPr>
        <w:rPr>
          <w:rFonts w:hint="eastAsia" w:ascii="仿宋" w:hAnsi="仿宋" w:eastAsia="仿宋" w:cs="仿宋"/>
          <w:color w:val="auto"/>
        </w:rPr>
      </w:pPr>
    </w:p>
    <w:p w14:paraId="39A95B07">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21E5E6A8">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遂昌县第二污水处理厂2025-2026年度代管运维服务项目</w:t>
      </w:r>
      <w:r>
        <w:rPr>
          <w:rFonts w:hint="eastAsia" w:ascii="仿宋" w:hAnsi="仿宋" w:eastAsia="仿宋" w:cs="仿宋"/>
          <w:color w:val="auto"/>
          <w:sz w:val="24"/>
          <w:highlight w:val="none"/>
        </w:rPr>
        <w:t>的潜在投标人应在政采云平台线上获取（下载）招标文件，并于</w:t>
      </w:r>
      <w:r>
        <w:rPr>
          <w:rFonts w:hint="eastAsia" w:ascii="仿宋" w:hAnsi="仿宋" w:eastAsia="仿宋" w:cs="仿宋"/>
          <w:color w:val="auto"/>
          <w:sz w:val="24"/>
          <w:highlight w:val="none"/>
          <w:lang w:eastAsia="zh-CN"/>
        </w:rPr>
        <w:t>2025年3月20日09:30</w:t>
      </w:r>
      <w:r>
        <w:rPr>
          <w:rFonts w:hint="eastAsia" w:ascii="仿宋" w:hAnsi="仿宋" w:eastAsia="仿宋" w:cs="仿宋"/>
          <w:color w:val="auto"/>
          <w:sz w:val="24"/>
          <w:highlight w:val="none"/>
        </w:rPr>
        <w:t>（北京时间）前递交（上传）投标文件。</w:t>
      </w:r>
    </w:p>
    <w:p w14:paraId="600FBCF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一、项目基本情况                                            </w:t>
      </w:r>
    </w:p>
    <w:p w14:paraId="28247C8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项目编号：SCYH【2025】020-公07</w:t>
      </w:r>
    </w:p>
    <w:p w14:paraId="60D3598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pacing w:val="-6"/>
          <w:sz w:val="24"/>
          <w:lang w:eastAsia="zh-CN"/>
        </w:rPr>
      </w:pPr>
      <w:r>
        <w:rPr>
          <w:rFonts w:hint="eastAsia" w:ascii="仿宋" w:hAnsi="仿宋" w:eastAsia="仿宋" w:cs="仿宋"/>
          <w:color w:val="auto"/>
          <w:sz w:val="24"/>
        </w:rPr>
        <w:t>项目名称：</w:t>
      </w:r>
      <w:r>
        <w:rPr>
          <w:rFonts w:hint="eastAsia" w:ascii="仿宋" w:hAnsi="仿宋" w:eastAsia="仿宋" w:cs="仿宋"/>
          <w:color w:val="auto"/>
          <w:spacing w:val="-6"/>
          <w:sz w:val="24"/>
          <w:lang w:eastAsia="zh-CN"/>
        </w:rPr>
        <w:t>遂昌县第二污水处理厂2025-2026年度代管运维服务项目</w:t>
      </w:r>
    </w:p>
    <w:p w14:paraId="652DDCE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采购方式：公开招标</w:t>
      </w:r>
    </w:p>
    <w:p w14:paraId="1F7389D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预算金额（元）：</w:t>
      </w:r>
      <w:r>
        <w:rPr>
          <w:rFonts w:hint="eastAsia" w:ascii="仿宋" w:hAnsi="仿宋" w:eastAsia="仿宋" w:cs="仿宋"/>
          <w:color w:val="auto"/>
          <w:sz w:val="24"/>
          <w:lang w:val="en-US" w:eastAsia="zh-CN"/>
        </w:rPr>
        <w:t>6600000</w:t>
      </w:r>
    </w:p>
    <w:p w14:paraId="1166B3E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最高限价（元）：</w:t>
      </w:r>
      <w:r>
        <w:rPr>
          <w:rFonts w:hint="eastAsia" w:ascii="仿宋" w:hAnsi="仿宋" w:eastAsia="仿宋" w:cs="仿宋"/>
          <w:color w:val="auto"/>
          <w:sz w:val="24"/>
          <w:lang w:val="en-US" w:eastAsia="zh-CN"/>
        </w:rPr>
        <w:t>6600000</w:t>
      </w:r>
    </w:p>
    <w:p w14:paraId="75721DE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采购需求：详见采购文件第三章</w:t>
      </w:r>
    </w:p>
    <w:p w14:paraId="710E6BED">
      <w:pPr>
        <w:rPr>
          <w:rFonts w:hint="eastAsia" w:ascii="仿宋" w:hAnsi="仿宋" w:eastAsia="仿宋" w:cs="仿宋"/>
          <w:color w:val="auto"/>
        </w:rPr>
      </w:pPr>
    </w:p>
    <w:p w14:paraId="27F499D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pacing w:val="-20"/>
          <w:sz w:val="24"/>
          <w:lang w:eastAsia="zh-CN"/>
        </w:rPr>
      </w:pPr>
      <w:r>
        <w:rPr>
          <w:rFonts w:hint="eastAsia" w:ascii="仿宋" w:hAnsi="仿宋" w:eastAsia="仿宋" w:cs="仿宋"/>
          <w:color w:val="auto"/>
          <w:sz w:val="24"/>
        </w:rPr>
        <w:t>标项名称：</w:t>
      </w:r>
      <w:r>
        <w:rPr>
          <w:rFonts w:hint="eastAsia" w:ascii="仿宋" w:hAnsi="仿宋" w:eastAsia="仿宋" w:cs="仿宋"/>
          <w:color w:val="auto"/>
          <w:spacing w:val="-6"/>
          <w:sz w:val="24"/>
          <w:lang w:eastAsia="zh-CN"/>
        </w:rPr>
        <w:t>遂昌县第二污水处理厂2025-2026年度代管运维服务项目</w:t>
      </w:r>
    </w:p>
    <w:p w14:paraId="6059A111">
      <w:pPr>
        <w:keepNext w:val="0"/>
        <w:keepLines w:val="0"/>
        <w:pageBreakBefore w:val="0"/>
        <w:widowControl w:val="0"/>
        <w:kinsoku/>
        <w:wordWrap/>
        <w:overflowPunct/>
        <w:topLinePunct w:val="0"/>
        <w:autoSpaceDE/>
        <w:autoSpaceDN/>
        <w:bidi w:val="0"/>
        <w:adjustRightInd w:val="0"/>
        <w:snapToGrid/>
        <w:spacing w:line="360" w:lineRule="auto"/>
        <w:ind w:left="479" w:leftChars="228"/>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数量：</w:t>
      </w:r>
      <w:r>
        <w:rPr>
          <w:rFonts w:hint="eastAsia" w:ascii="仿宋" w:hAnsi="仿宋" w:eastAsia="仿宋" w:cs="仿宋"/>
          <w:color w:val="auto"/>
          <w:sz w:val="24"/>
          <w:lang w:val="en-US" w:eastAsia="zh-CN"/>
        </w:rPr>
        <w:t>15个月</w:t>
      </w:r>
    </w:p>
    <w:p w14:paraId="2772D98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预算金额（元）：</w:t>
      </w:r>
      <w:r>
        <w:rPr>
          <w:rFonts w:hint="eastAsia" w:ascii="仿宋" w:hAnsi="仿宋" w:eastAsia="仿宋" w:cs="仿宋"/>
          <w:color w:val="auto"/>
          <w:sz w:val="24"/>
          <w:lang w:val="en-US" w:eastAsia="zh-CN"/>
        </w:rPr>
        <w:t>6600000</w:t>
      </w:r>
    </w:p>
    <w:p w14:paraId="1EE1F5A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简要规格描述：详见采购文件第三章</w:t>
      </w:r>
    </w:p>
    <w:p w14:paraId="1FC073A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备注：▲综合单价最高限价为2.</w:t>
      </w:r>
      <w:r>
        <w:rPr>
          <w:rFonts w:hint="eastAsia" w:ascii="仿宋" w:hAnsi="仿宋" w:eastAsia="仿宋" w:cs="仿宋"/>
          <w:color w:val="auto"/>
          <w:sz w:val="24"/>
          <w:lang w:val="en-US" w:eastAsia="zh-CN"/>
        </w:rPr>
        <w:t>5</w:t>
      </w:r>
      <w:r>
        <w:rPr>
          <w:rFonts w:hint="eastAsia" w:ascii="仿宋" w:hAnsi="仿宋" w:eastAsia="仿宋" w:cs="仿宋"/>
          <w:color w:val="auto"/>
          <w:sz w:val="24"/>
        </w:rPr>
        <w:t>元/</w:t>
      </w:r>
      <w:r>
        <w:rPr>
          <w:rFonts w:hint="eastAsia" w:ascii="仿宋" w:hAnsi="仿宋" w:eastAsia="仿宋" w:cs="仿宋"/>
          <w:color w:val="auto"/>
          <w:sz w:val="24"/>
          <w:lang w:val="en-US" w:eastAsia="zh-CN"/>
        </w:rPr>
        <w:t>m3。</w:t>
      </w:r>
    </w:p>
    <w:p w14:paraId="1E34AD81">
      <w:pPr>
        <w:rPr>
          <w:rFonts w:hint="eastAsia" w:ascii="仿宋" w:hAnsi="仿宋" w:eastAsia="仿宋" w:cs="仿宋"/>
          <w:color w:val="auto"/>
        </w:rPr>
      </w:pPr>
    </w:p>
    <w:p w14:paraId="3D32C43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合同履行期限：标项1，详见采购文件第三章</w:t>
      </w:r>
    </w:p>
    <w:p w14:paraId="64E9AF0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本项目（否）接受联合体投标。</w:t>
      </w:r>
    </w:p>
    <w:p w14:paraId="73894745">
      <w:pPr>
        <w:spacing w:line="360" w:lineRule="auto"/>
        <w:jc w:val="left"/>
        <w:rPr>
          <w:rFonts w:hint="eastAsia" w:ascii="仿宋" w:hAnsi="仿宋" w:eastAsia="仿宋" w:cs="仿宋"/>
          <w:b/>
          <w:color w:val="auto"/>
          <w:sz w:val="24"/>
          <w:highlight w:val="none"/>
        </w:rPr>
      </w:pPr>
      <w:bookmarkStart w:id="2" w:name="_Toc35393622"/>
      <w:bookmarkStart w:id="3" w:name="_Toc35393791"/>
      <w:bookmarkStart w:id="4" w:name="_Toc28359003"/>
      <w:bookmarkStart w:id="5" w:name="_Toc28359080"/>
      <w:r>
        <w:rPr>
          <w:rFonts w:hint="eastAsia" w:ascii="仿宋" w:hAnsi="仿宋" w:eastAsia="仿宋" w:cs="仿宋"/>
          <w:b/>
          <w:color w:val="auto"/>
          <w:sz w:val="24"/>
          <w:highlight w:val="none"/>
        </w:rPr>
        <w:t>二、申请人的资格要求</w:t>
      </w:r>
      <w:bookmarkEnd w:id="2"/>
      <w:bookmarkEnd w:id="3"/>
      <w:bookmarkEnd w:id="4"/>
      <w:bookmarkEnd w:id="5"/>
    </w:p>
    <w:p w14:paraId="7821A392">
      <w:pPr>
        <w:numPr>
          <w:ilvl w:val="0"/>
          <w:numId w:val="1"/>
        </w:numPr>
        <w:spacing w:line="360" w:lineRule="auto"/>
        <w:ind w:left="0" w:leftChars="0" w:firstLine="480" w:firstLineChars="200"/>
        <w:rPr>
          <w:rFonts w:hint="eastAsia" w:ascii="仿宋" w:hAnsi="仿宋" w:eastAsia="仿宋" w:cs="仿宋"/>
          <w:bCs/>
          <w:color w:val="auto"/>
          <w:sz w:val="24"/>
          <w:highlight w:val="none"/>
        </w:rPr>
      </w:pPr>
      <w:bookmarkStart w:id="6" w:name="_Toc28359004"/>
      <w:bookmarkStart w:id="7" w:name="_Toc35393792"/>
      <w:bookmarkStart w:id="8" w:name="_Toc28359081"/>
      <w:bookmarkStart w:id="9" w:name="_Toc35393623"/>
      <w:r>
        <w:rPr>
          <w:rFonts w:hint="eastAsia" w:ascii="仿宋" w:hAnsi="仿宋" w:eastAsia="仿宋" w:cs="仿宋"/>
          <w:bCs/>
          <w:color w:val="auto"/>
          <w:sz w:val="24"/>
          <w:highlight w:val="none"/>
        </w:rPr>
        <w:t>满足《中华人民共和国政府采购法》第二十二条规定，未被“信用中国”（www.creditchina.gov.cn)、中国政府采购网（www.ccgp.gov.cn）列入失信被执行人、重大税收违法失信主体、政府采购严重违法失信行为记录名单。（注：本项内容由代理机构在资格审查现场完成查询）。</w:t>
      </w:r>
    </w:p>
    <w:p w14:paraId="2029A009">
      <w:pPr>
        <w:numPr>
          <w:ilvl w:val="0"/>
          <w:numId w:val="1"/>
        </w:numPr>
        <w:spacing w:line="360" w:lineRule="auto"/>
        <w:ind w:left="0" w:leftChars="0" w:firstLine="480" w:firstLineChars="2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落实政府采购政策需满足的资格要求：</w:t>
      </w:r>
      <w:r>
        <w:rPr>
          <w:rFonts w:hint="eastAsia" w:ascii="仿宋" w:hAnsi="仿宋" w:eastAsia="仿宋" w:cs="仿宋"/>
          <w:bCs/>
          <w:color w:val="auto"/>
          <w:sz w:val="24"/>
          <w:highlight w:val="none"/>
          <w:lang w:val="en-US" w:eastAsia="zh-CN"/>
        </w:rPr>
        <w:t>无</w:t>
      </w:r>
    </w:p>
    <w:p w14:paraId="38813055">
      <w:pPr>
        <w:numPr>
          <w:ilvl w:val="0"/>
          <w:numId w:val="1"/>
        </w:numPr>
        <w:spacing w:line="360" w:lineRule="auto"/>
        <w:ind w:left="0" w:leftChars="0"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本项目特定资格要求：无</w:t>
      </w:r>
    </w:p>
    <w:bookmarkEnd w:id="6"/>
    <w:bookmarkEnd w:id="7"/>
    <w:bookmarkEnd w:id="8"/>
    <w:bookmarkEnd w:id="9"/>
    <w:p w14:paraId="5DC945DC">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三、获取招标文件</w:t>
      </w:r>
    </w:p>
    <w:p w14:paraId="558D5ADA">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时间：/至</w:t>
      </w:r>
      <w:r>
        <w:rPr>
          <w:rFonts w:hint="eastAsia" w:ascii="仿宋" w:hAnsi="仿宋" w:eastAsia="仿宋" w:cs="仿宋"/>
          <w:color w:val="auto"/>
          <w:sz w:val="24"/>
          <w:highlight w:val="none"/>
          <w:lang w:eastAsia="zh-CN"/>
        </w:rPr>
        <w:t>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lang w:eastAsia="zh-CN"/>
        </w:rPr>
        <w:t>日</w:t>
      </w:r>
      <w:r>
        <w:rPr>
          <w:rFonts w:hint="eastAsia" w:ascii="仿宋" w:hAnsi="仿宋" w:eastAsia="仿宋" w:cs="仿宋"/>
          <w:color w:val="auto"/>
          <w:sz w:val="24"/>
          <w:highlight w:val="none"/>
        </w:rPr>
        <w:t>，每天上午00:00至12:00，下午12:00至23:59（北京时间，线上获取法定节假日均可，线下获取文件法定节假日除外）；</w:t>
      </w:r>
    </w:p>
    <w:p w14:paraId="4E084FFE">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地点（网址）：政采云平台线上获取；</w:t>
      </w:r>
    </w:p>
    <w:p w14:paraId="3790A6A3">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方式：供应商登录政采云平台https://www.zcygov.cn/在线申请获取采购文件（进入“项目采购”应用，在获取采购文件菜单中选择项目，申请获取采购文件）</w:t>
      </w:r>
    </w:p>
    <w:p w14:paraId="4B4CA37E">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售价（元）：0</w:t>
      </w:r>
    </w:p>
    <w:p w14:paraId="3A47F2DD">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仿宋" w:hAnsi="仿宋" w:eastAsia="仿宋" w:cs="仿宋"/>
          <w:b/>
          <w:color w:val="auto"/>
          <w:sz w:val="24"/>
          <w:highlight w:val="none"/>
        </w:rPr>
      </w:pPr>
      <w:bookmarkStart w:id="10" w:name="_Toc35393794"/>
      <w:bookmarkStart w:id="11" w:name="_Toc35393625"/>
      <w:bookmarkStart w:id="12" w:name="_Toc28359007"/>
      <w:bookmarkStart w:id="13" w:name="_Toc28359084"/>
      <w:r>
        <w:rPr>
          <w:rFonts w:hint="eastAsia" w:ascii="仿宋" w:hAnsi="仿宋" w:eastAsia="仿宋" w:cs="仿宋"/>
          <w:b/>
          <w:color w:val="auto"/>
          <w:sz w:val="24"/>
          <w:highlight w:val="none"/>
        </w:rPr>
        <w:t>四、提交投标文件截止时间、开标时间和地点</w:t>
      </w:r>
    </w:p>
    <w:p w14:paraId="19F1E29B">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提交投标文件截止时间：</w:t>
      </w:r>
      <w:r>
        <w:rPr>
          <w:rFonts w:hint="eastAsia" w:ascii="仿宋" w:hAnsi="仿宋" w:eastAsia="仿宋" w:cs="仿宋"/>
          <w:bCs/>
          <w:color w:val="auto"/>
          <w:sz w:val="24"/>
          <w:highlight w:val="none"/>
          <w:lang w:eastAsia="zh-CN"/>
        </w:rPr>
        <w:t>2025年3月20日09:30</w:t>
      </w:r>
      <w:r>
        <w:rPr>
          <w:rFonts w:hint="eastAsia" w:ascii="仿宋" w:hAnsi="仿宋" w:eastAsia="仿宋" w:cs="仿宋"/>
          <w:color w:val="auto"/>
          <w:sz w:val="24"/>
          <w:highlight w:val="none"/>
        </w:rPr>
        <w:t>（北京时间）</w:t>
      </w:r>
    </w:p>
    <w:p w14:paraId="32305A00">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投标地点（网址）：请登录政采云投标客户端投标</w:t>
      </w:r>
    </w:p>
    <w:p w14:paraId="038ED421">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开标时间：</w:t>
      </w:r>
      <w:r>
        <w:rPr>
          <w:rFonts w:hint="eastAsia" w:ascii="仿宋" w:hAnsi="仿宋" w:eastAsia="仿宋" w:cs="仿宋"/>
          <w:bCs/>
          <w:color w:val="auto"/>
          <w:sz w:val="24"/>
          <w:highlight w:val="none"/>
          <w:lang w:eastAsia="zh-CN"/>
        </w:rPr>
        <w:t>2025年3月20日09:30</w:t>
      </w:r>
      <w:r>
        <w:rPr>
          <w:rFonts w:hint="eastAsia" w:ascii="仿宋" w:hAnsi="仿宋" w:eastAsia="仿宋" w:cs="仿宋"/>
          <w:bCs/>
          <w:color w:val="auto"/>
          <w:sz w:val="24"/>
          <w:highlight w:val="none"/>
        </w:rPr>
        <w:t>（北京时间）</w:t>
      </w:r>
    </w:p>
    <w:p w14:paraId="17104396">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开标地点（网址）：</w:t>
      </w:r>
      <w:r>
        <w:rPr>
          <w:rFonts w:hint="eastAsia" w:ascii="仿宋" w:hAnsi="仿宋" w:eastAsia="仿宋" w:cs="仿宋"/>
          <w:bCs/>
          <w:color w:val="auto"/>
          <w:spacing w:val="-6"/>
          <w:sz w:val="24"/>
          <w:highlight w:val="none"/>
          <w:lang w:eastAsia="zh-CN"/>
        </w:rPr>
        <w:t>浙江省丽水市遂昌县妙高街道君子路357号A区五楼开标室</w:t>
      </w:r>
      <w:r>
        <w:rPr>
          <w:rFonts w:hint="eastAsia" w:ascii="仿宋" w:hAnsi="仿宋" w:eastAsia="仿宋" w:cs="仿宋"/>
          <w:bCs/>
          <w:color w:val="auto"/>
          <w:spacing w:val="-6"/>
          <w:sz w:val="24"/>
          <w:highlight w:val="none"/>
          <w:lang w:val="en-US" w:eastAsia="zh-CN"/>
        </w:rPr>
        <w:t>3</w:t>
      </w:r>
    </w:p>
    <w:p w14:paraId="7D274E01">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五、公告期限</w:t>
      </w:r>
      <w:bookmarkEnd w:id="10"/>
      <w:bookmarkEnd w:id="11"/>
      <w:bookmarkEnd w:id="12"/>
      <w:bookmarkEnd w:id="13"/>
    </w:p>
    <w:p w14:paraId="2BC750B3">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自本公告发布之日起5个工作日</w:t>
      </w:r>
    </w:p>
    <w:p w14:paraId="207EAA6D">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24"/>
          <w:highlight w:val="none"/>
        </w:rPr>
      </w:pPr>
      <w:bookmarkStart w:id="14" w:name="_Toc35393795"/>
      <w:bookmarkStart w:id="15" w:name="_Toc35393626"/>
      <w:r>
        <w:rPr>
          <w:rFonts w:hint="eastAsia" w:ascii="仿宋" w:hAnsi="仿宋" w:eastAsia="仿宋" w:cs="仿宋"/>
          <w:b/>
          <w:color w:val="auto"/>
          <w:sz w:val="24"/>
          <w:highlight w:val="none"/>
        </w:rPr>
        <w:t>六、其他补充事宜</w:t>
      </w:r>
      <w:bookmarkEnd w:id="14"/>
      <w:bookmarkEnd w:id="15"/>
    </w:p>
    <w:p w14:paraId="206965A0">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rPr>
      </w:pPr>
      <w:bookmarkStart w:id="16" w:name="_Toc35393627"/>
      <w:bookmarkStart w:id="17" w:name="_Toc35393796"/>
      <w:bookmarkStart w:id="18" w:name="_Toc28359085"/>
      <w:bookmarkStart w:id="19" w:name="_Toc28359008"/>
      <w:r>
        <w:rPr>
          <w:rFonts w:hint="eastAsia" w:ascii="仿宋" w:hAnsi="仿宋" w:eastAsia="仿宋" w:cs="仿宋"/>
          <w:color w:val="auto"/>
          <w:sz w:val="24"/>
          <w:highlight w:val="none"/>
        </w:rPr>
        <w:t>1.《浙江省财政厅关于进一步发挥政府采购政策功能全力推动经济稳进提质的通知》 （浙财采监</w:t>
      </w:r>
      <w:r>
        <w:rPr>
          <w:rFonts w:hint="eastAsia" w:ascii="仿宋" w:hAnsi="仿宋" w:eastAsia="仿宋" w:cs="仿宋"/>
          <w:color w:val="auto"/>
          <w:sz w:val="24"/>
          <w:highlight w:val="none"/>
          <w:lang w:eastAsia="zh-CN"/>
        </w:rPr>
        <w:t>〔2022〕3号</w:t>
      </w:r>
      <w:r>
        <w:rPr>
          <w:rFonts w:hint="eastAsia" w:ascii="仿宋" w:hAnsi="仿宋" w:eastAsia="仿宋" w:cs="仿宋"/>
          <w:color w:val="auto"/>
          <w:sz w:val="24"/>
          <w:highlight w:val="none"/>
        </w:rPr>
        <w:t>）、《浙江省财政厅关于进一步促进政府采购公平竞争打造最优营商环境的通知》（浙财采监</w:t>
      </w:r>
      <w:r>
        <w:rPr>
          <w:rFonts w:hint="eastAsia" w:ascii="仿宋" w:hAnsi="仿宋" w:eastAsia="仿宋" w:cs="仿宋"/>
          <w:color w:val="auto"/>
          <w:sz w:val="24"/>
          <w:highlight w:val="none"/>
          <w:lang w:eastAsia="zh-CN"/>
        </w:rPr>
        <w:t>〔2021〕22号</w:t>
      </w:r>
      <w:r>
        <w:rPr>
          <w:rFonts w:hint="eastAsia" w:ascii="仿宋" w:hAnsi="仿宋" w:eastAsia="仿宋" w:cs="仿宋"/>
          <w:color w:val="auto"/>
          <w:sz w:val="24"/>
          <w:highlight w:val="none"/>
        </w:rPr>
        <w:t>）已分别于2022年1月29日和2022年2月1日开始实施，此前有关规定与上述文件内容不一致的，按上述文件要求执行。</w:t>
      </w:r>
    </w:p>
    <w:p w14:paraId="0144B22A">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w:t>
      </w:r>
      <w:r>
        <w:rPr>
          <w:rFonts w:hint="eastAsia" w:ascii="仿宋" w:hAnsi="仿宋" w:eastAsia="仿宋" w:cs="仿宋"/>
          <w:color w:val="auto"/>
          <w:sz w:val="24"/>
          <w:highlight w:val="none"/>
          <w:lang w:eastAsia="zh-CN"/>
        </w:rPr>
        <w:t>〔2021〕22号</w:t>
      </w:r>
      <w:r>
        <w:rPr>
          <w:rFonts w:hint="eastAsia" w:ascii="仿宋" w:hAnsi="仿宋" w:eastAsia="仿宋" w:cs="仿宋"/>
          <w:color w:val="auto"/>
          <w:sz w:val="24"/>
          <w:highlight w:val="none"/>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4F5EE1">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7FDC403">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以</w:t>
      </w:r>
      <w:r>
        <w:rPr>
          <w:rFonts w:hint="eastAsia" w:ascii="仿宋" w:hAnsi="仿宋" w:eastAsia="仿宋" w:cs="仿宋"/>
          <w:color w:val="auto"/>
          <w:sz w:val="24"/>
          <w:highlight w:val="none"/>
          <w:lang w:val="en-US" w:eastAsia="zh-CN"/>
        </w:rPr>
        <w:t>电子压缩文件通过电子邮箱</w:t>
      </w:r>
      <w:r>
        <w:rPr>
          <w:rFonts w:hint="eastAsia" w:ascii="仿宋" w:hAnsi="仿宋" w:eastAsia="仿宋" w:cs="仿宋"/>
          <w:color w:val="auto"/>
          <w:sz w:val="24"/>
          <w:highlight w:val="none"/>
        </w:rPr>
        <w:t>递交备份投标文件1份。备份投标文件的制作、</w:t>
      </w:r>
      <w:r>
        <w:rPr>
          <w:rFonts w:hint="eastAsia" w:ascii="仿宋" w:hAnsi="仿宋" w:eastAsia="仿宋" w:cs="仿宋"/>
          <w:color w:val="auto"/>
          <w:sz w:val="24"/>
          <w:highlight w:val="none"/>
          <w:lang w:val="en-US" w:eastAsia="zh-CN"/>
        </w:rPr>
        <w:t>提交</w:t>
      </w:r>
      <w:r>
        <w:rPr>
          <w:rFonts w:hint="eastAsia" w:ascii="仿宋" w:hAnsi="仿宋" w:eastAsia="仿宋" w:cs="仿宋"/>
          <w:color w:val="auto"/>
          <w:sz w:val="24"/>
          <w:highlight w:val="none"/>
        </w:rPr>
        <w:t>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（3）招标文件公告期限与招标公告的公告期限一致。</w:t>
      </w:r>
    </w:p>
    <w:p w14:paraId="4FA44645">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w:t>
      </w:r>
      <w:bookmarkEnd w:id="16"/>
      <w:bookmarkEnd w:id="17"/>
      <w:bookmarkEnd w:id="18"/>
      <w:bookmarkEnd w:id="19"/>
      <w:r>
        <w:rPr>
          <w:rFonts w:hint="eastAsia" w:ascii="仿宋" w:hAnsi="仿宋" w:eastAsia="仿宋" w:cs="仿宋"/>
          <w:b/>
          <w:color w:val="auto"/>
          <w:sz w:val="24"/>
          <w:highlight w:val="none"/>
        </w:rPr>
        <w:t>凡对本次招标提出询问、质疑、投诉，请按以下方式联系</w:t>
      </w:r>
    </w:p>
    <w:p w14:paraId="192BDA1B">
      <w:pPr>
        <w:keepNext w:val="0"/>
        <w:keepLines w:val="0"/>
        <w:pageBreakBefore w:val="0"/>
        <w:widowControl/>
        <w:numPr>
          <w:ilvl w:val="0"/>
          <w:numId w:val="2"/>
        </w:numPr>
        <w:kinsoku/>
        <w:wordWrap/>
        <w:overflowPunct/>
        <w:topLinePunct w:val="0"/>
        <w:autoSpaceDE/>
        <w:autoSpaceDN/>
        <w:bidi w:val="0"/>
        <w:adjustRightInd w:val="0"/>
        <w:snapToGrid w:val="0"/>
        <w:spacing w:line="360" w:lineRule="auto"/>
        <w:ind w:firstLine="44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采购人信息</w:t>
      </w:r>
    </w:p>
    <w:p w14:paraId="57FC0E1C">
      <w:pPr>
        <w:keepNext w:val="0"/>
        <w:keepLines w:val="0"/>
        <w:pageBreakBefore w:val="0"/>
        <w:kinsoku/>
        <w:wordWrap/>
        <w:overflowPunct/>
        <w:topLinePunct w:val="0"/>
        <w:autoSpaceDE/>
        <w:autoSpaceDN/>
        <w:bidi w:val="0"/>
        <w:adjustRightInd w:val="0"/>
        <w:snapToGrid w:val="0"/>
        <w:spacing w:line="360" w:lineRule="auto"/>
        <w:ind w:firstLine="720" w:firstLineChars="300"/>
        <w:textAlignment w:val="auto"/>
        <w:rPr>
          <w:rFonts w:hint="eastAsia" w:ascii="仿宋" w:hAnsi="仿宋" w:eastAsia="仿宋" w:cs="仿宋"/>
          <w:color w:val="auto"/>
          <w:sz w:val="24"/>
          <w:lang w:eastAsia="zh-CN"/>
        </w:rPr>
      </w:pPr>
      <w:r>
        <w:rPr>
          <w:rFonts w:hint="eastAsia" w:ascii="仿宋" w:hAnsi="仿宋" w:eastAsia="仿宋" w:cs="仿宋"/>
          <w:color w:val="auto"/>
          <w:sz w:val="24"/>
        </w:rPr>
        <w:t>名  称：</w:t>
      </w:r>
      <w:r>
        <w:rPr>
          <w:rFonts w:hint="eastAsia" w:ascii="仿宋" w:hAnsi="仿宋" w:eastAsia="仿宋" w:cs="仿宋"/>
          <w:color w:val="auto"/>
          <w:sz w:val="24"/>
          <w:lang w:eastAsia="zh-CN"/>
        </w:rPr>
        <w:t>浙江遂昌经济开发区管理委员会</w:t>
      </w:r>
    </w:p>
    <w:p w14:paraId="3940627E">
      <w:pPr>
        <w:keepNext w:val="0"/>
        <w:keepLines w:val="0"/>
        <w:pageBreakBefore w:val="0"/>
        <w:widowControl/>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color w:val="auto"/>
          <w:sz w:val="24"/>
          <w:lang w:val="en-US"/>
        </w:rPr>
      </w:pPr>
      <w:r>
        <w:rPr>
          <w:rFonts w:hint="eastAsia" w:ascii="仿宋" w:hAnsi="仿宋" w:eastAsia="仿宋" w:cs="仿宋"/>
          <w:color w:val="auto"/>
          <w:sz w:val="24"/>
        </w:rPr>
        <w:t>地  址：遂昌县</w:t>
      </w:r>
      <w:r>
        <w:rPr>
          <w:rFonts w:hint="eastAsia" w:ascii="仿宋" w:hAnsi="仿宋" w:eastAsia="仿宋" w:cs="仿宋"/>
          <w:color w:val="auto"/>
          <w:sz w:val="24"/>
          <w:lang w:val="en-US" w:eastAsia="zh-CN"/>
        </w:rPr>
        <w:t>云峰</w:t>
      </w:r>
      <w:r>
        <w:rPr>
          <w:rFonts w:hint="eastAsia" w:ascii="仿宋" w:hAnsi="仿宋" w:eastAsia="仿宋" w:cs="仿宋"/>
          <w:color w:val="auto"/>
          <w:sz w:val="24"/>
        </w:rPr>
        <w:t>街道</w:t>
      </w:r>
      <w:r>
        <w:rPr>
          <w:rFonts w:hint="eastAsia" w:ascii="仿宋" w:hAnsi="仿宋" w:eastAsia="仿宋" w:cs="仿宋"/>
          <w:color w:val="auto"/>
          <w:sz w:val="24"/>
          <w:lang w:val="en-US" w:eastAsia="zh-CN"/>
        </w:rPr>
        <w:t>昌和路1号</w:t>
      </w:r>
    </w:p>
    <w:p w14:paraId="6F1FBB02">
      <w:pPr>
        <w:keepNext w:val="0"/>
        <w:keepLines w:val="0"/>
        <w:pageBreakBefore w:val="0"/>
        <w:widowControl/>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华先生</w:t>
      </w:r>
    </w:p>
    <w:p w14:paraId="48CDC8FA">
      <w:pPr>
        <w:keepNext w:val="0"/>
        <w:keepLines w:val="0"/>
        <w:pageBreakBefore w:val="0"/>
        <w:widowControl/>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项目</w:t>
      </w:r>
      <w:r>
        <w:rPr>
          <w:rFonts w:hint="eastAsia" w:ascii="仿宋" w:hAnsi="仿宋" w:eastAsia="仿宋" w:cs="仿宋"/>
          <w:color w:val="auto"/>
          <w:sz w:val="24"/>
        </w:rPr>
        <w:t>联系方式</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询问）</w:t>
      </w:r>
      <w:r>
        <w:rPr>
          <w:rFonts w:hint="eastAsia" w:ascii="仿宋" w:hAnsi="仿宋" w:eastAsia="仿宋" w:cs="仿宋"/>
          <w:color w:val="auto"/>
          <w:sz w:val="24"/>
        </w:rPr>
        <w:t>：</w:t>
      </w:r>
      <w:r>
        <w:rPr>
          <w:rFonts w:hint="eastAsia" w:ascii="仿宋" w:hAnsi="仿宋" w:eastAsia="仿宋" w:cs="仿宋"/>
          <w:color w:val="auto"/>
          <w:sz w:val="24"/>
          <w:lang w:val="en-US" w:eastAsia="zh-CN"/>
        </w:rPr>
        <w:t>15990420827</w:t>
      </w:r>
    </w:p>
    <w:p w14:paraId="3E4425DB">
      <w:pPr>
        <w:keepNext w:val="0"/>
        <w:keepLines w:val="0"/>
        <w:pageBreakBefore w:val="0"/>
        <w:widowControl/>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质疑联系人：</w:t>
      </w:r>
      <w:r>
        <w:rPr>
          <w:rFonts w:hint="eastAsia" w:ascii="仿宋" w:hAnsi="仿宋" w:eastAsia="仿宋" w:cs="仿宋"/>
          <w:color w:val="auto"/>
          <w:sz w:val="24"/>
          <w:lang w:val="en-US" w:eastAsia="zh-CN"/>
        </w:rPr>
        <w:t>徐先生</w:t>
      </w:r>
    </w:p>
    <w:p w14:paraId="07981130">
      <w:pPr>
        <w:keepNext w:val="0"/>
        <w:keepLines w:val="0"/>
        <w:pageBreakBefore w:val="0"/>
        <w:widowControl/>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质疑联系方式：</w:t>
      </w:r>
      <w:r>
        <w:rPr>
          <w:rFonts w:hint="eastAsia" w:ascii="仿宋" w:hAnsi="仿宋" w:eastAsia="仿宋" w:cs="仿宋"/>
          <w:color w:val="auto"/>
          <w:sz w:val="24"/>
          <w:lang w:val="en-US" w:eastAsia="zh-CN"/>
        </w:rPr>
        <w:t>13957040292</w:t>
      </w:r>
    </w:p>
    <w:p w14:paraId="78D17E92">
      <w:pPr>
        <w:rPr>
          <w:rFonts w:hint="eastAsia" w:ascii="仿宋" w:hAnsi="仿宋" w:eastAsia="仿宋" w:cs="仿宋"/>
          <w:color w:val="auto"/>
        </w:rPr>
      </w:pPr>
    </w:p>
    <w:p w14:paraId="7DAD7542">
      <w:pPr>
        <w:keepNext w:val="0"/>
        <w:keepLines w:val="0"/>
        <w:pageBreakBefore w:val="0"/>
        <w:widowControl/>
        <w:numPr>
          <w:ilvl w:val="0"/>
          <w:numId w:val="3"/>
        </w:numPr>
        <w:kinsoku/>
        <w:wordWrap/>
        <w:overflowPunct/>
        <w:topLinePunct w:val="0"/>
        <w:autoSpaceDE/>
        <w:autoSpaceDN/>
        <w:bidi w:val="0"/>
        <w:adjustRightInd w:val="0"/>
        <w:snapToGrid w:val="0"/>
        <w:spacing w:line="360" w:lineRule="auto"/>
        <w:ind w:firstLine="44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采购代理机构信息</w:t>
      </w:r>
    </w:p>
    <w:p w14:paraId="02EDCB2E">
      <w:pPr>
        <w:keepNext w:val="0"/>
        <w:keepLines w:val="0"/>
        <w:pageBreakBefore w:val="0"/>
        <w:widowControl/>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称：遂昌一航采购代理有限公司</w:t>
      </w:r>
    </w:p>
    <w:p w14:paraId="3EB8EE91">
      <w:pPr>
        <w:keepNext w:val="0"/>
        <w:keepLines w:val="0"/>
        <w:pageBreakBefore w:val="0"/>
        <w:widowControl/>
        <w:kinsoku/>
        <w:wordWrap/>
        <w:overflowPunct/>
        <w:topLinePunct w:val="0"/>
        <w:autoSpaceDE/>
        <w:autoSpaceDN/>
        <w:bidi w:val="0"/>
        <w:adjustRightInd w:val="0"/>
        <w:snapToGrid w:val="0"/>
        <w:spacing w:line="360" w:lineRule="auto"/>
        <w:ind w:left="718" w:leftChars="342"/>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bookmarkStart w:id="20" w:name="OLE_LINK2"/>
      <w:r>
        <w:rPr>
          <w:rFonts w:hint="eastAsia" w:ascii="仿宋" w:hAnsi="仿宋" w:eastAsia="仿宋" w:cs="仿宋"/>
          <w:color w:val="auto"/>
          <w:sz w:val="24"/>
          <w:highlight w:val="none"/>
        </w:rPr>
        <w:t>遂昌县妙高街道北街348号203室</w:t>
      </w:r>
      <w:bookmarkEnd w:id="20"/>
    </w:p>
    <w:p w14:paraId="30D3FD8E">
      <w:pPr>
        <w:widowControl/>
        <w:snapToGrid w:val="0"/>
        <w:spacing w:line="360" w:lineRule="auto"/>
        <w:ind w:left="718" w:leftChars="342"/>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真：0578-8126963</w:t>
      </w:r>
    </w:p>
    <w:p w14:paraId="3D5CC207">
      <w:pPr>
        <w:keepNext w:val="0"/>
        <w:keepLines w:val="0"/>
        <w:pageBreakBefore w:val="0"/>
        <w:widowControl/>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华莉瑛</w:t>
      </w:r>
      <w:r>
        <w:rPr>
          <w:rFonts w:hint="eastAsia" w:ascii="仿宋" w:hAnsi="仿宋" w:eastAsia="仿宋" w:cs="仿宋"/>
          <w:color w:val="auto"/>
          <w:sz w:val="24"/>
          <w:highlight w:val="none"/>
        </w:rPr>
        <w:t xml:space="preserve">          </w:t>
      </w:r>
    </w:p>
    <w:p w14:paraId="0BC3511F">
      <w:pPr>
        <w:keepNext w:val="0"/>
        <w:keepLines w:val="0"/>
        <w:pageBreakBefore w:val="0"/>
        <w:widowControl/>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eastAsia="zh-CN"/>
        </w:rPr>
        <w:t>13754268787</w:t>
      </w:r>
      <w:r>
        <w:rPr>
          <w:rFonts w:hint="eastAsia" w:ascii="仿宋" w:hAnsi="仿宋" w:eastAsia="仿宋" w:cs="仿宋"/>
          <w:color w:val="auto"/>
          <w:sz w:val="24"/>
          <w:highlight w:val="none"/>
        </w:rPr>
        <w:t xml:space="preserve"> </w:t>
      </w:r>
    </w:p>
    <w:p w14:paraId="476657B5">
      <w:pPr>
        <w:keepNext w:val="0"/>
        <w:keepLines w:val="0"/>
        <w:pageBreakBefore w:val="0"/>
        <w:widowControl/>
        <w:kinsoku/>
        <w:wordWrap/>
        <w:overflowPunct/>
        <w:topLinePunct w:val="0"/>
        <w:autoSpaceDE/>
        <w:autoSpaceDN/>
        <w:bidi w:val="0"/>
        <w:adjustRightInd w:val="0"/>
        <w:snapToGrid w:val="0"/>
        <w:spacing w:line="360" w:lineRule="auto"/>
        <w:ind w:left="718" w:leftChars="342"/>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尹丽香</w:t>
      </w:r>
      <w:r>
        <w:rPr>
          <w:rFonts w:hint="eastAsia" w:ascii="仿宋" w:hAnsi="仿宋" w:eastAsia="仿宋" w:cs="仿宋"/>
          <w:color w:val="auto"/>
          <w:sz w:val="24"/>
          <w:highlight w:val="none"/>
        </w:rPr>
        <w:t xml:space="preserve">         </w:t>
      </w:r>
    </w:p>
    <w:p w14:paraId="5572125C">
      <w:pPr>
        <w:keepNext w:val="0"/>
        <w:keepLines w:val="0"/>
        <w:pageBreakBefore w:val="0"/>
        <w:widowControl/>
        <w:kinsoku/>
        <w:wordWrap/>
        <w:overflowPunct/>
        <w:topLinePunct w:val="0"/>
        <w:autoSpaceDE/>
        <w:autoSpaceDN/>
        <w:bidi w:val="0"/>
        <w:adjustRightInd w:val="0"/>
        <w:snapToGrid w:val="0"/>
        <w:spacing w:line="360" w:lineRule="auto"/>
        <w:ind w:left="718" w:leftChars="342"/>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 xml:space="preserve">15990878558 </w:t>
      </w:r>
    </w:p>
    <w:p w14:paraId="5EFB811A">
      <w:pPr>
        <w:rPr>
          <w:rFonts w:hint="eastAsia" w:ascii="仿宋" w:hAnsi="仿宋" w:eastAsia="仿宋" w:cs="仿宋"/>
          <w:color w:val="auto"/>
        </w:rPr>
      </w:pPr>
      <w:r>
        <w:rPr>
          <w:rFonts w:hint="eastAsia" w:ascii="仿宋" w:hAnsi="仿宋" w:eastAsia="仿宋" w:cs="仿宋"/>
          <w:color w:val="auto"/>
        </w:rPr>
        <w:t xml:space="preserve">  </w:t>
      </w:r>
    </w:p>
    <w:p w14:paraId="751945AB">
      <w:pPr>
        <w:keepNext w:val="0"/>
        <w:keepLines w:val="0"/>
        <w:pageBreakBefore w:val="0"/>
        <w:widowControl/>
        <w:numPr>
          <w:ilvl w:val="0"/>
          <w:numId w:val="3"/>
        </w:numPr>
        <w:kinsoku/>
        <w:wordWrap/>
        <w:overflowPunct/>
        <w:topLinePunct w:val="0"/>
        <w:autoSpaceDE/>
        <w:autoSpaceDN/>
        <w:bidi w:val="0"/>
        <w:adjustRightInd w:val="0"/>
        <w:snapToGrid w:val="0"/>
        <w:spacing w:line="360" w:lineRule="auto"/>
        <w:ind w:firstLine="44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同级政府采购监督管理部门</w:t>
      </w:r>
    </w:p>
    <w:p w14:paraId="2ABEF477">
      <w:pPr>
        <w:keepNext w:val="0"/>
        <w:keepLines w:val="0"/>
        <w:pageBreakBefore w:val="0"/>
        <w:widowControl/>
        <w:kinsoku/>
        <w:wordWrap/>
        <w:overflowPunct/>
        <w:topLinePunct w:val="0"/>
        <w:autoSpaceDE/>
        <w:autoSpaceDN/>
        <w:bidi w:val="0"/>
        <w:adjustRightInd w:val="0"/>
        <w:snapToGrid w:val="0"/>
        <w:spacing w:line="360" w:lineRule="auto"/>
        <w:ind w:left="420" w:firstLine="42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称：遂昌县财政局</w:t>
      </w:r>
    </w:p>
    <w:p w14:paraId="7F6AB7B5">
      <w:pPr>
        <w:keepNext w:val="0"/>
        <w:keepLines w:val="0"/>
        <w:pageBreakBefore w:val="0"/>
        <w:widowControl/>
        <w:kinsoku/>
        <w:wordWrap/>
        <w:overflowPunct/>
        <w:topLinePunct w:val="0"/>
        <w:autoSpaceDE/>
        <w:autoSpaceDN/>
        <w:bidi w:val="0"/>
        <w:adjustRightInd w:val="0"/>
        <w:snapToGrid w:val="0"/>
        <w:spacing w:line="360" w:lineRule="auto"/>
        <w:ind w:left="420" w:firstLine="42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遂昌县妙高街道南街66号</w:t>
      </w:r>
    </w:p>
    <w:p w14:paraId="57512214">
      <w:pPr>
        <w:keepNext w:val="0"/>
        <w:keepLines w:val="0"/>
        <w:pageBreakBefore w:val="0"/>
        <w:widowControl/>
        <w:kinsoku/>
        <w:wordWrap/>
        <w:overflowPunct/>
        <w:topLinePunct w:val="0"/>
        <w:autoSpaceDE/>
        <w:autoSpaceDN/>
        <w:bidi w:val="0"/>
        <w:adjustRightInd w:val="0"/>
        <w:snapToGrid w:val="0"/>
        <w:spacing w:line="360" w:lineRule="auto"/>
        <w:ind w:left="420" w:firstLine="42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传真：0578-8121718</w:t>
      </w:r>
    </w:p>
    <w:p w14:paraId="1A79442C">
      <w:pPr>
        <w:keepNext w:val="0"/>
        <w:keepLines w:val="0"/>
        <w:pageBreakBefore w:val="0"/>
        <w:widowControl/>
        <w:kinsoku/>
        <w:wordWrap/>
        <w:overflowPunct/>
        <w:topLinePunct w:val="0"/>
        <w:autoSpaceDE/>
        <w:autoSpaceDN/>
        <w:bidi w:val="0"/>
        <w:adjustRightInd w:val="0"/>
        <w:snapToGrid w:val="0"/>
        <w:spacing w:line="360" w:lineRule="auto"/>
        <w:ind w:left="420" w:firstLine="42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联系人：李先生           </w:t>
      </w:r>
    </w:p>
    <w:p w14:paraId="45C0AAC4">
      <w:pPr>
        <w:keepNext w:val="0"/>
        <w:keepLines w:val="0"/>
        <w:pageBreakBefore w:val="0"/>
        <w:widowControl/>
        <w:kinsoku/>
        <w:wordWrap/>
        <w:overflowPunct/>
        <w:topLinePunct w:val="0"/>
        <w:autoSpaceDE/>
        <w:autoSpaceDN/>
        <w:bidi w:val="0"/>
        <w:adjustRightInd w:val="0"/>
        <w:snapToGrid w:val="0"/>
        <w:spacing w:line="360" w:lineRule="auto"/>
        <w:ind w:left="420" w:firstLine="420"/>
        <w:jc w:val="left"/>
        <w:textAlignment w:val="auto"/>
        <w:rPr>
          <w:rFonts w:hint="eastAsia" w:ascii="仿宋" w:hAnsi="仿宋" w:eastAsia="仿宋" w:cs="仿宋"/>
          <w:bCs/>
          <w:color w:val="auto"/>
          <w:sz w:val="24"/>
          <w:highlight w:val="none"/>
        </w:rPr>
      </w:pPr>
      <w:r>
        <w:rPr>
          <w:rFonts w:hint="eastAsia" w:ascii="仿宋" w:hAnsi="仿宋" w:eastAsia="仿宋" w:cs="仿宋"/>
          <w:color w:val="auto"/>
          <w:sz w:val="24"/>
          <w:highlight w:val="none"/>
        </w:rPr>
        <w:t xml:space="preserve">监督投诉电话：0578-8121718 </w:t>
      </w:r>
      <w:r>
        <w:rPr>
          <w:rFonts w:hint="eastAsia" w:ascii="仿宋" w:hAnsi="仿宋" w:eastAsia="仿宋" w:cs="仿宋"/>
          <w:bCs/>
          <w:color w:val="auto"/>
          <w:sz w:val="24"/>
          <w:highlight w:val="none"/>
        </w:rPr>
        <w:t xml:space="preserve">   </w:t>
      </w:r>
    </w:p>
    <w:p w14:paraId="3C512DB7">
      <w:pPr>
        <w:rPr>
          <w:rFonts w:hint="eastAsia" w:ascii="仿宋" w:hAnsi="仿宋" w:eastAsia="仿宋" w:cs="仿宋"/>
          <w:color w:val="auto"/>
        </w:rPr>
      </w:pPr>
    </w:p>
    <w:p w14:paraId="7F6B3C3C">
      <w:pPr>
        <w:widowControl/>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若对项目采购电子交易系统操作有疑问，可登录政采云（https://www.zcygov.cn/），点击右侧咨询小采，获取采小蜜智能服务管家帮助，或拨打政采云服务热95763获取热线服务帮助。</w:t>
      </w:r>
    </w:p>
    <w:p w14:paraId="2447AD9B">
      <w:pPr>
        <w:widowControl/>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04684881">
      <w:pPr>
        <w:pStyle w:val="3"/>
        <w:rPr>
          <w:rFonts w:hint="eastAsia" w:ascii="仿宋" w:hAnsi="仿宋" w:eastAsia="仿宋" w:cs="仿宋"/>
          <w:color w:val="auto"/>
        </w:rPr>
      </w:pPr>
    </w:p>
    <w:p w14:paraId="2AD667ED">
      <w:pPr>
        <w:pStyle w:val="2"/>
        <w:rPr>
          <w:rFonts w:hint="eastAsia" w:ascii="仿宋" w:hAnsi="仿宋" w:eastAsia="仿宋" w:cs="仿宋"/>
          <w:color w:val="auto"/>
        </w:rPr>
      </w:pPr>
    </w:p>
    <w:p w14:paraId="0C1773F0">
      <w:pPr>
        <w:rPr>
          <w:rFonts w:hint="eastAsia" w:ascii="仿宋" w:hAnsi="仿宋" w:eastAsia="仿宋" w:cs="仿宋"/>
          <w:color w:val="auto"/>
        </w:rPr>
      </w:pPr>
    </w:p>
    <w:p w14:paraId="77366FD6">
      <w:pPr>
        <w:pStyle w:val="2"/>
        <w:rPr>
          <w:rFonts w:hint="eastAsia" w:ascii="仿宋" w:hAnsi="仿宋" w:eastAsia="仿宋" w:cs="仿宋"/>
          <w:color w:val="auto"/>
        </w:rPr>
      </w:pPr>
    </w:p>
    <w:p w14:paraId="5558024C">
      <w:pPr>
        <w:rPr>
          <w:rFonts w:hint="eastAsia" w:ascii="仿宋" w:hAnsi="仿宋" w:eastAsia="仿宋" w:cs="仿宋"/>
          <w:color w:val="auto"/>
        </w:rPr>
      </w:pPr>
    </w:p>
    <w:p w14:paraId="00B8B4B8">
      <w:pPr>
        <w:pStyle w:val="17"/>
        <w:rPr>
          <w:rFonts w:hint="eastAsia" w:ascii="仿宋" w:hAnsi="仿宋" w:eastAsia="仿宋" w:cs="仿宋"/>
          <w:color w:val="auto"/>
        </w:rPr>
      </w:pPr>
    </w:p>
    <w:p w14:paraId="6D841BD3">
      <w:pPr>
        <w:wordWrap w:val="0"/>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 投标人须知</w:t>
      </w:r>
    </w:p>
    <w:p w14:paraId="042C3E15">
      <w:pPr>
        <w:pStyle w:val="9"/>
        <w:keepNext/>
        <w:keepLines/>
        <w:pageBreakBefore w:val="0"/>
        <w:widowControl w:val="0"/>
        <w:kinsoku/>
        <w:wordWrap/>
        <w:overflowPunct/>
        <w:topLinePunct w:val="0"/>
        <w:autoSpaceDE/>
        <w:autoSpaceDN/>
        <w:bidi w:val="0"/>
        <w:adjustRightInd/>
        <w:snapToGrid/>
        <w:spacing w:before="120" w:after="120" w:line="360" w:lineRule="auto"/>
        <w:ind w:firstLine="0" w:firstLineChars="0"/>
        <w:jc w:val="center"/>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前附表</w:t>
      </w:r>
    </w:p>
    <w:tbl>
      <w:tblPr>
        <w:tblStyle w:val="20"/>
        <w:tblW w:w="96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95"/>
        <w:gridCol w:w="2278"/>
        <w:gridCol w:w="6705"/>
      </w:tblGrid>
      <w:tr w14:paraId="2CACE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04" w:hRule="atLeast"/>
          <w:tblHeader/>
          <w:jc w:val="center"/>
        </w:trPr>
        <w:tc>
          <w:tcPr>
            <w:tcW w:w="695" w:type="dxa"/>
            <w:vAlign w:val="center"/>
          </w:tcPr>
          <w:p w14:paraId="717D6DC3">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278" w:type="dxa"/>
            <w:vAlign w:val="center"/>
          </w:tcPr>
          <w:p w14:paraId="16D59268">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事项</w:t>
            </w:r>
          </w:p>
        </w:tc>
        <w:tc>
          <w:tcPr>
            <w:tcW w:w="6705" w:type="dxa"/>
            <w:vAlign w:val="center"/>
          </w:tcPr>
          <w:p w14:paraId="2CC536EE">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本项目的特别规定</w:t>
            </w:r>
          </w:p>
        </w:tc>
      </w:tr>
      <w:tr w14:paraId="69503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6" w:hRule="atLeast"/>
          <w:tblHeader/>
          <w:jc w:val="center"/>
        </w:trPr>
        <w:tc>
          <w:tcPr>
            <w:tcW w:w="695" w:type="dxa"/>
            <w:vAlign w:val="center"/>
          </w:tcPr>
          <w:p w14:paraId="3FA95120">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278" w:type="dxa"/>
            <w:vAlign w:val="center"/>
          </w:tcPr>
          <w:p w14:paraId="59538CE0">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项目属性</w:t>
            </w:r>
          </w:p>
        </w:tc>
        <w:tc>
          <w:tcPr>
            <w:tcW w:w="6705" w:type="dxa"/>
            <w:vAlign w:val="center"/>
          </w:tcPr>
          <w:p w14:paraId="450468FB">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服务类。</w:t>
            </w:r>
          </w:p>
        </w:tc>
      </w:tr>
      <w:tr w14:paraId="42DCC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45" w:hRule="atLeast"/>
          <w:tblHeader/>
          <w:jc w:val="center"/>
        </w:trPr>
        <w:tc>
          <w:tcPr>
            <w:tcW w:w="695" w:type="dxa"/>
            <w:vAlign w:val="center"/>
          </w:tcPr>
          <w:p w14:paraId="6A9DF3C3">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278" w:type="dxa"/>
            <w:vAlign w:val="center"/>
          </w:tcPr>
          <w:p w14:paraId="3B411726">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采购标的及其对应的中小企业划分标准所属行业</w:t>
            </w:r>
          </w:p>
        </w:tc>
        <w:tc>
          <w:tcPr>
            <w:tcW w:w="6705" w:type="dxa"/>
            <w:vAlign w:val="center"/>
          </w:tcPr>
          <w:p w14:paraId="081F1098">
            <w:pPr>
              <w:numPr>
                <w:ilvl w:val="0"/>
                <w:numId w:val="4"/>
              </w:numPr>
              <w:spacing w:line="240" w:lineRule="auto"/>
              <w:ind w:left="283" w:leftChars="0" w:hanging="283"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本项目</w:t>
            </w:r>
            <w:r>
              <w:rPr>
                <w:rFonts w:hint="eastAsia" w:ascii="仿宋" w:hAnsi="仿宋" w:eastAsia="仿宋" w:cs="仿宋"/>
                <w:b/>
                <w:bCs/>
                <w:color w:val="auto"/>
                <w:sz w:val="24"/>
                <w:szCs w:val="24"/>
                <w:highlight w:val="none"/>
                <w:u w:val="single"/>
                <w:lang w:val="en-US" w:eastAsia="zh-CN"/>
              </w:rPr>
              <w:t>非</w:t>
            </w:r>
            <w:r>
              <w:rPr>
                <w:rFonts w:hint="eastAsia" w:ascii="仿宋" w:hAnsi="仿宋" w:eastAsia="仿宋" w:cs="仿宋"/>
                <w:color w:val="auto"/>
                <w:sz w:val="24"/>
                <w:szCs w:val="24"/>
                <w:highlight w:val="none"/>
              </w:rPr>
              <w:t>专门面向中小企业的项目</w:t>
            </w:r>
            <w:r>
              <w:rPr>
                <w:rFonts w:hint="eastAsia" w:ascii="仿宋" w:hAnsi="仿宋" w:eastAsia="仿宋" w:cs="仿宋"/>
                <w:color w:val="auto"/>
                <w:sz w:val="24"/>
                <w:szCs w:val="24"/>
                <w:highlight w:val="none"/>
                <w:lang w:eastAsia="zh-CN"/>
              </w:rPr>
              <w:t>；</w:t>
            </w:r>
          </w:p>
          <w:p w14:paraId="75657F15">
            <w:pPr>
              <w:numPr>
                <w:ilvl w:val="0"/>
                <w:numId w:val="4"/>
              </w:numPr>
              <w:spacing w:line="240" w:lineRule="auto"/>
              <w:ind w:left="283" w:leftChars="0" w:hanging="283" w:firstLineChars="0"/>
              <w:rPr>
                <w:rFonts w:hint="eastAsia" w:ascii="仿宋" w:hAnsi="仿宋" w:eastAsia="仿宋" w:cs="仿宋"/>
                <w:color w:val="auto"/>
                <w:sz w:val="24"/>
                <w:szCs w:val="24"/>
                <w:highlight w:val="none"/>
                <w:lang w:val="en-US"/>
              </w:rPr>
            </w:pPr>
            <w:r>
              <w:rPr>
                <w:rFonts w:hint="eastAsia" w:ascii="仿宋" w:hAnsi="仿宋" w:eastAsia="仿宋" w:cs="仿宋"/>
                <w:bCs/>
                <w:snapToGrid w:val="0"/>
                <w:color w:val="auto"/>
                <w:sz w:val="24"/>
                <w:szCs w:val="24"/>
                <w:highlight w:val="none"/>
              </w:rPr>
              <w:t>对小型和微型企业报价给予</w:t>
            </w:r>
            <w:r>
              <w:rPr>
                <w:rFonts w:hint="eastAsia" w:ascii="仿宋" w:hAnsi="仿宋" w:eastAsia="仿宋" w:cs="仿宋"/>
                <w:b/>
                <w:bCs w:val="0"/>
                <w:snapToGrid w:val="0"/>
                <w:color w:val="auto"/>
                <w:sz w:val="24"/>
                <w:szCs w:val="24"/>
                <w:highlight w:val="none"/>
                <w:u w:val="single"/>
                <w:lang w:val="en-US" w:eastAsia="zh-CN"/>
              </w:rPr>
              <w:t>1</w:t>
            </w:r>
            <w:r>
              <w:rPr>
                <w:rFonts w:hint="eastAsia" w:ascii="仿宋" w:hAnsi="仿宋" w:eastAsia="仿宋" w:cs="仿宋"/>
                <w:b/>
                <w:bCs w:val="0"/>
                <w:snapToGrid w:val="0"/>
                <w:color w:val="auto"/>
                <w:sz w:val="24"/>
                <w:szCs w:val="24"/>
                <w:highlight w:val="none"/>
                <w:u w:val="single"/>
              </w:rPr>
              <w:t>0%</w:t>
            </w:r>
            <w:r>
              <w:rPr>
                <w:rFonts w:hint="eastAsia" w:ascii="仿宋" w:hAnsi="仿宋" w:eastAsia="仿宋" w:cs="仿宋"/>
                <w:bCs/>
                <w:snapToGrid w:val="0"/>
                <w:color w:val="auto"/>
                <w:sz w:val="24"/>
                <w:szCs w:val="24"/>
                <w:highlight w:val="none"/>
              </w:rPr>
              <w:t>的扣除，用扣除后的价格参加评审</w:t>
            </w:r>
            <w:r>
              <w:rPr>
                <w:rFonts w:hint="eastAsia" w:ascii="仿宋" w:hAnsi="仿宋" w:eastAsia="仿宋" w:cs="仿宋"/>
                <w:bCs/>
                <w:snapToGrid w:val="0"/>
                <w:color w:val="auto"/>
                <w:sz w:val="24"/>
                <w:szCs w:val="24"/>
                <w:highlight w:val="none"/>
                <w:lang w:eastAsia="zh-CN"/>
              </w:rPr>
              <w:t>；</w:t>
            </w:r>
          </w:p>
          <w:p w14:paraId="1C0092CE">
            <w:pPr>
              <w:numPr>
                <w:ilvl w:val="0"/>
                <w:numId w:val="4"/>
              </w:numPr>
              <w:spacing w:line="240" w:lineRule="auto"/>
              <w:ind w:left="283" w:leftChars="0" w:hanging="283" w:firstLineChars="0"/>
              <w:rPr>
                <w:rFonts w:hint="eastAsia" w:ascii="仿宋" w:hAnsi="仿宋" w:eastAsia="仿宋" w:cs="仿宋"/>
                <w:color w:val="auto"/>
                <w:sz w:val="24"/>
                <w:szCs w:val="24"/>
                <w:highlight w:val="none"/>
                <w:lang w:val="en-US"/>
              </w:rPr>
            </w:pPr>
            <w:r>
              <w:rPr>
                <w:rFonts w:hint="eastAsia" w:ascii="仿宋" w:hAnsi="仿宋" w:eastAsia="仿宋" w:cs="仿宋"/>
                <w:bCs/>
                <w:snapToGrid w:val="0"/>
                <w:color w:val="auto"/>
                <w:sz w:val="24"/>
                <w:szCs w:val="24"/>
                <w:highlight w:val="none"/>
              </w:rPr>
              <w:t>本项目对应的中小企业划分标准所属行业：</w:t>
            </w:r>
            <w:r>
              <w:rPr>
                <w:rFonts w:hint="eastAsia" w:ascii="仿宋" w:hAnsi="仿宋" w:eastAsia="仿宋" w:cs="仿宋"/>
                <w:b/>
                <w:bCs w:val="0"/>
                <w:snapToGrid w:val="0"/>
                <w:color w:val="auto"/>
                <w:sz w:val="24"/>
                <w:szCs w:val="24"/>
                <w:highlight w:val="none"/>
                <w:u w:val="single"/>
                <w:lang w:val="en-US" w:eastAsia="zh-CN"/>
              </w:rPr>
              <w:t>其他未列明行业</w:t>
            </w:r>
          </w:p>
          <w:p w14:paraId="3EF5342D">
            <w:pPr>
              <w:numPr>
                <w:ilvl w:val="0"/>
                <w:numId w:val="0"/>
              </w:numPr>
              <w:spacing w:line="240" w:lineRule="auto"/>
              <w:ind w:leftChars="0"/>
              <w:rPr>
                <w:rFonts w:hint="eastAsia" w:ascii="仿宋" w:hAnsi="仿宋" w:eastAsia="仿宋" w:cs="仿宋"/>
                <w:color w:val="auto"/>
                <w:lang w:val="en-US"/>
              </w:rPr>
            </w:pPr>
            <w:r>
              <w:rPr>
                <w:rFonts w:hint="eastAsia" w:ascii="仿宋" w:hAnsi="仿宋" w:eastAsia="仿宋" w:cs="仿宋"/>
                <w:color w:val="auto"/>
                <w:sz w:val="24"/>
                <w:szCs w:val="24"/>
                <w:highlight w:val="none"/>
                <w:lang w:val="en-US"/>
              </w:rPr>
              <w:t>中小企业划型标准</w:t>
            </w:r>
            <w:r>
              <w:rPr>
                <w:rFonts w:hint="eastAsia" w:ascii="仿宋" w:hAnsi="仿宋" w:eastAsia="仿宋" w:cs="仿宋"/>
                <w:b/>
                <w:bCs/>
                <w:color w:val="auto"/>
                <w:kern w:val="0"/>
                <w:sz w:val="24"/>
                <w:highlight w:val="none"/>
              </w:rPr>
              <w:t>：</w:t>
            </w:r>
            <w:r>
              <w:rPr>
                <w:rFonts w:hint="eastAsia" w:ascii="仿宋" w:hAnsi="仿宋" w:eastAsia="仿宋" w:cs="仿宋"/>
                <w:color w:val="auto"/>
                <w:sz w:val="24"/>
                <w:szCs w:val="24"/>
                <w:highlight w:val="none"/>
                <w:lang w:val="en-US"/>
              </w:rPr>
              <w:t>从业人员300人以下的为中小微型企业。其中，从业人员100人及以上的为中型企业；从业人员10人及以上的为小型企业；从业人员10人以下的为微型企业。</w:t>
            </w:r>
          </w:p>
        </w:tc>
      </w:tr>
      <w:tr w14:paraId="578EC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8" w:hRule="atLeast"/>
          <w:tblHeader/>
          <w:jc w:val="center"/>
        </w:trPr>
        <w:tc>
          <w:tcPr>
            <w:tcW w:w="695" w:type="dxa"/>
            <w:vAlign w:val="center"/>
          </w:tcPr>
          <w:p w14:paraId="4205BB52">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278" w:type="dxa"/>
            <w:vAlign w:val="center"/>
          </w:tcPr>
          <w:p w14:paraId="242D341B">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是否允许采购进口产品</w:t>
            </w:r>
            <w:r>
              <w:rPr>
                <w:rFonts w:hint="eastAsia" w:ascii="仿宋" w:hAnsi="仿宋" w:eastAsia="仿宋" w:cs="仿宋"/>
                <w:b/>
                <w:color w:val="auto"/>
                <w:sz w:val="24"/>
                <w:highlight w:val="none"/>
              </w:rPr>
              <w:t>（服务项目不适用）</w:t>
            </w:r>
          </w:p>
        </w:tc>
        <w:tc>
          <w:tcPr>
            <w:tcW w:w="6705" w:type="dxa"/>
            <w:vAlign w:val="center"/>
          </w:tcPr>
          <w:p w14:paraId="236F866F">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828425707"/>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rPr>
              <w:t>本项目不允许采购进口产品。</w:t>
            </w:r>
          </w:p>
          <w:p w14:paraId="0055B7E1">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52852824"/>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rPr>
              <w:t>可以就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采购进口产品。</w:t>
            </w:r>
          </w:p>
        </w:tc>
      </w:tr>
      <w:tr w14:paraId="097E3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75" w:hRule="atLeast"/>
          <w:tblHeader/>
          <w:jc w:val="center"/>
        </w:trPr>
        <w:tc>
          <w:tcPr>
            <w:tcW w:w="695" w:type="dxa"/>
            <w:vAlign w:val="center"/>
          </w:tcPr>
          <w:p w14:paraId="2C6974B6">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278" w:type="dxa"/>
            <w:vAlign w:val="center"/>
          </w:tcPr>
          <w:p w14:paraId="59102CCA">
            <w:pPr>
              <w:pageBreakBefore w:val="0"/>
              <w:widowControl w:val="0"/>
              <w:kinsoku/>
              <w:wordWrap/>
              <w:overflowPunct/>
              <w:topLinePunct w:val="0"/>
              <w:autoSpaceDE/>
              <w:autoSpaceDN/>
              <w:bidi w:val="0"/>
              <w:snapToGrid w:val="0"/>
              <w:spacing w:line="240" w:lineRule="auto"/>
              <w:ind w:firstLine="482" w:firstLineChars="20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分包</w:t>
            </w:r>
          </w:p>
        </w:tc>
        <w:tc>
          <w:tcPr>
            <w:tcW w:w="6705" w:type="dxa"/>
            <w:vAlign w:val="center"/>
          </w:tcPr>
          <w:p w14:paraId="4E0199A9">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477286927"/>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szCs w:val="24"/>
                <w:highlight w:val="none"/>
              </w:rPr>
              <w:t>同意将非主体、非关键性的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工作分包。</w:t>
            </w:r>
          </w:p>
          <w:p w14:paraId="01564F3B">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47459054"/>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szCs w:val="24"/>
                <w:highlight w:val="none"/>
              </w:rPr>
              <w:t>不同意分包。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理由：为保障项目整体性、一致性</w:t>
            </w:r>
            <w:r>
              <w:rPr>
                <w:rFonts w:hint="eastAsia" w:ascii="仿宋" w:hAnsi="仿宋" w:eastAsia="仿宋" w:cs="仿宋"/>
                <w:color w:val="auto"/>
                <w:sz w:val="24"/>
                <w:szCs w:val="24"/>
                <w:highlight w:val="none"/>
                <w:lang w:eastAsia="zh-CN"/>
              </w:rPr>
              <w:t>）</w:t>
            </w:r>
          </w:p>
        </w:tc>
      </w:tr>
      <w:tr w14:paraId="215E1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95" w:type="dxa"/>
            <w:vAlign w:val="center"/>
          </w:tcPr>
          <w:p w14:paraId="3D6FB638">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2278" w:type="dxa"/>
            <w:vAlign w:val="center"/>
          </w:tcPr>
          <w:p w14:paraId="19CFDB76">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tc>
        <w:tc>
          <w:tcPr>
            <w:tcW w:w="6705" w:type="dxa"/>
            <w:vAlign w:val="center"/>
          </w:tcPr>
          <w:p w14:paraId="789E7851">
            <w:pPr>
              <w:keepNext w:val="0"/>
              <w:keepLines w:val="0"/>
              <w:suppressLineNumbers w:val="0"/>
              <w:wordWrap w:val="0"/>
              <w:spacing w:before="0" w:beforeAutospacing="0" w:after="0" w:afterAutospacing="0" w:line="240" w:lineRule="auto"/>
              <w:ind w:left="0" w:right="0"/>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212966419"/>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r>
              <w:rPr>
                <w:rFonts w:hint="eastAsia" w:ascii="仿宋" w:hAnsi="仿宋" w:eastAsia="仿宋" w:cs="仿宋"/>
                <w:color w:val="auto"/>
                <w:sz w:val="24"/>
                <w:highlight w:val="none"/>
              </w:rPr>
              <w:t>投标截止前，投标人可自行到项目所在地予以踏勘，对项目实施现场及周边环境等进行勘察，以获取编制投标文件和签署合同所需的所有资料。无论投标人是否踏勘现场，均被视作对项目现场的了解已完全满足本采购项目投标报价的需要。有关踏勘现场需要发生的一切费用由投标人自理，投标人自行负责在踏勘现场中所发生的任何风险责任和财产损失。</w:t>
            </w:r>
          </w:p>
          <w:p w14:paraId="42450347">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999802974"/>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B组织，</w:t>
            </w: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tc>
      </w:tr>
      <w:tr w14:paraId="09A1C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96" w:hRule="atLeast"/>
          <w:tblHeader/>
          <w:jc w:val="center"/>
        </w:trPr>
        <w:tc>
          <w:tcPr>
            <w:tcW w:w="695" w:type="dxa"/>
            <w:vAlign w:val="center"/>
          </w:tcPr>
          <w:p w14:paraId="030FC233">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2278" w:type="dxa"/>
            <w:vAlign w:val="center"/>
          </w:tcPr>
          <w:p w14:paraId="48940B3E">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样品提供</w:t>
            </w:r>
          </w:p>
        </w:tc>
        <w:tc>
          <w:tcPr>
            <w:tcW w:w="6705" w:type="dxa"/>
            <w:vAlign w:val="center"/>
          </w:tcPr>
          <w:p w14:paraId="133E1FC3">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639946486"/>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不要求提供。</w:t>
            </w:r>
          </w:p>
          <w:p w14:paraId="13F51C86">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B要求提供，</w:t>
            </w:r>
          </w:p>
          <w:p w14:paraId="561A125A">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snapToGrid w:val="0"/>
                <w:color w:val="auto"/>
                <w:kern w:val="28"/>
                <w:sz w:val="24"/>
                <w:szCs w:val="24"/>
                <w:highlight w:val="none"/>
              </w:rPr>
              <w:t>样品：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03CAB70C">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snapToGrid w:val="0"/>
                <w:color w:val="auto"/>
                <w:kern w:val="28"/>
                <w:sz w:val="24"/>
                <w:szCs w:val="24"/>
                <w:highlight w:val="none"/>
              </w:rPr>
              <w:t>样品制作的标准和要求：</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48E33D79">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（3）样品的评审方法以及评审标准</w:t>
            </w:r>
            <w:r>
              <w:rPr>
                <w:rFonts w:hint="eastAsia" w:ascii="仿宋" w:hAnsi="仿宋" w:eastAsia="仿宋" w:cs="仿宋"/>
                <w:snapToGrid w:val="0"/>
                <w:color w:val="auto"/>
                <w:kern w:val="28"/>
                <w:sz w:val="24"/>
                <w:szCs w:val="24"/>
                <w:highlight w:val="none"/>
              </w:rPr>
              <w:t>：详见</w:t>
            </w:r>
            <w:r>
              <w:rPr>
                <w:rFonts w:hint="eastAsia" w:ascii="仿宋" w:hAnsi="仿宋" w:eastAsia="仿宋" w:cs="仿宋"/>
                <w:color w:val="auto"/>
                <w:sz w:val="24"/>
                <w:szCs w:val="24"/>
                <w:highlight w:val="none"/>
                <w:u w:val="single"/>
              </w:rPr>
              <w:t>评标办法</w:t>
            </w:r>
            <w:r>
              <w:rPr>
                <w:rFonts w:hint="eastAsia" w:ascii="仿宋" w:hAnsi="仿宋" w:eastAsia="仿宋" w:cs="仿宋"/>
                <w:color w:val="auto"/>
                <w:kern w:val="0"/>
                <w:sz w:val="24"/>
                <w:szCs w:val="24"/>
                <w:highlight w:val="none"/>
              </w:rPr>
              <w:t>；</w:t>
            </w:r>
          </w:p>
          <w:p w14:paraId="0AF2BF1F">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（4）是否需要随样品提交检测报告：</w:t>
            </w:r>
            <w:sdt>
              <w:sdtPr>
                <w:rPr>
                  <w:rFonts w:hint="eastAsia" w:ascii="仿宋" w:hAnsi="仿宋" w:eastAsia="仿宋" w:cs="仿宋"/>
                  <w:color w:val="auto"/>
                  <w:kern w:val="0"/>
                  <w:sz w:val="24"/>
                  <w:szCs w:val="24"/>
                  <w:highlight w:val="none"/>
                </w:rPr>
                <w:id w:val="1303421454"/>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否；</w:t>
            </w:r>
            <w:sdt>
              <w:sdtPr>
                <w:rPr>
                  <w:rFonts w:hint="eastAsia" w:ascii="仿宋" w:hAnsi="仿宋" w:eastAsia="仿宋" w:cs="仿宋"/>
                  <w:color w:val="auto"/>
                  <w:kern w:val="0"/>
                  <w:sz w:val="24"/>
                  <w:szCs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是，检测机构的要求</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；检测内容</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6D2A15B1">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（5）提供样品的时间：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；联系人</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kern w:val="28"/>
                <w:sz w:val="24"/>
                <w:szCs w:val="24"/>
                <w:highlight w:val="none"/>
              </w:rPr>
              <w:t>联系电话：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。请投标人在上述时间内提供样品并按规定位置安装完毕。超过截止时间的，采购人或采购代理机构将不予接收，并将清场并封闭样品现场。</w:t>
            </w:r>
          </w:p>
          <w:p w14:paraId="04A058B5">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(6)采购活动结束后，对于未中标人提供的样品，采购人、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将通知未中标人在规定的时间内取回，逾期未取回的，采购人、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不负保管义务；对于中标人提供的样品，采购人将进行保管、封存，并作为履约验收的参考。</w:t>
            </w:r>
          </w:p>
          <w:p w14:paraId="0EC82430">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（7）制作、运输、安装和保管样品所发生的一切费用由投标人自理。</w:t>
            </w:r>
          </w:p>
        </w:tc>
      </w:tr>
      <w:tr w14:paraId="1B2AB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28" w:hRule="atLeast"/>
          <w:tblHeader/>
          <w:jc w:val="center"/>
        </w:trPr>
        <w:tc>
          <w:tcPr>
            <w:tcW w:w="695" w:type="dxa"/>
            <w:vAlign w:val="center"/>
          </w:tcPr>
          <w:p w14:paraId="419788D1">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2278" w:type="dxa"/>
            <w:vAlign w:val="center"/>
          </w:tcPr>
          <w:p w14:paraId="3B3602F3">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方案讲解演示</w:t>
            </w:r>
          </w:p>
        </w:tc>
        <w:tc>
          <w:tcPr>
            <w:tcW w:w="6705" w:type="dxa"/>
            <w:vAlign w:val="center"/>
          </w:tcPr>
          <w:p w14:paraId="327D7E70">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859348549"/>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p>
          <w:p w14:paraId="5E1E8ED0">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B组织。</w:t>
            </w:r>
          </w:p>
          <w:p w14:paraId="7C4F8430">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（1）在评标时安排每个投标人进行方案讲解演示。每个投标人时间不超过</w:t>
            </w:r>
            <w:r>
              <w:rPr>
                <w:rFonts w:hint="eastAsia" w:ascii="仿宋" w:hAnsi="仿宋" w:eastAsia="仿宋" w:cs="仿宋"/>
                <w:color w:val="auto"/>
                <w:kern w:val="0"/>
                <w:sz w:val="24"/>
                <w:szCs w:val="24"/>
                <w:highlight w:val="none"/>
                <w:u w:val="single"/>
                <w:lang w:val="en-US" w:eastAsia="zh-CN"/>
              </w:rPr>
              <w:t xml:space="preserve"> / </w:t>
            </w:r>
            <w:r>
              <w:rPr>
                <w:rFonts w:hint="eastAsia" w:ascii="仿宋" w:hAnsi="仿宋" w:eastAsia="仿宋" w:cs="仿宋"/>
                <w:color w:val="auto"/>
                <w:kern w:val="0"/>
                <w:sz w:val="24"/>
                <w:szCs w:val="24"/>
                <w:highlight w:val="none"/>
              </w:rPr>
              <w:t>分钟，讲解次序以投标文件解密时间先后次序为准，讲解演示人员不超过</w:t>
            </w:r>
            <w:r>
              <w:rPr>
                <w:rFonts w:hint="eastAsia" w:ascii="仿宋" w:hAnsi="仿宋" w:eastAsia="仿宋" w:cs="仿宋"/>
                <w:color w:val="auto"/>
                <w:kern w:val="0"/>
                <w:sz w:val="24"/>
                <w:szCs w:val="24"/>
                <w:highlight w:val="none"/>
                <w:u w:val="single"/>
                <w:lang w:val="en-US" w:eastAsia="zh-CN"/>
              </w:rPr>
              <w:t xml:space="preserve"> / </w:t>
            </w:r>
            <w:r>
              <w:rPr>
                <w:rFonts w:hint="eastAsia" w:ascii="仿宋" w:hAnsi="仿宋" w:eastAsia="仿宋" w:cs="仿宋"/>
                <w:color w:val="auto"/>
                <w:kern w:val="0"/>
                <w:sz w:val="24"/>
                <w:szCs w:val="24"/>
                <w:highlight w:val="none"/>
              </w:rPr>
              <w:t>人。讲解演示结束后按要求解答评标委员会提问。</w:t>
            </w:r>
          </w:p>
          <w:p w14:paraId="0915ECD0">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（2）方案讲解演示可选择以下其中一种方式：</w:t>
            </w:r>
          </w:p>
          <w:p w14:paraId="61BC43BD">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方式一：政采云平台在线讲解演示。政采云平台在线讲解需投标人根据政采云平台操作要求做好准备工作，提前完善软硬件配置环境。</w:t>
            </w:r>
          </w:p>
          <w:p w14:paraId="539FF5DF">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方式二：交易中心现场讲解演示。现场讲解地点为</w:t>
            </w:r>
            <w:r>
              <w:rPr>
                <w:rFonts w:hint="eastAsia" w:ascii="仿宋" w:hAnsi="仿宋" w:eastAsia="仿宋" w:cs="仿宋"/>
                <w:color w:val="auto"/>
                <w:kern w:val="0"/>
                <w:sz w:val="24"/>
                <w:szCs w:val="24"/>
                <w:highlight w:val="none"/>
                <w:u w:val="single"/>
                <w:lang w:val="en-US" w:eastAsia="zh-CN"/>
              </w:rPr>
              <w:t xml:space="preserve"> / </w:t>
            </w:r>
            <w:r>
              <w:rPr>
                <w:rFonts w:hint="eastAsia" w:ascii="仿宋" w:hAnsi="仿宋" w:eastAsia="仿宋" w:cs="仿宋"/>
                <w:color w:val="auto"/>
                <w:kern w:val="0"/>
                <w:sz w:val="24"/>
                <w:szCs w:val="24"/>
                <w:highlight w:val="none"/>
              </w:rPr>
              <w:t>，讲解演示所用电脑等设备由投标人自备。现场讲解演示人员进场时提供讲解人员名单（加盖公章或授权代表签名）及身份证明，否则不得讲解演示。</w:t>
            </w:r>
          </w:p>
          <w:p w14:paraId="1435B02E">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41CE9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94" w:hRule="atLeast"/>
          <w:tblHeader/>
          <w:jc w:val="center"/>
        </w:trPr>
        <w:tc>
          <w:tcPr>
            <w:tcW w:w="695" w:type="dxa"/>
            <w:vAlign w:val="center"/>
          </w:tcPr>
          <w:p w14:paraId="0B69009C">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2278" w:type="dxa"/>
            <w:vAlign w:val="center"/>
          </w:tcPr>
          <w:p w14:paraId="3A0EC2B0">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投标人应当提供的资格文件</w:t>
            </w:r>
          </w:p>
        </w:tc>
        <w:tc>
          <w:tcPr>
            <w:tcW w:w="6705" w:type="dxa"/>
            <w:vAlign w:val="center"/>
          </w:tcPr>
          <w:p w14:paraId="51803FB2">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见招标文件第二部分11.1。</w:t>
            </w:r>
          </w:p>
          <w:p w14:paraId="52D63219">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color w:val="auto"/>
                <w:kern w:val="0"/>
                <w:sz w:val="24"/>
                <w:szCs w:val="24"/>
                <w:highlight w:val="none"/>
                <w:lang w:val="zh-CN"/>
              </w:rPr>
              <w:t>投标人未提供有效的资格证明文件的，视为投标人不具备招标文件中规定的资格要求，投标无效。</w:t>
            </w:r>
          </w:p>
        </w:tc>
      </w:tr>
      <w:tr w14:paraId="72D59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jc w:val="center"/>
        </w:trPr>
        <w:tc>
          <w:tcPr>
            <w:tcW w:w="695" w:type="dxa"/>
            <w:vAlign w:val="center"/>
          </w:tcPr>
          <w:p w14:paraId="22A2EBA6">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2278" w:type="dxa"/>
            <w:vAlign w:val="center"/>
          </w:tcPr>
          <w:p w14:paraId="40C52904">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节能产品、环境标志产品</w:t>
            </w:r>
          </w:p>
        </w:tc>
        <w:tc>
          <w:tcPr>
            <w:tcW w:w="6705" w:type="dxa"/>
            <w:vAlign w:val="center"/>
          </w:tcPr>
          <w:p w14:paraId="3E51B054">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4162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jc w:val="center"/>
        </w:trPr>
        <w:tc>
          <w:tcPr>
            <w:tcW w:w="695" w:type="dxa"/>
            <w:vAlign w:val="center"/>
          </w:tcPr>
          <w:p w14:paraId="2861B9CE">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2278" w:type="dxa"/>
            <w:vAlign w:val="center"/>
          </w:tcPr>
          <w:p w14:paraId="6C3948AC">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报价要求</w:t>
            </w:r>
          </w:p>
        </w:tc>
        <w:tc>
          <w:tcPr>
            <w:tcW w:w="6705" w:type="dxa"/>
            <w:vAlign w:val="center"/>
          </w:tcPr>
          <w:p w14:paraId="3FFE7F77">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lang w:val="zh-CN"/>
              </w:rPr>
              <w:t>有关本项目实施所需的所有费用（含税费）均计入报价。</w:t>
            </w:r>
            <w:r>
              <w:rPr>
                <w:rFonts w:hint="eastAsia" w:ascii="仿宋" w:hAnsi="仿宋" w:eastAsia="仿宋" w:cs="仿宋"/>
                <w:b/>
                <w:bCs/>
                <w:color w:val="auto"/>
                <w:kern w:val="0"/>
                <w:sz w:val="24"/>
                <w:szCs w:val="24"/>
                <w:highlight w:val="none"/>
                <w:lang w:val="zh-CN"/>
              </w:rPr>
              <w:t>投标文件</w:t>
            </w:r>
            <w:r>
              <w:rPr>
                <w:rFonts w:hint="eastAsia" w:ascii="仿宋" w:hAnsi="仿宋" w:eastAsia="仿宋" w:cs="仿宋"/>
                <w:b/>
                <w:bCs/>
                <w:color w:val="auto"/>
                <w:sz w:val="24"/>
                <w:szCs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szCs w:val="24"/>
                <w:highlight w:val="none"/>
                <w:lang w:val="zh-CN"/>
              </w:rPr>
              <w:t>投标文件中价格全部采用人民币报价。招标文件未列明，而投标人认为必需的费用也需列入报价。</w:t>
            </w:r>
            <w:r>
              <w:rPr>
                <w:rFonts w:hint="eastAsia" w:ascii="仿宋" w:hAnsi="仿宋" w:eastAsia="仿宋" w:cs="仿宋"/>
                <w:color w:val="auto"/>
                <w:sz w:val="24"/>
                <w:szCs w:val="24"/>
                <w:highlight w:val="none"/>
              </w:rPr>
              <w:t>总价不为零，</w:t>
            </w:r>
            <w:r>
              <w:rPr>
                <w:rFonts w:hint="eastAsia" w:ascii="仿宋" w:hAnsi="仿宋" w:eastAsia="仿宋" w:cs="仿宋"/>
                <w:color w:val="auto"/>
                <w:sz w:val="24"/>
                <w:szCs w:val="24"/>
                <w:highlight w:val="none"/>
                <w:lang w:val="en-US" w:eastAsia="zh-CN"/>
              </w:rPr>
              <w:t>分项报价</w:t>
            </w:r>
            <w:r>
              <w:rPr>
                <w:rFonts w:hint="eastAsia" w:ascii="仿宋" w:hAnsi="仿宋" w:eastAsia="仿宋" w:cs="仿宋"/>
                <w:color w:val="auto"/>
                <w:sz w:val="24"/>
                <w:szCs w:val="24"/>
                <w:highlight w:val="none"/>
              </w:rPr>
              <w:t>中部分产品、服务单价为零的，视作已包含在总价中。</w:t>
            </w:r>
          </w:p>
          <w:p w14:paraId="2C08BBE5">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投标报价出现下列情形的，投标无效：</w:t>
            </w:r>
          </w:p>
          <w:p w14:paraId="37B6A7D4">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en-US" w:eastAsia="zh-CN"/>
              </w:rPr>
              <w:t>1.</w:t>
            </w:r>
            <w:r>
              <w:rPr>
                <w:rFonts w:hint="eastAsia" w:ascii="仿宋" w:hAnsi="仿宋" w:eastAsia="仿宋" w:cs="仿宋"/>
                <w:b/>
                <w:color w:val="auto"/>
                <w:kern w:val="0"/>
                <w:sz w:val="24"/>
                <w:szCs w:val="24"/>
                <w:highlight w:val="none"/>
                <w:lang w:val="zh-CN"/>
              </w:rPr>
              <w:t>投标文件出现不是唯一的、有选择性投标报价的；</w:t>
            </w:r>
          </w:p>
          <w:p w14:paraId="30957FB3">
            <w:pPr>
              <w:pageBreakBefore w:val="0"/>
              <w:widowControl w:val="0"/>
              <w:kinsoku/>
              <w:wordWrap/>
              <w:overflowPunct/>
              <w:topLinePunct w:val="0"/>
              <w:autoSpaceDE/>
              <w:autoSpaceDN/>
              <w:bidi w:val="0"/>
              <w:snapToGrid w:val="0"/>
              <w:spacing w:line="240" w:lineRule="auto"/>
              <w:jc w:val="both"/>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b/>
                <w:color w:val="auto"/>
                <w:kern w:val="0"/>
                <w:sz w:val="24"/>
                <w:szCs w:val="24"/>
                <w:highlight w:val="none"/>
                <w:lang w:val="en-US" w:eastAsia="zh-CN"/>
              </w:rPr>
              <w:t>2.</w:t>
            </w:r>
            <w:r>
              <w:rPr>
                <w:rFonts w:hint="eastAsia" w:ascii="仿宋" w:hAnsi="仿宋" w:eastAsia="仿宋" w:cs="仿宋"/>
                <w:b/>
                <w:color w:val="auto"/>
                <w:kern w:val="0"/>
                <w:sz w:val="24"/>
                <w:szCs w:val="24"/>
                <w:highlight w:val="none"/>
                <w:lang w:val="zh-CN"/>
              </w:rPr>
              <w:t>投标报价超过招标文件中规定的最高限价的;</w:t>
            </w:r>
          </w:p>
          <w:p w14:paraId="660F7CBA">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val="en-US" w:eastAsia="zh-CN"/>
              </w:rPr>
              <w:t>3.</w:t>
            </w:r>
            <w:r>
              <w:rPr>
                <w:rFonts w:hint="eastAsia" w:ascii="仿宋" w:hAnsi="仿宋" w:eastAsia="仿宋" w:cs="仿宋"/>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4"/>
                <w:highlight w:val="none"/>
              </w:rPr>
              <w:t>;</w:t>
            </w:r>
          </w:p>
          <w:p w14:paraId="01CDBE31">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lang w:val="en-US" w:eastAsia="zh-CN"/>
              </w:rPr>
              <w:t>4.</w:t>
            </w:r>
            <w:r>
              <w:rPr>
                <w:rFonts w:hint="eastAsia" w:ascii="仿宋" w:hAnsi="仿宋" w:eastAsia="仿宋" w:cs="仿宋"/>
                <w:b/>
                <w:color w:val="auto"/>
                <w:kern w:val="0"/>
                <w:sz w:val="24"/>
                <w:szCs w:val="24"/>
                <w:highlight w:val="none"/>
              </w:rPr>
              <w:t>投标人对根据修正原则修正后的报价不确认的</w:t>
            </w:r>
            <w:r>
              <w:rPr>
                <w:rFonts w:hint="eastAsia" w:ascii="仿宋" w:hAnsi="仿宋" w:eastAsia="仿宋" w:cs="仿宋"/>
                <w:b/>
                <w:color w:val="auto"/>
                <w:sz w:val="24"/>
                <w:szCs w:val="24"/>
                <w:highlight w:val="none"/>
              </w:rPr>
              <w:t>。</w:t>
            </w:r>
          </w:p>
        </w:tc>
      </w:tr>
      <w:tr w14:paraId="29F2C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88" w:hRule="atLeast"/>
          <w:tblHeader/>
          <w:jc w:val="center"/>
        </w:trPr>
        <w:tc>
          <w:tcPr>
            <w:tcW w:w="695" w:type="dxa"/>
            <w:vAlign w:val="center"/>
          </w:tcPr>
          <w:p w14:paraId="5F23DE45">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2278" w:type="dxa"/>
            <w:vAlign w:val="center"/>
          </w:tcPr>
          <w:p w14:paraId="5BC389FD">
            <w:pPr>
              <w:snapToGrid w:val="0"/>
              <w:spacing w:line="24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rPr>
              <w:t>中小企业信用融资</w:t>
            </w:r>
          </w:p>
        </w:tc>
        <w:tc>
          <w:tcPr>
            <w:tcW w:w="6705" w:type="dxa"/>
            <w:vAlign w:val="center"/>
          </w:tcPr>
          <w:p w14:paraId="2C3B2B71">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b/>
                <w:color w:val="auto"/>
                <w:kern w:val="0"/>
                <w:sz w:val="24"/>
                <w:szCs w:val="24"/>
                <w:highlight w:val="none"/>
              </w:rPr>
            </w:pPr>
            <w:r>
              <w:rPr>
                <w:rFonts w:hint="eastAsia" w:ascii="仿宋" w:hAnsi="仿宋" w:eastAsia="仿宋" w:cs="仿宋"/>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FB3A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04" w:hRule="atLeast"/>
          <w:tblHeader/>
          <w:jc w:val="center"/>
        </w:trPr>
        <w:tc>
          <w:tcPr>
            <w:tcW w:w="695" w:type="dxa"/>
            <w:vAlign w:val="center"/>
          </w:tcPr>
          <w:p w14:paraId="742C20EA">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2278" w:type="dxa"/>
            <w:vAlign w:val="center"/>
          </w:tcPr>
          <w:p w14:paraId="293DA211">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备份投标文件</w:t>
            </w:r>
          </w:p>
        </w:tc>
        <w:tc>
          <w:tcPr>
            <w:tcW w:w="6705" w:type="dxa"/>
            <w:vAlign w:val="center"/>
          </w:tcPr>
          <w:p w14:paraId="051BD4C3">
            <w:pPr>
              <w:pStyle w:val="10"/>
              <w:adjustRightInd w:val="0"/>
              <w:snapToGrid w:val="0"/>
              <w:spacing w:line="240" w:lineRule="auto"/>
              <w:rPr>
                <w:rFonts w:hint="eastAsia" w:ascii="仿宋" w:hAnsi="仿宋" w:eastAsia="仿宋" w:cs="仿宋"/>
                <w:color w:val="auto"/>
                <w:kern w:val="28"/>
                <w:sz w:val="24"/>
                <w:szCs w:val="24"/>
                <w:highlight w:val="none"/>
              </w:rPr>
            </w:pPr>
            <w:r>
              <w:rPr>
                <w:rFonts w:hint="eastAsia" w:ascii="仿宋" w:hAnsi="仿宋" w:eastAsia="仿宋" w:cs="仿宋"/>
                <w:bCs/>
                <w:color w:val="auto"/>
                <w:sz w:val="24"/>
                <w:highlight w:val="none"/>
              </w:rPr>
              <w:t>备份投标文件是否提交由投标人自行决定，如不提交的，当电子投标文件无法解密时，将导致无备份投标文件而失去投标资格。</w:t>
            </w:r>
            <w:r>
              <w:rPr>
                <w:rFonts w:hint="eastAsia" w:ascii="仿宋" w:hAnsi="仿宋" w:eastAsia="仿宋" w:cs="仿宋"/>
                <w:bCs/>
                <w:color w:val="auto"/>
                <w:sz w:val="24"/>
                <w:szCs w:val="24"/>
                <w:highlight w:val="none"/>
              </w:rPr>
              <w:t>如提交备份</w:t>
            </w:r>
            <w:r>
              <w:rPr>
                <w:rFonts w:hint="eastAsia" w:ascii="仿宋" w:hAnsi="仿宋" w:eastAsia="仿宋" w:cs="仿宋"/>
                <w:bCs/>
                <w:color w:val="auto"/>
                <w:sz w:val="24"/>
                <w:highlight w:val="none"/>
              </w:rPr>
              <w:t>投标</w:t>
            </w:r>
            <w:r>
              <w:rPr>
                <w:rFonts w:hint="eastAsia" w:ascii="仿宋" w:hAnsi="仿宋" w:eastAsia="仿宋" w:cs="仿宋"/>
                <w:bCs/>
                <w:color w:val="auto"/>
                <w:sz w:val="24"/>
                <w:szCs w:val="24"/>
                <w:highlight w:val="none"/>
              </w:rPr>
              <w:t>文件的，应在</w:t>
            </w:r>
            <w:r>
              <w:rPr>
                <w:rFonts w:hint="eastAsia" w:ascii="仿宋" w:hAnsi="仿宋" w:eastAsia="仿宋" w:cs="仿宋"/>
                <w:bCs/>
                <w:color w:val="auto"/>
                <w:sz w:val="24"/>
                <w:highlight w:val="none"/>
              </w:rPr>
              <w:t>投标</w:t>
            </w:r>
            <w:r>
              <w:rPr>
                <w:rFonts w:hint="eastAsia" w:ascii="仿宋" w:hAnsi="仿宋" w:eastAsia="仿宋" w:cs="仿宋"/>
                <w:bCs/>
                <w:color w:val="auto"/>
                <w:sz w:val="24"/>
                <w:szCs w:val="24"/>
                <w:highlight w:val="none"/>
              </w:rPr>
              <w:t>截止时间前将最后生成的具有电子签章的备份</w:t>
            </w:r>
            <w:r>
              <w:rPr>
                <w:rFonts w:hint="eastAsia" w:ascii="仿宋" w:hAnsi="仿宋" w:eastAsia="仿宋" w:cs="仿宋"/>
                <w:bCs/>
                <w:color w:val="auto"/>
                <w:sz w:val="24"/>
                <w:highlight w:val="none"/>
              </w:rPr>
              <w:t>投标</w:t>
            </w:r>
            <w:r>
              <w:rPr>
                <w:rFonts w:hint="eastAsia" w:ascii="仿宋" w:hAnsi="仿宋" w:eastAsia="仿宋" w:cs="仿宋"/>
                <w:bCs/>
                <w:color w:val="auto"/>
                <w:sz w:val="24"/>
                <w:szCs w:val="24"/>
                <w:highlight w:val="none"/>
              </w:rPr>
              <w:t>文件通过电子邮件方式传送至代理机构邮箱（</w:t>
            </w:r>
            <w:r>
              <w:rPr>
                <w:rFonts w:hint="eastAsia" w:ascii="仿宋" w:hAnsi="仿宋" w:eastAsia="仿宋" w:cs="仿宋"/>
                <w:bCs/>
                <w:color w:val="auto"/>
                <w:sz w:val="24"/>
                <w:szCs w:val="24"/>
                <w:highlight w:val="none"/>
                <w:lang w:val="en-US" w:eastAsia="zh-CN"/>
              </w:rPr>
              <w:t>846824067@qq.com</w:t>
            </w:r>
            <w:r>
              <w:rPr>
                <w:rFonts w:hint="eastAsia" w:ascii="仿宋" w:hAnsi="仿宋" w:eastAsia="仿宋" w:cs="仿宋"/>
                <w:bCs/>
                <w:color w:val="auto"/>
                <w:sz w:val="24"/>
                <w:szCs w:val="24"/>
                <w:highlight w:val="none"/>
              </w:rPr>
              <w:t>），传送的备份</w:t>
            </w:r>
            <w:r>
              <w:rPr>
                <w:rFonts w:hint="eastAsia" w:ascii="仿宋" w:hAnsi="仿宋" w:eastAsia="仿宋" w:cs="仿宋"/>
                <w:bCs/>
                <w:color w:val="auto"/>
                <w:sz w:val="24"/>
                <w:highlight w:val="none"/>
              </w:rPr>
              <w:t>投标</w:t>
            </w:r>
            <w:r>
              <w:rPr>
                <w:rFonts w:hint="eastAsia" w:ascii="仿宋" w:hAnsi="仿宋" w:eastAsia="仿宋" w:cs="仿宋"/>
                <w:bCs/>
                <w:color w:val="auto"/>
                <w:sz w:val="24"/>
                <w:szCs w:val="24"/>
                <w:highlight w:val="none"/>
              </w:rPr>
              <w:t>文件须打包压缩并加密，密码由投标人自行保管，压缩包命名为“备份</w:t>
            </w:r>
            <w:r>
              <w:rPr>
                <w:rFonts w:hint="eastAsia" w:ascii="仿宋" w:hAnsi="仿宋" w:eastAsia="仿宋" w:cs="仿宋"/>
                <w:bCs/>
                <w:color w:val="auto"/>
                <w:sz w:val="24"/>
                <w:highlight w:val="none"/>
              </w:rPr>
              <w:t>投标</w:t>
            </w:r>
            <w:r>
              <w:rPr>
                <w:rFonts w:hint="eastAsia" w:ascii="仿宋" w:hAnsi="仿宋" w:eastAsia="仿宋" w:cs="仿宋"/>
                <w:bCs/>
                <w:color w:val="auto"/>
                <w:sz w:val="24"/>
                <w:szCs w:val="24"/>
                <w:highlight w:val="none"/>
              </w:rPr>
              <w:t>文件”，并在邮件中注明项目名称及投标人名称。</w:t>
            </w:r>
          </w:p>
        </w:tc>
      </w:tr>
      <w:tr w14:paraId="517C7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50" w:hRule="atLeast"/>
          <w:tblHeader/>
          <w:jc w:val="center"/>
        </w:trPr>
        <w:tc>
          <w:tcPr>
            <w:tcW w:w="695" w:type="dxa"/>
            <w:vAlign w:val="center"/>
          </w:tcPr>
          <w:p w14:paraId="2DC79BA4">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p>
        </w:tc>
        <w:tc>
          <w:tcPr>
            <w:tcW w:w="2278" w:type="dxa"/>
            <w:vAlign w:val="center"/>
          </w:tcPr>
          <w:p w14:paraId="69B47519">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特别</w:t>
            </w:r>
            <w:r>
              <w:rPr>
                <w:rFonts w:hint="eastAsia" w:ascii="仿宋" w:hAnsi="仿宋" w:eastAsia="仿宋" w:cs="仿宋"/>
                <w:b/>
                <w:color w:val="auto"/>
                <w:sz w:val="24"/>
                <w:szCs w:val="24"/>
                <w:highlight w:val="none"/>
                <w:lang w:val="en-US" w:eastAsia="zh-CN"/>
              </w:rPr>
              <w:t>提醒</w:t>
            </w:r>
          </w:p>
        </w:tc>
        <w:tc>
          <w:tcPr>
            <w:tcW w:w="6705" w:type="dxa"/>
            <w:vAlign w:val="center"/>
          </w:tcPr>
          <w:p w14:paraId="22B6808E">
            <w:pPr>
              <w:keepNext w:val="0"/>
              <w:keepLines w:val="0"/>
              <w:suppressLineNumbers w:val="0"/>
              <w:snapToGrid w:val="0"/>
              <w:spacing w:before="0" w:beforeAutospacing="0" w:after="0" w:afterAutospacing="0" w:line="240" w:lineRule="auto"/>
              <w:ind w:left="0" w:right="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政采云平台项目采购系统目前获取并在开标（开启）阶段展示投标（响应）供应商投标客户端制作投标（响应）文件的 IP、MAC、设备硬件等信息，并对 IP、MAC 、投标手机号等信息重复的供应商进行标红。</w:t>
            </w:r>
          </w:p>
          <w:p w14:paraId="7239E6B3">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b/>
                <w:color w:val="auto"/>
                <w:sz w:val="24"/>
                <w:highlight w:val="none"/>
              </w:rPr>
              <w:t>（注：投标手机号是上传投标文件时的手机号信息。每次上传记录均获取）。</w:t>
            </w:r>
          </w:p>
        </w:tc>
      </w:tr>
      <w:tr w14:paraId="46E07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75" w:hRule="atLeast"/>
          <w:tblHeader/>
          <w:jc w:val="center"/>
        </w:trPr>
        <w:tc>
          <w:tcPr>
            <w:tcW w:w="695" w:type="dxa"/>
            <w:vAlign w:val="center"/>
          </w:tcPr>
          <w:p w14:paraId="1433CA2F">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2278" w:type="dxa"/>
            <w:vAlign w:val="center"/>
          </w:tcPr>
          <w:p w14:paraId="7951F588">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bCs/>
                <w:color w:val="auto"/>
                <w:spacing w:val="-6"/>
                <w:sz w:val="24"/>
                <w:szCs w:val="24"/>
                <w:highlight w:val="none"/>
              </w:rPr>
              <w:t>推荐中标候选人数量</w:t>
            </w:r>
          </w:p>
        </w:tc>
        <w:tc>
          <w:tcPr>
            <w:tcW w:w="6705" w:type="dxa"/>
            <w:vAlign w:val="center"/>
          </w:tcPr>
          <w:p w14:paraId="03E79995">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rightChars="0"/>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pacing w:val="-6"/>
                <w:sz w:val="24"/>
                <w:szCs w:val="24"/>
                <w:highlight w:val="none"/>
              </w:rPr>
              <w:t>推荐中标候选人数量：</w:t>
            </w:r>
            <w:r>
              <w:rPr>
                <w:rFonts w:hint="eastAsia" w:ascii="仿宋" w:hAnsi="仿宋" w:eastAsia="仿宋" w:cs="仿宋"/>
                <w:color w:val="auto"/>
                <w:spacing w:val="-6"/>
                <w:sz w:val="24"/>
                <w:szCs w:val="24"/>
                <w:highlight w:val="none"/>
                <w:u w:val="single"/>
              </w:rPr>
              <w:t>1</w:t>
            </w:r>
            <w:r>
              <w:rPr>
                <w:rFonts w:hint="eastAsia" w:ascii="仿宋" w:hAnsi="仿宋" w:eastAsia="仿宋" w:cs="仿宋"/>
                <w:color w:val="auto"/>
                <w:spacing w:val="-6"/>
                <w:sz w:val="24"/>
                <w:szCs w:val="24"/>
                <w:highlight w:val="none"/>
              </w:rPr>
              <w:t>名</w:t>
            </w:r>
          </w:p>
        </w:tc>
      </w:tr>
      <w:tr w14:paraId="5FA0C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272" w:hRule="atLeast"/>
          <w:tblHeader/>
          <w:jc w:val="center"/>
        </w:trPr>
        <w:tc>
          <w:tcPr>
            <w:tcW w:w="695" w:type="dxa"/>
            <w:vAlign w:val="center"/>
          </w:tcPr>
          <w:p w14:paraId="293DD18D">
            <w:pPr>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2278" w:type="dxa"/>
            <w:vAlign w:val="center"/>
          </w:tcPr>
          <w:p w14:paraId="22040AC1">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招标代理服务费</w:t>
            </w:r>
          </w:p>
        </w:tc>
        <w:tc>
          <w:tcPr>
            <w:tcW w:w="6705" w:type="dxa"/>
            <w:vAlign w:val="center"/>
          </w:tcPr>
          <w:p w14:paraId="65798297">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1.不论投标结果如何，投标人均应自行承担所有与投标有关的全部费用；</w:t>
            </w:r>
          </w:p>
          <w:p w14:paraId="045956F8">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2.中标人在中标通知书发出之日起七个工作日内，向采购代理机构交纳代理服务费；</w:t>
            </w:r>
          </w:p>
          <w:p w14:paraId="36132E5C">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right="0"/>
              <w:jc w:val="both"/>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pacing w:val="-6"/>
                <w:sz w:val="24"/>
                <w:szCs w:val="24"/>
                <w:highlight w:val="none"/>
              </w:rPr>
              <w:t>收费标准（差额定律累进计费</w:t>
            </w:r>
            <w:r>
              <w:rPr>
                <w:rFonts w:hint="eastAsia" w:ascii="仿宋" w:hAnsi="仿宋" w:eastAsia="仿宋" w:cs="仿宋"/>
                <w:color w:val="auto"/>
                <w:spacing w:val="-6"/>
                <w:sz w:val="24"/>
                <w:szCs w:val="24"/>
                <w:highlight w:val="none"/>
                <w:lang w:eastAsia="zh-CN"/>
              </w:rPr>
              <w:t>的</w:t>
            </w:r>
            <w:r>
              <w:rPr>
                <w:rFonts w:hint="eastAsia" w:ascii="仿宋" w:hAnsi="仿宋" w:eastAsia="仿宋" w:cs="仿宋"/>
                <w:color w:val="auto"/>
                <w:spacing w:val="-6"/>
                <w:sz w:val="24"/>
                <w:szCs w:val="24"/>
                <w:highlight w:val="none"/>
                <w:lang w:val="en-US" w:eastAsia="zh-CN"/>
              </w:rPr>
              <w:t>50%收取</w:t>
            </w:r>
            <w:r>
              <w:rPr>
                <w:rFonts w:hint="eastAsia" w:ascii="仿宋" w:hAnsi="仿宋" w:eastAsia="仿宋" w:cs="仿宋"/>
                <w:color w:val="auto"/>
                <w:spacing w:val="-6"/>
                <w:sz w:val="24"/>
                <w:szCs w:val="24"/>
                <w:highlight w:val="none"/>
              </w:rPr>
              <w:t>）：</w:t>
            </w:r>
          </w:p>
          <w:tbl>
            <w:tblPr>
              <w:tblStyle w:val="20"/>
              <w:tblW w:w="4999"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3110"/>
              <w:gridCol w:w="3532"/>
            </w:tblGrid>
            <w:tr w14:paraId="37F9BC3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340" w:type="pct"/>
                  <w:tcBorders>
                    <w:top w:val="single" w:color="auto" w:sz="2" w:space="0"/>
                    <w:left w:val="single" w:color="auto" w:sz="2" w:space="0"/>
                    <w:bottom w:val="single" w:color="auto" w:sz="2" w:space="0"/>
                    <w:right w:val="single" w:color="auto" w:sz="2" w:space="0"/>
                  </w:tcBorders>
                  <w:tcMar>
                    <w:top w:w="0" w:type="dxa"/>
                    <w:left w:w="108" w:type="dxa"/>
                    <w:bottom w:w="0" w:type="dxa"/>
                    <w:right w:w="108" w:type="dxa"/>
                  </w:tcMar>
                  <w:vAlign w:val="center"/>
                </w:tcPr>
                <w:p w14:paraId="2C1F622E">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both"/>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中标金额（万元）</w:t>
                  </w:r>
                </w:p>
              </w:tc>
              <w:tc>
                <w:tcPr>
                  <w:tcW w:w="2659" w:type="pct"/>
                  <w:tcBorders>
                    <w:top w:val="single" w:color="auto" w:sz="2" w:space="0"/>
                    <w:left w:val="single" w:color="auto" w:sz="2" w:space="0"/>
                    <w:bottom w:val="single" w:color="auto" w:sz="2" w:space="0"/>
                    <w:right w:val="single" w:color="auto" w:sz="2" w:space="0"/>
                  </w:tcBorders>
                  <w:tcMar>
                    <w:top w:w="0" w:type="dxa"/>
                    <w:left w:w="108" w:type="dxa"/>
                    <w:bottom w:w="0" w:type="dxa"/>
                    <w:right w:w="108" w:type="dxa"/>
                  </w:tcMar>
                  <w:vAlign w:val="center"/>
                </w:tcPr>
                <w:p w14:paraId="48836B9D">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服务招标</w:t>
                  </w:r>
                </w:p>
              </w:tc>
            </w:tr>
            <w:tr w14:paraId="209A1B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340" w:type="pct"/>
                  <w:tcBorders>
                    <w:top w:val="single" w:color="auto" w:sz="2" w:space="0"/>
                    <w:left w:val="single" w:color="auto" w:sz="2" w:space="0"/>
                    <w:bottom w:val="single" w:color="auto" w:sz="2" w:space="0"/>
                    <w:right w:val="single" w:color="auto" w:sz="2" w:space="0"/>
                  </w:tcBorders>
                  <w:tcMar>
                    <w:top w:w="0" w:type="dxa"/>
                    <w:left w:w="108" w:type="dxa"/>
                    <w:bottom w:w="0" w:type="dxa"/>
                    <w:right w:w="108" w:type="dxa"/>
                  </w:tcMar>
                  <w:vAlign w:val="center"/>
                </w:tcPr>
                <w:p w14:paraId="56276FE6">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100以下</w:t>
                  </w:r>
                </w:p>
              </w:tc>
              <w:tc>
                <w:tcPr>
                  <w:tcW w:w="2659" w:type="pct"/>
                  <w:tcBorders>
                    <w:top w:val="single" w:color="auto" w:sz="2" w:space="0"/>
                    <w:left w:val="single" w:color="auto" w:sz="2" w:space="0"/>
                    <w:bottom w:val="single" w:color="auto" w:sz="2" w:space="0"/>
                    <w:right w:val="single" w:color="auto" w:sz="2" w:space="0"/>
                  </w:tcBorders>
                  <w:tcMar>
                    <w:top w:w="0" w:type="dxa"/>
                    <w:left w:w="108" w:type="dxa"/>
                    <w:bottom w:w="0" w:type="dxa"/>
                    <w:right w:w="108" w:type="dxa"/>
                  </w:tcMar>
                  <w:vAlign w:val="center"/>
                </w:tcPr>
                <w:p w14:paraId="36C2D1B7">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r>
            <w:tr w14:paraId="095D41D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340" w:type="pct"/>
                  <w:tcBorders>
                    <w:top w:val="single" w:color="auto" w:sz="2" w:space="0"/>
                    <w:left w:val="single" w:color="auto" w:sz="2" w:space="0"/>
                    <w:bottom w:val="single" w:color="auto" w:sz="2" w:space="0"/>
                    <w:right w:val="single" w:color="auto" w:sz="2" w:space="0"/>
                  </w:tcBorders>
                  <w:tcMar>
                    <w:top w:w="0" w:type="dxa"/>
                    <w:left w:w="108" w:type="dxa"/>
                    <w:bottom w:w="0" w:type="dxa"/>
                    <w:right w:w="108" w:type="dxa"/>
                  </w:tcMar>
                  <w:vAlign w:val="center"/>
                </w:tcPr>
                <w:p w14:paraId="3EB51834">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100-500</w:t>
                  </w:r>
                </w:p>
              </w:tc>
              <w:tc>
                <w:tcPr>
                  <w:tcW w:w="2659" w:type="pct"/>
                  <w:tcBorders>
                    <w:top w:val="single" w:color="auto" w:sz="2" w:space="0"/>
                    <w:left w:val="single" w:color="auto" w:sz="2" w:space="0"/>
                    <w:bottom w:val="single" w:color="auto" w:sz="2" w:space="0"/>
                    <w:right w:val="single" w:color="auto" w:sz="2" w:space="0"/>
                  </w:tcBorders>
                  <w:tcMar>
                    <w:top w:w="0" w:type="dxa"/>
                    <w:left w:w="108" w:type="dxa"/>
                    <w:bottom w:w="0" w:type="dxa"/>
                    <w:right w:w="108" w:type="dxa"/>
                  </w:tcMar>
                  <w:vAlign w:val="center"/>
                </w:tcPr>
                <w:p w14:paraId="1D8F6E40">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0.8%</w:t>
                  </w:r>
                </w:p>
              </w:tc>
            </w:tr>
            <w:tr w14:paraId="3F115ED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340" w:type="pct"/>
                  <w:tcBorders>
                    <w:top w:val="single" w:color="auto" w:sz="2" w:space="0"/>
                    <w:left w:val="single" w:color="auto" w:sz="2" w:space="0"/>
                    <w:bottom w:val="single" w:color="auto" w:sz="2" w:space="0"/>
                    <w:right w:val="single" w:color="auto" w:sz="2" w:space="0"/>
                  </w:tcBorders>
                  <w:tcMar>
                    <w:top w:w="0" w:type="dxa"/>
                    <w:left w:w="108" w:type="dxa"/>
                    <w:bottom w:w="0" w:type="dxa"/>
                    <w:right w:w="108" w:type="dxa"/>
                  </w:tcMar>
                  <w:vAlign w:val="center"/>
                </w:tcPr>
                <w:p w14:paraId="02193C91">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500-1000</w:t>
                  </w:r>
                </w:p>
              </w:tc>
              <w:tc>
                <w:tcPr>
                  <w:tcW w:w="2659" w:type="pct"/>
                  <w:tcBorders>
                    <w:top w:val="single" w:color="auto" w:sz="2" w:space="0"/>
                    <w:left w:val="single" w:color="auto" w:sz="2" w:space="0"/>
                    <w:bottom w:val="single" w:color="auto" w:sz="2" w:space="0"/>
                    <w:right w:val="single" w:color="auto" w:sz="2" w:space="0"/>
                  </w:tcBorders>
                  <w:tcMar>
                    <w:top w:w="0" w:type="dxa"/>
                    <w:left w:w="108" w:type="dxa"/>
                    <w:bottom w:w="0" w:type="dxa"/>
                    <w:right w:w="108" w:type="dxa"/>
                  </w:tcMar>
                  <w:vAlign w:val="center"/>
                </w:tcPr>
                <w:p w14:paraId="1C71C035">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0.45%</w:t>
                  </w:r>
                </w:p>
              </w:tc>
            </w:tr>
          </w:tbl>
          <w:p w14:paraId="6354D027">
            <w:pPr>
              <w:rPr>
                <w:rFonts w:hint="eastAsia" w:ascii="仿宋" w:hAnsi="仿宋" w:eastAsia="仿宋" w:cs="仿宋"/>
                <w:color w:val="auto"/>
                <w:lang w:val="en-US" w:eastAsia="zh-CN"/>
              </w:rPr>
            </w:pPr>
          </w:p>
        </w:tc>
      </w:tr>
    </w:tbl>
    <w:p w14:paraId="67D76892">
      <w:pP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19F52305">
      <w:pPr>
        <w:pStyle w:val="9"/>
        <w:keepNext/>
        <w:keepLines/>
        <w:pageBreakBefore w:val="0"/>
        <w:widowControl w:val="0"/>
        <w:numPr>
          <w:ilvl w:val="0"/>
          <w:numId w:val="5"/>
        </w:numPr>
        <w:kinsoku/>
        <w:wordWrap/>
        <w:overflowPunct/>
        <w:topLinePunct w:val="0"/>
        <w:autoSpaceDE/>
        <w:autoSpaceDN/>
        <w:bidi w:val="0"/>
        <w:adjustRightInd/>
        <w:snapToGrid/>
        <w:spacing w:before="157" w:beforeLines="50" w:after="157" w:afterLines="50"/>
        <w:ind w:left="0" w:leftChars="0" w:firstLine="0" w:firstLineChars="0"/>
        <w:jc w:val="center"/>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总则</w:t>
      </w:r>
    </w:p>
    <w:p w14:paraId="2CE05831">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适用范围</w:t>
      </w:r>
    </w:p>
    <w:p w14:paraId="160AFF6D">
      <w:pPr>
        <w:pageBreakBefore w:val="0"/>
        <w:kinsoku/>
        <w:wordWrap/>
        <w:overflowPunct/>
        <w:topLinePunct w:val="0"/>
        <w:bidi w:val="0"/>
        <w:snapToGrid w:val="0"/>
        <w:spacing w:beforeAutospacing="0"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本招标文件适用于该项目的招标、投标、开标、资格审查及信用信息查询、评标、定标、合同、验收等行为（法律、法规另有规定的，从其规定）。</w:t>
      </w:r>
    </w:p>
    <w:p w14:paraId="0C186B48">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定义</w:t>
      </w:r>
    </w:p>
    <w:p w14:paraId="6A21F824">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“采购人”系指招标公告中载明的本项目的采购人。</w:t>
      </w:r>
    </w:p>
    <w:p w14:paraId="406A4CBB">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 “</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”系指招标公告中载明的本项目的</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p>
    <w:p w14:paraId="6E3A1E83">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“投标人”系指是指响应招标、参加投标竞争的法人、其他组织或者自然人。</w:t>
      </w:r>
    </w:p>
    <w:p w14:paraId="191B1E7C">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 “负责人”系指法人企业的法定负责人，或其他组织为法律、行政法规规定代表单位行使职权的主要负责人，或自然人本人。</w:t>
      </w:r>
    </w:p>
    <w:p w14:paraId="43F974BA">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2CD0FC0">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“电子交易平台”</w:t>
      </w:r>
      <w:r>
        <w:rPr>
          <w:rFonts w:hint="eastAsia" w:ascii="仿宋" w:hAnsi="仿宋" w:eastAsia="仿宋" w:cs="仿宋"/>
          <w:color w:val="auto"/>
          <w:sz w:val="24"/>
          <w:szCs w:val="24"/>
          <w:highlight w:val="none"/>
          <w:lang w:val="en-US" w:eastAsia="zh-CN"/>
        </w:rPr>
        <w:t>系</w:t>
      </w:r>
      <w:r>
        <w:rPr>
          <w:rFonts w:hint="eastAsia" w:ascii="仿宋" w:hAnsi="仿宋" w:eastAsia="仿宋" w:cs="仿宋"/>
          <w:color w:val="auto"/>
          <w:sz w:val="24"/>
          <w:szCs w:val="24"/>
          <w:highlight w:val="none"/>
        </w:rPr>
        <w:t>指本项目政府采购活动所依托的政府采购云平台（https://www.zcygov.cn/）。</w:t>
      </w:r>
    </w:p>
    <w:p w14:paraId="37BF6F48">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 “▲” 系指实质性要求条款，“</w:t>
      </w:r>
      <w:sdt>
        <w:sdtPr>
          <w:rPr>
            <w:rFonts w:hint="eastAsia" w:ascii="仿宋" w:hAnsi="仿宋" w:eastAsia="仿宋" w:cs="仿宋"/>
            <w:color w:val="auto"/>
            <w:kern w:val="0"/>
            <w:sz w:val="24"/>
            <w:szCs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szCs w:val="24"/>
          <w:highlight w:val="none"/>
        </w:rPr>
        <w:t>” 系指适用本项目的要求，“</w:t>
      </w:r>
      <w:sdt>
        <w:sdtPr>
          <w:rPr>
            <w:rFonts w:hint="eastAsia" w:ascii="仿宋" w:hAnsi="仿宋" w:eastAsia="仿宋" w:cs="仿宋"/>
            <w:color w:val="auto"/>
            <w:kern w:val="0"/>
            <w:sz w:val="24"/>
            <w:szCs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sz w:val="24"/>
          <w:szCs w:val="24"/>
          <w:highlight w:val="none"/>
        </w:rPr>
        <w:t>” 系指不适用本项目的要求。</w:t>
      </w:r>
    </w:p>
    <w:p w14:paraId="1BD2D87C">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采购项目需要落实的政府采购政策</w:t>
      </w:r>
    </w:p>
    <w:p w14:paraId="341E868D">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不会对其加以限制，仍将按照公平竞争原则实施采购）；</w:t>
      </w:r>
      <w:r>
        <w:rPr>
          <w:rFonts w:hint="eastAsia" w:ascii="仿宋" w:hAnsi="仿宋" w:eastAsia="仿宋" w:cs="仿宋"/>
          <w:color w:val="auto"/>
          <w:kern w:val="0"/>
          <w:sz w:val="24"/>
          <w:szCs w:val="24"/>
          <w:highlight w:val="none"/>
        </w:rPr>
        <w:t>优先采购向我国企业转让技术、与我国企业签订消化吸收再创新方案的供应商的进口产品</w:t>
      </w:r>
      <w:r>
        <w:rPr>
          <w:rFonts w:hint="eastAsia" w:ascii="仿宋" w:hAnsi="仿宋" w:eastAsia="仿宋" w:cs="仿宋"/>
          <w:color w:val="auto"/>
          <w:sz w:val="24"/>
          <w:szCs w:val="24"/>
          <w:highlight w:val="none"/>
        </w:rPr>
        <w:t>。</w:t>
      </w:r>
    </w:p>
    <w:p w14:paraId="5024189D">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支持绿色发展</w:t>
      </w:r>
      <w:r>
        <w:rPr>
          <w:rFonts w:hint="eastAsia" w:ascii="仿宋" w:hAnsi="仿宋" w:eastAsia="仿宋" w:cs="仿宋"/>
          <w:b/>
          <w:bCs w:val="0"/>
          <w:color w:val="auto"/>
          <w:sz w:val="24"/>
          <w:szCs w:val="24"/>
          <w:highlight w:val="none"/>
        </w:rPr>
        <w:t>（本项目不适用）</w:t>
      </w:r>
    </w:p>
    <w:p w14:paraId="5CE76A1E">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3.2.1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szCs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F17B56A">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3.2.2 修缮、装修类项目采购建材的，采购人应将绿色建筑和绿色建材性能、指标等作为实质性条件纳入招标文件和合同。</w:t>
      </w:r>
    </w:p>
    <w:p w14:paraId="50F285EB">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EC440D2">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34AB120D">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支持中小企业发展</w:t>
      </w:r>
    </w:p>
    <w:p w14:paraId="1B54E25E">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3CD8DE18">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符合中小企业划分标准的个体工商户，在政府采购活动中视同中小企业。</w:t>
      </w:r>
    </w:p>
    <w:p w14:paraId="1D5F29F6">
      <w:pPr>
        <w:pageBreakBefore w:val="0"/>
        <w:widowControl/>
        <w:kinsoku/>
        <w:wordWrap/>
        <w:overflowPunct/>
        <w:topLinePunct w:val="0"/>
        <w:bidi w:val="0"/>
        <w:snapToGrid w:val="0"/>
        <w:spacing w:beforeAutospacing="0"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bCs/>
          <w:color w:val="auto"/>
          <w:sz w:val="24"/>
          <w:szCs w:val="24"/>
          <w:highlight w:val="none"/>
        </w:rPr>
        <w:t>3.3.2</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kern w:val="0"/>
          <w:sz w:val="24"/>
          <w:szCs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692DA17">
      <w:pPr>
        <w:pageBreakBefore w:val="0"/>
        <w:widowControl/>
        <w:kinsoku/>
        <w:wordWrap/>
        <w:overflowPunct/>
        <w:topLinePunct w:val="0"/>
        <w:bidi w:val="0"/>
        <w:snapToGrid w:val="0"/>
        <w:spacing w:beforeAutospacing="0"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以联合体形式参加政府采购活动，联合体各方均为中小企业的，联合体视同中小企业。其中，联合体各方均为小微企业的，联合体视同小微企业。</w:t>
      </w:r>
    </w:p>
    <w:p w14:paraId="3372375E">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5490533">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3.3.4</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符合《关于促进残疾人就业政府采购政策的通知》（财库〔2017〕141号）规定的条件并提供《残疾人福利性单位声明函》（附件1）的残疾人福利性单位视同小型、微型企业；</w:t>
      </w:r>
    </w:p>
    <w:p w14:paraId="63AA89B7">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3.3.5</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符合《关于政府采购支持监狱企业发展有关问题的通知》（财库〔20</w:t>
      </w: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〕68号）规定的监狱企业并提供由省级以上监狱管理局、戒毒管理局（含新疆生产建设兵团）出具的属于监狱企业证明文件的，视同为小型、微型企业。</w:t>
      </w:r>
    </w:p>
    <w:p w14:paraId="3A61021E">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3.3.6</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CF6069A">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3.3.7</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中小企业享受扶持政策获得政府采购合同的，小微企业不得将合同分包给大中型企业，中型企业不得将合同分包给大型企业。</w:t>
      </w:r>
    </w:p>
    <w:p w14:paraId="0414AEB6">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Cs/>
          <w:color w:val="auto"/>
          <w:sz w:val="24"/>
          <w:szCs w:val="24"/>
          <w:highlight w:val="none"/>
        </w:rPr>
        <w:t>支持创新发展</w:t>
      </w:r>
      <w:r>
        <w:rPr>
          <w:rFonts w:hint="eastAsia" w:ascii="仿宋" w:hAnsi="仿宋" w:eastAsia="仿宋" w:cs="仿宋"/>
          <w:color w:val="auto"/>
          <w:sz w:val="24"/>
          <w:highlight w:val="none"/>
        </w:rPr>
        <w:t>（本项目不适用）</w:t>
      </w:r>
    </w:p>
    <w:p w14:paraId="3BF1800E">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3.4.1 采购人优先采购被认定为首台套产品和“制造精品”的自主创新产品。</w:t>
      </w:r>
    </w:p>
    <w:p w14:paraId="681E4035">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首台套产品被纳入《首台套产品推广应用指导目录》之日起</w:t>
      </w:r>
      <w:r>
        <w:rPr>
          <w:rFonts w:hint="eastAsia" w:ascii="仿宋" w:hAnsi="仿宋" w:eastAsia="仿宋" w:cs="仿宋"/>
          <w:color w:val="auto"/>
          <w:sz w:val="24"/>
          <w:szCs w:val="24"/>
          <w:highlight w:val="none"/>
          <w:lang w:eastAsia="zh-CN"/>
        </w:rPr>
        <w:t>33个月</w:t>
      </w:r>
      <w:r>
        <w:rPr>
          <w:rFonts w:hint="eastAsia" w:ascii="仿宋" w:hAnsi="仿宋" w:eastAsia="仿宋" w:cs="仿宋"/>
          <w:color w:val="auto"/>
          <w:sz w:val="24"/>
          <w:szCs w:val="24"/>
          <w:highlight w:val="none"/>
        </w:rPr>
        <w:t>内，以及产品核心技术高于国内领先水平，并具有明晰自主知识产权的“制造精品”产品，自认定之日起2年内视同已具备相应销售业绩，参加政府采购活动时业绩分值为满分。</w:t>
      </w:r>
    </w:p>
    <w:p w14:paraId="00922477">
      <w:pPr>
        <w:keepNext/>
        <w:keepLines/>
        <w:pageBreakBefore w:val="0"/>
        <w:tabs>
          <w:tab w:val="left" w:pos="432"/>
        </w:tabs>
        <w:kinsoku/>
        <w:wordWrap/>
        <w:overflowPunct/>
        <w:topLinePunct w:val="0"/>
        <w:bidi w:val="0"/>
        <w:adjustRightInd w:val="0"/>
        <w:snapToGrid w:val="0"/>
        <w:spacing w:beforeAutospacing="0"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rPr>
        <w:t xml:space="preserve">3.4.3 </w:t>
      </w:r>
      <w:r>
        <w:rPr>
          <w:rFonts w:hint="eastAsia" w:ascii="仿宋" w:hAnsi="仿宋" w:eastAsia="仿宋" w:cs="仿宋"/>
          <w:b w:val="0"/>
          <w:bCs w:val="0"/>
          <w:color w:val="auto"/>
          <w:sz w:val="24"/>
          <w:szCs w:val="24"/>
          <w:highlight w:val="none"/>
          <w:lang w:val="en-US" w:eastAsia="zh-CN"/>
        </w:rPr>
        <w:t>采购人应当贯彻落实知识产权保护相关法律法规，</w:t>
      </w:r>
      <w:r>
        <w:rPr>
          <w:rFonts w:hint="eastAsia" w:ascii="仿宋" w:hAnsi="仿宋" w:eastAsia="仿宋" w:cs="仿宋"/>
          <w:b w:val="0"/>
          <w:bCs w:val="0"/>
          <w:color w:val="auto"/>
          <w:sz w:val="24"/>
          <w:szCs w:val="24"/>
          <w:highlight w:val="none"/>
          <w:lang w:val="en-US"/>
        </w:rPr>
        <w:t>应当采购使用正版软件。</w:t>
      </w:r>
    </w:p>
    <w:p w14:paraId="144D777F">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平等对待内外资企业和符合条件的破产重整企业</w:t>
      </w:r>
    </w:p>
    <w:p w14:paraId="5AE8AA99">
      <w:pPr>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平等对待内外资企业和符合条件的破产重整企业，切实保障企业公平竞争，平等维护企业的合法利益。</w:t>
      </w:r>
    </w:p>
    <w:p w14:paraId="3DC0FD60">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询问、质疑、投诉</w:t>
      </w:r>
    </w:p>
    <w:p w14:paraId="5EE3F548">
      <w:pPr>
        <w:pageBreakBefore w:val="0"/>
        <w:kinsoku/>
        <w:wordWrap/>
        <w:overflowPunct/>
        <w:topLinePunct w:val="0"/>
        <w:autoSpaceDE w:val="0"/>
        <w:autoSpaceDN w:val="0"/>
        <w:bidi w:val="0"/>
        <w:snapToGrid w:val="0"/>
        <w:spacing w:beforeAutospacing="0" w:line="360" w:lineRule="auto"/>
        <w:ind w:firstLine="480" w:firstLineChars="200"/>
        <w:jc w:val="left"/>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4.1</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A755F44">
      <w:pPr>
        <w:pageBreakBefore w:val="0"/>
        <w:kinsoku/>
        <w:wordWrap/>
        <w:overflowPunct/>
        <w:topLinePunct w:val="0"/>
        <w:autoSpaceDE w:val="0"/>
        <w:autoSpaceDN w:val="0"/>
        <w:bidi w:val="0"/>
        <w:snapToGrid w:val="0"/>
        <w:spacing w:beforeAutospacing="0" w:line="360" w:lineRule="auto"/>
        <w:ind w:firstLine="480" w:firstLineChars="200"/>
        <w:jc w:val="left"/>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4.2</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供应商询问</w:t>
      </w:r>
    </w:p>
    <w:p w14:paraId="0DDF1393">
      <w:pPr>
        <w:pageBreakBefore w:val="0"/>
        <w:kinsoku/>
        <w:wordWrap/>
        <w:overflowPunct/>
        <w:topLinePunct w:val="0"/>
        <w:autoSpaceDE w:val="0"/>
        <w:autoSpaceDN w:val="0"/>
        <w:bidi w:val="0"/>
        <w:snapToGrid w:val="0"/>
        <w:spacing w:beforeAutospacing="0" w:line="360" w:lineRule="auto"/>
        <w:ind w:firstLine="480" w:firstLineChars="200"/>
        <w:jc w:val="left"/>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360594C">
      <w:pPr>
        <w:pageBreakBefore w:val="0"/>
        <w:kinsoku/>
        <w:wordWrap/>
        <w:overflowPunct/>
        <w:topLinePunct w:val="0"/>
        <w:autoSpaceDE w:val="0"/>
        <w:autoSpaceDN w:val="0"/>
        <w:bidi w:val="0"/>
        <w:snapToGrid w:val="0"/>
        <w:spacing w:beforeAutospacing="0" w:line="360" w:lineRule="auto"/>
        <w:ind w:firstLine="480" w:firstLineChars="200"/>
        <w:jc w:val="left"/>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供应商质疑</w:t>
      </w:r>
    </w:p>
    <w:p w14:paraId="7BBCB417">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4.3</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提出质疑的供应商应当是参与所质疑项目采购活动的供应商。潜在供应商已依法获取其可质疑的招标文件的，可以对该文件提出质疑。</w:t>
      </w:r>
    </w:p>
    <w:p w14:paraId="7011A37C">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4.3</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提出质疑，否则，采购人或者</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不予受理：</w:t>
      </w:r>
    </w:p>
    <w:p w14:paraId="64A321E4">
      <w:pPr>
        <w:pStyle w:val="7"/>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snapToGrid/>
          <w:color w:val="auto"/>
          <w:kern w:val="2"/>
          <w:sz w:val="24"/>
          <w:szCs w:val="24"/>
          <w:highlight w:val="none"/>
        </w:rPr>
      </w:pPr>
      <w:r>
        <w:rPr>
          <w:rFonts w:hint="eastAsia" w:ascii="仿宋" w:hAnsi="仿宋" w:eastAsia="仿宋" w:cs="仿宋"/>
          <w:snapToGrid/>
          <w:color w:val="auto"/>
          <w:kern w:val="2"/>
          <w:sz w:val="24"/>
          <w:szCs w:val="24"/>
          <w:highlight w:val="none"/>
        </w:rPr>
        <w:t>4.3.2.1</w:t>
      </w:r>
      <w:r>
        <w:rPr>
          <w:rFonts w:hint="eastAsia" w:ascii="仿宋" w:hAnsi="仿宋" w:eastAsia="仿宋" w:cs="仿宋"/>
          <w:snapToGrid/>
          <w:color w:val="auto"/>
          <w:kern w:val="2"/>
          <w:sz w:val="24"/>
          <w:szCs w:val="24"/>
          <w:highlight w:val="none"/>
          <w:lang w:val="en-US" w:eastAsia="zh-CN"/>
        </w:rPr>
        <w:t xml:space="preserve"> </w:t>
      </w:r>
      <w:r>
        <w:rPr>
          <w:rFonts w:hint="eastAsia" w:ascii="仿宋" w:hAnsi="仿宋" w:eastAsia="仿宋" w:cs="仿宋"/>
          <w:snapToGrid/>
          <w:color w:val="auto"/>
          <w:kern w:val="2"/>
          <w:sz w:val="24"/>
          <w:szCs w:val="24"/>
          <w:highlight w:val="none"/>
        </w:rPr>
        <w:t>对招标文件提出质疑的，质疑期限为供应商获得招标文件之日或者招标文件公告期限届满之日起计算。</w:t>
      </w:r>
    </w:p>
    <w:p w14:paraId="2BAEA06D">
      <w:pPr>
        <w:pStyle w:val="10"/>
        <w:pageBreakBefore w:val="0"/>
        <w:kinsoku/>
        <w:wordWrap/>
        <w:overflowPunct/>
        <w:topLinePunct w:val="0"/>
        <w:bidi w:val="0"/>
        <w:snapToGrid w:val="0"/>
        <w:spacing w:beforeAutospacing="0" w:line="360" w:lineRule="auto"/>
        <w:ind w:left="0" w:leftChars="0" w:firstLine="460" w:firstLineChars="192"/>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4.3.2.2</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对采购过程提出质疑的，质疑期限为各采购程序环节结束之日起计算。</w:t>
      </w:r>
    </w:p>
    <w:p w14:paraId="5776C470">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lang w:val="zh-CN"/>
        </w:rPr>
      </w:pPr>
      <w:r>
        <w:rPr>
          <w:rFonts w:hint="eastAsia" w:ascii="仿宋" w:hAnsi="仿宋" w:eastAsia="仿宋" w:cs="仿宋"/>
          <w:color w:val="auto"/>
          <w:kern w:val="0"/>
          <w:sz w:val="24"/>
          <w:szCs w:val="24"/>
          <w:highlight w:val="none"/>
          <w:lang w:val="zh-CN"/>
        </w:rPr>
        <w:t>4.3.2.3对采购结果提出质疑的，质疑期限自采购结果公告期限届满之日起计算。</w:t>
      </w:r>
    </w:p>
    <w:p w14:paraId="662A8D37">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供应商提出质疑应当提交质疑函和必要的证明材料。质疑函应当包括下列内容：</w:t>
      </w:r>
    </w:p>
    <w:p w14:paraId="0D7E640E">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4.3.3.1</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供应商的姓名或者名称、地址、邮编、联系人及联系电话；</w:t>
      </w:r>
    </w:p>
    <w:p w14:paraId="32586664">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4.3.3.2</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质疑项目的名称、编号；</w:t>
      </w:r>
    </w:p>
    <w:p w14:paraId="487AE330">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4.3.3.3</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具体、明确的质疑事项和与质疑事项相关的请求；</w:t>
      </w:r>
    </w:p>
    <w:p w14:paraId="4050FFD5">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4.3.3.4</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事实依据；</w:t>
      </w:r>
    </w:p>
    <w:p w14:paraId="5F72B088">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4.3.3.5</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必要的法律依据；</w:t>
      </w:r>
    </w:p>
    <w:p w14:paraId="644ED5D8">
      <w:pPr>
        <w:pStyle w:val="10"/>
        <w:pageBreakBefore w:val="0"/>
        <w:kinsoku/>
        <w:wordWrap/>
        <w:overflowPunct/>
        <w:topLinePunct w:val="0"/>
        <w:bidi w:val="0"/>
        <w:snapToGrid w:val="0"/>
        <w:spacing w:beforeAutospacing="0" w:line="360"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4.3.3.6</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提出质疑的日期。</w:t>
      </w:r>
    </w:p>
    <w:p w14:paraId="378723C0">
      <w:pPr>
        <w:pStyle w:val="27"/>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w:t>
      </w:r>
    </w:p>
    <w:p w14:paraId="09E98977">
      <w:pPr>
        <w:pStyle w:val="27"/>
        <w:pageBreakBefore w:val="0"/>
        <w:shd w:val="clear" w:color="auto" w:fill="FFFFFF"/>
        <w:kinsoku/>
        <w:wordWrap/>
        <w:overflowPunct/>
        <w:topLinePunct w:val="0"/>
        <w:bidi w:val="0"/>
        <w:snapToGrid w:val="0"/>
        <w:spacing w:before="0" w:beforeAutospacing="0" w:after="0" w:afterAutospacing="0" w:line="360" w:lineRule="auto"/>
        <w:ind w:firstLine="480" w:firstLineChars="2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质疑函范本及制作说明详见附件2。</w:t>
      </w:r>
    </w:p>
    <w:p w14:paraId="7572DA8A">
      <w:pPr>
        <w:pStyle w:val="27"/>
        <w:pageBreakBefore w:val="0"/>
        <w:shd w:val="clear" w:color="auto" w:fill="FFFFFF"/>
        <w:kinsoku/>
        <w:wordWrap/>
        <w:overflowPunct/>
        <w:topLinePunct w:val="0"/>
        <w:bidi w:val="0"/>
        <w:snapToGrid w:val="0"/>
        <w:spacing w:before="0" w:beforeAutospacing="0" w:after="0" w:afterAutospacing="0" w:line="360" w:lineRule="auto"/>
        <w:ind w:firstLine="480" w:firstLineChars="2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4.3.4</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对同一采购程序环节的质疑，供应商须在法定质疑期内一次性提出。</w:t>
      </w:r>
    </w:p>
    <w:p w14:paraId="5403D159">
      <w:pPr>
        <w:pStyle w:val="27"/>
        <w:pageBreakBefore w:val="0"/>
        <w:shd w:val="clear" w:color="auto" w:fill="FFFFFF"/>
        <w:kinsoku/>
        <w:wordWrap/>
        <w:overflowPunct/>
        <w:topLinePunct w:val="0"/>
        <w:bidi w:val="0"/>
        <w:snapToGrid w:val="0"/>
        <w:spacing w:before="0" w:beforeAutospacing="0" w:after="0" w:afterAutospacing="0" w:line="360" w:lineRule="auto"/>
        <w:ind w:firstLine="480" w:firstLineChars="2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4.3</w:t>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采购人或者</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应当在收到供应商的书面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质疑答复人将质疑答复内容在浙江政府采购网公开</w:t>
      </w:r>
      <w:r>
        <w:rPr>
          <w:rFonts w:hint="eastAsia" w:ascii="仿宋" w:hAnsi="仿宋" w:eastAsia="仿宋" w:cs="仿宋"/>
          <w:color w:val="auto"/>
          <w:sz w:val="24"/>
          <w:szCs w:val="24"/>
          <w:highlight w:val="none"/>
          <w:lang w:eastAsia="zh-CN"/>
        </w:rPr>
        <w:t>，答复内容应当完整。</w:t>
      </w:r>
      <w:r>
        <w:rPr>
          <w:rFonts w:hint="eastAsia" w:ascii="仿宋" w:hAnsi="仿宋" w:eastAsia="仿宋" w:cs="仿宋"/>
          <w:color w:val="auto"/>
          <w:sz w:val="24"/>
          <w:szCs w:val="24"/>
          <w:highlight w:val="none"/>
        </w:rPr>
        <w:t>质疑函作为附件上传。</w:t>
      </w:r>
    </w:p>
    <w:p w14:paraId="19F88B95">
      <w:pPr>
        <w:pStyle w:val="27"/>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4.3</w:t>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询问或者质疑事项可能影响采购结果的，采购人应当暂停签订合同，已经签订合同的，应当中止履行合同。</w:t>
      </w:r>
    </w:p>
    <w:p w14:paraId="55DF640F">
      <w:pPr>
        <w:pStyle w:val="27"/>
        <w:pageBreakBefore w:val="0"/>
        <w:shd w:val="clear" w:color="auto" w:fill="FFFFFF"/>
        <w:kinsoku/>
        <w:wordWrap/>
        <w:overflowPunct/>
        <w:topLinePunct w:val="0"/>
        <w:bidi w:val="0"/>
        <w:snapToGrid w:val="0"/>
        <w:spacing w:before="0" w:beforeAutospacing="0" w:after="0" w:afterAutospacing="0" w:line="360" w:lineRule="auto"/>
        <w:ind w:firstLine="480" w:firstLineChars="200"/>
        <w:contextualSpacing/>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4.4</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供应商投诉</w:t>
      </w:r>
    </w:p>
    <w:p w14:paraId="76E233AF">
      <w:pPr>
        <w:pStyle w:val="27"/>
        <w:pageBreakBefore w:val="0"/>
        <w:shd w:val="clear" w:color="auto" w:fill="FFFFFF"/>
        <w:kinsoku/>
        <w:wordWrap/>
        <w:overflowPunct/>
        <w:topLinePunct w:val="0"/>
        <w:bidi w:val="0"/>
        <w:snapToGrid w:val="0"/>
        <w:spacing w:before="0" w:beforeAutospacing="0" w:after="0" w:afterAutospacing="0" w:line="360" w:lineRule="auto"/>
        <w:ind w:firstLine="480" w:firstLineChars="2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质疑供应商对采购人、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的答复不满意或者采购人、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未在规定的时间内作出答复的，可以在答复期满后十五个工作日内向同级政府采购监督管理部门提出投诉。</w:t>
      </w:r>
    </w:p>
    <w:p w14:paraId="7B77D9E6">
      <w:pPr>
        <w:pStyle w:val="27"/>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80" w:firstLineChars="2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w:t>
      </w:r>
      <w:r>
        <w:rPr>
          <w:rFonts w:hint="eastAsia" w:ascii="仿宋" w:hAnsi="仿宋" w:eastAsia="仿宋" w:cs="仿宋"/>
          <w:color w:val="auto"/>
          <w:sz w:val="24"/>
          <w:szCs w:val="24"/>
          <w:highlight w:val="none"/>
          <w:lang w:val="zh-CN"/>
        </w:rPr>
        <w:t>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供应商投诉的事项不得超出已质疑事项的范围，基于质疑答复内容提出的投诉事项除外。</w:t>
      </w:r>
    </w:p>
    <w:p w14:paraId="7D38F4FD">
      <w:pPr>
        <w:pStyle w:val="27"/>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80" w:firstLineChars="2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供应商投诉应当有明确的请求和必要的证明材料。</w:t>
      </w:r>
    </w:p>
    <w:p w14:paraId="45443B7F">
      <w:pPr>
        <w:pStyle w:val="27"/>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80" w:firstLineChars="2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4.4.4</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以联合体形式参加政府采购活动的，其投诉应当由组成联合体的所有供应商共同提出。</w:t>
      </w:r>
    </w:p>
    <w:p w14:paraId="572FE2C4">
      <w:pPr>
        <w:pStyle w:val="27"/>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00"/>
        <w:contextualSpacing/>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投诉书范本及制作说明详见附件3。</w:t>
      </w:r>
      <w:r>
        <w:rPr>
          <w:rFonts w:hint="eastAsia" w:ascii="仿宋" w:hAnsi="仿宋" w:eastAsia="仿宋" w:cs="仿宋"/>
          <w:b/>
          <w:color w:val="auto"/>
          <w:sz w:val="24"/>
          <w:szCs w:val="24"/>
          <w:highlight w:val="none"/>
        </w:rPr>
        <w:t xml:space="preserve">  </w:t>
      </w:r>
    </w:p>
    <w:p w14:paraId="6556CE13">
      <w:pPr>
        <w:pStyle w:val="9"/>
        <w:keepNext/>
        <w:keepLines/>
        <w:pageBreakBefore w:val="0"/>
        <w:widowControl w:val="0"/>
        <w:numPr>
          <w:ilvl w:val="0"/>
          <w:numId w:val="5"/>
        </w:numPr>
        <w:kinsoku/>
        <w:wordWrap/>
        <w:overflowPunct/>
        <w:topLinePunct w:val="0"/>
        <w:autoSpaceDE/>
        <w:autoSpaceDN/>
        <w:bidi w:val="0"/>
        <w:adjustRightInd/>
        <w:snapToGrid w:val="0"/>
        <w:spacing w:before="157" w:beforeLines="50" w:after="157" w:afterLines="50"/>
        <w:ind w:left="0" w:leftChars="0" w:firstLine="0" w:firstLineChars="0"/>
        <w:jc w:val="center"/>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招标文件的构成、澄清、修改</w:t>
      </w:r>
    </w:p>
    <w:p w14:paraId="0294B4BA">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招标文件的构成</w:t>
      </w:r>
    </w:p>
    <w:p w14:paraId="3D58309A">
      <w:pPr>
        <w:pStyle w:val="1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7BABBB68">
      <w:pPr>
        <w:pStyle w:val="10"/>
        <w:pageBreakBefore w:val="0"/>
        <w:tabs>
          <w:tab w:val="left" w:pos="840"/>
        </w:tabs>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6F20CF99">
      <w:pPr>
        <w:pStyle w:val="10"/>
        <w:pageBreakBefore w:val="0"/>
        <w:tabs>
          <w:tab w:val="left" w:pos="840"/>
        </w:tabs>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625E4D27">
      <w:pPr>
        <w:pStyle w:val="10"/>
        <w:pageBreakBefore w:val="0"/>
        <w:tabs>
          <w:tab w:val="left" w:pos="840"/>
        </w:tabs>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57ABC768">
      <w:pPr>
        <w:pStyle w:val="10"/>
        <w:pageBreakBefore w:val="0"/>
        <w:tabs>
          <w:tab w:val="left" w:pos="840"/>
        </w:tabs>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457C4BA8">
      <w:pPr>
        <w:pStyle w:val="10"/>
        <w:pageBreakBefore w:val="0"/>
        <w:tabs>
          <w:tab w:val="left" w:pos="840"/>
        </w:tabs>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3AADA05C">
      <w:pPr>
        <w:pStyle w:val="10"/>
        <w:pageBreakBefore w:val="0"/>
        <w:tabs>
          <w:tab w:val="left" w:pos="840"/>
        </w:tabs>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5.1.6应提交的有关格式范例。</w:t>
      </w:r>
    </w:p>
    <w:p w14:paraId="62A1BFC8">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5.2与本项目有关的</w:t>
      </w:r>
      <w:r>
        <w:rPr>
          <w:rFonts w:hint="eastAsia" w:ascii="仿宋" w:hAnsi="仿宋" w:eastAsia="仿宋" w:cs="仿宋"/>
          <w:bCs/>
          <w:color w:val="auto"/>
          <w:sz w:val="24"/>
          <w:szCs w:val="24"/>
          <w:highlight w:val="none"/>
        </w:rPr>
        <w:t>澄清或者修改的内容为招标文件的组成部分</w:t>
      </w:r>
      <w:r>
        <w:rPr>
          <w:rFonts w:hint="eastAsia" w:ascii="仿宋" w:hAnsi="仿宋" w:eastAsia="仿宋" w:cs="仿宋"/>
          <w:color w:val="auto"/>
          <w:sz w:val="24"/>
          <w:szCs w:val="24"/>
          <w:highlight w:val="none"/>
        </w:rPr>
        <w:t>。</w:t>
      </w:r>
    </w:p>
    <w:p w14:paraId="7E89B9F3">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招标文件的澄清、修改</w:t>
      </w:r>
    </w:p>
    <w:p w14:paraId="23CD3189">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6.1已获取招标文件的潜在投标人，若有问题需要澄清，应于投标截止时间前，以书面形式向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提出。</w:t>
      </w:r>
    </w:p>
    <w:p w14:paraId="5DC451F3">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6.2 </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EA0CFBE">
      <w:pPr>
        <w:pStyle w:val="9"/>
        <w:keepNext/>
        <w:keepLines/>
        <w:pageBreakBefore w:val="0"/>
        <w:widowControl w:val="0"/>
        <w:numPr>
          <w:ilvl w:val="0"/>
          <w:numId w:val="5"/>
        </w:numPr>
        <w:kinsoku/>
        <w:wordWrap/>
        <w:overflowPunct/>
        <w:topLinePunct w:val="0"/>
        <w:autoSpaceDE/>
        <w:autoSpaceDN/>
        <w:bidi w:val="0"/>
        <w:adjustRightInd/>
        <w:snapToGrid/>
        <w:spacing w:before="157" w:beforeLines="50" w:after="157" w:afterLines="50"/>
        <w:ind w:left="0" w:leftChars="0" w:firstLine="0" w:firstLineChars="0"/>
        <w:jc w:val="center"/>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投标</w:t>
      </w:r>
    </w:p>
    <w:p w14:paraId="2A5CEAC5">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招标文件的获取</w:t>
      </w:r>
    </w:p>
    <w:p w14:paraId="26E45E70">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详见招标公告中获取招标文件的时间期限、地点、方式及招标文件售价。</w:t>
      </w:r>
    </w:p>
    <w:p w14:paraId="5C94373E">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p w14:paraId="4BE55BD5">
      <w:pPr>
        <w:pStyle w:val="1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40429947">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投标保证金</w:t>
      </w:r>
    </w:p>
    <w:p w14:paraId="010C91D7">
      <w:pPr>
        <w:pStyle w:val="7"/>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本项目不需缴纳投标保证金。</w:t>
      </w:r>
    </w:p>
    <w:p w14:paraId="340FB162">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投标文件的语言</w:t>
      </w:r>
    </w:p>
    <w:p w14:paraId="2FC59219">
      <w:pPr>
        <w:pageBreakBefore w:val="0"/>
        <w:kinsoku/>
        <w:wordWrap/>
        <w:overflowPunct/>
        <w:topLinePunct w:val="0"/>
        <w:autoSpaceDE w:val="0"/>
        <w:autoSpaceDN w:val="0"/>
        <w:bidi w:val="0"/>
        <w:snapToGrid w:val="0"/>
        <w:spacing w:line="360" w:lineRule="auto"/>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投标文件及投标人与采购有关的来往通知、函件和文件均应使用中文。</w:t>
      </w:r>
    </w:p>
    <w:p w14:paraId="62DA3470">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投标文件的组成</w:t>
      </w:r>
    </w:p>
    <w:p w14:paraId="103E310D">
      <w:pPr>
        <w:pageBreakBefore w:val="0"/>
        <w:kinsoku/>
        <w:wordWrap/>
        <w:overflowPunct/>
        <w:topLinePunct w:val="0"/>
        <w:autoSpaceDE w:val="0"/>
        <w:autoSpaceDN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bCs/>
          <w:color w:val="auto"/>
          <w:sz w:val="24"/>
          <w:szCs w:val="24"/>
          <w:highlight w:val="none"/>
        </w:rPr>
        <w:t>资格文件</w:t>
      </w:r>
      <w:r>
        <w:rPr>
          <w:rFonts w:hint="eastAsia" w:ascii="仿宋" w:hAnsi="仿宋" w:eastAsia="仿宋" w:cs="仿宋"/>
          <w:color w:val="auto"/>
          <w:sz w:val="24"/>
          <w:szCs w:val="24"/>
          <w:highlight w:val="none"/>
        </w:rPr>
        <w:t>：</w:t>
      </w:r>
    </w:p>
    <w:p w14:paraId="7D84BE48">
      <w:pPr>
        <w:pageBreakBefore w:val="0"/>
        <w:kinsoku/>
        <w:wordWrap/>
        <w:overflowPunct/>
        <w:topLinePunct w:val="0"/>
        <w:bidi w:val="0"/>
        <w:snapToGrid w:val="0"/>
        <w:spacing w:line="360" w:lineRule="auto"/>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▲11.1.1公司有效营业执照电子文档；</w:t>
      </w:r>
    </w:p>
    <w:p w14:paraId="0E3DABFB">
      <w:pPr>
        <w:pageBreakBefore w:val="0"/>
        <w:kinsoku/>
        <w:wordWrap/>
        <w:overflowPunct/>
        <w:topLinePunct w:val="0"/>
        <w:bidi w:val="0"/>
        <w:snapToGrid w:val="0"/>
        <w:spacing w:line="360" w:lineRule="auto"/>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▲11.1.2</w:t>
      </w:r>
      <w:r>
        <w:rPr>
          <w:rFonts w:hint="eastAsia" w:ascii="仿宋" w:hAnsi="仿宋" w:eastAsia="仿宋" w:cs="仿宋"/>
          <w:snapToGrid w:val="0"/>
          <w:color w:val="auto"/>
          <w:kern w:val="28"/>
          <w:sz w:val="24"/>
          <w:szCs w:val="24"/>
          <w:highlight w:val="none"/>
        </w:rPr>
        <w:t>法定代表人资格证明书或授权委托书（委托代理人参加投标的，提供负责人身份证扫描件，同时提供授权委托书及委托代理人身份证扫描件）；</w:t>
      </w:r>
    </w:p>
    <w:p w14:paraId="561F8920">
      <w:pPr>
        <w:pageBreakBefore w:val="0"/>
        <w:kinsoku/>
        <w:wordWrap/>
        <w:overflowPunct/>
        <w:topLinePunct w:val="0"/>
        <w:bidi w:val="0"/>
        <w:snapToGrid w:val="0"/>
        <w:spacing w:line="360" w:lineRule="auto"/>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▲11.1.3符合参加政府采购活动应当具备的一般条件的承诺函；</w:t>
      </w:r>
    </w:p>
    <w:p w14:paraId="2A557E4B">
      <w:pPr>
        <w:pageBreakBefore w:val="0"/>
        <w:kinsoku/>
        <w:wordWrap/>
        <w:overflowPunct/>
        <w:topLinePunct w:val="0"/>
        <w:bidi w:val="0"/>
        <w:snapToGrid w:val="0"/>
        <w:spacing w:line="360" w:lineRule="auto"/>
        <w:ind w:firstLine="240" w:firstLineChars="1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▲11.1.4</w:t>
      </w:r>
      <w:r>
        <w:rPr>
          <w:rFonts w:hint="eastAsia" w:ascii="仿宋" w:hAnsi="仿宋" w:eastAsia="仿宋" w:cs="仿宋"/>
          <w:color w:val="auto"/>
          <w:sz w:val="24"/>
          <w:szCs w:val="24"/>
          <w:highlight w:val="none"/>
          <w:lang w:val="en-US" w:eastAsia="zh-CN"/>
        </w:rPr>
        <w:t>资格声明</w:t>
      </w:r>
      <w:r>
        <w:rPr>
          <w:rFonts w:hint="eastAsia" w:ascii="仿宋" w:hAnsi="仿宋" w:eastAsia="仿宋" w:cs="仿宋"/>
          <w:color w:val="auto"/>
          <w:sz w:val="24"/>
          <w:szCs w:val="24"/>
          <w:highlight w:val="none"/>
          <w:lang w:eastAsia="zh-CN"/>
        </w:rPr>
        <w:t>；</w:t>
      </w:r>
    </w:p>
    <w:p w14:paraId="09259BBB">
      <w:pPr>
        <w:pageBreakBefore w:val="0"/>
        <w:kinsoku/>
        <w:wordWrap/>
        <w:overflowPunct/>
        <w:topLinePunct w:val="0"/>
        <w:bidi w:val="0"/>
        <w:snapToGrid w:val="0"/>
        <w:spacing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▲11.1.</w:t>
      </w:r>
      <w:r>
        <w:rPr>
          <w:rFonts w:hint="eastAsia" w:ascii="仿宋" w:hAnsi="仿宋" w:eastAsia="仿宋" w:cs="仿宋"/>
          <w:color w:val="auto"/>
          <w:sz w:val="24"/>
          <w:szCs w:val="24"/>
          <w:highlight w:val="none"/>
          <w:lang w:val="en-US" w:eastAsia="zh-CN"/>
        </w:rPr>
        <w:t>5无重大违法记录声明书；</w:t>
      </w:r>
    </w:p>
    <w:p w14:paraId="7D14C8E7">
      <w:pPr>
        <w:pageBreakBefore w:val="0"/>
        <w:kinsoku/>
        <w:wordWrap/>
        <w:overflowPunct/>
        <w:topLinePunct w:val="0"/>
        <w:bidi w:val="0"/>
        <w:snapToGrid w:val="0"/>
        <w:spacing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▲11.1.</w:t>
      </w:r>
      <w:r>
        <w:rPr>
          <w:rFonts w:hint="eastAsia" w:ascii="仿宋" w:hAnsi="仿宋" w:eastAsia="仿宋" w:cs="仿宋"/>
          <w:color w:val="auto"/>
          <w:sz w:val="24"/>
          <w:szCs w:val="24"/>
          <w:highlight w:val="none"/>
          <w:lang w:val="en-US" w:eastAsia="zh-CN"/>
        </w:rPr>
        <w:t>6信用信息记录查询（注：本项内容由代理机构在资格审查现场完成查询，故不作导入资格审查文件要求。）</w:t>
      </w:r>
    </w:p>
    <w:p w14:paraId="645BBB5B">
      <w:pPr>
        <w:pageBreakBefore w:val="0"/>
        <w:kinsoku/>
        <w:wordWrap/>
        <w:overflowPunct/>
        <w:topLinePunct w:val="0"/>
        <w:bidi w:val="0"/>
        <w:snapToGrid w:val="0"/>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注：①资格审查不通过的，不进入下一阶段评标。</w:t>
      </w:r>
    </w:p>
    <w:p w14:paraId="059F63E6">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rPr>
      </w:pPr>
      <w:r>
        <w:rPr>
          <w:rFonts w:hint="eastAsia" w:ascii="仿宋" w:hAnsi="仿宋" w:eastAsia="仿宋" w:cs="仿宋"/>
          <w:color w:val="auto"/>
          <w:sz w:val="24"/>
          <w:szCs w:val="24"/>
          <w:highlight w:val="none"/>
          <w:lang w:val="en-US" w:eastAsia="zh-CN"/>
        </w:rPr>
        <w:t>②资格审查顺序为电子交易平台解密后自动生成的“投标（响应）文件签收登记表”名单顺序。</w:t>
      </w:r>
    </w:p>
    <w:p w14:paraId="11C784E3">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11.</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eastAsia="zh-CN"/>
        </w:rPr>
        <w:t>商务技术</w:t>
      </w:r>
      <w:r>
        <w:rPr>
          <w:rFonts w:hint="eastAsia" w:ascii="仿宋" w:hAnsi="仿宋" w:eastAsia="仿宋" w:cs="仿宋"/>
          <w:color w:val="auto"/>
          <w:sz w:val="24"/>
          <w:szCs w:val="24"/>
          <w:highlight w:val="none"/>
          <w:lang w:val="zh-CN"/>
        </w:rPr>
        <w:t>文件：</w:t>
      </w:r>
    </w:p>
    <w:p w14:paraId="2C9FA77E">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11.2.1投标</w:t>
      </w:r>
      <w:r>
        <w:rPr>
          <w:rFonts w:hint="eastAsia" w:ascii="仿宋" w:hAnsi="仿宋" w:eastAsia="仿宋" w:cs="仿宋"/>
          <w:color w:val="auto"/>
          <w:sz w:val="24"/>
          <w:szCs w:val="24"/>
          <w:highlight w:val="none"/>
          <w:lang w:val="en-US" w:eastAsia="zh-CN"/>
        </w:rPr>
        <w:t>声明书</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 xml:space="preserve"> </w:t>
      </w:r>
    </w:p>
    <w:p w14:paraId="39905C0B">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11.2.2投标人参标申请表</w:t>
      </w:r>
    </w:p>
    <w:p w14:paraId="49CC9152">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11.2.3政府采购供应商廉洁自律承诺书；</w:t>
      </w:r>
    </w:p>
    <w:p w14:paraId="553B3DB3">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11.2.</w:t>
      </w:r>
      <w:r>
        <w:rPr>
          <w:rFonts w:hint="eastAsia" w:ascii="仿宋" w:hAnsi="仿宋" w:eastAsia="仿宋" w:cs="仿宋"/>
          <w:color w:val="auto"/>
          <w:sz w:val="24"/>
          <w:szCs w:val="24"/>
          <w:highlight w:val="none"/>
          <w:lang w:val="en-US" w:eastAsia="zh-CN"/>
        </w:rPr>
        <w:t>4商务响应表；</w:t>
      </w:r>
    </w:p>
    <w:p w14:paraId="1915EF3A">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评标标准相应的</w:t>
      </w:r>
      <w:r>
        <w:rPr>
          <w:rFonts w:hint="eastAsia" w:ascii="仿宋" w:hAnsi="仿宋" w:eastAsia="仿宋" w:cs="仿宋"/>
          <w:color w:val="auto"/>
          <w:sz w:val="24"/>
          <w:szCs w:val="24"/>
          <w:highlight w:val="none"/>
          <w:lang w:eastAsia="zh-CN"/>
        </w:rPr>
        <w:t>商务技术</w:t>
      </w:r>
      <w:r>
        <w:rPr>
          <w:rFonts w:hint="eastAsia" w:ascii="仿宋" w:hAnsi="仿宋" w:eastAsia="仿宋" w:cs="仿宋"/>
          <w:color w:val="auto"/>
          <w:sz w:val="24"/>
          <w:szCs w:val="24"/>
          <w:highlight w:val="none"/>
        </w:rPr>
        <w:t>资料；</w:t>
      </w:r>
    </w:p>
    <w:p w14:paraId="5BB89A14">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u w:val="single"/>
          <w:lang w:val="zh-CN"/>
        </w:rPr>
      </w:pPr>
      <w:r>
        <w:rPr>
          <w:rFonts w:hint="eastAsia" w:ascii="仿宋" w:hAnsi="仿宋" w:eastAsia="仿宋" w:cs="仿宋"/>
          <w:color w:val="auto"/>
          <w:kern w:val="0"/>
          <w:sz w:val="24"/>
          <w:szCs w:val="24"/>
          <w:highlight w:val="none"/>
          <w:lang w:val="zh-CN"/>
        </w:rPr>
        <w:t>11.</w:t>
      </w:r>
      <w:r>
        <w:rPr>
          <w:rFonts w:hint="eastAsia" w:ascii="仿宋" w:hAnsi="仿宋" w:eastAsia="仿宋" w:cs="仿宋"/>
          <w:color w:val="auto"/>
          <w:kern w:val="0"/>
          <w:sz w:val="24"/>
          <w:szCs w:val="24"/>
          <w:highlight w:val="none"/>
        </w:rPr>
        <w:t>3</w:t>
      </w:r>
      <w:r>
        <w:rPr>
          <w:rFonts w:hint="eastAsia" w:ascii="仿宋" w:hAnsi="仿宋" w:eastAsia="仿宋" w:cs="仿宋"/>
          <w:b/>
          <w:color w:val="auto"/>
          <w:sz w:val="24"/>
          <w:szCs w:val="24"/>
          <w:highlight w:val="none"/>
        </w:rPr>
        <w:t>报价文件：</w:t>
      </w:r>
      <w:r>
        <w:rPr>
          <w:rFonts w:hint="eastAsia" w:ascii="仿宋" w:hAnsi="仿宋" w:eastAsia="仿宋" w:cs="仿宋"/>
          <w:color w:val="auto"/>
          <w:sz w:val="24"/>
          <w:szCs w:val="24"/>
          <w:highlight w:val="none"/>
        </w:rPr>
        <w:t xml:space="preserve"> </w:t>
      </w:r>
    </w:p>
    <w:p w14:paraId="7F622BDE">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11.3.1</w:t>
      </w:r>
      <w:r>
        <w:rPr>
          <w:rFonts w:hint="eastAsia" w:ascii="仿宋" w:hAnsi="仿宋" w:eastAsia="仿宋" w:cs="仿宋"/>
          <w:color w:val="auto"/>
          <w:sz w:val="24"/>
          <w:szCs w:val="24"/>
          <w:highlight w:val="none"/>
          <w:lang w:eastAsia="zh-CN"/>
        </w:rPr>
        <w:t>开标一览表（报价表）</w:t>
      </w:r>
      <w:r>
        <w:rPr>
          <w:rFonts w:hint="eastAsia" w:ascii="仿宋" w:hAnsi="仿宋" w:eastAsia="仿宋" w:cs="仿宋"/>
          <w:color w:val="auto"/>
          <w:sz w:val="24"/>
          <w:szCs w:val="24"/>
          <w:highlight w:val="none"/>
        </w:rPr>
        <w:t>；</w:t>
      </w:r>
    </w:p>
    <w:p w14:paraId="6C4AAACF">
      <w:pPr>
        <w:pageBreakBefore w:val="0"/>
        <w:kinsoku/>
        <w:wordWrap/>
        <w:overflowPunct/>
        <w:topLinePunct w:val="0"/>
        <w:bidi w:val="0"/>
        <w:snapToGrid w:val="0"/>
        <w:spacing w:line="360"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11.3.2报价明细表；</w:t>
      </w:r>
    </w:p>
    <w:p w14:paraId="6B85B5CC">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11.3.3</w:t>
      </w:r>
      <w:r>
        <w:rPr>
          <w:rFonts w:hint="eastAsia" w:ascii="仿宋" w:hAnsi="仿宋" w:eastAsia="仿宋" w:cs="仿宋"/>
          <w:color w:val="auto"/>
          <w:sz w:val="24"/>
          <w:szCs w:val="24"/>
          <w:highlight w:val="none"/>
        </w:rPr>
        <w:t>中小企业声明函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如有</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w:t>
      </w:r>
    </w:p>
    <w:p w14:paraId="7E7FA739">
      <w:pPr>
        <w:pageBreakBefore w:val="0"/>
        <w:kinsoku/>
        <w:wordWrap/>
        <w:overflowPunct/>
        <w:topLinePunct w:val="0"/>
        <w:bidi w:val="0"/>
        <w:snapToGrid w:val="0"/>
        <w:spacing w:line="360"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投标文件含有采购人不能接受的附加条件的，投标无效；</w:t>
      </w:r>
    </w:p>
    <w:p w14:paraId="4EAF91D7">
      <w:pPr>
        <w:pageBreakBefore w:val="0"/>
        <w:kinsoku/>
        <w:wordWrap/>
        <w:overflowPunct/>
        <w:topLinePunct w:val="0"/>
        <w:bidi w:val="0"/>
        <w:snapToGrid w:val="0"/>
        <w:spacing w:line="360"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投标人提供虚假材料投标的，投标无效。</w:t>
      </w:r>
    </w:p>
    <w:p w14:paraId="1D48D97E">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shd w:val="clear" w:color="auto" w:fill="FFFFFF"/>
          <w:lang w:val="en-US" w:eastAsia="zh-CN"/>
        </w:rPr>
        <w:t>投标人应对投标文件中材料的真实性、合法性负责。</w:t>
      </w:r>
    </w:p>
    <w:p w14:paraId="71F6A745">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投标文件的编制</w:t>
      </w:r>
    </w:p>
    <w:p w14:paraId="0ED9B22A">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lang w:val="zh-CN"/>
        </w:rPr>
        <w:t>12.1</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828EB10">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12.2</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投标人进行电子投标应安装客户端软件—“政采云电子交易客户端”，并按照招标文件和电子交易平台的要求编制并加密投标文件。投标人未按规定加密的投标文件，电子交易平台将拒收并提示。</w:t>
      </w:r>
    </w:p>
    <w:p w14:paraId="0FDD628E">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12.3</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使用“政采云电子交易客户端”需要提前申领CA数字证书，申领流程请自行前往“浙江政府采购网-下载专区-电子交易客户端-CA驱动和申领流程”进行查阅。</w:t>
      </w:r>
    </w:p>
    <w:p w14:paraId="5A5ADA7B">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投标文件的签署、盖章</w:t>
      </w:r>
    </w:p>
    <w:p w14:paraId="0F6ED2BA">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13.1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投标文件按照招标文件第六部分格式要求进行签署、盖章。</w:t>
      </w:r>
      <w:r>
        <w:rPr>
          <w:rFonts w:hint="eastAsia" w:ascii="仿宋" w:hAnsi="仿宋" w:eastAsia="仿宋" w:cs="仿宋"/>
          <w:b/>
          <w:color w:val="auto"/>
          <w:sz w:val="24"/>
          <w:szCs w:val="24"/>
          <w:highlight w:val="none"/>
        </w:rPr>
        <w:t>▲投标人的投标文件未按照招标文件要求签署、盖章的，其投标无效</w:t>
      </w:r>
      <w:r>
        <w:rPr>
          <w:rFonts w:hint="eastAsia" w:ascii="仿宋" w:hAnsi="仿宋" w:eastAsia="仿宋" w:cs="仿宋"/>
          <w:color w:val="auto"/>
          <w:sz w:val="24"/>
          <w:szCs w:val="24"/>
          <w:highlight w:val="none"/>
        </w:rPr>
        <w:t>。</w:t>
      </w:r>
    </w:p>
    <w:p w14:paraId="0537AA9C">
      <w:pPr>
        <w:pStyle w:val="26"/>
        <w:keepNext w:val="0"/>
        <w:keepLines w:val="0"/>
        <w:pageBreakBefore w:val="0"/>
        <w:widowControl w:val="0"/>
        <w:kinsoku/>
        <w:wordWrap/>
        <w:overflowPunct/>
        <w:topLinePunct w:val="0"/>
        <w:autoSpaceDE/>
        <w:autoSpaceDN/>
        <w:bidi w:val="0"/>
        <w:adjustRightInd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为确保网上操作合法、有效和安全，投标人应当在投标截止时间前完成在“政府采购云平台”的身份认证，确保在电子投标过程中能够对相关数据电文进行加密和使用电子签名。</w:t>
      </w:r>
    </w:p>
    <w:p w14:paraId="48358AEE">
      <w:pPr>
        <w:pStyle w:val="26"/>
        <w:keepNext w:val="0"/>
        <w:keepLines w:val="0"/>
        <w:pageBreakBefore w:val="0"/>
        <w:widowControl w:val="0"/>
        <w:kinsoku/>
        <w:wordWrap/>
        <w:overflowPunct/>
        <w:topLinePunct w:val="0"/>
        <w:autoSpaceDE/>
        <w:autoSpaceDN/>
        <w:bidi w:val="0"/>
        <w:adjustRightInd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招标文件对投标文件签署、盖章的要求适用于电子签名。</w:t>
      </w:r>
    </w:p>
    <w:p w14:paraId="7AEC2D7F">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投标文件的提交、补充、修改、撤回</w:t>
      </w:r>
    </w:p>
    <w:p w14:paraId="11C13075">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46C00A6">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电子交易平台收到投标文件，将妥善保存并即时向供应商发出确认回执通知。在投标截止时间前，除供应商补充、修改或者撤回投标文件外，任何单位和个人不得解密或提取投标文件。</w:t>
      </w:r>
    </w:p>
    <w:p w14:paraId="613E7544">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可以视情况延长投标文件提交的截止时间。在上述情况下，</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与投标人以前在投标截止期方面的全部权利、责任和义务，将适用于延长至新的投标截止期。</w:t>
      </w:r>
    </w:p>
    <w:p w14:paraId="30FFD1EA">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备份投标文件</w:t>
      </w:r>
    </w:p>
    <w:p w14:paraId="5CF8A0A3">
      <w:pPr>
        <w:pStyle w:val="10"/>
        <w:pageBreakBefore w:val="0"/>
        <w:kinsoku/>
        <w:wordWrap/>
        <w:overflowPunct/>
        <w:topLinePunct w:val="0"/>
        <w:bidi w:val="0"/>
        <w:snapToGrid w:val="0"/>
        <w:spacing w:line="360" w:lineRule="auto"/>
        <w:ind w:firstLine="360" w:firstLineChars="15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投标人在电子交易平台传输递交投标文件后，还可以在投标截止时间前直接以</w:t>
      </w:r>
      <w:r>
        <w:rPr>
          <w:rFonts w:hint="eastAsia" w:ascii="仿宋" w:hAnsi="仿宋" w:eastAsia="仿宋" w:cs="仿宋"/>
          <w:color w:val="auto"/>
          <w:sz w:val="24"/>
          <w:szCs w:val="24"/>
          <w:highlight w:val="none"/>
          <w:lang w:val="en-US" w:eastAsia="zh-CN"/>
        </w:rPr>
        <w:t>电子邮件形式</w:t>
      </w:r>
      <w:r>
        <w:rPr>
          <w:rFonts w:hint="eastAsia" w:ascii="仿宋" w:hAnsi="仿宋" w:eastAsia="仿宋" w:cs="仿宋"/>
          <w:color w:val="auto"/>
          <w:sz w:val="24"/>
          <w:szCs w:val="24"/>
          <w:highlight w:val="none"/>
        </w:rPr>
        <w:t>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1745F4B3">
      <w:pPr>
        <w:pStyle w:val="1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15.2备份投标文件须在“政采云投标客户端”制作生成，并通过电子邮件方式传送至代理机构邮箱</w:t>
      </w:r>
      <w:r>
        <w:rPr>
          <w:rFonts w:hint="eastAsia" w:ascii="仿宋" w:hAnsi="仿宋" w:eastAsia="仿宋" w:cs="仿宋"/>
          <w:b w:val="0"/>
          <w:bCs w:val="0"/>
          <w:snapToGrid/>
          <w:color w:val="auto"/>
          <w:kern w:val="2"/>
          <w:sz w:val="24"/>
          <w:szCs w:val="24"/>
          <w:highlight w:val="none"/>
          <w:lang w:val="en-US" w:eastAsia="zh-CN" w:bidi="ar-SA"/>
        </w:rPr>
        <w:t>（</w:t>
      </w:r>
      <w:r>
        <w:rPr>
          <w:rFonts w:hint="eastAsia" w:ascii="仿宋" w:hAnsi="仿宋" w:eastAsia="仿宋" w:cs="仿宋"/>
          <w:bCs/>
          <w:color w:val="auto"/>
          <w:sz w:val="24"/>
          <w:szCs w:val="24"/>
          <w:highlight w:val="none"/>
          <w:lang w:val="en-US" w:eastAsia="zh-CN"/>
        </w:rPr>
        <w:t>846824067@qq.com</w:t>
      </w:r>
      <w:r>
        <w:rPr>
          <w:rFonts w:hint="eastAsia" w:ascii="仿宋" w:hAnsi="仿宋" w:eastAsia="仿宋" w:cs="仿宋"/>
          <w:b w:val="0"/>
          <w:bCs w:val="0"/>
          <w:snapToGrid/>
          <w:color w:val="auto"/>
          <w:kern w:val="2"/>
          <w:sz w:val="24"/>
          <w:szCs w:val="24"/>
          <w:highlight w:val="none"/>
          <w:lang w:val="en-US" w:eastAsia="zh-CN" w:bidi="ar-SA"/>
        </w:rPr>
        <w:t>）</w:t>
      </w:r>
      <w:r>
        <w:rPr>
          <w:rFonts w:hint="eastAsia" w:ascii="仿宋" w:hAnsi="仿宋" w:eastAsia="仿宋" w:cs="仿宋"/>
          <w:color w:val="auto"/>
          <w:sz w:val="24"/>
          <w:szCs w:val="24"/>
          <w:highlight w:val="none"/>
        </w:rPr>
        <w:t>，传送的备份投标文件须打包压缩并加密，密码由投标人自行保管，压缩包命名为“备份投标文件”，并在邮件中注明项目名称及投标人名称。</w:t>
      </w:r>
      <w:r>
        <w:rPr>
          <w:rFonts w:hint="eastAsia" w:ascii="仿宋" w:hAnsi="仿宋" w:eastAsia="仿宋" w:cs="仿宋"/>
          <w:b/>
          <w:color w:val="auto"/>
          <w:sz w:val="24"/>
          <w:szCs w:val="24"/>
          <w:highlight w:val="none"/>
        </w:rPr>
        <w:t>不符合上述制作、</w:t>
      </w:r>
      <w:r>
        <w:rPr>
          <w:rFonts w:hint="eastAsia" w:ascii="仿宋" w:hAnsi="仿宋" w:eastAsia="仿宋" w:cs="仿宋"/>
          <w:b/>
          <w:color w:val="auto"/>
          <w:sz w:val="24"/>
          <w:szCs w:val="24"/>
          <w:highlight w:val="none"/>
          <w:lang w:val="en-US" w:eastAsia="zh-CN"/>
        </w:rPr>
        <w:t>提交</w:t>
      </w:r>
      <w:r>
        <w:rPr>
          <w:rFonts w:hint="eastAsia" w:ascii="仿宋" w:hAnsi="仿宋" w:eastAsia="仿宋" w:cs="仿宋"/>
          <w:b/>
          <w:color w:val="auto"/>
          <w:sz w:val="24"/>
          <w:szCs w:val="24"/>
          <w:highlight w:val="none"/>
        </w:rPr>
        <w:t>规定的备份投标文件将被视为无效或者被拒绝接收。</w:t>
      </w:r>
    </w:p>
    <w:p w14:paraId="050D51E5">
      <w:pPr>
        <w:pStyle w:val="10"/>
        <w:pageBreakBefore w:val="0"/>
        <w:kinsoku/>
        <w:wordWrap/>
        <w:overflowPunct/>
        <w:topLinePunct w:val="0"/>
        <w:bidi w:val="0"/>
        <w:snapToGrid w:val="0"/>
        <w:spacing w:line="360" w:lineRule="auto"/>
        <w:ind w:firstLine="479" w:firstLineChars="199"/>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w:t>
      </w:r>
      <w:r>
        <w:rPr>
          <w:rFonts w:hint="eastAsia" w:ascii="仿宋" w:hAnsi="仿宋" w:eastAsia="仿宋" w:cs="仿宋"/>
          <w:b/>
          <w:color w:val="auto"/>
          <w:sz w:val="24"/>
          <w:szCs w:val="24"/>
          <w:highlight w:val="none"/>
          <w:lang w:val="en-US" w:eastAsia="zh-CN"/>
        </w:rPr>
        <w:t>3</w:t>
      </w:r>
      <w:r>
        <w:rPr>
          <w:rFonts w:hint="eastAsia" w:ascii="仿宋" w:hAnsi="仿宋" w:eastAsia="仿宋" w:cs="仿宋"/>
          <w:b/>
          <w:color w:val="auto"/>
          <w:sz w:val="24"/>
          <w:szCs w:val="24"/>
          <w:highlight w:val="none"/>
        </w:rPr>
        <w:t>投标人仅提交备份投标文件，未在电子交易平台传输递交投标文件的，投标无效。</w:t>
      </w:r>
    </w:p>
    <w:p w14:paraId="7DFF9688">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投标文件的无效处理</w:t>
      </w:r>
    </w:p>
    <w:p w14:paraId="117AECF8">
      <w:pPr>
        <w:pStyle w:val="8"/>
        <w:pageBreakBefore w:val="0"/>
        <w:kinsoku/>
        <w:wordWrap/>
        <w:overflowPunct/>
        <w:topLinePunct w:val="0"/>
        <w:bidi w:val="0"/>
        <w:snapToGrid w:val="0"/>
        <w:spacing w:beforeLines="0" w:afterLines="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有招标文件第四部分4.2规定的情形之一的，投标无效：</w:t>
      </w:r>
    </w:p>
    <w:p w14:paraId="1A75C084">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投标有效期</w:t>
      </w:r>
    </w:p>
    <w:p w14:paraId="1595FE3F">
      <w:pPr>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17.1投标有效期为从提交投标文件的截止之日起90天。▲</w:t>
      </w:r>
      <w:r>
        <w:rPr>
          <w:rFonts w:hint="eastAsia" w:ascii="仿宋" w:hAnsi="仿宋" w:eastAsia="仿宋" w:cs="仿宋"/>
          <w:b/>
          <w:color w:val="auto"/>
          <w:sz w:val="24"/>
          <w:szCs w:val="24"/>
          <w:highlight w:val="none"/>
        </w:rPr>
        <w:t>投标人的投标文件中承诺的投标有效期少于招标文件中载明的投标有效期的，投标无效。</w:t>
      </w:r>
    </w:p>
    <w:p w14:paraId="262D80DB">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投标文件合格投递后，自投标截止日期起，在投标有效期内有效。</w:t>
      </w:r>
    </w:p>
    <w:p w14:paraId="7A10E6D0">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在原定投标有效期满之前，如果出现特殊情况，</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可以以书面形式通知投标人延长投标有效期。投标人同意延长的，不得要求或被允许修改其投标文件，投标人拒绝延长的，其投标无效。</w:t>
      </w:r>
    </w:p>
    <w:p w14:paraId="78AB5BE7">
      <w:pPr>
        <w:pStyle w:val="9"/>
        <w:keepNext/>
        <w:keepLines/>
        <w:pageBreakBefore w:val="0"/>
        <w:widowControl w:val="0"/>
        <w:numPr>
          <w:ilvl w:val="0"/>
          <w:numId w:val="5"/>
        </w:numPr>
        <w:kinsoku/>
        <w:wordWrap/>
        <w:overflowPunct/>
        <w:topLinePunct w:val="0"/>
        <w:autoSpaceDE/>
        <w:autoSpaceDN/>
        <w:bidi w:val="0"/>
        <w:adjustRightInd/>
        <w:snapToGrid/>
        <w:spacing w:before="157" w:beforeLines="50" w:after="157" w:afterLines="50"/>
        <w:ind w:left="0" w:leftChars="0" w:firstLine="0" w:firstLineChars="0"/>
        <w:jc w:val="center"/>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开标、资格审查与信用信息查询</w:t>
      </w:r>
    </w:p>
    <w:p w14:paraId="189F259A">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开标 </w:t>
      </w:r>
    </w:p>
    <w:p w14:paraId="12D6C0B8">
      <w:pPr>
        <w:pStyle w:val="28"/>
        <w:pageBreakBefore w:val="0"/>
        <w:kinsoku/>
        <w:wordWrap/>
        <w:overflowPunct/>
        <w:topLinePunct w:val="0"/>
        <w:bidi w:val="0"/>
        <w:snapToGrid w:val="0"/>
        <w:spacing w:before="0" w:line="360" w:lineRule="auto"/>
        <w:ind w:left="0" w:firstLine="480" w:firstLineChars="2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按照招标文件规定的时间通过电子交易平台组织开标，所有投标人均应当准时在线参加。投标人不足3家的，不得开标。</w:t>
      </w:r>
    </w:p>
    <w:p w14:paraId="3141E4D6">
      <w:pPr>
        <w:pStyle w:val="28"/>
        <w:pageBreakBefore w:val="0"/>
        <w:kinsoku/>
        <w:wordWrap/>
        <w:overflowPunct/>
        <w:topLinePunct w:val="0"/>
        <w:bidi w:val="0"/>
        <w:snapToGrid w:val="0"/>
        <w:spacing w:before="0" w:line="360" w:lineRule="auto"/>
        <w:ind w:left="0" w:firstLine="240" w:firstLineChars="100"/>
        <w:contextualSpacing/>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18.2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开标时，电子交易平台按开标时间自动提取所有投标文件。</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依托电子交易平台发起开始解密指令，投标人按照平台提示和招标文件的规定在半小时内完成在线解密。</w:t>
      </w:r>
    </w:p>
    <w:p w14:paraId="7702BF20">
      <w:pPr>
        <w:pStyle w:val="28"/>
        <w:pageBreakBefore w:val="0"/>
        <w:kinsoku/>
        <w:wordWrap/>
        <w:overflowPunct/>
        <w:topLinePunct w:val="0"/>
        <w:bidi w:val="0"/>
        <w:snapToGrid w:val="0"/>
        <w:spacing w:before="0" w:line="360" w:lineRule="auto"/>
        <w:ind w:left="0" w:firstLine="240" w:firstLineChars="100"/>
        <w:contextualSpacing/>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18.3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rPr>
        <w:t>投标文件未按时解密，投标人提供了备份投标文件的，以备份投标文件作为依据，否则视为投标文件撤回。投标文件已按时解密的，备份投标文件自动失效。</w:t>
      </w:r>
    </w:p>
    <w:p w14:paraId="43B66DBF">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资格审查</w:t>
      </w:r>
    </w:p>
    <w:p w14:paraId="3EA68E60">
      <w:pPr>
        <w:keepNext w:val="0"/>
        <w:keepLines w:val="0"/>
        <w:pageBreakBefore w:val="0"/>
        <w:kinsoku/>
        <w:wordWrap/>
        <w:overflowPunct/>
        <w:topLinePunct w:val="0"/>
        <w:autoSpaceDE/>
        <w:autoSpaceDN/>
        <w:bidi w:val="0"/>
        <w:adjustRightInd w:val="0"/>
        <w:snapToGrid w:val="0"/>
        <w:spacing w:before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sz w:val="24"/>
          <w:szCs w:val="24"/>
          <w:highlight w:val="none"/>
        </w:rPr>
        <w:t>采购人或</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依据法律法规和招标文件的规定，对投标人的资格进行审查。</w:t>
      </w:r>
    </w:p>
    <w:p w14:paraId="52566F9A">
      <w:pPr>
        <w:pStyle w:val="26"/>
        <w:keepNext w:val="0"/>
        <w:keepLines w:val="0"/>
        <w:pageBreakBefore w:val="0"/>
        <w:kinsoku/>
        <w:wordWrap/>
        <w:overflowPunct/>
        <w:topLinePunct w:val="0"/>
        <w:autoSpaceDE/>
        <w:autoSpaceDN/>
        <w:bidi w:val="0"/>
        <w:adjustRightInd w:val="0"/>
        <w:snapToGrid w:val="0"/>
        <w:spacing w:before="0" w:beforeAutospacing="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r>
        <w:rPr>
          <w:rFonts w:hint="eastAsia" w:ascii="仿宋" w:hAnsi="仿宋" w:eastAsia="仿宋" w:cs="仿宋"/>
          <w:color w:val="auto"/>
          <w:kern w:val="0"/>
          <w:sz w:val="24"/>
          <w:szCs w:val="24"/>
          <w:highlight w:val="none"/>
          <w:lang w:val="en-US" w:eastAsia="zh-CN"/>
        </w:rPr>
        <w:t xml:space="preserve">2 </w:t>
      </w:r>
      <w:r>
        <w:rPr>
          <w:rFonts w:hint="eastAsia" w:ascii="仿宋" w:hAnsi="仿宋" w:eastAsia="仿宋" w:cs="仿宋"/>
          <w:color w:val="auto"/>
          <w:kern w:val="0"/>
          <w:sz w:val="24"/>
          <w:szCs w:val="24"/>
          <w:highlight w:val="none"/>
        </w:rPr>
        <w:t>投标人未按照招标文件要求提供与</w:t>
      </w:r>
      <w:r>
        <w:rPr>
          <w:rFonts w:hint="eastAsia" w:ascii="仿宋" w:hAnsi="仿宋" w:eastAsia="仿宋" w:cs="仿宋"/>
          <w:color w:val="auto"/>
          <w:sz w:val="24"/>
          <w:szCs w:val="24"/>
          <w:highlight w:val="none"/>
        </w:rPr>
        <w:t>资格条件相应的</w:t>
      </w:r>
      <w:r>
        <w:rPr>
          <w:rFonts w:hint="eastAsia" w:ascii="仿宋" w:hAnsi="仿宋" w:eastAsia="仿宋" w:cs="仿宋"/>
          <w:color w:val="auto"/>
          <w:kern w:val="0"/>
          <w:sz w:val="24"/>
          <w:szCs w:val="24"/>
          <w:highlight w:val="none"/>
        </w:rPr>
        <w:t>有效资格证明材料的，视为</w:t>
      </w:r>
      <w:r>
        <w:rPr>
          <w:rFonts w:hint="eastAsia" w:ascii="仿宋" w:hAnsi="仿宋" w:eastAsia="仿宋" w:cs="仿宋"/>
          <w:color w:val="auto"/>
          <w:sz w:val="24"/>
          <w:szCs w:val="24"/>
          <w:highlight w:val="none"/>
        </w:rPr>
        <w:t>投标人不具备招标文件中规定的资格要求，其投标无效。</w:t>
      </w:r>
    </w:p>
    <w:p w14:paraId="53F39950">
      <w:pPr>
        <w:pStyle w:val="26"/>
        <w:keepNext w:val="0"/>
        <w:keepLines w:val="0"/>
        <w:pageBreakBefore w:val="0"/>
        <w:kinsoku/>
        <w:wordWrap/>
        <w:overflowPunct/>
        <w:topLinePunct w:val="0"/>
        <w:autoSpaceDE/>
        <w:autoSpaceDN/>
        <w:bidi w:val="0"/>
        <w:adjustRightInd w:val="0"/>
        <w:snapToGrid w:val="0"/>
        <w:spacing w:before="0" w:beforeAutospacing="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r>
        <w:rPr>
          <w:rFonts w:hint="eastAsia" w:ascii="仿宋" w:hAnsi="仿宋" w:eastAsia="仿宋" w:cs="仿宋"/>
          <w:color w:val="auto"/>
          <w:sz w:val="24"/>
          <w:szCs w:val="24"/>
          <w:highlight w:val="none"/>
          <w:lang w:val="en-US" w:eastAsia="zh-CN"/>
        </w:rPr>
        <w:t xml:space="preserve">3 </w:t>
      </w:r>
      <w:r>
        <w:rPr>
          <w:rFonts w:hint="eastAsia" w:ascii="仿宋" w:hAnsi="仿宋" w:eastAsia="仿宋" w:cs="仿宋"/>
          <w:color w:val="auto"/>
          <w:sz w:val="24"/>
          <w:szCs w:val="24"/>
          <w:highlight w:val="none"/>
        </w:rPr>
        <w:t>对未通过资格审查的投标人，采购人或</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告知其未通过的原因。</w:t>
      </w:r>
    </w:p>
    <w:p w14:paraId="08F33239">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r>
        <w:rPr>
          <w:rFonts w:hint="eastAsia" w:ascii="仿宋" w:hAnsi="仿宋" w:eastAsia="仿宋" w:cs="仿宋"/>
          <w:color w:val="auto"/>
          <w:sz w:val="24"/>
          <w:szCs w:val="24"/>
          <w:highlight w:val="none"/>
          <w:lang w:val="en-US" w:eastAsia="zh-CN"/>
        </w:rPr>
        <w:t xml:space="preserve">4 </w:t>
      </w:r>
      <w:r>
        <w:rPr>
          <w:rFonts w:hint="eastAsia" w:ascii="仿宋" w:hAnsi="仿宋" w:eastAsia="仿宋" w:cs="仿宋"/>
          <w:color w:val="auto"/>
          <w:sz w:val="24"/>
          <w:szCs w:val="24"/>
          <w:highlight w:val="none"/>
        </w:rPr>
        <w:t>合格投标人不足3家的，不再评标。</w:t>
      </w:r>
    </w:p>
    <w:p w14:paraId="2B3B7CD7">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19.5</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4D3AA5B8">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信用信息查询</w:t>
      </w:r>
    </w:p>
    <w:p w14:paraId="3E7EC9B8">
      <w:pPr>
        <w:pStyle w:val="26"/>
        <w:pageBreakBefore w:val="0"/>
        <w:kinsoku/>
        <w:wordWrap/>
        <w:overflowPunct/>
        <w:topLinePunct w:val="0"/>
        <w:bidi w:val="0"/>
        <w:snapToGrid w:val="0"/>
        <w:spacing w:before="0" w:line="360" w:lineRule="auto"/>
        <w:ind w:firstLine="495" w:firstLineChars="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20.1</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信用信息查询渠道及截止时间：</w:t>
      </w:r>
      <w:r>
        <w:rPr>
          <w:rFonts w:hint="eastAsia" w:ascii="仿宋" w:hAnsi="仿宋" w:eastAsia="仿宋" w:cs="仿宋"/>
          <w:color w:val="auto"/>
          <w:kern w:val="0"/>
          <w:sz w:val="24"/>
          <w:szCs w:val="24"/>
          <w:highlight w:val="none"/>
          <w:lang w:eastAsia="zh-CN"/>
        </w:rPr>
        <w:t>采购代理机构</w:t>
      </w:r>
      <w:r>
        <w:rPr>
          <w:rFonts w:hint="eastAsia" w:ascii="仿宋" w:hAnsi="仿宋" w:eastAsia="仿宋" w:cs="仿宋"/>
          <w:color w:val="auto"/>
          <w:kern w:val="0"/>
          <w:sz w:val="24"/>
          <w:szCs w:val="24"/>
          <w:highlight w:val="none"/>
        </w:rPr>
        <w:t>将在资格审查时通过“信用中国”网站(www.creditchina.gov.cn)、中国政府采购网(www.ccgp.gov.cn)渠道查询投标人接受资格时的信用记录。</w:t>
      </w:r>
    </w:p>
    <w:p w14:paraId="7EDC4470">
      <w:pPr>
        <w:pStyle w:val="26"/>
        <w:pageBreakBefore w:val="0"/>
        <w:kinsoku/>
        <w:wordWrap/>
        <w:overflowPunct/>
        <w:topLinePunct w:val="0"/>
        <w:bidi w:val="0"/>
        <w:snapToGrid w:val="0"/>
        <w:spacing w:before="0" w:line="360" w:lineRule="auto"/>
        <w:ind w:firstLine="495" w:firstLineChars="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信用信息查询记录和证据留存的具体方式：现场查询的投标人的信用记录、查询结果经确认后将与采购文件一起存档。</w:t>
      </w:r>
    </w:p>
    <w:p w14:paraId="566A940A">
      <w:pPr>
        <w:pStyle w:val="26"/>
        <w:pageBreakBefore w:val="0"/>
        <w:kinsoku/>
        <w:wordWrap/>
        <w:overflowPunct/>
        <w:topLinePunct w:val="0"/>
        <w:bidi w:val="0"/>
        <w:snapToGrid w:val="0"/>
        <w:spacing w:before="0" w:line="360" w:lineRule="auto"/>
        <w:ind w:firstLine="495" w:firstLineChars="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20.3</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信用信息的使用规则：</w:t>
      </w:r>
      <w:r>
        <w:rPr>
          <w:rFonts w:hint="eastAsia" w:ascii="仿宋" w:hAnsi="仿宋" w:eastAsia="仿宋" w:cs="仿宋"/>
          <w:bCs/>
          <w:color w:val="auto"/>
          <w:sz w:val="24"/>
          <w:highlight w:val="none"/>
        </w:rPr>
        <w:t>列入失信被执行人、重大税收违法失信主体、政府采购严重违法失信行为记录名单</w:t>
      </w:r>
      <w:r>
        <w:rPr>
          <w:rFonts w:hint="eastAsia" w:ascii="仿宋" w:hAnsi="仿宋" w:eastAsia="仿宋" w:cs="仿宋"/>
          <w:color w:val="auto"/>
          <w:kern w:val="0"/>
          <w:sz w:val="24"/>
          <w:szCs w:val="24"/>
          <w:highlight w:val="none"/>
        </w:rPr>
        <w:t>的投标人将被拒绝参与政府采购活动。</w:t>
      </w:r>
    </w:p>
    <w:p w14:paraId="2C0C9B7E">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20.4</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sz w:val="24"/>
          <w:szCs w:val="24"/>
          <w:highlight w:val="none"/>
        </w:rPr>
        <w:t>。</w:t>
      </w:r>
    </w:p>
    <w:p w14:paraId="34860C34">
      <w:pPr>
        <w:pStyle w:val="9"/>
        <w:keepNext/>
        <w:keepLines/>
        <w:pageBreakBefore w:val="0"/>
        <w:widowControl w:val="0"/>
        <w:numPr>
          <w:ilvl w:val="0"/>
          <w:numId w:val="5"/>
        </w:numPr>
        <w:kinsoku/>
        <w:wordWrap/>
        <w:overflowPunct/>
        <w:topLinePunct w:val="0"/>
        <w:autoSpaceDE/>
        <w:autoSpaceDN/>
        <w:bidi w:val="0"/>
        <w:adjustRightInd/>
        <w:snapToGrid w:val="0"/>
        <w:spacing w:before="157" w:beforeLines="50" w:after="157" w:afterLines="50"/>
        <w:ind w:left="0" w:leftChars="0" w:firstLine="0" w:firstLineChars="0"/>
        <w:jc w:val="center"/>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评标</w:t>
      </w:r>
    </w:p>
    <w:p w14:paraId="070A8F5A">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0"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val="0"/>
          <w:bCs/>
          <w:color w:val="auto"/>
          <w:sz w:val="24"/>
          <w:szCs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szCs w:val="24"/>
          <w:highlight w:val="none"/>
        </w:rPr>
        <w:t>详见招标文件第四部分评标办法。</w:t>
      </w:r>
    </w:p>
    <w:p w14:paraId="02047078">
      <w:pPr>
        <w:pStyle w:val="9"/>
        <w:keepNext/>
        <w:keepLines/>
        <w:pageBreakBefore w:val="0"/>
        <w:widowControl w:val="0"/>
        <w:numPr>
          <w:ilvl w:val="0"/>
          <w:numId w:val="5"/>
        </w:numPr>
        <w:kinsoku/>
        <w:wordWrap/>
        <w:overflowPunct/>
        <w:topLinePunct w:val="0"/>
        <w:autoSpaceDE/>
        <w:autoSpaceDN/>
        <w:bidi w:val="0"/>
        <w:adjustRightInd/>
        <w:snapToGrid/>
        <w:spacing w:before="157" w:beforeLines="50" w:after="157" w:afterLines="50"/>
        <w:ind w:left="0" w:leftChars="0" w:firstLine="0" w:firstLineChars="0"/>
        <w:jc w:val="center"/>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定 标</w:t>
      </w:r>
    </w:p>
    <w:p w14:paraId="6EC125CC">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确定中标供应商</w:t>
      </w:r>
    </w:p>
    <w:p w14:paraId="0C1A2FD1">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政府采购项目实行全流程电子化，评审报告送交、采购结果确定和结果公告均在线完成。</w:t>
      </w:r>
    </w:p>
    <w:p w14:paraId="674C78E7">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22.1</w:t>
      </w:r>
      <w:r>
        <w:rPr>
          <w:rFonts w:hint="eastAsia" w:ascii="仿宋" w:hAnsi="仿宋" w:eastAsia="仿宋" w:cs="仿宋"/>
          <w:color w:val="000000" w:themeColor="text1"/>
          <w:sz w:val="24"/>
          <w:szCs w:val="24"/>
          <w:highlight w:val="none"/>
          <w14:textFill>
            <w14:solidFill>
              <w14:schemeClr w14:val="tx1"/>
            </w14:solidFill>
          </w14:textFill>
        </w:rPr>
        <w:t>采购代理机构在评标结束后2个工作日内将评标报告提交采购人确认；</w:t>
      </w:r>
    </w:p>
    <w:p w14:paraId="3C9583B6">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22.2采购人应当自收到评标报告之日起5个工作日内，在评标报告确定的中标候选人名单中按顺序确定中标人；</w:t>
      </w:r>
    </w:p>
    <w:p w14:paraId="61FF8131">
      <w:pPr>
        <w:pStyle w:val="26"/>
        <w:pageBreakBefore w:val="0"/>
        <w:kinsoku/>
        <w:wordWrap/>
        <w:overflowPunct/>
        <w:topLinePunct w:val="0"/>
        <w:bidi w:val="0"/>
        <w:snapToGrid w:val="0"/>
        <w:spacing w:before="0" w:line="360" w:lineRule="auto"/>
        <w:ind w:firstLine="48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22.3</w:t>
      </w:r>
      <w:r>
        <w:rPr>
          <w:rFonts w:hint="eastAsia" w:ascii="仿宋" w:hAnsi="仿宋" w:eastAsia="仿宋" w:cs="仿宋"/>
          <w:color w:val="000000" w:themeColor="text1"/>
          <w:sz w:val="24"/>
          <w:highlight w:val="none"/>
          <w14:textFill>
            <w14:solidFill>
              <w14:schemeClr w14:val="tx1"/>
            </w14:solidFill>
          </w14:textFill>
        </w:rPr>
        <w:t>采购人在收到评标报告5个工作日内未按评标报告推荐的中标候选人顺序确定中标人，又不能说明合法理由的，视同按评标报告推荐的顺序确定排名第一的中标候选人为中标人</w:t>
      </w:r>
      <w:r>
        <w:rPr>
          <w:rFonts w:hint="eastAsia" w:ascii="仿宋" w:hAnsi="仿宋" w:eastAsia="仿宋" w:cs="仿宋"/>
          <w:color w:val="000000" w:themeColor="text1"/>
          <w:sz w:val="24"/>
          <w:highlight w:val="none"/>
          <w:lang w:eastAsia="zh-CN"/>
          <w14:textFill>
            <w14:solidFill>
              <w14:schemeClr w14:val="tx1"/>
            </w14:solidFill>
          </w14:textFill>
        </w:rPr>
        <w:t>。</w:t>
      </w:r>
    </w:p>
    <w:p w14:paraId="25804B3E">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中标通知与中标结果公告</w:t>
      </w:r>
    </w:p>
    <w:p w14:paraId="5A82C4BE">
      <w:pPr>
        <w:pageBreakBefore w:val="0"/>
        <w:widowControl/>
        <w:shd w:val="clear" w:color="auto" w:fill="FFFFFF"/>
        <w:kinsoku/>
        <w:wordWrap/>
        <w:overflowPunct/>
        <w:topLinePunct w:val="0"/>
        <w:bidi w:val="0"/>
        <w:snapToGrid w:val="0"/>
        <w:spacing w:line="360" w:lineRule="auto"/>
        <w:ind w:firstLine="48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自中标人确定之日起2个工作日内，</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通过电子交易平台向中标人发出中标通知书，同时编制发布采购结果公告。</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也可以以纸质形式进行中标通知。</w:t>
      </w:r>
    </w:p>
    <w:p w14:paraId="07A551AE">
      <w:pPr>
        <w:pageBreakBefore w:val="0"/>
        <w:widowControl/>
        <w:shd w:val="clear" w:color="auto" w:fill="FFFFFF"/>
        <w:kinsoku/>
        <w:wordWrap/>
        <w:overflowPunct/>
        <w:topLinePunct w:val="0"/>
        <w:bidi w:val="0"/>
        <w:snapToGrid w:val="0"/>
        <w:spacing w:line="360" w:lineRule="auto"/>
        <w:ind w:firstLine="48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中标结果公告内容包括采购人及其委托的</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的名称、地址、联系方式，项目名称和项目编号，中标人名称、地址和中标金额，主要中标标的的名称、规格型号、数量、单价、服务要求，开标记录、</w:t>
      </w:r>
      <w:bookmarkStart w:id="21" w:name="_Hlk101184471"/>
      <w:r>
        <w:rPr>
          <w:rFonts w:hint="eastAsia" w:ascii="仿宋" w:hAnsi="仿宋" w:eastAsia="仿宋" w:cs="仿宋"/>
          <w:color w:val="auto"/>
          <w:sz w:val="24"/>
          <w:szCs w:val="24"/>
          <w:highlight w:val="none"/>
        </w:rPr>
        <w:t>资格审查情况、评审专家抽取规则、符合性审查情况、</w:t>
      </w:r>
      <w:bookmarkEnd w:id="21"/>
      <w:r>
        <w:rPr>
          <w:rFonts w:hint="eastAsia" w:ascii="仿宋" w:hAnsi="仿宋" w:eastAsia="仿宋" w:cs="仿宋"/>
          <w:color w:val="auto"/>
          <w:sz w:val="24"/>
          <w:szCs w:val="24"/>
          <w:highlight w:val="none"/>
        </w:rPr>
        <w:t>未中标情况说明、中标公告期限以及评审专家名单、评分汇总及明细。</w:t>
      </w:r>
    </w:p>
    <w:p w14:paraId="61B88292">
      <w:pPr>
        <w:pageBreakBefore w:val="0"/>
        <w:widowControl/>
        <w:shd w:val="clear" w:color="auto" w:fill="FFFFFF"/>
        <w:kinsoku/>
        <w:wordWrap/>
        <w:overflowPunct/>
        <w:topLinePunct w:val="0"/>
        <w:bidi w:val="0"/>
        <w:snapToGrid w:val="0"/>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公告期限为1个工作日。</w:t>
      </w:r>
    </w:p>
    <w:p w14:paraId="485A7C77">
      <w:pPr>
        <w:pStyle w:val="26"/>
        <w:pageBreakBefore w:val="0"/>
        <w:widowControl w:val="0"/>
        <w:kinsoku/>
        <w:wordWrap/>
        <w:overflowPunct/>
        <w:topLinePunct w:val="0"/>
        <w:autoSpaceDE/>
        <w:autoSpaceDN/>
        <w:bidi w:val="0"/>
        <w:adjustRightInd w:val="0"/>
        <w:snapToGrid w:val="0"/>
        <w:spacing w:before="0" w:line="360" w:lineRule="auto"/>
        <w:ind w:firstLine="482" w:firstLineChars="200"/>
        <w:textAlignment w:val="auto"/>
        <w:rPr>
          <w:rStyle w:val="24"/>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 xml:space="preserve">23.4  </w:t>
      </w:r>
      <w:r>
        <w:rPr>
          <w:rFonts w:hint="eastAsia" w:ascii="仿宋" w:hAnsi="仿宋" w:eastAsia="仿宋" w:cs="仿宋"/>
          <w:b w:val="0"/>
          <w:bCs/>
          <w:color w:val="auto"/>
          <w:sz w:val="24"/>
          <w:szCs w:val="24"/>
          <w:highlight w:val="none"/>
        </w:rPr>
        <w:t>由于</w:t>
      </w:r>
      <w:r>
        <w:rPr>
          <w:rFonts w:hint="eastAsia" w:ascii="仿宋" w:hAnsi="仿宋" w:eastAsia="仿宋" w:cs="仿宋"/>
          <w:bCs/>
          <w:color w:val="auto"/>
          <w:sz w:val="24"/>
          <w:szCs w:val="24"/>
          <w:highlight w:val="none"/>
        </w:rPr>
        <w:t>中标、成交供应商原因导致重新采购的，应当承担支付代理费和专家评审费等费用在内的赔偿责任。</w:t>
      </w:r>
    </w:p>
    <w:p w14:paraId="10734F3C">
      <w:pPr>
        <w:pStyle w:val="9"/>
        <w:keepNext/>
        <w:keepLines/>
        <w:pageBreakBefore w:val="0"/>
        <w:widowControl w:val="0"/>
        <w:numPr>
          <w:ilvl w:val="0"/>
          <w:numId w:val="5"/>
        </w:numPr>
        <w:kinsoku/>
        <w:wordWrap/>
        <w:overflowPunct/>
        <w:topLinePunct w:val="0"/>
        <w:autoSpaceDE/>
        <w:autoSpaceDN/>
        <w:bidi w:val="0"/>
        <w:adjustRightInd/>
        <w:snapToGrid w:val="0"/>
        <w:spacing w:before="157" w:beforeLines="50" w:after="157" w:afterLines="50"/>
        <w:ind w:left="0" w:leftChars="0" w:firstLine="0" w:firstLineChars="0"/>
        <w:jc w:val="center"/>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合同授予</w:t>
      </w:r>
    </w:p>
    <w:p w14:paraId="2866EECF">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0" w:firstLineChars="200"/>
        <w:jc w:val="left"/>
        <w:textAlignment w:val="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合同主要条款详见第五部分拟签订的合同文本。</w:t>
      </w:r>
    </w:p>
    <w:p w14:paraId="4597A8BA">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0" w:firstLineChars="200"/>
        <w:jc w:val="left"/>
        <w:textAlignment w:val="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合同的签订</w:t>
      </w:r>
    </w:p>
    <w:p w14:paraId="0105CF71">
      <w:pPr>
        <w:pageBreakBefore w:val="0"/>
        <w:widowControl/>
        <w:shd w:val="clear" w:color="auto" w:fill="FFFFFF"/>
        <w:kinsoku/>
        <w:wordWrap/>
        <w:overflowPunct/>
        <w:topLinePunct w:val="0"/>
        <w:autoSpaceDE/>
        <w:autoSpaceDN/>
        <w:bidi w:val="0"/>
        <w:snapToGrid w:val="0"/>
        <w:spacing w:line="360" w:lineRule="auto"/>
        <w:ind w:firstLine="48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25.1</w:t>
      </w:r>
      <w:r>
        <w:rPr>
          <w:rFonts w:hint="eastAsia" w:ascii="仿宋" w:hAnsi="仿宋" w:eastAsia="仿宋" w:cs="仿宋"/>
          <w:color w:val="auto"/>
          <w:kern w:val="0"/>
          <w:sz w:val="24"/>
          <w:szCs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FF63FF3">
      <w:pPr>
        <w:pStyle w:val="26"/>
        <w:pageBreakBefore w:val="0"/>
        <w:kinsoku/>
        <w:wordWrap/>
        <w:overflowPunct/>
        <w:topLinePunct w:val="0"/>
        <w:autoSpaceDE/>
        <w:autoSpaceDN/>
        <w:bidi w:val="0"/>
        <w:snapToGrid w:val="0"/>
        <w:spacing w:before="0"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25.2</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中标人按规定的日期、时间、地点，由法定代表人或其授权代表与采购人代表签订合同。如中标人为联合体的，由联合体成员各方法定代表人或其授权代表与采购人代表签订合同。</w:t>
      </w:r>
    </w:p>
    <w:p w14:paraId="7EF47310">
      <w:pPr>
        <w:pStyle w:val="26"/>
        <w:pageBreakBefore w:val="0"/>
        <w:kinsoku/>
        <w:wordWrap/>
        <w:overflowPunct/>
        <w:topLinePunct w:val="0"/>
        <w:autoSpaceDE/>
        <w:autoSpaceDN/>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如签订合同并生效后，供应商无故拒绝或延期，除按照合同条款处理外，列入不良行为记录一次，并给予通报。</w:t>
      </w:r>
    </w:p>
    <w:p w14:paraId="063D1257">
      <w:pPr>
        <w:pStyle w:val="26"/>
        <w:pageBreakBefore w:val="0"/>
        <w:kinsoku/>
        <w:wordWrap/>
        <w:overflowPunct/>
        <w:topLinePunct w:val="0"/>
        <w:autoSpaceDE/>
        <w:autoSpaceDN/>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25.4</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中标供应商拒绝与采购人签订合同的，采购人可以按照评审报告推荐的中标或者成交候选人名单排序，确定下一候选人为中标供应商，也可以重新开展政府采购活动。</w:t>
      </w:r>
    </w:p>
    <w:p w14:paraId="6C9C1C40">
      <w:pPr>
        <w:pStyle w:val="26"/>
        <w:pageBreakBefore w:val="0"/>
        <w:kinsoku/>
        <w:wordWrap/>
        <w:overflowPunct/>
        <w:topLinePunct w:val="0"/>
        <w:autoSpaceDE/>
        <w:autoSpaceDN/>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25.5</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采购合同由采购人与中标供应商根据招标文件、投标文件等内容通过政府采购电子交易平台在线签订，自动备案。</w:t>
      </w:r>
    </w:p>
    <w:p w14:paraId="336484EC">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履约保证金</w:t>
      </w:r>
    </w:p>
    <w:p w14:paraId="4FA6166C">
      <w:pPr>
        <w:pageBreakBefore w:val="0"/>
        <w:tabs>
          <w:tab w:val="left" w:pos="0"/>
        </w:tabs>
        <w:kinsoku/>
        <w:wordWrap/>
        <w:overflowPunct/>
        <w:topLinePunct w:val="0"/>
        <w:autoSpaceDE/>
        <w:autoSpaceDN/>
        <w:bidi w:val="0"/>
        <w:snapToGrid w:val="0"/>
        <w:spacing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szCs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358866B6">
      <w:pPr>
        <w:keepNext/>
        <w:keepLines/>
        <w:pageBreakBefore w:val="0"/>
        <w:widowControl w:val="0"/>
        <w:tabs>
          <w:tab w:val="left" w:pos="432"/>
        </w:tabs>
        <w:kinsoku/>
        <w:wordWrap/>
        <w:overflowPunct/>
        <w:topLinePunct w:val="0"/>
        <w:autoSpaceDE/>
        <w:autoSpaceDN/>
        <w:bidi w:val="0"/>
        <w:adjustRightInd/>
        <w:snapToGrid w:val="0"/>
        <w:spacing w:line="360" w:lineRule="auto"/>
        <w:ind w:left="0" w:firstLine="480" w:firstLineChars="200"/>
        <w:textAlignment w:val="auto"/>
        <w:outlineLvl w:val="9"/>
        <w:rPr>
          <w:rFonts w:hint="eastAsia" w:ascii="仿宋" w:hAnsi="仿宋" w:eastAsia="仿宋" w:cs="仿宋"/>
          <w:b w:val="0"/>
          <w:bCs w:val="0"/>
          <w:snapToGrid w:val="0"/>
          <w:color w:val="auto"/>
          <w:kern w:val="28"/>
          <w:sz w:val="24"/>
          <w:szCs w:val="24"/>
          <w:highlight w:val="none"/>
        </w:rPr>
      </w:pPr>
      <w:r>
        <w:rPr>
          <w:rFonts w:hint="eastAsia" w:ascii="仿宋" w:hAnsi="仿宋" w:eastAsia="仿宋" w:cs="仿宋"/>
          <w:b w:val="0"/>
          <w:bCs w:val="0"/>
          <w:snapToGrid w:val="0"/>
          <w:color w:val="auto"/>
          <w:kern w:val="28"/>
          <w:sz w:val="24"/>
          <w:szCs w:val="24"/>
          <w:highlight w:val="none"/>
        </w:rPr>
        <w:t>供应商</w:t>
      </w:r>
      <w:r>
        <w:rPr>
          <w:rFonts w:hint="eastAsia" w:ascii="仿宋" w:hAnsi="仿宋" w:eastAsia="仿宋" w:cs="仿宋"/>
          <w:b w:val="0"/>
          <w:bCs w:val="0"/>
          <w:snapToGrid w:val="0"/>
          <w:color w:val="auto"/>
          <w:kern w:val="28"/>
          <w:sz w:val="24"/>
          <w:szCs w:val="24"/>
          <w:highlight w:val="none"/>
          <w:lang w:val="en-US"/>
        </w:rPr>
        <w:t>可</w:t>
      </w:r>
      <w:r>
        <w:rPr>
          <w:rFonts w:hint="eastAsia" w:ascii="仿宋" w:hAnsi="仿宋" w:eastAsia="仿宋" w:cs="仿宋"/>
          <w:b w:val="0"/>
          <w:bCs w:val="0"/>
          <w:snapToGrid w:val="0"/>
          <w:color w:val="auto"/>
          <w:kern w:val="28"/>
          <w:sz w:val="24"/>
          <w:szCs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C68DC63">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rPr>
        <w:t>预付款</w:t>
      </w:r>
    </w:p>
    <w:p w14:paraId="3C9CC31E">
      <w:pPr>
        <w:pageBreakBefore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4F22FCFE">
      <w:pPr>
        <w:pStyle w:val="9"/>
        <w:keepNext/>
        <w:keepLines/>
        <w:pageBreakBefore w:val="0"/>
        <w:widowControl w:val="0"/>
        <w:numPr>
          <w:ilvl w:val="0"/>
          <w:numId w:val="5"/>
        </w:numPr>
        <w:kinsoku/>
        <w:wordWrap/>
        <w:overflowPunct/>
        <w:topLinePunct w:val="0"/>
        <w:autoSpaceDE/>
        <w:autoSpaceDN/>
        <w:bidi w:val="0"/>
        <w:adjustRightInd/>
        <w:snapToGrid w:val="0"/>
        <w:spacing w:before="157" w:beforeLines="50" w:after="157" w:afterLines="50"/>
        <w:ind w:left="0" w:leftChars="0" w:firstLine="0" w:firstLineChars="0"/>
        <w:jc w:val="center"/>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电子交易活动的中止</w:t>
      </w:r>
    </w:p>
    <w:p w14:paraId="39EF6484">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电子交易活动的中止。</w:t>
      </w:r>
      <w:r>
        <w:rPr>
          <w:rFonts w:hint="eastAsia" w:ascii="仿宋" w:hAnsi="仿宋" w:eastAsia="仿宋" w:cs="仿宋"/>
          <w:color w:val="auto"/>
          <w:sz w:val="24"/>
          <w:szCs w:val="24"/>
          <w:highlight w:val="none"/>
        </w:rPr>
        <w:t>采购过程中出现以下情形，导致电子交易平台无法正常运行，或者无法保证电子交易的公平、公正和安全时，</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可中止电子交易活动：</w:t>
      </w:r>
    </w:p>
    <w:p w14:paraId="721B9F19">
      <w:pPr>
        <w:pStyle w:val="26"/>
        <w:pageBreakBefore w:val="0"/>
        <w:kinsoku/>
        <w:wordWrap/>
        <w:overflowPunct/>
        <w:topLinePunct w:val="0"/>
        <w:autoSpaceDE/>
        <w:autoSpaceDN/>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电子交易平台发生故障而无法登录访问的； </w:t>
      </w:r>
    </w:p>
    <w:p w14:paraId="239B4E01">
      <w:pPr>
        <w:pStyle w:val="26"/>
        <w:pageBreakBefore w:val="0"/>
        <w:kinsoku/>
        <w:wordWrap/>
        <w:overflowPunct/>
        <w:topLinePunct w:val="0"/>
        <w:autoSpaceDE/>
        <w:autoSpaceDN/>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电子交易平台应用或数据库出现错误，不能进行正常操作的；</w:t>
      </w:r>
    </w:p>
    <w:p w14:paraId="4BE1EB56">
      <w:pPr>
        <w:pStyle w:val="26"/>
        <w:pageBreakBefore w:val="0"/>
        <w:kinsoku/>
        <w:wordWrap/>
        <w:overflowPunct/>
        <w:topLinePunct w:val="0"/>
        <w:autoSpaceDE/>
        <w:autoSpaceDN/>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电子交易平台发现严重安全漏洞，有潜在泄密危险的；</w:t>
      </w:r>
    </w:p>
    <w:p w14:paraId="1E47BBB4">
      <w:pPr>
        <w:pStyle w:val="26"/>
        <w:pageBreakBefore w:val="0"/>
        <w:kinsoku/>
        <w:wordWrap/>
        <w:overflowPunct/>
        <w:topLinePunct w:val="0"/>
        <w:autoSpaceDE/>
        <w:autoSpaceDN/>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28.4</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病毒发作导致不能进行正常操作的； </w:t>
      </w:r>
    </w:p>
    <w:p w14:paraId="40B16A0D">
      <w:pPr>
        <w:pStyle w:val="26"/>
        <w:pageBreakBefore w:val="0"/>
        <w:kinsoku/>
        <w:wordWrap/>
        <w:overflowPunct/>
        <w:topLinePunct w:val="0"/>
        <w:autoSpaceDE/>
        <w:autoSpaceDN/>
        <w:bidi w:val="0"/>
        <w:snapToGrid w:val="0"/>
        <w:spacing w:before="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28.5</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其他无法保证电子交易的公平、公正和安全的情况。</w:t>
      </w:r>
    </w:p>
    <w:p w14:paraId="056D1498">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出现以上情形，不影响采购公平、公正性的，采购组织机构可以待上述情形消除后继续组织电子交易活动，也可以决定某些环节以纸质形式进行；影响或可能影响采购公平、公正性的，应当重新采购。</w:t>
      </w:r>
    </w:p>
    <w:p w14:paraId="1CA14D1E">
      <w:pPr>
        <w:pStyle w:val="9"/>
        <w:keepNext/>
        <w:keepLines/>
        <w:pageBreakBefore w:val="0"/>
        <w:widowControl w:val="0"/>
        <w:numPr>
          <w:ilvl w:val="0"/>
          <w:numId w:val="5"/>
        </w:numPr>
        <w:kinsoku/>
        <w:wordWrap/>
        <w:overflowPunct/>
        <w:topLinePunct w:val="0"/>
        <w:autoSpaceDE/>
        <w:autoSpaceDN/>
        <w:bidi w:val="0"/>
        <w:adjustRightInd/>
        <w:snapToGrid w:val="0"/>
        <w:spacing w:before="157" w:beforeLines="50" w:after="157" w:afterLines="50"/>
        <w:ind w:left="0" w:leftChars="0" w:firstLine="0" w:firstLineChars="0"/>
        <w:jc w:val="center"/>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验收</w:t>
      </w:r>
    </w:p>
    <w:p w14:paraId="25A9B318">
      <w:pPr>
        <w:keepNext w:val="0"/>
        <w:keepLines w:val="0"/>
        <w:pageBreakBefore w:val="0"/>
        <w:widowControl w:val="0"/>
        <w:numPr>
          <w:ilvl w:val="0"/>
          <w:numId w:val="6"/>
        </w:numPr>
        <w:kinsoku/>
        <w:wordWrap/>
        <w:overflowPunct/>
        <w:topLinePunct w:val="0"/>
        <w:autoSpaceDE/>
        <w:autoSpaceDN/>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验收</w:t>
      </w:r>
    </w:p>
    <w:p w14:paraId="56265898">
      <w:pPr>
        <w:pageBreakBefore w:val="0"/>
        <w:tabs>
          <w:tab w:val="left" w:pos="0"/>
        </w:tabs>
        <w:kinsoku/>
        <w:wordWrap/>
        <w:overflowPunct/>
        <w:topLinePunct w:val="0"/>
        <w:autoSpaceDE/>
        <w:autoSpaceDN/>
        <w:bidi w:val="0"/>
        <w:snapToGrid w:val="0"/>
        <w:spacing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30.1</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FE200A2">
      <w:pPr>
        <w:pageBreakBefore w:val="0"/>
        <w:tabs>
          <w:tab w:val="left" w:pos="0"/>
        </w:tabs>
        <w:kinsoku/>
        <w:wordWrap/>
        <w:overflowPunct/>
        <w:topLinePunct w:val="0"/>
        <w:autoSpaceDE/>
        <w:autoSpaceDN/>
        <w:bidi w:val="0"/>
        <w:snapToGrid w:val="0"/>
        <w:spacing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30.2</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采购人可以邀请参加本项目的其他投标人或者第三方机构参与验收。参与验收的投标人或者第三方机构的意见作为验收书的参考资料一并存档。</w:t>
      </w:r>
    </w:p>
    <w:p w14:paraId="22C8F1A6">
      <w:pPr>
        <w:pageBreakBefore w:val="0"/>
        <w:tabs>
          <w:tab w:val="left" w:pos="0"/>
        </w:tabs>
        <w:kinsoku/>
        <w:wordWrap/>
        <w:overflowPunct/>
        <w:topLinePunct w:val="0"/>
        <w:autoSpaceDE/>
        <w:autoSpaceDN/>
        <w:bidi w:val="0"/>
        <w:snapToGrid w:val="0"/>
        <w:spacing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30.3</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9C962AB">
      <w:pPr>
        <w:pageBreakBefore w:val="0"/>
        <w:tabs>
          <w:tab w:val="left" w:pos="0"/>
        </w:tabs>
        <w:kinsoku/>
        <w:wordWrap/>
        <w:overflowPunct/>
        <w:topLinePunct w:val="0"/>
        <w:autoSpaceDE/>
        <w:autoSpaceDN/>
        <w:bidi w:val="0"/>
        <w:snapToGrid w:val="0"/>
        <w:spacing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30.4</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211E279">
      <w:pPr>
        <w:keepNext/>
        <w:keepLines/>
        <w:pageBreakBefore w:val="0"/>
        <w:widowControl w:val="0"/>
        <w:tabs>
          <w:tab w:val="left" w:pos="432"/>
        </w:tabs>
        <w:kinsoku/>
        <w:wordWrap/>
        <w:overflowPunct/>
        <w:topLinePunct w:val="0"/>
        <w:autoSpaceDE/>
        <w:autoSpaceDN/>
        <w:bidi w:val="0"/>
        <w:adjustRightInd w:val="0"/>
        <w:snapToGrid w:val="0"/>
        <w:spacing w:line="360" w:lineRule="auto"/>
        <w:ind w:left="0" w:firstLine="480" w:firstLineChars="200"/>
        <w:textAlignment w:val="auto"/>
        <w:outlineLvl w:val="9"/>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0F7C4FD2">
      <w:pPr>
        <w:rPr>
          <w:rFonts w:hint="eastAsia" w:ascii="仿宋" w:hAnsi="仿宋" w:eastAsia="仿宋" w:cs="仿宋"/>
          <w:color w:val="auto"/>
        </w:rPr>
      </w:pPr>
    </w:p>
    <w:p w14:paraId="4CB50EAE">
      <w:pPr>
        <w:rPr>
          <w:rFonts w:hint="eastAsia" w:ascii="仿宋" w:hAnsi="仿宋" w:eastAsia="仿宋" w:cs="仿宋"/>
          <w:color w:val="auto"/>
        </w:rPr>
      </w:pPr>
    </w:p>
    <w:p w14:paraId="10323257">
      <w:pPr>
        <w:rPr>
          <w:rFonts w:hint="eastAsia" w:ascii="仿宋" w:hAnsi="仿宋" w:eastAsia="仿宋" w:cs="仿宋"/>
          <w:color w:val="auto"/>
        </w:rPr>
      </w:pPr>
    </w:p>
    <w:p w14:paraId="49358102">
      <w:pPr>
        <w:rPr>
          <w:rFonts w:hint="eastAsia" w:ascii="仿宋" w:hAnsi="仿宋" w:eastAsia="仿宋" w:cs="仿宋"/>
          <w:color w:val="auto"/>
        </w:rPr>
      </w:pPr>
    </w:p>
    <w:p w14:paraId="3DCB1DDA">
      <w:pPr>
        <w:pStyle w:val="15"/>
        <w:rPr>
          <w:rFonts w:hint="eastAsia" w:ascii="仿宋" w:hAnsi="仿宋" w:eastAsia="仿宋" w:cs="仿宋"/>
          <w:color w:val="auto"/>
        </w:rPr>
      </w:pPr>
    </w:p>
    <w:p w14:paraId="57614E48">
      <w:pPr>
        <w:rPr>
          <w:rFonts w:hint="eastAsia" w:ascii="仿宋" w:hAnsi="仿宋" w:eastAsia="仿宋" w:cs="仿宋"/>
          <w:color w:val="auto"/>
        </w:rPr>
      </w:pPr>
    </w:p>
    <w:p w14:paraId="230E8589">
      <w:pPr>
        <w:pStyle w:val="15"/>
        <w:rPr>
          <w:rFonts w:hint="eastAsia" w:ascii="仿宋" w:hAnsi="仿宋" w:eastAsia="仿宋" w:cs="仿宋"/>
          <w:color w:val="auto"/>
        </w:rPr>
      </w:pPr>
    </w:p>
    <w:p w14:paraId="22209217">
      <w:pPr>
        <w:rPr>
          <w:rFonts w:hint="eastAsia" w:ascii="仿宋" w:hAnsi="仿宋" w:eastAsia="仿宋" w:cs="仿宋"/>
          <w:color w:val="auto"/>
        </w:rPr>
      </w:pPr>
    </w:p>
    <w:p w14:paraId="654DEAB8">
      <w:pPr>
        <w:pStyle w:val="15"/>
        <w:rPr>
          <w:rFonts w:hint="eastAsia" w:ascii="仿宋" w:hAnsi="仿宋" w:eastAsia="仿宋" w:cs="仿宋"/>
          <w:color w:val="auto"/>
        </w:rPr>
      </w:pPr>
    </w:p>
    <w:p w14:paraId="6621545E">
      <w:pPr>
        <w:rPr>
          <w:rFonts w:hint="eastAsia" w:ascii="仿宋" w:hAnsi="仿宋" w:eastAsia="仿宋" w:cs="仿宋"/>
          <w:color w:val="auto"/>
        </w:rPr>
      </w:pPr>
    </w:p>
    <w:p w14:paraId="77B754AD">
      <w:pPr>
        <w:pStyle w:val="15"/>
        <w:rPr>
          <w:rFonts w:hint="eastAsia" w:ascii="仿宋" w:hAnsi="仿宋" w:eastAsia="仿宋" w:cs="仿宋"/>
          <w:color w:val="auto"/>
        </w:rPr>
      </w:pPr>
    </w:p>
    <w:p w14:paraId="25679BA4">
      <w:pPr>
        <w:rPr>
          <w:rFonts w:hint="eastAsia" w:ascii="仿宋" w:hAnsi="仿宋" w:eastAsia="仿宋" w:cs="仿宋"/>
          <w:color w:val="auto"/>
        </w:rPr>
      </w:pPr>
    </w:p>
    <w:p w14:paraId="62369CAC">
      <w:pPr>
        <w:pStyle w:val="15"/>
        <w:rPr>
          <w:rFonts w:hint="eastAsia" w:ascii="仿宋" w:hAnsi="仿宋" w:eastAsia="仿宋" w:cs="仿宋"/>
          <w:color w:val="auto"/>
        </w:rPr>
      </w:pPr>
    </w:p>
    <w:p w14:paraId="32CD8F61">
      <w:pPr>
        <w:rPr>
          <w:rFonts w:hint="eastAsia" w:ascii="仿宋" w:hAnsi="仿宋" w:eastAsia="仿宋" w:cs="仿宋"/>
          <w:color w:val="auto"/>
        </w:rPr>
      </w:pPr>
    </w:p>
    <w:p w14:paraId="7208494D">
      <w:pPr>
        <w:pStyle w:val="15"/>
        <w:rPr>
          <w:rFonts w:hint="eastAsia" w:ascii="仿宋" w:hAnsi="仿宋" w:eastAsia="仿宋" w:cs="仿宋"/>
          <w:color w:val="auto"/>
        </w:rPr>
      </w:pPr>
    </w:p>
    <w:p w14:paraId="3874FFB0">
      <w:pPr>
        <w:rPr>
          <w:rFonts w:hint="eastAsia" w:ascii="仿宋" w:hAnsi="仿宋" w:eastAsia="仿宋" w:cs="仿宋"/>
          <w:color w:val="auto"/>
        </w:rPr>
      </w:pPr>
    </w:p>
    <w:p w14:paraId="6C3DAC5C">
      <w:pPr>
        <w:pStyle w:val="15"/>
        <w:rPr>
          <w:rFonts w:hint="eastAsia" w:ascii="仿宋" w:hAnsi="仿宋" w:eastAsia="仿宋" w:cs="仿宋"/>
          <w:color w:val="auto"/>
        </w:rPr>
      </w:pPr>
    </w:p>
    <w:p w14:paraId="10D1FD5A">
      <w:pPr>
        <w:rPr>
          <w:rFonts w:hint="eastAsia" w:ascii="仿宋" w:hAnsi="仿宋" w:eastAsia="仿宋" w:cs="仿宋"/>
          <w:color w:val="auto"/>
        </w:rPr>
      </w:pPr>
    </w:p>
    <w:p w14:paraId="3185C364">
      <w:pPr>
        <w:rPr>
          <w:rFonts w:hint="eastAsia" w:ascii="仿宋" w:hAnsi="仿宋" w:eastAsia="仿宋" w:cs="仿宋"/>
          <w:color w:val="auto"/>
        </w:rPr>
      </w:pPr>
    </w:p>
    <w:p w14:paraId="2FAA5D54">
      <w:pPr>
        <w:rPr>
          <w:rFonts w:hint="eastAsia" w:ascii="仿宋" w:hAnsi="仿宋" w:eastAsia="仿宋" w:cs="仿宋"/>
          <w:color w:val="auto"/>
        </w:rPr>
      </w:pPr>
    </w:p>
    <w:p w14:paraId="25FDFA0E">
      <w:pPr>
        <w:numPr>
          <w:ilvl w:val="0"/>
          <w:numId w:val="7"/>
        </w:numPr>
        <w:wordWrap w:val="0"/>
        <w:adjustRightInd/>
        <w:spacing w:line="360" w:lineRule="auto"/>
        <w:jc w:val="center"/>
        <w:outlineLvl w:val="0"/>
        <w:rPr>
          <w:rFonts w:hint="eastAsia" w:ascii="仿宋" w:hAnsi="仿宋" w:eastAsia="仿宋" w:cs="仿宋"/>
          <w:b/>
          <w:color w:val="auto"/>
          <w:sz w:val="36"/>
          <w:szCs w:val="20"/>
          <w:highlight w:val="none"/>
          <w:lang w:val="en-US" w:eastAsia="zh-CN"/>
        </w:rPr>
      </w:pPr>
      <w:r>
        <w:rPr>
          <w:rFonts w:hint="eastAsia" w:ascii="仿宋" w:hAnsi="仿宋" w:eastAsia="仿宋" w:cs="仿宋"/>
          <w:b/>
          <w:color w:val="auto"/>
          <w:sz w:val="36"/>
          <w:szCs w:val="20"/>
          <w:highlight w:val="none"/>
          <w:lang w:val="en-US" w:eastAsia="zh-CN"/>
        </w:rPr>
        <w:t>采购需求</w:t>
      </w:r>
    </w:p>
    <w:p w14:paraId="60AB2C6E">
      <w:pPr>
        <w:pStyle w:val="18"/>
        <w:keepNext w:val="0"/>
        <w:keepLines w:val="0"/>
        <w:pageBreakBefore w:val="0"/>
        <w:widowControl/>
        <w:numPr>
          <w:ilvl w:val="0"/>
          <w:numId w:val="8"/>
        </w:numPr>
        <w:kinsoku/>
        <w:wordWrap/>
        <w:overflowPunct w:val="0"/>
        <w:topLinePunct w:val="0"/>
        <w:autoSpaceDE w:val="0"/>
        <w:autoSpaceDN w:val="0"/>
        <w:bidi w:val="0"/>
        <w:adjustRightInd w:val="0"/>
        <w:snapToGrid w:val="0"/>
        <w:spacing w:before="157" w:beforeLines="50" w:after="0" w:afterLines="35" w:line="360" w:lineRule="auto"/>
        <w:ind w:left="0" w:leftChars="0" w:firstLine="0" w:firstLineChars="0"/>
        <w:jc w:val="left"/>
        <w:textAlignment w:val="baseline"/>
        <w:outlineLvl w:val="1"/>
        <w:rPr>
          <w:rFonts w:hint="eastAsia" w:ascii="仿宋" w:hAnsi="仿宋" w:eastAsia="仿宋" w:cs="仿宋"/>
          <w:b/>
          <w:bCs/>
          <w:caps w:val="0"/>
          <w:color w:val="auto"/>
          <w:spacing w:val="0"/>
          <w:sz w:val="28"/>
          <w:szCs w:val="28"/>
        </w:rPr>
      </w:pPr>
      <w:r>
        <w:rPr>
          <w:rFonts w:hint="eastAsia" w:ascii="仿宋" w:hAnsi="仿宋" w:eastAsia="仿宋" w:cs="仿宋"/>
          <w:b/>
          <w:bCs/>
          <w:caps w:val="0"/>
          <w:color w:val="auto"/>
          <w:spacing w:val="0"/>
          <w:sz w:val="28"/>
          <w:szCs w:val="28"/>
        </w:rPr>
        <w:t>项目概况</w:t>
      </w:r>
    </w:p>
    <w:p w14:paraId="3A3E0531">
      <w:pPr>
        <w:pStyle w:val="3"/>
        <w:keepNext w:val="0"/>
        <w:keepLines w:val="0"/>
        <w:pageBreakBefore w:val="0"/>
        <w:widowControl w:val="0"/>
        <w:kinsoku/>
        <w:wordWrap/>
        <w:overflowPunct/>
        <w:topLinePunct w:val="0"/>
        <w:autoSpaceDE/>
        <w:autoSpaceDN/>
        <w:bidi w:val="0"/>
        <w:adjustRightInd/>
        <w:snapToGrid w:val="0"/>
        <w:spacing w:line="360" w:lineRule="auto"/>
        <w:ind w:left="0" w:right="0" w:firstLine="456" w:firstLineChars="200"/>
        <w:textAlignment w:val="auto"/>
        <w:rPr>
          <w:rFonts w:hint="eastAsia" w:ascii="仿宋" w:hAnsi="仿宋" w:eastAsia="仿宋" w:cs="仿宋"/>
          <w:caps w:val="0"/>
          <w:strike w:val="0"/>
          <w:dstrike w:val="0"/>
          <w:color w:val="auto"/>
          <w:spacing w:val="-6"/>
          <w:sz w:val="24"/>
          <w:szCs w:val="21"/>
          <w:highlight w:val="none"/>
          <w:lang w:val="en-US" w:eastAsia="zh-CN"/>
        </w:rPr>
      </w:pPr>
      <w:r>
        <w:rPr>
          <w:rFonts w:hint="eastAsia" w:ascii="仿宋" w:hAnsi="仿宋" w:eastAsia="仿宋" w:cs="仿宋"/>
          <w:caps w:val="0"/>
          <w:strike w:val="0"/>
          <w:dstrike w:val="0"/>
          <w:color w:val="auto"/>
          <w:spacing w:val="-6"/>
          <w:sz w:val="24"/>
          <w:szCs w:val="21"/>
          <w:highlight w:val="none"/>
          <w:lang w:val="en-US" w:eastAsia="zh-CN"/>
        </w:rPr>
        <w:t>项目名称：遂昌县第二污水处理厂2025-2026年度代管运维服务项目</w:t>
      </w:r>
    </w:p>
    <w:p w14:paraId="3A4D96F9">
      <w:pPr>
        <w:pStyle w:val="3"/>
        <w:keepNext w:val="0"/>
        <w:keepLines w:val="0"/>
        <w:pageBreakBefore w:val="0"/>
        <w:widowControl w:val="0"/>
        <w:kinsoku/>
        <w:wordWrap/>
        <w:overflowPunct/>
        <w:topLinePunct w:val="0"/>
        <w:autoSpaceDE/>
        <w:autoSpaceDN/>
        <w:bidi w:val="0"/>
        <w:adjustRightInd/>
        <w:snapToGrid w:val="0"/>
        <w:spacing w:line="360" w:lineRule="auto"/>
        <w:ind w:left="0" w:right="0" w:firstLine="456" w:firstLineChars="200"/>
        <w:textAlignment w:val="auto"/>
        <w:rPr>
          <w:rFonts w:hint="eastAsia" w:ascii="仿宋" w:hAnsi="仿宋" w:eastAsia="仿宋" w:cs="仿宋"/>
          <w:caps w:val="0"/>
          <w:strike w:val="0"/>
          <w:dstrike w:val="0"/>
          <w:color w:val="auto"/>
          <w:spacing w:val="-6"/>
          <w:sz w:val="24"/>
          <w:szCs w:val="21"/>
          <w:highlight w:val="none"/>
          <w:lang w:val="en-US" w:eastAsia="zh-CN"/>
        </w:rPr>
      </w:pPr>
      <w:r>
        <w:rPr>
          <w:rFonts w:hint="eastAsia" w:ascii="仿宋" w:hAnsi="仿宋" w:eastAsia="仿宋" w:cs="仿宋"/>
          <w:caps w:val="0"/>
          <w:strike w:val="0"/>
          <w:dstrike w:val="0"/>
          <w:color w:val="auto"/>
          <w:spacing w:val="-6"/>
          <w:sz w:val="24"/>
          <w:szCs w:val="21"/>
          <w:highlight w:val="none"/>
          <w:lang w:val="en-US" w:eastAsia="zh-CN"/>
        </w:rPr>
        <w:t>项目地点：遂昌县云峰街道洋浩口</w:t>
      </w:r>
    </w:p>
    <w:p w14:paraId="292E7EC1">
      <w:pPr>
        <w:pStyle w:val="3"/>
        <w:keepNext w:val="0"/>
        <w:keepLines w:val="0"/>
        <w:pageBreakBefore w:val="0"/>
        <w:widowControl w:val="0"/>
        <w:kinsoku/>
        <w:wordWrap/>
        <w:overflowPunct/>
        <w:topLinePunct w:val="0"/>
        <w:autoSpaceDE/>
        <w:autoSpaceDN/>
        <w:bidi w:val="0"/>
        <w:adjustRightInd/>
        <w:snapToGrid w:val="0"/>
        <w:spacing w:line="360" w:lineRule="auto"/>
        <w:ind w:left="0" w:right="0" w:firstLine="456" w:firstLineChars="200"/>
        <w:textAlignment w:val="auto"/>
        <w:rPr>
          <w:rFonts w:hint="eastAsia" w:ascii="仿宋" w:hAnsi="仿宋" w:eastAsia="仿宋" w:cs="仿宋"/>
          <w:caps w:val="0"/>
          <w:strike w:val="0"/>
          <w:dstrike w:val="0"/>
          <w:color w:val="auto"/>
          <w:spacing w:val="-6"/>
          <w:sz w:val="24"/>
          <w:szCs w:val="21"/>
          <w:highlight w:val="none"/>
          <w:lang w:val="en-US" w:eastAsia="zh-CN"/>
        </w:rPr>
      </w:pPr>
      <w:r>
        <w:rPr>
          <w:rFonts w:hint="eastAsia" w:ascii="仿宋" w:hAnsi="仿宋" w:eastAsia="仿宋" w:cs="仿宋"/>
          <w:caps w:val="0"/>
          <w:strike w:val="0"/>
          <w:dstrike w:val="0"/>
          <w:color w:val="auto"/>
          <w:spacing w:val="-6"/>
          <w:sz w:val="24"/>
          <w:szCs w:val="21"/>
          <w:highlight w:val="none"/>
          <w:lang w:val="en-US" w:eastAsia="zh-CN"/>
        </w:rPr>
        <w:t>占地面积：4.2 公顷</w:t>
      </w:r>
    </w:p>
    <w:p w14:paraId="1511F6C6">
      <w:pPr>
        <w:pStyle w:val="3"/>
        <w:keepNext w:val="0"/>
        <w:keepLines w:val="0"/>
        <w:pageBreakBefore w:val="0"/>
        <w:widowControl w:val="0"/>
        <w:kinsoku/>
        <w:wordWrap/>
        <w:overflowPunct/>
        <w:topLinePunct w:val="0"/>
        <w:autoSpaceDE/>
        <w:autoSpaceDN/>
        <w:bidi w:val="0"/>
        <w:adjustRightInd/>
        <w:snapToGrid w:val="0"/>
        <w:spacing w:line="360" w:lineRule="auto"/>
        <w:ind w:left="0" w:right="0" w:firstLine="456" w:firstLineChars="200"/>
        <w:textAlignment w:val="auto"/>
        <w:rPr>
          <w:rFonts w:hint="eastAsia" w:ascii="仿宋" w:hAnsi="仿宋" w:eastAsia="仿宋" w:cs="仿宋"/>
          <w:caps w:val="0"/>
          <w:strike w:val="0"/>
          <w:dstrike w:val="0"/>
          <w:color w:val="auto"/>
          <w:spacing w:val="-6"/>
          <w:sz w:val="24"/>
          <w:szCs w:val="21"/>
          <w:highlight w:val="none"/>
          <w:lang w:val="en-US" w:eastAsia="zh-CN"/>
        </w:rPr>
      </w:pPr>
      <w:r>
        <w:rPr>
          <w:rFonts w:hint="eastAsia" w:ascii="仿宋" w:hAnsi="仿宋" w:eastAsia="仿宋" w:cs="仿宋"/>
          <w:caps w:val="0"/>
          <w:strike w:val="0"/>
          <w:dstrike w:val="0"/>
          <w:color w:val="auto"/>
          <w:spacing w:val="-6"/>
          <w:sz w:val="24"/>
          <w:szCs w:val="21"/>
          <w:highlight w:val="none"/>
          <w:lang w:val="en-US" w:eastAsia="zh-CN"/>
        </w:rPr>
        <w:t>纳污范围：洋浩区块、云峰区块及毛田、龙板山区块。</w:t>
      </w:r>
    </w:p>
    <w:p w14:paraId="2820D225">
      <w:pPr>
        <w:pStyle w:val="3"/>
        <w:keepNext w:val="0"/>
        <w:keepLines w:val="0"/>
        <w:pageBreakBefore w:val="0"/>
        <w:widowControl w:val="0"/>
        <w:kinsoku/>
        <w:wordWrap/>
        <w:overflowPunct/>
        <w:topLinePunct w:val="0"/>
        <w:autoSpaceDE/>
        <w:autoSpaceDN/>
        <w:bidi w:val="0"/>
        <w:adjustRightInd/>
        <w:snapToGrid w:val="0"/>
        <w:spacing w:line="360" w:lineRule="auto"/>
        <w:ind w:left="0" w:right="0" w:firstLine="480" w:firstLineChars="200"/>
        <w:textAlignment w:val="auto"/>
        <w:rPr>
          <w:rFonts w:hint="eastAsia" w:ascii="仿宋" w:hAnsi="仿宋" w:eastAsia="仿宋" w:cs="仿宋"/>
          <w:caps w:val="0"/>
          <w:strike w:val="0"/>
          <w:dstrike w:val="0"/>
          <w:color w:val="auto"/>
          <w:spacing w:val="-6"/>
          <w:sz w:val="24"/>
          <w:szCs w:val="21"/>
          <w:highlight w:val="none"/>
          <w:lang w:val="en-US" w:eastAsia="zh-CN"/>
        </w:rPr>
      </w:pPr>
      <w:r>
        <w:rPr>
          <w:rFonts w:hint="eastAsia" w:ascii="仿宋" w:hAnsi="仿宋" w:eastAsia="仿宋" w:cs="仿宋"/>
          <w:caps w:val="0"/>
          <w:strike w:val="0"/>
          <w:dstrike w:val="0"/>
          <w:color w:val="auto"/>
          <w:spacing w:val="0"/>
          <w:sz w:val="24"/>
          <w:szCs w:val="21"/>
          <w:highlight w:val="none"/>
          <w:lang w:eastAsia="zh-CN"/>
        </w:rPr>
        <w:t>处理污水量：</w:t>
      </w:r>
      <w:r>
        <w:rPr>
          <w:rFonts w:hint="eastAsia" w:ascii="仿宋" w:hAnsi="仿宋" w:eastAsia="仿宋" w:cs="仿宋"/>
          <w:caps w:val="0"/>
          <w:strike w:val="0"/>
          <w:dstrike w:val="0"/>
          <w:color w:val="auto"/>
          <w:spacing w:val="0"/>
          <w:sz w:val="24"/>
          <w:szCs w:val="21"/>
          <w:highlight w:val="none"/>
          <w:lang w:val="en-US" w:eastAsia="zh-CN"/>
        </w:rPr>
        <w:t>目前</w:t>
      </w:r>
      <w:r>
        <w:rPr>
          <w:rFonts w:hint="eastAsia" w:ascii="仿宋" w:hAnsi="仿宋" w:eastAsia="仿宋" w:cs="仿宋"/>
          <w:caps w:val="0"/>
          <w:strike w:val="0"/>
          <w:dstrike w:val="0"/>
          <w:color w:val="auto"/>
          <w:spacing w:val="-6"/>
          <w:sz w:val="24"/>
          <w:szCs w:val="21"/>
          <w:highlight w:val="none"/>
          <w:lang w:val="en-US" w:eastAsia="zh-CN"/>
        </w:rPr>
        <w:t>预计日均处理量5000吨，其中2026年1月-3月预计日均处理量9000吨，预计总量为5000×365×1.25+4000×365×0.25=2646250吨。</w:t>
      </w:r>
    </w:p>
    <w:p w14:paraId="3D3ACBB9">
      <w:pPr>
        <w:pStyle w:val="18"/>
        <w:keepNext w:val="0"/>
        <w:keepLines w:val="0"/>
        <w:pageBreakBefore w:val="0"/>
        <w:widowControl/>
        <w:numPr>
          <w:ilvl w:val="0"/>
          <w:numId w:val="8"/>
        </w:numPr>
        <w:kinsoku/>
        <w:wordWrap/>
        <w:overflowPunct w:val="0"/>
        <w:topLinePunct w:val="0"/>
        <w:autoSpaceDE w:val="0"/>
        <w:autoSpaceDN w:val="0"/>
        <w:bidi w:val="0"/>
        <w:adjustRightInd w:val="0"/>
        <w:snapToGrid w:val="0"/>
        <w:spacing w:before="157" w:beforeLines="50" w:after="0" w:afterLines="35" w:line="360" w:lineRule="auto"/>
        <w:ind w:left="0" w:leftChars="0" w:firstLine="0" w:firstLineChars="0"/>
        <w:jc w:val="left"/>
        <w:textAlignment w:val="baseline"/>
        <w:outlineLvl w:val="1"/>
        <w:rPr>
          <w:rFonts w:hint="eastAsia" w:ascii="仿宋" w:hAnsi="仿宋" w:eastAsia="仿宋" w:cs="仿宋"/>
          <w:b/>
          <w:bCs/>
          <w:caps w:val="0"/>
          <w:color w:val="auto"/>
          <w:spacing w:val="0"/>
          <w:sz w:val="28"/>
          <w:szCs w:val="28"/>
        </w:rPr>
      </w:pPr>
      <w:bookmarkStart w:id="22" w:name="_Toc32118"/>
      <w:r>
        <w:rPr>
          <w:rFonts w:hint="eastAsia" w:ascii="仿宋" w:hAnsi="仿宋" w:eastAsia="仿宋" w:cs="仿宋"/>
          <w:b/>
          <w:bCs/>
          <w:caps w:val="0"/>
          <w:color w:val="auto"/>
          <w:spacing w:val="0"/>
          <w:sz w:val="28"/>
          <w:szCs w:val="28"/>
        </w:rPr>
        <w:t>设备设置及性能描述</w:t>
      </w:r>
      <w:bookmarkEnd w:id="22"/>
    </w:p>
    <w:p w14:paraId="62F9C72D">
      <w:pPr>
        <w:pStyle w:val="3"/>
        <w:keepNext w:val="0"/>
        <w:keepLines w:val="0"/>
        <w:pageBreakBefore w:val="0"/>
        <w:widowControl w:val="0"/>
        <w:numPr>
          <w:ilvl w:val="0"/>
          <w:numId w:val="9"/>
        </w:numPr>
        <w:kinsoku/>
        <w:wordWrap/>
        <w:overflowPunct/>
        <w:topLinePunct w:val="0"/>
        <w:autoSpaceDE/>
        <w:autoSpaceDN/>
        <w:bidi w:val="0"/>
        <w:adjustRightInd/>
        <w:snapToGrid w:val="0"/>
        <w:spacing w:line="360" w:lineRule="auto"/>
        <w:ind w:left="0" w:leftChars="0" w:right="0" w:firstLine="420" w:firstLineChars="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rPr>
        <w:t>主要构筑物工艺设计</w:t>
      </w:r>
    </w:p>
    <w:p w14:paraId="26522BDA">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eastAsia="zh-CN"/>
        </w:rPr>
      </w:pPr>
      <w:r>
        <w:rPr>
          <w:rFonts w:hint="eastAsia" w:ascii="仿宋" w:hAnsi="仿宋" w:eastAsia="仿宋" w:cs="仿宋"/>
          <w:caps w:val="0"/>
          <w:color w:val="auto"/>
          <w:spacing w:val="0"/>
          <w:sz w:val="24"/>
          <w:szCs w:val="21"/>
          <w:lang w:eastAsia="zh-CN"/>
        </w:rPr>
        <w:t>（</w:t>
      </w:r>
      <w:r>
        <w:rPr>
          <w:rFonts w:hint="eastAsia" w:ascii="仿宋" w:hAnsi="仿宋" w:eastAsia="仿宋" w:cs="仿宋"/>
          <w:caps w:val="0"/>
          <w:color w:val="auto"/>
          <w:spacing w:val="0"/>
          <w:sz w:val="24"/>
          <w:szCs w:val="21"/>
          <w:lang w:val="en-US" w:eastAsia="zh-CN"/>
        </w:rPr>
        <w:t>1</w:t>
      </w:r>
      <w:r>
        <w:rPr>
          <w:rFonts w:hint="eastAsia" w:ascii="仿宋" w:hAnsi="仿宋" w:eastAsia="仿宋" w:cs="仿宋"/>
          <w:caps w:val="0"/>
          <w:color w:val="auto"/>
          <w:spacing w:val="0"/>
          <w:sz w:val="24"/>
          <w:szCs w:val="21"/>
          <w:lang w:eastAsia="zh-CN"/>
        </w:rPr>
        <w:t>）现有</w:t>
      </w:r>
      <w:r>
        <w:rPr>
          <w:rFonts w:hint="eastAsia" w:ascii="仿宋" w:hAnsi="仿宋" w:eastAsia="仿宋" w:cs="仿宋"/>
          <w:caps w:val="0"/>
          <w:color w:val="auto"/>
          <w:spacing w:val="0"/>
          <w:sz w:val="24"/>
          <w:szCs w:val="21"/>
        </w:rPr>
        <w:t>构筑物工艺设计</w:t>
      </w:r>
    </w:p>
    <w:p w14:paraId="38AA7696">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eastAsia="zh-CN"/>
        </w:rPr>
      </w:pPr>
      <w:r>
        <w:rPr>
          <w:rFonts w:hint="eastAsia" w:ascii="仿宋" w:hAnsi="仿宋" w:eastAsia="仿宋" w:cs="仿宋"/>
          <w:caps w:val="0"/>
          <w:color w:val="auto"/>
          <w:spacing w:val="0"/>
          <w:sz w:val="24"/>
          <w:szCs w:val="21"/>
        </w:rPr>
        <w:t>遂昌县第二污水处理厂接纳服务范围内的生活污水、工业污水等，其中工业污水占比 70%~80%，处理难度相对较高。厂区建设规模为 2 万m3/d，目前已</w:t>
      </w:r>
      <w:r>
        <w:rPr>
          <w:rFonts w:hint="eastAsia" w:ascii="仿宋" w:hAnsi="仿宋" w:eastAsia="仿宋" w:cs="仿宋"/>
          <w:caps w:val="0"/>
          <w:color w:val="auto"/>
          <w:spacing w:val="0"/>
          <w:sz w:val="24"/>
          <w:szCs w:val="21"/>
          <w:lang w:eastAsia="zh-CN"/>
        </w:rPr>
        <w:t>投入运营能力为</w:t>
      </w:r>
      <w:r>
        <w:rPr>
          <w:rFonts w:hint="eastAsia" w:ascii="仿宋" w:hAnsi="仿宋" w:eastAsia="仿宋" w:cs="仿宋"/>
          <w:caps w:val="0"/>
          <w:color w:val="auto"/>
          <w:spacing w:val="0"/>
          <w:sz w:val="24"/>
          <w:szCs w:val="21"/>
          <w:lang w:val="en-US" w:eastAsia="zh-CN"/>
        </w:rPr>
        <w:t>10000</w:t>
      </w:r>
      <w:r>
        <w:rPr>
          <w:rFonts w:hint="eastAsia" w:ascii="仿宋" w:hAnsi="仿宋" w:eastAsia="仿宋" w:cs="仿宋"/>
          <w:caps w:val="0"/>
          <w:color w:val="auto"/>
          <w:spacing w:val="0"/>
          <w:sz w:val="24"/>
          <w:szCs w:val="21"/>
        </w:rPr>
        <w:t>m3/d</w:t>
      </w:r>
      <w:r>
        <w:rPr>
          <w:rFonts w:hint="eastAsia" w:ascii="仿宋" w:hAnsi="仿宋" w:eastAsia="仿宋" w:cs="仿宋"/>
          <w:caps w:val="0"/>
          <w:color w:val="auto"/>
          <w:spacing w:val="0"/>
          <w:sz w:val="24"/>
          <w:szCs w:val="21"/>
          <w:lang w:eastAsia="zh-CN"/>
        </w:rPr>
        <w:t>，</w:t>
      </w:r>
      <w:r>
        <w:rPr>
          <w:rFonts w:hint="eastAsia" w:ascii="仿宋" w:hAnsi="仿宋" w:eastAsia="仿宋" w:cs="仿宋"/>
          <w:caps w:val="0"/>
          <w:color w:val="auto"/>
          <w:spacing w:val="0"/>
          <w:sz w:val="24"/>
          <w:szCs w:val="21"/>
        </w:rPr>
        <w:t>完成阶段性验收5000m3/d。主要建设内容包括进水粗格栅间及污水提升泵房、调节池、细格栅间及曝气沉砂池、水解酸化池、改进 AAO 生化池、二沉池、二沉池配水井、污泥泵房、高效沉淀池、滤布滤池、消毒接触池、加氯加药间除臭设施、污泥脱水间、储泥池、鼓风机房及附属工程等。</w:t>
      </w:r>
      <w:r>
        <w:rPr>
          <w:rFonts w:hint="eastAsia" w:ascii="仿宋" w:hAnsi="仿宋" w:eastAsia="仿宋" w:cs="仿宋"/>
          <w:caps w:val="0"/>
          <w:color w:val="auto"/>
          <w:spacing w:val="0"/>
          <w:sz w:val="24"/>
          <w:szCs w:val="21"/>
          <w:lang w:val="en-US" w:eastAsia="zh-CN"/>
        </w:rPr>
        <w:t>2024年全年平均处理废水量4700t/d。</w:t>
      </w:r>
    </w:p>
    <w:p w14:paraId="2F7E1209">
      <w:pPr>
        <w:pStyle w:val="3"/>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eastAsia="zh-CN"/>
        </w:rPr>
      </w:pPr>
      <w:r>
        <w:rPr>
          <w:rFonts w:hint="eastAsia" w:ascii="仿宋" w:hAnsi="仿宋" w:eastAsia="仿宋" w:cs="仿宋"/>
          <w:caps w:val="0"/>
          <w:color w:val="auto"/>
          <w:spacing w:val="0"/>
          <w:sz w:val="24"/>
          <w:szCs w:val="21"/>
          <w:lang w:eastAsia="zh-CN"/>
        </w:rPr>
        <w:t>即将实施的改造工程</w:t>
      </w:r>
    </w:p>
    <w:p w14:paraId="448677AC">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eastAsia="zh-CN"/>
        </w:rPr>
      </w:pPr>
      <w:r>
        <w:rPr>
          <w:rFonts w:hint="eastAsia" w:ascii="仿宋" w:hAnsi="仿宋" w:eastAsia="仿宋" w:cs="仿宋"/>
          <w:caps w:val="0"/>
          <w:color w:val="auto"/>
          <w:spacing w:val="0"/>
          <w:sz w:val="24"/>
          <w:szCs w:val="21"/>
          <w:lang w:val="en-US" w:eastAsia="zh-CN"/>
        </w:rPr>
        <w:t>2025年正在实施经开区污水调度工程，设上江点和利民点二级泵站，调度上江区块和利民区块的化工园区废水，设计调度能力8000t/d，实际调度废水量预计4000t/d，预计2025年12月底前完成。</w:t>
      </w:r>
    </w:p>
    <w:p w14:paraId="7BC2A14B">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rPr>
      </w:pPr>
      <w:r>
        <w:rPr>
          <w:rFonts w:hint="eastAsia" w:ascii="仿宋" w:hAnsi="仿宋" w:eastAsia="仿宋" w:cs="仿宋"/>
          <w:caps w:val="0"/>
          <w:color w:val="auto"/>
          <w:spacing w:val="0"/>
          <w:sz w:val="24"/>
          <w:szCs w:val="21"/>
          <w:lang w:val="en-US" w:eastAsia="zh-CN"/>
        </w:rPr>
        <w:t>2025年将实施“遂昌县化工园区专业污水处理设施改扩建工程”，保留现有10000</w:t>
      </w:r>
      <w:r>
        <w:rPr>
          <w:rFonts w:hint="eastAsia" w:ascii="仿宋" w:hAnsi="仿宋" w:eastAsia="仿宋" w:cs="仿宋"/>
          <w:caps w:val="0"/>
          <w:color w:val="auto"/>
          <w:spacing w:val="0"/>
          <w:sz w:val="24"/>
          <w:szCs w:val="21"/>
        </w:rPr>
        <w:t>m3/d</w:t>
      </w:r>
      <w:r>
        <w:rPr>
          <w:rFonts w:hint="eastAsia" w:ascii="仿宋" w:hAnsi="仿宋" w:eastAsia="仿宋" w:cs="仿宋"/>
          <w:caps w:val="0"/>
          <w:color w:val="auto"/>
          <w:spacing w:val="0"/>
          <w:sz w:val="24"/>
          <w:szCs w:val="21"/>
          <w:lang w:eastAsia="zh-CN"/>
        </w:rPr>
        <w:t>的处理单元，用于服务范围内的综合废水处理；利用厂区及周边部分空地和</w:t>
      </w:r>
      <w:r>
        <w:rPr>
          <w:rFonts w:hint="eastAsia" w:ascii="仿宋" w:hAnsi="仿宋" w:eastAsia="仿宋" w:cs="仿宋"/>
          <w:caps w:val="0"/>
          <w:color w:val="auto"/>
          <w:spacing w:val="0"/>
          <w:sz w:val="24"/>
          <w:szCs w:val="21"/>
          <w:lang w:val="en-US" w:eastAsia="zh-CN"/>
        </w:rPr>
        <w:t>应急备用单元进行改造，用于处理遂昌县化工园区废水，接纳处理经开区污水调度工程和龙板山化工集中区专管输送的化工废水，设计处理能力10000m3/d，出水执行标准为一级A排放标准，具体处理工艺尚在选取中；该项目预计在2026年上半年前完成。</w:t>
      </w:r>
    </w:p>
    <w:p w14:paraId="270F1C77">
      <w:pPr>
        <w:pStyle w:val="3"/>
        <w:keepNext w:val="0"/>
        <w:keepLines w:val="0"/>
        <w:pageBreakBefore w:val="0"/>
        <w:widowControl w:val="0"/>
        <w:numPr>
          <w:ilvl w:val="0"/>
          <w:numId w:val="9"/>
        </w:numPr>
        <w:kinsoku/>
        <w:wordWrap/>
        <w:overflowPunct/>
        <w:topLinePunct w:val="0"/>
        <w:autoSpaceDE/>
        <w:autoSpaceDN/>
        <w:bidi w:val="0"/>
        <w:adjustRightInd/>
        <w:snapToGrid w:val="0"/>
        <w:spacing w:line="360" w:lineRule="auto"/>
        <w:ind w:left="0" w:leftChars="0" w:right="0" w:firstLine="420" w:firstLineChars="0"/>
        <w:textAlignment w:val="auto"/>
        <w:rPr>
          <w:rFonts w:hint="eastAsia" w:ascii="仿宋" w:hAnsi="仿宋" w:eastAsia="仿宋" w:cs="仿宋"/>
          <w:caps w:val="0"/>
          <w:color w:val="auto"/>
          <w:spacing w:val="0"/>
          <w:sz w:val="24"/>
          <w:szCs w:val="21"/>
        </w:rPr>
      </w:pPr>
      <w:r>
        <w:rPr>
          <w:rFonts w:hint="eastAsia" w:ascii="仿宋" w:hAnsi="仿宋" w:eastAsia="仿宋" w:cs="仿宋"/>
          <w:caps w:val="0"/>
          <w:strike w:val="0"/>
          <w:dstrike w:val="0"/>
          <w:color w:val="auto"/>
          <w:spacing w:val="-6"/>
          <w:sz w:val="24"/>
          <w:szCs w:val="21"/>
          <w:highlight w:val="none"/>
          <w:lang w:val="en-US" w:eastAsia="zh-CN"/>
        </w:rPr>
        <w:t>厂区主要设备清单</w:t>
      </w:r>
    </w:p>
    <w:tbl>
      <w:tblPr>
        <w:tblStyle w:val="20"/>
        <w:tblW w:w="954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85" w:type="dxa"/>
          <w:bottom w:w="0" w:type="dxa"/>
          <w:right w:w="85" w:type="dxa"/>
        </w:tblCellMar>
      </w:tblPr>
      <w:tblGrid>
        <w:gridCol w:w="839"/>
        <w:gridCol w:w="4354"/>
        <w:gridCol w:w="683"/>
        <w:gridCol w:w="732"/>
        <w:gridCol w:w="2934"/>
      </w:tblGrid>
      <w:tr w14:paraId="2DD495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3" w:hRule="atLeast"/>
          <w:tblHeader/>
          <w:jc w:val="center"/>
        </w:trPr>
        <w:tc>
          <w:tcPr>
            <w:tcW w:w="839" w:type="dxa"/>
            <w:shd w:val="clear" w:color="auto" w:fill="D7D7D7" w:themeFill="background1" w:themeFillShade="D8"/>
            <w:noWrap w:val="0"/>
            <w:vAlign w:val="center"/>
          </w:tcPr>
          <w:p w14:paraId="25913FE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序号</w:t>
            </w:r>
          </w:p>
        </w:tc>
        <w:tc>
          <w:tcPr>
            <w:tcW w:w="4354" w:type="dxa"/>
            <w:shd w:val="clear" w:color="auto" w:fill="D7D7D7" w:themeFill="background1" w:themeFillShade="D8"/>
            <w:noWrap w:val="0"/>
            <w:vAlign w:val="center"/>
          </w:tcPr>
          <w:p w14:paraId="1E37874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设备名称及规格</w:t>
            </w:r>
          </w:p>
        </w:tc>
        <w:tc>
          <w:tcPr>
            <w:tcW w:w="683" w:type="dxa"/>
            <w:shd w:val="clear" w:color="auto" w:fill="D7D7D7" w:themeFill="background1" w:themeFillShade="D8"/>
            <w:noWrap w:val="0"/>
            <w:vAlign w:val="center"/>
          </w:tcPr>
          <w:p w14:paraId="789BF84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单位</w:t>
            </w:r>
          </w:p>
        </w:tc>
        <w:tc>
          <w:tcPr>
            <w:tcW w:w="732" w:type="dxa"/>
            <w:shd w:val="clear" w:color="auto" w:fill="D7D7D7" w:themeFill="background1" w:themeFillShade="D8"/>
            <w:noWrap w:val="0"/>
            <w:vAlign w:val="center"/>
          </w:tcPr>
          <w:p w14:paraId="1C6E4E5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数量</w:t>
            </w:r>
          </w:p>
        </w:tc>
        <w:tc>
          <w:tcPr>
            <w:tcW w:w="2934" w:type="dxa"/>
            <w:shd w:val="clear" w:color="auto" w:fill="D7D7D7" w:themeFill="background1" w:themeFillShade="D8"/>
            <w:noWrap w:val="0"/>
            <w:vAlign w:val="center"/>
          </w:tcPr>
          <w:p w14:paraId="4558727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备注</w:t>
            </w:r>
          </w:p>
        </w:tc>
      </w:tr>
      <w:tr w14:paraId="5508B7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9542" w:type="dxa"/>
            <w:gridSpan w:val="5"/>
            <w:noWrap w:val="0"/>
            <w:vAlign w:val="center"/>
          </w:tcPr>
          <w:p w14:paraId="68643A5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caps w:val="0"/>
                <w:color w:val="auto"/>
                <w:spacing w:val="0"/>
                <w:sz w:val="24"/>
              </w:rPr>
            </w:pPr>
            <w:r>
              <w:rPr>
                <w:rFonts w:hint="eastAsia" w:ascii="仿宋" w:hAnsi="仿宋" w:eastAsia="仿宋" w:cs="仿宋"/>
                <w:b/>
                <w:caps w:val="0"/>
                <w:color w:val="auto"/>
                <w:spacing w:val="0"/>
                <w:sz w:val="24"/>
              </w:rPr>
              <w:t>设备</w:t>
            </w:r>
          </w:p>
        </w:tc>
      </w:tr>
      <w:tr w14:paraId="40BB2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3CDD17A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一</w:t>
            </w:r>
          </w:p>
        </w:tc>
        <w:tc>
          <w:tcPr>
            <w:tcW w:w="8703" w:type="dxa"/>
            <w:gridSpan w:val="4"/>
            <w:noWrap w:val="0"/>
            <w:vAlign w:val="center"/>
          </w:tcPr>
          <w:p w14:paraId="0CC2F92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污水提升泵房</w:t>
            </w:r>
          </w:p>
        </w:tc>
      </w:tr>
      <w:tr w14:paraId="2B0723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6E2E0CE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22E3284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机械粗格栅，井宽 B=1000，b=20，H=10300</w:t>
            </w:r>
          </w:p>
        </w:tc>
        <w:tc>
          <w:tcPr>
            <w:tcW w:w="683" w:type="dxa"/>
            <w:noWrap w:val="0"/>
            <w:vAlign w:val="center"/>
          </w:tcPr>
          <w:p w14:paraId="21AD7C3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7915D2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2F12820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反捞式，出渣高度 1m</w:t>
            </w:r>
          </w:p>
        </w:tc>
      </w:tr>
      <w:tr w14:paraId="375D80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46" w:hRule="atLeast"/>
          <w:jc w:val="center"/>
        </w:trPr>
        <w:tc>
          <w:tcPr>
            <w:tcW w:w="839" w:type="dxa"/>
            <w:noWrap w:val="0"/>
            <w:vAlign w:val="center"/>
          </w:tcPr>
          <w:p w14:paraId="07C578E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526AE9A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潜污泵，Q=480m³/h，H=15m，N=45KW</w:t>
            </w:r>
          </w:p>
        </w:tc>
        <w:tc>
          <w:tcPr>
            <w:tcW w:w="683" w:type="dxa"/>
            <w:noWrap w:val="0"/>
            <w:vAlign w:val="center"/>
          </w:tcPr>
          <w:p w14:paraId="145C2C4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946739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2934" w:type="dxa"/>
            <w:noWrap w:val="0"/>
            <w:vAlign w:val="center"/>
          </w:tcPr>
          <w:p w14:paraId="31F79A2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 用 1 备，采用变频供电</w:t>
            </w:r>
          </w:p>
        </w:tc>
      </w:tr>
      <w:tr w14:paraId="4814D7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06C2A86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2C94A77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超声波液位计，H=0-12m</w:t>
            </w:r>
          </w:p>
        </w:tc>
        <w:tc>
          <w:tcPr>
            <w:tcW w:w="683" w:type="dxa"/>
            <w:noWrap w:val="0"/>
            <w:vAlign w:val="center"/>
          </w:tcPr>
          <w:p w14:paraId="26E1DCA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28CCB04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5730DC5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7AEFAF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62" w:hRule="atLeast"/>
          <w:jc w:val="center"/>
        </w:trPr>
        <w:tc>
          <w:tcPr>
            <w:tcW w:w="839" w:type="dxa"/>
            <w:noWrap w:val="0"/>
            <w:vAlign w:val="center"/>
          </w:tcPr>
          <w:p w14:paraId="20A5469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43724A1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单轨电动葫芦，T=3t，H=12m，N=4.3KW</w:t>
            </w:r>
          </w:p>
        </w:tc>
        <w:tc>
          <w:tcPr>
            <w:tcW w:w="683" w:type="dxa"/>
            <w:noWrap w:val="0"/>
            <w:vAlign w:val="center"/>
          </w:tcPr>
          <w:p w14:paraId="57377A9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5306B58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1FB9854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起重机 2t，起重高度12m</w:t>
            </w:r>
          </w:p>
        </w:tc>
      </w:tr>
      <w:tr w14:paraId="003BCC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7A251C3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61BFF29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皮带输送机，B=500，L=5600，N=1.5kw</w:t>
            </w:r>
          </w:p>
        </w:tc>
        <w:tc>
          <w:tcPr>
            <w:tcW w:w="683" w:type="dxa"/>
            <w:noWrap w:val="0"/>
            <w:vAlign w:val="center"/>
          </w:tcPr>
          <w:p w14:paraId="7621199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4DAF225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188ECB2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442D3E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5AEB505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4354" w:type="dxa"/>
            <w:noWrap w:val="0"/>
            <w:vAlign w:val="center"/>
          </w:tcPr>
          <w:p w14:paraId="5E173F6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进水管道流量计</w:t>
            </w:r>
          </w:p>
        </w:tc>
        <w:tc>
          <w:tcPr>
            <w:tcW w:w="683" w:type="dxa"/>
            <w:noWrap w:val="0"/>
            <w:vAlign w:val="center"/>
          </w:tcPr>
          <w:p w14:paraId="744C60E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4D3069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5BEEC0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6F4B6B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75" w:hRule="atLeast"/>
          <w:jc w:val="center"/>
        </w:trPr>
        <w:tc>
          <w:tcPr>
            <w:tcW w:w="839" w:type="dxa"/>
            <w:noWrap w:val="0"/>
            <w:vAlign w:val="center"/>
          </w:tcPr>
          <w:p w14:paraId="3A76DBF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二</w:t>
            </w:r>
          </w:p>
        </w:tc>
        <w:tc>
          <w:tcPr>
            <w:tcW w:w="8703" w:type="dxa"/>
            <w:gridSpan w:val="4"/>
            <w:noWrap w:val="0"/>
            <w:vAlign w:val="center"/>
          </w:tcPr>
          <w:p w14:paraId="38A3B7F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调节池</w:t>
            </w:r>
          </w:p>
        </w:tc>
      </w:tr>
      <w:tr w14:paraId="313AB0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5D1F6A8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0168043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潜水搅拌器，Φ600,10=kw，460rpm，耐磨叶轮</w:t>
            </w:r>
          </w:p>
        </w:tc>
        <w:tc>
          <w:tcPr>
            <w:tcW w:w="683" w:type="dxa"/>
            <w:noWrap w:val="0"/>
            <w:vAlign w:val="center"/>
          </w:tcPr>
          <w:p w14:paraId="4E3DE89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2B9DC54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2934" w:type="dxa"/>
            <w:noWrap w:val="0"/>
            <w:vAlign w:val="center"/>
          </w:tcPr>
          <w:p w14:paraId="550777F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最小淹深 0.9m，带起吊支架</w:t>
            </w:r>
          </w:p>
        </w:tc>
      </w:tr>
      <w:tr w14:paraId="258D0A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381C288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2D5103B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潜污泵，Q=450m³/h，H=10m，N=30kw</w:t>
            </w:r>
          </w:p>
        </w:tc>
        <w:tc>
          <w:tcPr>
            <w:tcW w:w="683" w:type="dxa"/>
            <w:noWrap w:val="0"/>
            <w:vAlign w:val="center"/>
          </w:tcPr>
          <w:p w14:paraId="5681D22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310B27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2934" w:type="dxa"/>
            <w:noWrap w:val="0"/>
            <w:vAlign w:val="center"/>
          </w:tcPr>
          <w:p w14:paraId="2DEE862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 用一备</w:t>
            </w:r>
          </w:p>
        </w:tc>
      </w:tr>
      <w:tr w14:paraId="5AD88F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0237579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4B94F5F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超声波液位计，0-10m</w:t>
            </w:r>
          </w:p>
        </w:tc>
        <w:tc>
          <w:tcPr>
            <w:tcW w:w="683" w:type="dxa"/>
            <w:noWrap w:val="0"/>
            <w:vAlign w:val="center"/>
          </w:tcPr>
          <w:p w14:paraId="058A041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6A049DA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3C8FD6D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安装于泵井内</w:t>
            </w:r>
          </w:p>
        </w:tc>
      </w:tr>
      <w:tr w14:paraId="1FEE37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0D9769B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6FDEB18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单轨电动葫芦，W=2T，H=15m，N=3+2*4kw</w:t>
            </w:r>
          </w:p>
        </w:tc>
        <w:tc>
          <w:tcPr>
            <w:tcW w:w="683" w:type="dxa"/>
            <w:noWrap w:val="0"/>
            <w:vAlign w:val="center"/>
          </w:tcPr>
          <w:p w14:paraId="7060DBA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3DE3FC2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C33928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水泵，阀门起吊</w:t>
            </w:r>
          </w:p>
        </w:tc>
      </w:tr>
      <w:tr w14:paraId="64801B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7B00F56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三</w:t>
            </w:r>
          </w:p>
        </w:tc>
        <w:tc>
          <w:tcPr>
            <w:tcW w:w="8703" w:type="dxa"/>
            <w:gridSpan w:val="4"/>
            <w:noWrap w:val="0"/>
            <w:vAlign w:val="center"/>
          </w:tcPr>
          <w:p w14:paraId="34E2BC4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细格栅</w:t>
            </w:r>
          </w:p>
        </w:tc>
      </w:tr>
      <w:tr w14:paraId="06856D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4B7B259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2F10B63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回转式格栅除污机，B=1000mm，b=5mm， H=1700mm，N=0.75kw</w:t>
            </w:r>
          </w:p>
        </w:tc>
        <w:tc>
          <w:tcPr>
            <w:tcW w:w="683" w:type="dxa"/>
            <w:noWrap w:val="0"/>
            <w:vAlign w:val="center"/>
          </w:tcPr>
          <w:p w14:paraId="0BAE286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425005A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213302D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p>
        </w:tc>
      </w:tr>
      <w:tr w14:paraId="23A901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4D77770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4866592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螺旋输送压渣机，B*H=1100mm*1500mm， N=1.5kw</w:t>
            </w:r>
          </w:p>
        </w:tc>
        <w:tc>
          <w:tcPr>
            <w:tcW w:w="683" w:type="dxa"/>
            <w:noWrap w:val="0"/>
            <w:vAlign w:val="center"/>
          </w:tcPr>
          <w:p w14:paraId="729D7D7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5229F16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5E1DD7C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带手电两用启闭机</w:t>
            </w:r>
          </w:p>
        </w:tc>
      </w:tr>
      <w:tr w14:paraId="637B26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1EFE50F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727918E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吸砂泵，Q=25m³/hr，H=15m，N=1.5kw</w:t>
            </w:r>
          </w:p>
        </w:tc>
        <w:tc>
          <w:tcPr>
            <w:tcW w:w="683" w:type="dxa"/>
            <w:noWrap w:val="0"/>
            <w:vAlign w:val="center"/>
          </w:tcPr>
          <w:p w14:paraId="2D17932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864A9C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55678CF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p>
        </w:tc>
      </w:tr>
      <w:tr w14:paraId="0F8C7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63CB5D3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603275D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工作桥，L=4.1m，N=0.75kw</w:t>
            </w:r>
          </w:p>
        </w:tc>
        <w:tc>
          <w:tcPr>
            <w:tcW w:w="683" w:type="dxa"/>
            <w:noWrap w:val="0"/>
            <w:vAlign w:val="center"/>
          </w:tcPr>
          <w:p w14:paraId="37A1F48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30CA2C9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B4F70E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p>
        </w:tc>
      </w:tr>
      <w:tr w14:paraId="10513B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65C64E3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7C6C654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砂水分离器，L=15L/s，N=0.55kw</w:t>
            </w:r>
          </w:p>
        </w:tc>
        <w:tc>
          <w:tcPr>
            <w:tcW w:w="683" w:type="dxa"/>
            <w:noWrap w:val="0"/>
            <w:vAlign w:val="center"/>
          </w:tcPr>
          <w:p w14:paraId="2672968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921151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601DF3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两池共用一套</w:t>
            </w:r>
          </w:p>
        </w:tc>
      </w:tr>
      <w:tr w14:paraId="6113E6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3AFCB22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4354" w:type="dxa"/>
            <w:noWrap w:val="0"/>
            <w:vAlign w:val="center"/>
          </w:tcPr>
          <w:p w14:paraId="602ABF4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罗茨风机，L=8.08m³/min，N=7.5kw</w:t>
            </w:r>
          </w:p>
        </w:tc>
        <w:tc>
          <w:tcPr>
            <w:tcW w:w="683" w:type="dxa"/>
            <w:noWrap w:val="0"/>
            <w:vAlign w:val="center"/>
          </w:tcPr>
          <w:p w14:paraId="2AF6CD9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71C82F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4E9F2E7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一用一备</w:t>
            </w:r>
          </w:p>
        </w:tc>
      </w:tr>
      <w:tr w14:paraId="545D71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68B7A3D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四</w:t>
            </w:r>
          </w:p>
        </w:tc>
        <w:tc>
          <w:tcPr>
            <w:tcW w:w="8703" w:type="dxa"/>
            <w:gridSpan w:val="4"/>
            <w:noWrap w:val="0"/>
            <w:vAlign w:val="center"/>
          </w:tcPr>
          <w:p w14:paraId="4A865AE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水解酸化池</w:t>
            </w:r>
          </w:p>
        </w:tc>
      </w:tr>
      <w:tr w14:paraId="50038B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4ADD777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789DBE5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潜水推流器，Φ1300mm，N=2.2kw</w:t>
            </w:r>
          </w:p>
        </w:tc>
        <w:tc>
          <w:tcPr>
            <w:tcW w:w="683" w:type="dxa"/>
            <w:noWrap w:val="0"/>
            <w:vAlign w:val="center"/>
          </w:tcPr>
          <w:p w14:paraId="08AA4E4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199825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2934" w:type="dxa"/>
            <w:noWrap w:val="0"/>
            <w:vAlign w:val="center"/>
          </w:tcPr>
          <w:p w14:paraId="239E1AA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配起吊装置</w:t>
            </w:r>
          </w:p>
        </w:tc>
      </w:tr>
      <w:tr w14:paraId="3C1C0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2329053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五</w:t>
            </w:r>
          </w:p>
        </w:tc>
        <w:tc>
          <w:tcPr>
            <w:tcW w:w="8703" w:type="dxa"/>
            <w:gridSpan w:val="4"/>
            <w:noWrap w:val="0"/>
            <w:vAlign w:val="center"/>
          </w:tcPr>
          <w:p w14:paraId="6D2E893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生化池</w:t>
            </w:r>
          </w:p>
        </w:tc>
      </w:tr>
      <w:tr w14:paraId="4D5EB1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184B3F4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2B361E4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潜水搅拌器，Φ710mm，N=2kw</w:t>
            </w:r>
          </w:p>
        </w:tc>
        <w:tc>
          <w:tcPr>
            <w:tcW w:w="683" w:type="dxa"/>
            <w:noWrap w:val="0"/>
            <w:vAlign w:val="center"/>
          </w:tcPr>
          <w:p w14:paraId="70F6994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B978AD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7E9B686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预缺氧区，配起吊装置</w:t>
            </w:r>
          </w:p>
        </w:tc>
      </w:tr>
      <w:tr w14:paraId="35C66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648147E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127E52C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潜水搅拌器，Φ710mm，N=2.5kw</w:t>
            </w:r>
          </w:p>
        </w:tc>
        <w:tc>
          <w:tcPr>
            <w:tcW w:w="683" w:type="dxa"/>
            <w:noWrap w:val="0"/>
            <w:vAlign w:val="center"/>
          </w:tcPr>
          <w:p w14:paraId="151C3DC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DCE570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2934" w:type="dxa"/>
            <w:noWrap w:val="0"/>
            <w:vAlign w:val="center"/>
          </w:tcPr>
          <w:p w14:paraId="3EBB4BF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厌氧区，配起吊装置</w:t>
            </w:r>
          </w:p>
        </w:tc>
      </w:tr>
      <w:tr w14:paraId="55372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4ACE8CB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306EC95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潜水搅拌器，Φ710mm，N=3.6kw</w:t>
            </w:r>
          </w:p>
        </w:tc>
        <w:tc>
          <w:tcPr>
            <w:tcW w:w="683" w:type="dxa"/>
            <w:noWrap w:val="0"/>
            <w:vAlign w:val="center"/>
          </w:tcPr>
          <w:p w14:paraId="1B92835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541EA2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2934" w:type="dxa"/>
            <w:noWrap w:val="0"/>
            <w:vAlign w:val="center"/>
          </w:tcPr>
          <w:p w14:paraId="01B46A2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缺氧区，配起吊装置</w:t>
            </w:r>
          </w:p>
        </w:tc>
      </w:tr>
      <w:tr w14:paraId="4BD23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0653F3E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4FADE0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混合液回流泵，Φ710mm，N=5kw</w:t>
            </w:r>
          </w:p>
        </w:tc>
        <w:tc>
          <w:tcPr>
            <w:tcW w:w="683" w:type="dxa"/>
            <w:noWrap w:val="0"/>
            <w:vAlign w:val="center"/>
          </w:tcPr>
          <w:p w14:paraId="3577915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9D6096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2934" w:type="dxa"/>
            <w:noWrap w:val="0"/>
            <w:vAlign w:val="center"/>
          </w:tcPr>
          <w:p w14:paraId="116A07F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变频，一台库房备用， 配起吊装置</w:t>
            </w:r>
          </w:p>
        </w:tc>
      </w:tr>
      <w:tr w14:paraId="4D5733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369" w:hRule="atLeast"/>
          <w:jc w:val="center"/>
        </w:trPr>
        <w:tc>
          <w:tcPr>
            <w:tcW w:w="839" w:type="dxa"/>
            <w:noWrap w:val="0"/>
            <w:vAlign w:val="center"/>
          </w:tcPr>
          <w:p w14:paraId="3706705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730D08C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移动式潜水泵，Q=100m³/h，H=10m，N=4kw，</w:t>
            </w:r>
          </w:p>
        </w:tc>
        <w:tc>
          <w:tcPr>
            <w:tcW w:w="683" w:type="dxa"/>
            <w:noWrap w:val="0"/>
            <w:vAlign w:val="center"/>
          </w:tcPr>
          <w:p w14:paraId="0F750A4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3F7E8F6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2258806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库存备用</w:t>
            </w:r>
          </w:p>
        </w:tc>
      </w:tr>
      <w:tr w14:paraId="5EAE92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6EE4E4C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六</w:t>
            </w:r>
          </w:p>
        </w:tc>
        <w:tc>
          <w:tcPr>
            <w:tcW w:w="8703" w:type="dxa"/>
            <w:gridSpan w:val="4"/>
            <w:noWrap w:val="0"/>
            <w:vAlign w:val="center"/>
          </w:tcPr>
          <w:p w14:paraId="71E9836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二沉池</w:t>
            </w:r>
          </w:p>
        </w:tc>
      </w:tr>
      <w:tr w14:paraId="1332C4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60CD850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5878545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半式周边转动刮泥机，Φ30m，P=2*1.5kw</w:t>
            </w:r>
          </w:p>
        </w:tc>
        <w:tc>
          <w:tcPr>
            <w:tcW w:w="683" w:type="dxa"/>
            <w:noWrap w:val="0"/>
            <w:vAlign w:val="center"/>
          </w:tcPr>
          <w:p w14:paraId="298076C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FD171F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33273B2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p>
        </w:tc>
      </w:tr>
      <w:tr w14:paraId="69D36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0DCCA6C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七</w:t>
            </w:r>
          </w:p>
        </w:tc>
        <w:tc>
          <w:tcPr>
            <w:tcW w:w="8703" w:type="dxa"/>
            <w:gridSpan w:val="4"/>
            <w:noWrap w:val="0"/>
            <w:vAlign w:val="center"/>
          </w:tcPr>
          <w:p w14:paraId="0C0F434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二沉池配水井及污泥泵房</w:t>
            </w:r>
          </w:p>
        </w:tc>
      </w:tr>
      <w:tr w14:paraId="383D1D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72A7C3E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43E2411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回流污泥泵，Q=420 立方米/h，H=7m，N=17kw</w:t>
            </w:r>
          </w:p>
        </w:tc>
        <w:tc>
          <w:tcPr>
            <w:tcW w:w="683" w:type="dxa"/>
            <w:noWrap w:val="0"/>
            <w:vAlign w:val="center"/>
          </w:tcPr>
          <w:p w14:paraId="26A82EB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B1AF69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2934" w:type="dxa"/>
            <w:noWrap w:val="0"/>
            <w:vAlign w:val="center"/>
          </w:tcPr>
          <w:p w14:paraId="4EC1905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变频，2 用 1 备</w:t>
            </w:r>
          </w:p>
        </w:tc>
      </w:tr>
      <w:tr w14:paraId="295643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675C79F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4AE1C48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剩余污泥泵，Q=72m³/h，H=10m，N=4kw</w:t>
            </w:r>
          </w:p>
        </w:tc>
        <w:tc>
          <w:tcPr>
            <w:tcW w:w="683" w:type="dxa"/>
            <w:noWrap w:val="0"/>
            <w:vAlign w:val="center"/>
          </w:tcPr>
          <w:p w14:paraId="4864366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A08521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2356F78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一备一用</w:t>
            </w:r>
          </w:p>
        </w:tc>
      </w:tr>
      <w:tr w14:paraId="75552B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3F9635F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6716280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电动葫芦，T=1t，H=12m，P=1.5kw+0.2kw</w:t>
            </w:r>
          </w:p>
        </w:tc>
        <w:tc>
          <w:tcPr>
            <w:tcW w:w="683" w:type="dxa"/>
            <w:noWrap w:val="0"/>
            <w:vAlign w:val="center"/>
          </w:tcPr>
          <w:p w14:paraId="57D501C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0A20AA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1F0B34E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p>
        </w:tc>
      </w:tr>
      <w:tr w14:paraId="7F89D5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3A942EF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八</w:t>
            </w:r>
          </w:p>
        </w:tc>
        <w:tc>
          <w:tcPr>
            <w:tcW w:w="8703" w:type="dxa"/>
            <w:gridSpan w:val="4"/>
            <w:noWrap w:val="0"/>
            <w:vAlign w:val="center"/>
          </w:tcPr>
          <w:p w14:paraId="4E51D9C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高效沉淀池</w:t>
            </w:r>
          </w:p>
        </w:tc>
      </w:tr>
      <w:tr w14:paraId="149C94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2D0C389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027F18B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混合搅拌机，折板桨直径 700m，N=3kw</w:t>
            </w:r>
          </w:p>
        </w:tc>
        <w:tc>
          <w:tcPr>
            <w:tcW w:w="683" w:type="dxa"/>
            <w:noWrap w:val="0"/>
            <w:vAlign w:val="center"/>
          </w:tcPr>
          <w:p w14:paraId="075A370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155913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C5B9F1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水下部件</w:t>
            </w:r>
          </w:p>
        </w:tc>
      </w:tr>
      <w:tr w14:paraId="6F9C8F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01C8E72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4B148AC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反应搅拌机 A，立式，直径 2000mm，N=2.2kw</w:t>
            </w:r>
          </w:p>
        </w:tc>
        <w:tc>
          <w:tcPr>
            <w:tcW w:w="683" w:type="dxa"/>
            <w:noWrap w:val="0"/>
            <w:vAlign w:val="center"/>
          </w:tcPr>
          <w:p w14:paraId="5721565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08832E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1196A69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p>
        </w:tc>
      </w:tr>
      <w:tr w14:paraId="3984AD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4EA5B24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2622A58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反应搅拌机 B，立式，直径 2000mm，N=1.5kw</w:t>
            </w:r>
          </w:p>
        </w:tc>
        <w:tc>
          <w:tcPr>
            <w:tcW w:w="683" w:type="dxa"/>
            <w:noWrap w:val="0"/>
            <w:vAlign w:val="center"/>
          </w:tcPr>
          <w:p w14:paraId="629ABEB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F040F9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1690119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06B91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6EF784C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77BA5E3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刮泥机，中心转动，直径 9m，外缘线速度1.5m/min</w:t>
            </w:r>
          </w:p>
        </w:tc>
        <w:tc>
          <w:tcPr>
            <w:tcW w:w="683" w:type="dxa"/>
            <w:noWrap w:val="0"/>
            <w:vAlign w:val="center"/>
          </w:tcPr>
          <w:p w14:paraId="43F7542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3D61A33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6735957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E066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4" w:hRule="atLeast"/>
          <w:jc w:val="center"/>
        </w:trPr>
        <w:tc>
          <w:tcPr>
            <w:tcW w:w="839" w:type="dxa"/>
            <w:noWrap w:val="0"/>
            <w:vAlign w:val="center"/>
          </w:tcPr>
          <w:p w14:paraId="727552C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51E427C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污泥回流、排放螺杆泵，Q=20m³/h，H=8m，</w:t>
            </w:r>
          </w:p>
          <w:p w14:paraId="6DF4B2B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5.5kw</w:t>
            </w:r>
          </w:p>
        </w:tc>
        <w:tc>
          <w:tcPr>
            <w:tcW w:w="683" w:type="dxa"/>
            <w:noWrap w:val="0"/>
            <w:vAlign w:val="center"/>
          </w:tcPr>
          <w:p w14:paraId="05CB2AD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1C48864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2934" w:type="dxa"/>
            <w:noWrap w:val="0"/>
            <w:vAlign w:val="center"/>
          </w:tcPr>
          <w:p w14:paraId="3424AB9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 用 2 备</w:t>
            </w:r>
          </w:p>
        </w:tc>
      </w:tr>
      <w:tr w14:paraId="56C6ED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45B39B9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4354" w:type="dxa"/>
            <w:noWrap w:val="0"/>
            <w:vAlign w:val="center"/>
          </w:tcPr>
          <w:p w14:paraId="1CEAE01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潜水排污泵 1，Q=10m³/h，H=10m，N=1.1kw</w:t>
            </w:r>
          </w:p>
        </w:tc>
        <w:tc>
          <w:tcPr>
            <w:tcW w:w="683" w:type="dxa"/>
            <w:noWrap w:val="0"/>
            <w:vAlign w:val="center"/>
          </w:tcPr>
          <w:p w14:paraId="16B051A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1B86E14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1E2995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集水坑排水</w:t>
            </w:r>
          </w:p>
        </w:tc>
      </w:tr>
      <w:tr w14:paraId="11172E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4427564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7</w:t>
            </w:r>
          </w:p>
        </w:tc>
        <w:tc>
          <w:tcPr>
            <w:tcW w:w="4354" w:type="dxa"/>
            <w:noWrap w:val="0"/>
            <w:vAlign w:val="center"/>
          </w:tcPr>
          <w:p w14:paraId="7753C40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潜水排污泵 2，Q=132m³/h，H=12.5m，N=7.5kw</w:t>
            </w:r>
          </w:p>
        </w:tc>
        <w:tc>
          <w:tcPr>
            <w:tcW w:w="683" w:type="dxa"/>
            <w:noWrap w:val="0"/>
            <w:vAlign w:val="center"/>
          </w:tcPr>
          <w:p w14:paraId="205F2A5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290EE3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A74AF6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库存一台，用于排空， 与消毒接触池合用</w:t>
            </w:r>
          </w:p>
        </w:tc>
      </w:tr>
      <w:tr w14:paraId="39121F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4" w:hRule="atLeast"/>
          <w:jc w:val="center"/>
        </w:trPr>
        <w:tc>
          <w:tcPr>
            <w:tcW w:w="839" w:type="dxa"/>
            <w:noWrap w:val="0"/>
            <w:vAlign w:val="center"/>
          </w:tcPr>
          <w:p w14:paraId="69A82C2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九</w:t>
            </w:r>
          </w:p>
        </w:tc>
        <w:tc>
          <w:tcPr>
            <w:tcW w:w="8703" w:type="dxa"/>
            <w:gridSpan w:val="4"/>
            <w:noWrap w:val="0"/>
            <w:vAlign w:val="center"/>
          </w:tcPr>
          <w:p w14:paraId="01BE9C4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滤布滤池</w:t>
            </w:r>
          </w:p>
        </w:tc>
      </w:tr>
      <w:tr w14:paraId="6060C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305CEEE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7F7466E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行车组，L=4.3m，N=0.55kw</w:t>
            </w:r>
          </w:p>
        </w:tc>
        <w:tc>
          <w:tcPr>
            <w:tcW w:w="683" w:type="dxa"/>
            <w:noWrap w:val="0"/>
            <w:vAlign w:val="center"/>
          </w:tcPr>
          <w:p w14:paraId="7E47250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组</w:t>
            </w:r>
          </w:p>
        </w:tc>
        <w:tc>
          <w:tcPr>
            <w:tcW w:w="732" w:type="dxa"/>
            <w:noWrap w:val="0"/>
            <w:vAlign w:val="center"/>
          </w:tcPr>
          <w:p w14:paraId="3E4692C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4DDBCB7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46C78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30E11C2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2A305D7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手电两用式调节堰门，L*B=2000mm*500mm， N=0.75kw</w:t>
            </w:r>
          </w:p>
        </w:tc>
        <w:tc>
          <w:tcPr>
            <w:tcW w:w="683" w:type="dxa"/>
            <w:noWrap w:val="0"/>
            <w:vAlign w:val="center"/>
          </w:tcPr>
          <w:p w14:paraId="6685B40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1C92072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7A464D9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0CC48A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5" w:hRule="atLeast"/>
          <w:jc w:val="center"/>
        </w:trPr>
        <w:tc>
          <w:tcPr>
            <w:tcW w:w="839" w:type="dxa"/>
            <w:noWrap w:val="0"/>
            <w:vAlign w:val="center"/>
          </w:tcPr>
          <w:p w14:paraId="509E21C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5861535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超声波液位计，IP68,0-3m</w:t>
            </w:r>
          </w:p>
        </w:tc>
        <w:tc>
          <w:tcPr>
            <w:tcW w:w="683" w:type="dxa"/>
            <w:noWrap w:val="0"/>
            <w:vAlign w:val="center"/>
          </w:tcPr>
          <w:p w14:paraId="5A42232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336ED35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22F5C40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171257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5CDF7ED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0FC36B2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反冲洗泵，Q=54m³/h，H=17m，N=3.7kw</w:t>
            </w:r>
          </w:p>
        </w:tc>
        <w:tc>
          <w:tcPr>
            <w:tcW w:w="683" w:type="dxa"/>
            <w:noWrap w:val="0"/>
            <w:vAlign w:val="center"/>
          </w:tcPr>
          <w:p w14:paraId="34A8403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66FF8B7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5B75CFE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775AB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55B28A0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50C05CE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排底泥泵，Q=54m³/h，H=17m，N=3.7kw</w:t>
            </w:r>
          </w:p>
        </w:tc>
        <w:tc>
          <w:tcPr>
            <w:tcW w:w="683" w:type="dxa"/>
            <w:noWrap w:val="0"/>
            <w:vAlign w:val="center"/>
          </w:tcPr>
          <w:p w14:paraId="2301AFC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4515DD9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0AFFE1D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0C69F9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0E8ECAE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w:t>
            </w:r>
          </w:p>
        </w:tc>
        <w:tc>
          <w:tcPr>
            <w:tcW w:w="8703" w:type="dxa"/>
            <w:gridSpan w:val="4"/>
            <w:noWrap w:val="0"/>
            <w:vAlign w:val="center"/>
          </w:tcPr>
          <w:p w14:paraId="6F3B850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消毒接触池</w:t>
            </w:r>
          </w:p>
        </w:tc>
      </w:tr>
      <w:tr w14:paraId="39EA94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0B77165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4E250B4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潜水排污泵，Q=18m³/h，H=14m，N=2.2kw</w:t>
            </w:r>
          </w:p>
        </w:tc>
        <w:tc>
          <w:tcPr>
            <w:tcW w:w="683" w:type="dxa"/>
            <w:noWrap w:val="0"/>
            <w:vAlign w:val="center"/>
          </w:tcPr>
          <w:p w14:paraId="4303A1D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176170D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7E035BA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一备一用</w:t>
            </w:r>
          </w:p>
        </w:tc>
      </w:tr>
      <w:tr w14:paraId="0D97BC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672791B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18AA2CC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潜水排污泵，Q=132m³/h，H=12.5m，N=7.5kw</w:t>
            </w:r>
          </w:p>
        </w:tc>
        <w:tc>
          <w:tcPr>
            <w:tcW w:w="683" w:type="dxa"/>
            <w:noWrap w:val="0"/>
            <w:vAlign w:val="center"/>
          </w:tcPr>
          <w:p w14:paraId="61DB5B1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114BB49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1A7BA7B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库存一台，用于防空， 与高效沉淀池合用</w:t>
            </w:r>
          </w:p>
        </w:tc>
      </w:tr>
      <w:tr w14:paraId="4ED94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4" w:hRule="atLeast"/>
          <w:jc w:val="center"/>
        </w:trPr>
        <w:tc>
          <w:tcPr>
            <w:tcW w:w="839" w:type="dxa"/>
            <w:noWrap w:val="0"/>
            <w:vAlign w:val="center"/>
          </w:tcPr>
          <w:p w14:paraId="7AFB55D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十一</w:t>
            </w:r>
          </w:p>
        </w:tc>
        <w:tc>
          <w:tcPr>
            <w:tcW w:w="8703" w:type="dxa"/>
            <w:gridSpan w:val="4"/>
            <w:noWrap w:val="0"/>
            <w:vAlign w:val="center"/>
          </w:tcPr>
          <w:p w14:paraId="537D1E4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储泥池</w:t>
            </w:r>
          </w:p>
        </w:tc>
      </w:tr>
      <w:tr w14:paraId="1A9396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5517C27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47310C2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水下搅拌器，Φ630m，N=1.2kw</w:t>
            </w:r>
          </w:p>
        </w:tc>
        <w:tc>
          <w:tcPr>
            <w:tcW w:w="683" w:type="dxa"/>
            <w:noWrap w:val="0"/>
            <w:vAlign w:val="center"/>
          </w:tcPr>
          <w:p w14:paraId="0CD422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6D919F6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60016B2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50kw，配钢丝葫芦，起吊架叶轮，导杆等</w:t>
            </w:r>
          </w:p>
        </w:tc>
      </w:tr>
      <w:tr w14:paraId="383F33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64FA31B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十二</w:t>
            </w:r>
          </w:p>
        </w:tc>
        <w:tc>
          <w:tcPr>
            <w:tcW w:w="8703" w:type="dxa"/>
            <w:gridSpan w:val="4"/>
            <w:noWrap w:val="0"/>
            <w:vAlign w:val="center"/>
          </w:tcPr>
          <w:p w14:paraId="1DB197D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污泥调质池设备</w:t>
            </w:r>
          </w:p>
        </w:tc>
      </w:tr>
      <w:tr w14:paraId="4C18B1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5DE64CD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28C8D8F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搅拌机，N=0.75kw，桨板直径 3m</w:t>
            </w:r>
          </w:p>
        </w:tc>
        <w:tc>
          <w:tcPr>
            <w:tcW w:w="683" w:type="dxa"/>
            <w:noWrap w:val="0"/>
            <w:vAlign w:val="center"/>
          </w:tcPr>
          <w:p w14:paraId="219C24F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6B2D89F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2514B7F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CE4CE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327" w:hRule="atLeast"/>
          <w:jc w:val="center"/>
        </w:trPr>
        <w:tc>
          <w:tcPr>
            <w:tcW w:w="839" w:type="dxa"/>
            <w:noWrap w:val="0"/>
            <w:vAlign w:val="center"/>
          </w:tcPr>
          <w:p w14:paraId="0B5AFC9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7F0D522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石灰投加装置，20m³，</w:t>
            </w:r>
          </w:p>
        </w:tc>
        <w:tc>
          <w:tcPr>
            <w:tcW w:w="683" w:type="dxa"/>
            <w:noWrap w:val="0"/>
            <w:vAlign w:val="center"/>
          </w:tcPr>
          <w:p w14:paraId="1091A06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1D0C538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56DCC54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含仓体、除尘器，呼吸机，振动器，所必需的阀门及料位仪表，星型给料机及螺旋输送机</w:t>
            </w:r>
          </w:p>
        </w:tc>
      </w:tr>
      <w:tr w14:paraId="3C547F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42B289E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十三</w:t>
            </w:r>
          </w:p>
        </w:tc>
        <w:tc>
          <w:tcPr>
            <w:tcW w:w="8703" w:type="dxa"/>
            <w:gridSpan w:val="4"/>
            <w:noWrap w:val="0"/>
            <w:vAlign w:val="center"/>
          </w:tcPr>
          <w:p w14:paraId="47A5E6A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加氯加药间</w:t>
            </w:r>
          </w:p>
        </w:tc>
      </w:tr>
      <w:tr w14:paraId="7A1C32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3408B99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47F5309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PE 投加罐，（次氯酸钠），15 吨有效容积，</w:t>
            </w:r>
          </w:p>
        </w:tc>
        <w:tc>
          <w:tcPr>
            <w:tcW w:w="683" w:type="dxa"/>
            <w:noWrap w:val="0"/>
            <w:vAlign w:val="center"/>
          </w:tcPr>
          <w:p w14:paraId="3351855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只</w:t>
            </w:r>
          </w:p>
        </w:tc>
        <w:tc>
          <w:tcPr>
            <w:tcW w:w="732" w:type="dxa"/>
            <w:noWrap w:val="0"/>
            <w:vAlign w:val="center"/>
          </w:tcPr>
          <w:p w14:paraId="68EE54B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52B2084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PT15000L</w:t>
            </w:r>
          </w:p>
        </w:tc>
      </w:tr>
      <w:tr w14:paraId="30A96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3E97DE2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239371B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PE 投加罐，（乙酸铵），20 吨有效容积</w:t>
            </w:r>
          </w:p>
        </w:tc>
        <w:tc>
          <w:tcPr>
            <w:tcW w:w="683" w:type="dxa"/>
            <w:noWrap w:val="0"/>
            <w:vAlign w:val="center"/>
          </w:tcPr>
          <w:p w14:paraId="146DD1D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只</w:t>
            </w:r>
          </w:p>
        </w:tc>
        <w:tc>
          <w:tcPr>
            <w:tcW w:w="732" w:type="dxa"/>
            <w:noWrap w:val="0"/>
            <w:vAlign w:val="center"/>
          </w:tcPr>
          <w:p w14:paraId="763BC5D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51D6F9C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PT2000L</w:t>
            </w:r>
          </w:p>
        </w:tc>
      </w:tr>
      <w:tr w14:paraId="76496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536A3A5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5DC078C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卸料泵,Q=25m³/h，H=20m，N=4kw</w:t>
            </w:r>
          </w:p>
        </w:tc>
        <w:tc>
          <w:tcPr>
            <w:tcW w:w="683" w:type="dxa"/>
            <w:noWrap w:val="0"/>
            <w:vAlign w:val="center"/>
          </w:tcPr>
          <w:p w14:paraId="721ABA0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只</w:t>
            </w:r>
          </w:p>
        </w:tc>
        <w:tc>
          <w:tcPr>
            <w:tcW w:w="732" w:type="dxa"/>
            <w:noWrap w:val="0"/>
            <w:vAlign w:val="center"/>
          </w:tcPr>
          <w:p w14:paraId="558AB8D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2934" w:type="dxa"/>
            <w:noWrap w:val="0"/>
            <w:vAlign w:val="center"/>
          </w:tcPr>
          <w:p w14:paraId="06AB2AE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各两备两用</w:t>
            </w:r>
          </w:p>
        </w:tc>
      </w:tr>
      <w:tr w14:paraId="233394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2B5B8A3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499BC95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轴流风机，BT35-11，</w:t>
            </w:r>
          </w:p>
        </w:tc>
        <w:tc>
          <w:tcPr>
            <w:tcW w:w="683" w:type="dxa"/>
            <w:noWrap w:val="0"/>
            <w:vAlign w:val="center"/>
          </w:tcPr>
          <w:p w14:paraId="4198B36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个</w:t>
            </w:r>
          </w:p>
        </w:tc>
        <w:tc>
          <w:tcPr>
            <w:tcW w:w="732" w:type="dxa"/>
            <w:noWrap w:val="0"/>
            <w:vAlign w:val="center"/>
          </w:tcPr>
          <w:p w14:paraId="5B102CE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8</w:t>
            </w:r>
          </w:p>
        </w:tc>
        <w:tc>
          <w:tcPr>
            <w:tcW w:w="2934" w:type="dxa"/>
            <w:noWrap w:val="0"/>
            <w:vAlign w:val="center"/>
          </w:tcPr>
          <w:p w14:paraId="7F2247D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叶轮直径 280mm，</w:t>
            </w:r>
          </w:p>
          <w:p w14:paraId="7954B69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Q=1346m³/h，0.025kw</w:t>
            </w:r>
          </w:p>
        </w:tc>
      </w:tr>
      <w:tr w14:paraId="228E73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0A28697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27A9D8D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搅拌机，直径 700mm，N=7kw</w:t>
            </w:r>
          </w:p>
        </w:tc>
        <w:tc>
          <w:tcPr>
            <w:tcW w:w="683" w:type="dxa"/>
            <w:noWrap w:val="0"/>
            <w:vAlign w:val="center"/>
          </w:tcPr>
          <w:p w14:paraId="47BE885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1BC0C50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2934" w:type="dxa"/>
            <w:noWrap w:val="0"/>
            <w:vAlign w:val="center"/>
          </w:tcPr>
          <w:p w14:paraId="7955D82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与储药罐配套</w:t>
            </w:r>
          </w:p>
        </w:tc>
      </w:tr>
      <w:tr w14:paraId="190270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53C940E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十四</w:t>
            </w:r>
          </w:p>
        </w:tc>
        <w:tc>
          <w:tcPr>
            <w:tcW w:w="8703" w:type="dxa"/>
            <w:gridSpan w:val="4"/>
            <w:noWrap w:val="0"/>
            <w:vAlign w:val="center"/>
          </w:tcPr>
          <w:p w14:paraId="48CC4D3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鼓风机房、配电间</w:t>
            </w:r>
          </w:p>
        </w:tc>
      </w:tr>
      <w:tr w14:paraId="5174C1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380" w:hRule="atLeast"/>
          <w:jc w:val="center"/>
        </w:trPr>
        <w:tc>
          <w:tcPr>
            <w:tcW w:w="839" w:type="dxa"/>
            <w:noWrap w:val="0"/>
            <w:vAlign w:val="center"/>
          </w:tcPr>
          <w:p w14:paraId="083E937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0DDBBD5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罗茨鼓风机，Q=40m³/min，H=7m，P=75kw</w:t>
            </w:r>
          </w:p>
        </w:tc>
        <w:tc>
          <w:tcPr>
            <w:tcW w:w="683" w:type="dxa"/>
            <w:noWrap w:val="0"/>
            <w:vAlign w:val="center"/>
          </w:tcPr>
          <w:p w14:paraId="328F805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3629485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2934" w:type="dxa"/>
            <w:noWrap w:val="0"/>
            <w:vAlign w:val="center"/>
          </w:tcPr>
          <w:p w14:paraId="157B2B3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 用 1 备，变频驱动， 风机配套提供进出风口消音器，压力表，泄压阀，止回阀，风机罩等</w:t>
            </w:r>
          </w:p>
        </w:tc>
      </w:tr>
      <w:tr w14:paraId="25B333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5DA7B81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17915FF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电动单桨起重机，G=3T，Lk4.5m，N=10.7kw</w:t>
            </w:r>
          </w:p>
        </w:tc>
        <w:tc>
          <w:tcPr>
            <w:tcW w:w="683" w:type="dxa"/>
            <w:noWrap w:val="0"/>
            <w:vAlign w:val="center"/>
          </w:tcPr>
          <w:p w14:paraId="7340136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393ACA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1D3810A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LX3-4.5-20</w:t>
            </w:r>
          </w:p>
        </w:tc>
      </w:tr>
      <w:tr w14:paraId="6F120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4CCE1F5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22B9E3B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轴流通风机，Q=4504m³/hr，H=11mmH2O，Φ 20，N=0.18kw</w:t>
            </w:r>
          </w:p>
        </w:tc>
        <w:tc>
          <w:tcPr>
            <w:tcW w:w="683" w:type="dxa"/>
            <w:noWrap w:val="0"/>
            <w:vAlign w:val="center"/>
          </w:tcPr>
          <w:p w14:paraId="4F4065A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3E8E65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10</w:t>
            </w:r>
          </w:p>
        </w:tc>
        <w:tc>
          <w:tcPr>
            <w:tcW w:w="2934" w:type="dxa"/>
            <w:noWrap w:val="0"/>
            <w:vAlign w:val="center"/>
          </w:tcPr>
          <w:p w14:paraId="10EA9EA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T35-11-4.5</w:t>
            </w:r>
          </w:p>
        </w:tc>
      </w:tr>
      <w:tr w14:paraId="0A7461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5" w:hRule="atLeast"/>
          <w:jc w:val="center"/>
        </w:trPr>
        <w:tc>
          <w:tcPr>
            <w:tcW w:w="839" w:type="dxa"/>
            <w:noWrap w:val="0"/>
            <w:vAlign w:val="center"/>
          </w:tcPr>
          <w:p w14:paraId="5371056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十五</w:t>
            </w:r>
          </w:p>
        </w:tc>
        <w:tc>
          <w:tcPr>
            <w:tcW w:w="8703" w:type="dxa"/>
            <w:gridSpan w:val="4"/>
            <w:noWrap w:val="0"/>
            <w:vAlign w:val="center"/>
          </w:tcPr>
          <w:p w14:paraId="210FCE4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污泥脱水间</w:t>
            </w:r>
          </w:p>
        </w:tc>
      </w:tr>
      <w:tr w14:paraId="30D128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1AA85CF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20F230F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压滤机，过滤面积 300 ㎡，N=18.5kw</w:t>
            </w:r>
          </w:p>
        </w:tc>
        <w:tc>
          <w:tcPr>
            <w:tcW w:w="683" w:type="dxa"/>
            <w:noWrap w:val="0"/>
            <w:vAlign w:val="center"/>
          </w:tcPr>
          <w:p w14:paraId="19F6B57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4AA0D54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457CCCF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2492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27BE9B0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2650877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高压进料泵，Q=40m³/h，N=22kw</w:t>
            </w:r>
          </w:p>
        </w:tc>
        <w:tc>
          <w:tcPr>
            <w:tcW w:w="683" w:type="dxa"/>
            <w:noWrap w:val="0"/>
            <w:vAlign w:val="center"/>
          </w:tcPr>
          <w:p w14:paraId="6DCF95D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C5D520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7770709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011694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7CF1C90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06D81EF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压榨泵，Q=12m³/h，H=183m，N=11kw</w:t>
            </w:r>
          </w:p>
        </w:tc>
        <w:tc>
          <w:tcPr>
            <w:tcW w:w="683" w:type="dxa"/>
            <w:noWrap w:val="0"/>
            <w:vAlign w:val="center"/>
          </w:tcPr>
          <w:p w14:paraId="71ED613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2C8C65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765B9E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686DAE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29DEC24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0FD9244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空压机，排气量 2.2m³/min，N=15kw，压力0.8Mpa</w:t>
            </w:r>
          </w:p>
        </w:tc>
        <w:tc>
          <w:tcPr>
            <w:tcW w:w="683" w:type="dxa"/>
            <w:noWrap w:val="0"/>
            <w:vAlign w:val="center"/>
          </w:tcPr>
          <w:p w14:paraId="0845E7F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56C0B59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D9E123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3DAB4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5" w:hRule="atLeast"/>
          <w:jc w:val="center"/>
        </w:trPr>
        <w:tc>
          <w:tcPr>
            <w:tcW w:w="839" w:type="dxa"/>
            <w:noWrap w:val="0"/>
            <w:vAlign w:val="center"/>
          </w:tcPr>
          <w:p w14:paraId="3400693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064BBB8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洗布水泵，Q=20 ㎡/h，H=197m，N=18.5kw</w:t>
            </w:r>
          </w:p>
        </w:tc>
        <w:tc>
          <w:tcPr>
            <w:tcW w:w="683" w:type="dxa"/>
            <w:noWrap w:val="0"/>
            <w:vAlign w:val="center"/>
          </w:tcPr>
          <w:p w14:paraId="39BD606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0C6464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28FA869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F75EF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44855A6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4354" w:type="dxa"/>
            <w:noWrap w:val="0"/>
            <w:vAlign w:val="center"/>
          </w:tcPr>
          <w:p w14:paraId="79171DF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储气罐 1#，容积 1m³，压力 1Mpa</w:t>
            </w:r>
          </w:p>
        </w:tc>
        <w:tc>
          <w:tcPr>
            <w:tcW w:w="683" w:type="dxa"/>
            <w:noWrap w:val="0"/>
            <w:vAlign w:val="center"/>
          </w:tcPr>
          <w:p w14:paraId="28E4CCF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5ED6261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6984372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6E032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75" w:hRule="atLeast"/>
          <w:jc w:val="center"/>
        </w:trPr>
        <w:tc>
          <w:tcPr>
            <w:tcW w:w="839" w:type="dxa"/>
            <w:noWrap w:val="0"/>
            <w:vAlign w:val="center"/>
          </w:tcPr>
          <w:p w14:paraId="333143A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7</w:t>
            </w:r>
          </w:p>
        </w:tc>
        <w:tc>
          <w:tcPr>
            <w:tcW w:w="4354" w:type="dxa"/>
            <w:noWrap w:val="0"/>
            <w:vAlign w:val="center"/>
          </w:tcPr>
          <w:p w14:paraId="5AA365E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储气罐 2#，容积 5m³，压力 1Mpa</w:t>
            </w:r>
          </w:p>
        </w:tc>
        <w:tc>
          <w:tcPr>
            <w:tcW w:w="683" w:type="dxa"/>
            <w:noWrap w:val="0"/>
            <w:vAlign w:val="center"/>
          </w:tcPr>
          <w:p w14:paraId="3DB02D0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491F8E0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122F252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67B4C4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1EB67AB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8</w:t>
            </w:r>
          </w:p>
        </w:tc>
        <w:tc>
          <w:tcPr>
            <w:tcW w:w="4354" w:type="dxa"/>
            <w:noWrap w:val="0"/>
            <w:vAlign w:val="center"/>
          </w:tcPr>
          <w:p w14:paraId="1DCE87C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空气处理系统，冷干机、过滤器</w:t>
            </w:r>
          </w:p>
        </w:tc>
        <w:tc>
          <w:tcPr>
            <w:tcW w:w="683" w:type="dxa"/>
            <w:noWrap w:val="0"/>
            <w:vAlign w:val="center"/>
          </w:tcPr>
          <w:p w14:paraId="75B9C75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21179AB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12DD93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与空压机配套</w:t>
            </w:r>
          </w:p>
        </w:tc>
      </w:tr>
      <w:tr w14:paraId="4F4A6B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20F13E5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9</w:t>
            </w:r>
          </w:p>
        </w:tc>
        <w:tc>
          <w:tcPr>
            <w:tcW w:w="4354" w:type="dxa"/>
            <w:noWrap w:val="0"/>
            <w:vAlign w:val="center"/>
          </w:tcPr>
          <w:p w14:paraId="4AFF5EC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电动单梁悬挂起重机，G=10t，N=15kw</w:t>
            </w:r>
          </w:p>
        </w:tc>
        <w:tc>
          <w:tcPr>
            <w:tcW w:w="683" w:type="dxa"/>
            <w:noWrap w:val="0"/>
            <w:vAlign w:val="center"/>
          </w:tcPr>
          <w:p w14:paraId="3E843CA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1E33418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5F9446B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78EA52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94" w:hRule="atLeast"/>
          <w:jc w:val="center"/>
        </w:trPr>
        <w:tc>
          <w:tcPr>
            <w:tcW w:w="839" w:type="dxa"/>
            <w:noWrap w:val="0"/>
            <w:vAlign w:val="center"/>
          </w:tcPr>
          <w:p w14:paraId="32F4BFC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10</w:t>
            </w:r>
          </w:p>
        </w:tc>
        <w:tc>
          <w:tcPr>
            <w:tcW w:w="4354" w:type="dxa"/>
            <w:noWrap w:val="0"/>
            <w:vAlign w:val="center"/>
          </w:tcPr>
          <w:p w14:paraId="6DA9F81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隔膜计量泵，Q=235L/h，N=0.67kw</w:t>
            </w:r>
          </w:p>
        </w:tc>
        <w:tc>
          <w:tcPr>
            <w:tcW w:w="683" w:type="dxa"/>
            <w:noWrap w:val="0"/>
            <w:vAlign w:val="center"/>
          </w:tcPr>
          <w:p w14:paraId="3E07A72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5E1946A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8</w:t>
            </w:r>
          </w:p>
        </w:tc>
        <w:tc>
          <w:tcPr>
            <w:tcW w:w="2934" w:type="dxa"/>
            <w:noWrap w:val="0"/>
            <w:vAlign w:val="center"/>
          </w:tcPr>
          <w:p w14:paraId="7D6212B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7959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4FD49E9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11</w:t>
            </w:r>
          </w:p>
        </w:tc>
        <w:tc>
          <w:tcPr>
            <w:tcW w:w="4354" w:type="dxa"/>
            <w:noWrap w:val="0"/>
            <w:vAlign w:val="center"/>
          </w:tcPr>
          <w:p w14:paraId="6430BD1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轴流风机，BT35-11</w:t>
            </w:r>
          </w:p>
        </w:tc>
        <w:tc>
          <w:tcPr>
            <w:tcW w:w="683" w:type="dxa"/>
            <w:noWrap w:val="0"/>
            <w:vAlign w:val="center"/>
          </w:tcPr>
          <w:p w14:paraId="4837AEE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BAAE1D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8</w:t>
            </w:r>
          </w:p>
        </w:tc>
        <w:tc>
          <w:tcPr>
            <w:tcW w:w="2934" w:type="dxa"/>
            <w:noWrap w:val="0"/>
            <w:vAlign w:val="center"/>
          </w:tcPr>
          <w:p w14:paraId="33B1791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39C44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545450C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12</w:t>
            </w:r>
          </w:p>
        </w:tc>
        <w:tc>
          <w:tcPr>
            <w:tcW w:w="4354" w:type="dxa"/>
            <w:noWrap w:val="0"/>
            <w:vAlign w:val="center"/>
          </w:tcPr>
          <w:p w14:paraId="556F8EC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卸料泵，Q=25m³/h，H=20m，N=4kw</w:t>
            </w:r>
          </w:p>
        </w:tc>
        <w:tc>
          <w:tcPr>
            <w:tcW w:w="683" w:type="dxa"/>
            <w:noWrap w:val="0"/>
            <w:vAlign w:val="center"/>
          </w:tcPr>
          <w:p w14:paraId="06C8443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8B9A15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3FA04E2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6F0C7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1DCCB56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十六</w:t>
            </w:r>
          </w:p>
        </w:tc>
        <w:tc>
          <w:tcPr>
            <w:tcW w:w="8703" w:type="dxa"/>
            <w:gridSpan w:val="4"/>
            <w:noWrap w:val="0"/>
            <w:vAlign w:val="center"/>
          </w:tcPr>
          <w:p w14:paraId="34C89CC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应急池</w:t>
            </w:r>
          </w:p>
        </w:tc>
      </w:tr>
      <w:tr w14:paraId="316FE8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79EA2DF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1C9175F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潜水搅拌器</w:t>
            </w:r>
          </w:p>
        </w:tc>
        <w:tc>
          <w:tcPr>
            <w:tcW w:w="683" w:type="dxa"/>
            <w:noWrap w:val="0"/>
            <w:vAlign w:val="center"/>
          </w:tcPr>
          <w:p w14:paraId="77659C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31A6308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2934" w:type="dxa"/>
            <w:noWrap w:val="0"/>
            <w:vAlign w:val="center"/>
          </w:tcPr>
          <w:p w14:paraId="389EE8A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0A2A9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7" w:hRule="atLeast"/>
          <w:jc w:val="center"/>
        </w:trPr>
        <w:tc>
          <w:tcPr>
            <w:tcW w:w="839" w:type="dxa"/>
            <w:noWrap w:val="0"/>
            <w:vAlign w:val="center"/>
          </w:tcPr>
          <w:p w14:paraId="0ADE1F5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十七</w:t>
            </w:r>
          </w:p>
        </w:tc>
        <w:tc>
          <w:tcPr>
            <w:tcW w:w="4354" w:type="dxa"/>
            <w:noWrap w:val="0"/>
            <w:vAlign w:val="center"/>
          </w:tcPr>
          <w:p w14:paraId="3AE96CE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污泥浓缩设备</w:t>
            </w:r>
          </w:p>
        </w:tc>
        <w:tc>
          <w:tcPr>
            <w:tcW w:w="683" w:type="dxa"/>
            <w:noWrap w:val="0"/>
            <w:vAlign w:val="center"/>
          </w:tcPr>
          <w:p w14:paraId="53D13CD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2"/>
              </w:rPr>
            </w:pPr>
          </w:p>
        </w:tc>
        <w:tc>
          <w:tcPr>
            <w:tcW w:w="732" w:type="dxa"/>
            <w:noWrap w:val="0"/>
            <w:vAlign w:val="center"/>
          </w:tcPr>
          <w:p w14:paraId="0F6684A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2"/>
              </w:rPr>
            </w:pPr>
          </w:p>
        </w:tc>
        <w:tc>
          <w:tcPr>
            <w:tcW w:w="2934" w:type="dxa"/>
            <w:noWrap w:val="0"/>
            <w:vAlign w:val="center"/>
          </w:tcPr>
          <w:p w14:paraId="0F3B10A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00C2EF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622" w:hRule="atLeast"/>
          <w:jc w:val="center"/>
        </w:trPr>
        <w:tc>
          <w:tcPr>
            <w:tcW w:w="839" w:type="dxa"/>
            <w:noWrap w:val="0"/>
            <w:vAlign w:val="center"/>
          </w:tcPr>
          <w:p w14:paraId="7819755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42B79B2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转鼓浓缩机，处理量：50~60m³/h，N=3.55kw</w:t>
            </w:r>
          </w:p>
        </w:tc>
        <w:tc>
          <w:tcPr>
            <w:tcW w:w="683" w:type="dxa"/>
            <w:noWrap w:val="0"/>
            <w:vAlign w:val="center"/>
          </w:tcPr>
          <w:p w14:paraId="7B1E508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4D7FADA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00D03A5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7A426E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6" w:hRule="atLeast"/>
          <w:jc w:val="center"/>
        </w:trPr>
        <w:tc>
          <w:tcPr>
            <w:tcW w:w="839" w:type="dxa"/>
            <w:noWrap w:val="0"/>
            <w:vAlign w:val="center"/>
          </w:tcPr>
          <w:p w14:paraId="5E2E26D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0F817B1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絮凝剂系统，溶药能力 400L/h，N=1.4kw</w:t>
            </w:r>
          </w:p>
        </w:tc>
        <w:tc>
          <w:tcPr>
            <w:tcW w:w="683" w:type="dxa"/>
            <w:noWrap w:val="0"/>
            <w:vAlign w:val="center"/>
          </w:tcPr>
          <w:p w14:paraId="3FB870B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619DEA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98907D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6D592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465" w:hRule="atLeast"/>
          <w:jc w:val="center"/>
        </w:trPr>
        <w:tc>
          <w:tcPr>
            <w:tcW w:w="839" w:type="dxa"/>
            <w:noWrap w:val="0"/>
            <w:vAlign w:val="center"/>
          </w:tcPr>
          <w:p w14:paraId="413782F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7CB55E5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加药泵，Q=4m³/h，H=60m，N=1.5kw</w:t>
            </w:r>
          </w:p>
        </w:tc>
        <w:tc>
          <w:tcPr>
            <w:tcW w:w="683" w:type="dxa"/>
            <w:noWrap w:val="0"/>
            <w:vAlign w:val="center"/>
          </w:tcPr>
          <w:p w14:paraId="6D1C48C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A24BDC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0503B1C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312F4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28C4358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十八</w:t>
            </w:r>
          </w:p>
        </w:tc>
        <w:tc>
          <w:tcPr>
            <w:tcW w:w="8703" w:type="dxa"/>
            <w:gridSpan w:val="4"/>
            <w:noWrap w:val="0"/>
            <w:vAlign w:val="center"/>
          </w:tcPr>
          <w:p w14:paraId="524CFE0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机修仓库设备</w:t>
            </w:r>
          </w:p>
        </w:tc>
      </w:tr>
      <w:tr w14:paraId="4DFD7F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6BAA50A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1AC20C8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LED 配电箱</w:t>
            </w:r>
          </w:p>
        </w:tc>
        <w:tc>
          <w:tcPr>
            <w:tcW w:w="683" w:type="dxa"/>
            <w:noWrap w:val="0"/>
            <w:vAlign w:val="center"/>
          </w:tcPr>
          <w:p w14:paraId="343A2E2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7BC133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6B1922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641C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7309565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1094EE6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AP 配电箱及配电设备</w:t>
            </w:r>
          </w:p>
        </w:tc>
        <w:tc>
          <w:tcPr>
            <w:tcW w:w="683" w:type="dxa"/>
            <w:noWrap w:val="0"/>
            <w:vAlign w:val="center"/>
          </w:tcPr>
          <w:p w14:paraId="3A8C2CD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85723B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5E7D79C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38AF2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1DE001D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十九</w:t>
            </w:r>
          </w:p>
        </w:tc>
        <w:tc>
          <w:tcPr>
            <w:tcW w:w="8703" w:type="dxa"/>
            <w:gridSpan w:val="4"/>
            <w:noWrap w:val="0"/>
            <w:vAlign w:val="center"/>
          </w:tcPr>
          <w:p w14:paraId="4B4E684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中控室中央控制系统</w:t>
            </w:r>
          </w:p>
        </w:tc>
      </w:tr>
      <w:tr w14:paraId="270E7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03AEDB2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6C5C75D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中央监控服务器</w:t>
            </w:r>
          </w:p>
        </w:tc>
        <w:tc>
          <w:tcPr>
            <w:tcW w:w="683" w:type="dxa"/>
            <w:noWrap w:val="0"/>
            <w:vAlign w:val="center"/>
          </w:tcPr>
          <w:p w14:paraId="176857D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19475D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1FDC1EF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0FA70E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56EA50A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05BCCFA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中央监控操作员终端</w:t>
            </w:r>
          </w:p>
        </w:tc>
        <w:tc>
          <w:tcPr>
            <w:tcW w:w="683" w:type="dxa"/>
            <w:noWrap w:val="0"/>
            <w:vAlign w:val="center"/>
          </w:tcPr>
          <w:p w14:paraId="7FE25A1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76CA94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30B4A31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43FB9D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49AF108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149ED4C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工业网络交换机</w:t>
            </w:r>
          </w:p>
        </w:tc>
        <w:tc>
          <w:tcPr>
            <w:tcW w:w="683" w:type="dxa"/>
            <w:noWrap w:val="0"/>
            <w:vAlign w:val="center"/>
          </w:tcPr>
          <w:p w14:paraId="7B05C0F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ED7BEA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31D83A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AED9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2CC8149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01D70CA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核心交换机</w:t>
            </w:r>
          </w:p>
        </w:tc>
        <w:tc>
          <w:tcPr>
            <w:tcW w:w="683" w:type="dxa"/>
            <w:noWrap w:val="0"/>
            <w:vAlign w:val="center"/>
          </w:tcPr>
          <w:p w14:paraId="52951A0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4708B7D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C249DD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9AF3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30B7446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06FF57D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中央控制台</w:t>
            </w:r>
          </w:p>
        </w:tc>
        <w:tc>
          <w:tcPr>
            <w:tcW w:w="683" w:type="dxa"/>
            <w:noWrap w:val="0"/>
            <w:vAlign w:val="center"/>
          </w:tcPr>
          <w:p w14:paraId="7F0A267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AB41E1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1E74B0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7AE7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624C653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4354" w:type="dxa"/>
            <w:noWrap w:val="0"/>
            <w:vAlign w:val="center"/>
          </w:tcPr>
          <w:p w14:paraId="5D995C6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网络机柜</w:t>
            </w:r>
          </w:p>
        </w:tc>
        <w:tc>
          <w:tcPr>
            <w:tcW w:w="683" w:type="dxa"/>
            <w:noWrap w:val="0"/>
            <w:vAlign w:val="center"/>
          </w:tcPr>
          <w:p w14:paraId="106550B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4F958F5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651361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E8F66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2D60FFE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7</w:t>
            </w:r>
          </w:p>
        </w:tc>
        <w:tc>
          <w:tcPr>
            <w:tcW w:w="4354" w:type="dxa"/>
            <w:noWrap w:val="0"/>
            <w:vAlign w:val="center"/>
          </w:tcPr>
          <w:p w14:paraId="574C7B4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大屏显示系统</w:t>
            </w:r>
          </w:p>
        </w:tc>
        <w:tc>
          <w:tcPr>
            <w:tcW w:w="683" w:type="dxa"/>
            <w:noWrap w:val="0"/>
            <w:vAlign w:val="center"/>
          </w:tcPr>
          <w:p w14:paraId="57B4B5C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3765C31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9</w:t>
            </w:r>
          </w:p>
        </w:tc>
        <w:tc>
          <w:tcPr>
            <w:tcW w:w="2934" w:type="dxa"/>
            <w:noWrap w:val="0"/>
            <w:vAlign w:val="center"/>
          </w:tcPr>
          <w:p w14:paraId="3414236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679D9A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9542" w:type="dxa"/>
            <w:gridSpan w:val="5"/>
            <w:noWrap w:val="0"/>
            <w:vAlign w:val="center"/>
          </w:tcPr>
          <w:p w14:paraId="478F265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val="0"/>
                <w:caps w:val="0"/>
                <w:color w:val="auto"/>
                <w:spacing w:val="0"/>
                <w:sz w:val="24"/>
              </w:rPr>
            </w:pPr>
            <w:r>
              <w:rPr>
                <w:rFonts w:hint="eastAsia" w:ascii="仿宋" w:hAnsi="仿宋" w:eastAsia="仿宋" w:cs="仿宋"/>
                <w:b/>
                <w:bCs w:val="0"/>
                <w:caps w:val="0"/>
                <w:color w:val="auto"/>
                <w:spacing w:val="0"/>
                <w:sz w:val="24"/>
              </w:rPr>
              <w:t>PLC 控制系统</w:t>
            </w:r>
          </w:p>
        </w:tc>
      </w:tr>
      <w:tr w14:paraId="4DB43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58D4110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val="0"/>
                <w:caps w:val="0"/>
                <w:color w:val="auto"/>
                <w:spacing w:val="0"/>
                <w:sz w:val="24"/>
              </w:rPr>
            </w:pPr>
            <w:r>
              <w:rPr>
                <w:rFonts w:hint="eastAsia" w:ascii="仿宋" w:hAnsi="仿宋" w:eastAsia="仿宋" w:cs="仿宋"/>
                <w:b/>
                <w:bCs w:val="0"/>
                <w:caps w:val="0"/>
                <w:color w:val="auto"/>
                <w:spacing w:val="0"/>
                <w:sz w:val="24"/>
              </w:rPr>
              <w:t>一</w:t>
            </w:r>
          </w:p>
        </w:tc>
        <w:tc>
          <w:tcPr>
            <w:tcW w:w="8703" w:type="dxa"/>
            <w:gridSpan w:val="4"/>
            <w:noWrap w:val="0"/>
            <w:vAlign w:val="center"/>
          </w:tcPr>
          <w:p w14:paraId="5D24650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val="0"/>
                <w:caps w:val="0"/>
                <w:color w:val="auto"/>
                <w:spacing w:val="0"/>
                <w:sz w:val="24"/>
              </w:rPr>
            </w:pPr>
            <w:r>
              <w:rPr>
                <w:rFonts w:hint="eastAsia" w:ascii="仿宋" w:hAnsi="仿宋" w:eastAsia="仿宋" w:cs="仿宋"/>
                <w:b/>
                <w:bCs w:val="0"/>
                <w:caps w:val="0"/>
                <w:color w:val="auto"/>
                <w:spacing w:val="0"/>
                <w:sz w:val="24"/>
              </w:rPr>
              <w:t>粗格栅站 PLC1</w:t>
            </w:r>
          </w:p>
        </w:tc>
      </w:tr>
      <w:tr w14:paraId="7E3ECF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010E589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1FDE334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 PLC 控制器 1 套，工业网络交换机1 套，触摸屏 1 面，PLC 控制柜 1 套，USB电源 1 台，柜内辅助器材 1 套）</w:t>
            </w:r>
          </w:p>
        </w:tc>
        <w:tc>
          <w:tcPr>
            <w:tcW w:w="683" w:type="dxa"/>
            <w:noWrap w:val="0"/>
            <w:vAlign w:val="center"/>
          </w:tcPr>
          <w:p w14:paraId="16368E6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158CAC1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B1D85D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B7B4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42A08F5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二</w:t>
            </w:r>
          </w:p>
        </w:tc>
        <w:tc>
          <w:tcPr>
            <w:tcW w:w="8703" w:type="dxa"/>
            <w:gridSpan w:val="4"/>
            <w:noWrap w:val="0"/>
            <w:vAlign w:val="center"/>
          </w:tcPr>
          <w:p w14:paraId="3C08791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细格栅站 PLC2</w:t>
            </w:r>
          </w:p>
        </w:tc>
      </w:tr>
      <w:tr w14:paraId="18733F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121C356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3727866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 PLC 控制器 1 套，工业网络交换机1 套，触摸屏 1 面，PLC 控制柜 1 套，USB电源 1 台，柜内辅助器材 1 套</w:t>
            </w:r>
          </w:p>
        </w:tc>
        <w:tc>
          <w:tcPr>
            <w:tcW w:w="683" w:type="dxa"/>
            <w:noWrap w:val="0"/>
            <w:vAlign w:val="center"/>
          </w:tcPr>
          <w:p w14:paraId="7CC3320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0AB7493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6F395FE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792E0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1A35DAF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三</w:t>
            </w:r>
          </w:p>
        </w:tc>
        <w:tc>
          <w:tcPr>
            <w:tcW w:w="8703" w:type="dxa"/>
            <w:gridSpan w:val="4"/>
            <w:noWrap w:val="0"/>
            <w:vAlign w:val="center"/>
          </w:tcPr>
          <w:p w14:paraId="4E8C5E7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生物池 PLC3</w:t>
            </w:r>
          </w:p>
        </w:tc>
      </w:tr>
      <w:tr w14:paraId="621AD0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7579EE0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08C8BEB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 PLC 控制器 1 套，工业网络交换机1 套，触摸屏 1 面，PLC 控制柜 1 套，USB电源 1 台，柜内辅助器材 1 套</w:t>
            </w:r>
          </w:p>
        </w:tc>
        <w:tc>
          <w:tcPr>
            <w:tcW w:w="683" w:type="dxa"/>
            <w:noWrap w:val="0"/>
            <w:vAlign w:val="center"/>
          </w:tcPr>
          <w:p w14:paraId="4D03449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6D0B962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876D40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ECB61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4006623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四</w:t>
            </w:r>
          </w:p>
        </w:tc>
        <w:tc>
          <w:tcPr>
            <w:tcW w:w="4354" w:type="dxa"/>
            <w:noWrap w:val="0"/>
            <w:vAlign w:val="center"/>
          </w:tcPr>
          <w:p w14:paraId="56B2D1F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污泥系统 PLC4</w:t>
            </w:r>
          </w:p>
        </w:tc>
        <w:tc>
          <w:tcPr>
            <w:tcW w:w="683" w:type="dxa"/>
            <w:noWrap w:val="0"/>
            <w:vAlign w:val="center"/>
          </w:tcPr>
          <w:p w14:paraId="4DDA56E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2"/>
              </w:rPr>
            </w:pPr>
          </w:p>
        </w:tc>
        <w:tc>
          <w:tcPr>
            <w:tcW w:w="732" w:type="dxa"/>
            <w:noWrap w:val="0"/>
            <w:vAlign w:val="center"/>
          </w:tcPr>
          <w:p w14:paraId="6A2C85D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2"/>
              </w:rPr>
            </w:pPr>
          </w:p>
        </w:tc>
        <w:tc>
          <w:tcPr>
            <w:tcW w:w="2934" w:type="dxa"/>
            <w:noWrap w:val="0"/>
            <w:vAlign w:val="center"/>
          </w:tcPr>
          <w:p w14:paraId="65880E2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447E9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062C443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7624D0D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 PLC 控制器 1 套，工业网络交换机1 套，触摸屏 1 面，PLC 控制柜 1 套，USB电源 1 台，柜内辅助器材 1 套</w:t>
            </w:r>
          </w:p>
        </w:tc>
        <w:tc>
          <w:tcPr>
            <w:tcW w:w="683" w:type="dxa"/>
            <w:noWrap w:val="0"/>
            <w:vAlign w:val="center"/>
          </w:tcPr>
          <w:p w14:paraId="420A8F3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D38BF5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6C14EDF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1B589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3711E3C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五</w:t>
            </w:r>
          </w:p>
        </w:tc>
        <w:tc>
          <w:tcPr>
            <w:tcW w:w="8703" w:type="dxa"/>
            <w:gridSpan w:val="4"/>
            <w:noWrap w:val="0"/>
            <w:vAlign w:val="center"/>
          </w:tcPr>
          <w:p w14:paraId="10D4D2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高效沉淀池 PLC5</w:t>
            </w:r>
          </w:p>
        </w:tc>
      </w:tr>
      <w:tr w14:paraId="5B1972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2778AAF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4604158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 PLC 控制器 1 套，工业网络交换机1 套，触摸屏 1 面，PLC 控制柜 1 套，USB电源 1 台，柜内辅助器材 1 套</w:t>
            </w:r>
          </w:p>
        </w:tc>
        <w:tc>
          <w:tcPr>
            <w:tcW w:w="683" w:type="dxa"/>
            <w:noWrap w:val="0"/>
            <w:vAlign w:val="center"/>
          </w:tcPr>
          <w:p w14:paraId="67A5862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627A0F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59ABD34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13E35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57278F8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六</w:t>
            </w:r>
          </w:p>
        </w:tc>
        <w:tc>
          <w:tcPr>
            <w:tcW w:w="8703" w:type="dxa"/>
            <w:gridSpan w:val="4"/>
            <w:noWrap w:val="0"/>
            <w:vAlign w:val="center"/>
          </w:tcPr>
          <w:p w14:paraId="3F22E1C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加药间 PLC6</w:t>
            </w:r>
          </w:p>
        </w:tc>
      </w:tr>
      <w:tr w14:paraId="79CC69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46C6EF9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429F542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 PLC 控制器 1 套，工业网络交换机1 套，触摸屏 1 面，PLC 控制柜 1 套，USB电源 1 台，柜内辅助器材 1 套</w:t>
            </w:r>
          </w:p>
        </w:tc>
        <w:tc>
          <w:tcPr>
            <w:tcW w:w="683" w:type="dxa"/>
            <w:noWrap w:val="0"/>
            <w:vAlign w:val="center"/>
          </w:tcPr>
          <w:p w14:paraId="7E11A0E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5DE1A12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C46C51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18D0CB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7287AC0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七</w:t>
            </w:r>
          </w:p>
        </w:tc>
        <w:tc>
          <w:tcPr>
            <w:tcW w:w="8703" w:type="dxa"/>
            <w:gridSpan w:val="4"/>
            <w:noWrap w:val="0"/>
            <w:vAlign w:val="center"/>
          </w:tcPr>
          <w:p w14:paraId="2A73168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在线监测仪表</w:t>
            </w:r>
          </w:p>
        </w:tc>
      </w:tr>
      <w:tr w14:paraId="15F622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538" w:hRule="atLeast"/>
          <w:jc w:val="center"/>
        </w:trPr>
        <w:tc>
          <w:tcPr>
            <w:tcW w:w="839" w:type="dxa"/>
            <w:noWrap w:val="0"/>
            <w:vAlign w:val="center"/>
          </w:tcPr>
          <w:p w14:paraId="7576695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70F970A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 COD 在线监测仪、氨氮监测仪，COD分析仪，氨氮分析仪，总磷总氮分析仪，pH/T检测仪，超声波液位计，气体报警仪，DO 仪，MLSS 仪，泥位计，流量计等</w:t>
            </w:r>
          </w:p>
        </w:tc>
        <w:tc>
          <w:tcPr>
            <w:tcW w:w="683" w:type="dxa"/>
            <w:noWrap w:val="0"/>
            <w:vAlign w:val="center"/>
          </w:tcPr>
          <w:p w14:paraId="4A5BAF4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1293862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lang w:eastAsia="zh-CN"/>
              </w:rPr>
            </w:pPr>
            <w:r>
              <w:rPr>
                <w:rFonts w:hint="eastAsia" w:ascii="仿宋" w:hAnsi="仿宋" w:eastAsia="仿宋" w:cs="仿宋"/>
                <w:caps w:val="0"/>
                <w:color w:val="auto"/>
                <w:spacing w:val="0"/>
                <w:sz w:val="24"/>
                <w:lang w:val="en-US" w:eastAsia="zh-CN"/>
              </w:rPr>
              <w:t>2</w:t>
            </w:r>
          </w:p>
        </w:tc>
        <w:tc>
          <w:tcPr>
            <w:tcW w:w="2934" w:type="dxa"/>
            <w:noWrap w:val="0"/>
            <w:vAlign w:val="center"/>
          </w:tcPr>
          <w:p w14:paraId="3AED927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31B8BB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05AF357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八</w:t>
            </w:r>
          </w:p>
        </w:tc>
        <w:tc>
          <w:tcPr>
            <w:tcW w:w="8703" w:type="dxa"/>
            <w:gridSpan w:val="4"/>
            <w:noWrap w:val="0"/>
            <w:vAlign w:val="center"/>
          </w:tcPr>
          <w:p w14:paraId="209226F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电视监控系统</w:t>
            </w:r>
          </w:p>
        </w:tc>
      </w:tr>
      <w:tr w14:paraId="623310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765" w:hRule="atLeast"/>
          <w:jc w:val="center"/>
        </w:trPr>
        <w:tc>
          <w:tcPr>
            <w:tcW w:w="839" w:type="dxa"/>
            <w:noWrap w:val="0"/>
            <w:vAlign w:val="center"/>
          </w:tcPr>
          <w:p w14:paraId="37CBF48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7738804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主要包括管理工作站 2 套，高清红外半球摄像机 4 套，快球摄像机 13 套，监控立杆及制作 12 根，网络硬盘录像机 1 台机，视频防雷系统 12 套，光纤交换机 1 套，监控控制箱 6 套</w:t>
            </w:r>
          </w:p>
        </w:tc>
        <w:tc>
          <w:tcPr>
            <w:tcW w:w="683" w:type="dxa"/>
            <w:noWrap w:val="0"/>
            <w:vAlign w:val="center"/>
          </w:tcPr>
          <w:p w14:paraId="7470E0D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4AA3C5F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97239D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647F3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7BD6B7F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九</w:t>
            </w:r>
          </w:p>
        </w:tc>
        <w:tc>
          <w:tcPr>
            <w:tcW w:w="8703" w:type="dxa"/>
            <w:gridSpan w:val="4"/>
            <w:noWrap w:val="0"/>
            <w:vAlign w:val="center"/>
          </w:tcPr>
          <w:p w14:paraId="6870414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综合楼</w:t>
            </w:r>
          </w:p>
        </w:tc>
      </w:tr>
      <w:tr w14:paraId="2016B6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3272" w:hRule="atLeast"/>
          <w:jc w:val="center"/>
        </w:trPr>
        <w:tc>
          <w:tcPr>
            <w:tcW w:w="839" w:type="dxa"/>
            <w:noWrap w:val="0"/>
            <w:vAlign w:val="center"/>
          </w:tcPr>
          <w:p w14:paraId="5E8844F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3EF86F5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 110AB2-100FT 对配线架(AB 型)1 个，24 口 RJ45 配线架（配模块)7 个，核心交换机主机 1 台，24 口百兆接入交换机 3台，六类非屏蔽模块 112 个，双孔面板 56 个，六类非屏蔽带十字骨架双绞线，305 米/箱 118 箱，LC 双工光纤耦合器 12 个，光纤配线架 1 个，19"标准机柜,42U1 个，壁挂机箱 1 个，路由器 1 个，网管服务器（配软件)1 个</w:t>
            </w:r>
          </w:p>
        </w:tc>
        <w:tc>
          <w:tcPr>
            <w:tcW w:w="683" w:type="dxa"/>
            <w:noWrap w:val="0"/>
            <w:vAlign w:val="center"/>
          </w:tcPr>
          <w:p w14:paraId="22D20BF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127166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0564D4B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18361E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65BC84C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w:t>
            </w:r>
          </w:p>
        </w:tc>
        <w:tc>
          <w:tcPr>
            <w:tcW w:w="8703" w:type="dxa"/>
            <w:gridSpan w:val="4"/>
            <w:noWrap w:val="0"/>
            <w:vAlign w:val="center"/>
          </w:tcPr>
          <w:p w14:paraId="7F0BD7D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信息发布系统</w:t>
            </w:r>
          </w:p>
        </w:tc>
      </w:tr>
      <w:tr w14:paraId="74C9AC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123" w:hRule="atLeast"/>
          <w:jc w:val="center"/>
        </w:trPr>
        <w:tc>
          <w:tcPr>
            <w:tcW w:w="839" w:type="dxa"/>
            <w:noWrap w:val="0"/>
            <w:vAlign w:val="center"/>
          </w:tcPr>
          <w:p w14:paraId="17BB83B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76C6B7B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主要包括门厅室内全彩LED 屏7 平方米，LED结构及装璜 1 块，控制系统 1 套，管理电脑1 台</w:t>
            </w:r>
          </w:p>
        </w:tc>
        <w:tc>
          <w:tcPr>
            <w:tcW w:w="683" w:type="dxa"/>
            <w:noWrap w:val="0"/>
            <w:vAlign w:val="center"/>
          </w:tcPr>
          <w:p w14:paraId="52B207C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6F8B64D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3BFF28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54585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44CFC29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十一</w:t>
            </w:r>
          </w:p>
        </w:tc>
        <w:tc>
          <w:tcPr>
            <w:tcW w:w="8703" w:type="dxa"/>
            <w:gridSpan w:val="4"/>
            <w:noWrap w:val="0"/>
            <w:vAlign w:val="center"/>
          </w:tcPr>
          <w:p w14:paraId="22428D2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空调系统</w:t>
            </w:r>
          </w:p>
        </w:tc>
      </w:tr>
      <w:tr w14:paraId="3F6FC2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6" w:hRule="atLeast"/>
          <w:jc w:val="center"/>
        </w:trPr>
        <w:tc>
          <w:tcPr>
            <w:tcW w:w="839" w:type="dxa"/>
            <w:noWrap w:val="0"/>
            <w:vAlign w:val="center"/>
          </w:tcPr>
          <w:p w14:paraId="23A527A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48EBFB6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主要包括分体空调 1 台，室外机支架 1 套</w:t>
            </w:r>
          </w:p>
        </w:tc>
        <w:tc>
          <w:tcPr>
            <w:tcW w:w="683" w:type="dxa"/>
            <w:noWrap w:val="0"/>
            <w:vAlign w:val="center"/>
          </w:tcPr>
          <w:p w14:paraId="349DC7D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4CAEC13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524179DC">
            <w:pPr>
              <w:pStyle w:val="31"/>
              <w:keepNext w:val="0"/>
              <w:keepLines w:val="0"/>
              <w:pageBreakBefore w:val="0"/>
              <w:widowControl w:val="0"/>
              <w:tabs>
                <w:tab w:val="left" w:pos="1067"/>
              </w:tabs>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总冷量(24℃-50%)： 15.0kw。</w:t>
            </w:r>
          </w:p>
        </w:tc>
      </w:tr>
      <w:tr w14:paraId="229D24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3" w:hRule="atLeast"/>
          <w:jc w:val="center"/>
        </w:trPr>
        <w:tc>
          <w:tcPr>
            <w:tcW w:w="839" w:type="dxa"/>
            <w:noWrap w:val="0"/>
            <w:vAlign w:val="center"/>
          </w:tcPr>
          <w:p w14:paraId="09C00D0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十二</w:t>
            </w:r>
          </w:p>
        </w:tc>
        <w:tc>
          <w:tcPr>
            <w:tcW w:w="8703" w:type="dxa"/>
            <w:gridSpan w:val="4"/>
            <w:noWrap w:val="0"/>
            <w:vAlign w:val="center"/>
          </w:tcPr>
          <w:p w14:paraId="561F9B8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b/>
                <w:bCs/>
                <w:caps w:val="0"/>
                <w:color w:val="auto"/>
                <w:spacing w:val="0"/>
                <w:sz w:val="24"/>
              </w:rPr>
            </w:pPr>
            <w:r>
              <w:rPr>
                <w:rFonts w:hint="eastAsia" w:ascii="仿宋" w:hAnsi="仿宋" w:eastAsia="仿宋" w:cs="仿宋"/>
                <w:b/>
                <w:bCs/>
                <w:caps w:val="0"/>
                <w:color w:val="auto"/>
                <w:spacing w:val="0"/>
                <w:sz w:val="24"/>
              </w:rPr>
              <w:t>防雷接地系统</w:t>
            </w:r>
          </w:p>
        </w:tc>
      </w:tr>
      <w:tr w14:paraId="171B26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13" w:hRule="atLeast"/>
          <w:jc w:val="center"/>
        </w:trPr>
        <w:tc>
          <w:tcPr>
            <w:tcW w:w="839" w:type="dxa"/>
            <w:noWrap w:val="0"/>
            <w:vAlign w:val="center"/>
          </w:tcPr>
          <w:p w14:paraId="45E309D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5C4A4A7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主要包括防雷模块 4 套，防浪涌保护箱（三级）1 套，等电位端子箱 1 个</w:t>
            </w:r>
          </w:p>
        </w:tc>
        <w:tc>
          <w:tcPr>
            <w:tcW w:w="683" w:type="dxa"/>
            <w:noWrap w:val="0"/>
            <w:vAlign w:val="center"/>
          </w:tcPr>
          <w:p w14:paraId="454B6F7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502E61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B1EA54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37B120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9542" w:type="dxa"/>
            <w:gridSpan w:val="5"/>
            <w:noWrap w:val="0"/>
            <w:vAlign w:val="center"/>
          </w:tcPr>
          <w:p w14:paraId="6279469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b/>
                <w:caps w:val="0"/>
                <w:color w:val="auto"/>
                <w:spacing w:val="0"/>
                <w:sz w:val="24"/>
              </w:rPr>
            </w:pPr>
            <w:r>
              <w:rPr>
                <w:rFonts w:hint="eastAsia" w:ascii="仿宋" w:hAnsi="仿宋" w:eastAsia="仿宋" w:cs="仿宋"/>
                <w:b/>
                <w:caps w:val="0"/>
                <w:color w:val="auto"/>
                <w:spacing w:val="0"/>
                <w:sz w:val="24"/>
              </w:rPr>
              <w:t>除臭系统</w:t>
            </w:r>
          </w:p>
        </w:tc>
      </w:tr>
      <w:tr w14:paraId="458A0C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412" w:hRule="atLeast"/>
          <w:jc w:val="center"/>
        </w:trPr>
        <w:tc>
          <w:tcPr>
            <w:tcW w:w="839" w:type="dxa"/>
            <w:noWrap w:val="0"/>
            <w:vAlign w:val="center"/>
          </w:tcPr>
          <w:p w14:paraId="4FD2406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49E777B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1#除臭设施（主要包括生物洗涤过滤除臭装置，风机，循环洗涤泵，循环水箱，补充水箱，补充泵，自动控制装置，排放管道，PH 检测仪，温度计，液位计）</w:t>
            </w:r>
          </w:p>
        </w:tc>
        <w:tc>
          <w:tcPr>
            <w:tcW w:w="683" w:type="dxa"/>
            <w:noWrap w:val="0"/>
            <w:vAlign w:val="center"/>
          </w:tcPr>
          <w:p w14:paraId="67D9C1F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6FDFACB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508512E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处理风量：15000m3/h</w:t>
            </w:r>
          </w:p>
        </w:tc>
      </w:tr>
      <w:tr w14:paraId="0014C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412" w:hRule="atLeast"/>
          <w:jc w:val="center"/>
        </w:trPr>
        <w:tc>
          <w:tcPr>
            <w:tcW w:w="839" w:type="dxa"/>
            <w:noWrap w:val="0"/>
            <w:vAlign w:val="center"/>
          </w:tcPr>
          <w:p w14:paraId="173BB5E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6036BB9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2#除臭设施（主要包括生物洗涤过滤除臭装置，风机，循环洗涤泵，循环水箱，补充水箱，补充泵，自动控制装置，排放管道，PH 检测仪，温度计，液位计）</w:t>
            </w:r>
          </w:p>
        </w:tc>
        <w:tc>
          <w:tcPr>
            <w:tcW w:w="683" w:type="dxa"/>
            <w:noWrap w:val="0"/>
            <w:vAlign w:val="center"/>
          </w:tcPr>
          <w:p w14:paraId="48F8E64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7A6AC01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2B7082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处理风量：3000m3/h</w:t>
            </w:r>
          </w:p>
        </w:tc>
      </w:tr>
      <w:tr w14:paraId="6BA6D2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2" w:hRule="atLeast"/>
          <w:jc w:val="center"/>
        </w:trPr>
        <w:tc>
          <w:tcPr>
            <w:tcW w:w="9542" w:type="dxa"/>
            <w:gridSpan w:val="5"/>
            <w:noWrap w:val="0"/>
            <w:vAlign w:val="center"/>
          </w:tcPr>
          <w:p w14:paraId="5A7BFEB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b/>
                <w:caps w:val="0"/>
                <w:color w:val="auto"/>
                <w:spacing w:val="0"/>
                <w:sz w:val="24"/>
              </w:rPr>
            </w:pPr>
            <w:r>
              <w:rPr>
                <w:rFonts w:hint="eastAsia" w:ascii="仿宋" w:hAnsi="仿宋" w:eastAsia="仿宋" w:cs="仿宋"/>
                <w:b/>
                <w:caps w:val="0"/>
                <w:color w:val="auto"/>
                <w:spacing w:val="0"/>
                <w:sz w:val="24"/>
              </w:rPr>
              <w:t>办公室家具</w:t>
            </w:r>
          </w:p>
        </w:tc>
      </w:tr>
      <w:tr w14:paraId="7D06F9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38453CA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546F54C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 门柜</w:t>
            </w:r>
          </w:p>
        </w:tc>
        <w:tc>
          <w:tcPr>
            <w:tcW w:w="683" w:type="dxa"/>
            <w:noWrap w:val="0"/>
            <w:vAlign w:val="center"/>
          </w:tcPr>
          <w:p w14:paraId="60A8C7B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个</w:t>
            </w:r>
          </w:p>
        </w:tc>
        <w:tc>
          <w:tcPr>
            <w:tcW w:w="732" w:type="dxa"/>
            <w:noWrap w:val="0"/>
            <w:vAlign w:val="center"/>
          </w:tcPr>
          <w:p w14:paraId="082F4BF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2934" w:type="dxa"/>
            <w:noWrap w:val="0"/>
            <w:vAlign w:val="center"/>
          </w:tcPr>
          <w:p w14:paraId="0C7A2BA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27A89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0588C57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25C9A33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 门柜</w:t>
            </w:r>
          </w:p>
        </w:tc>
        <w:tc>
          <w:tcPr>
            <w:tcW w:w="683" w:type="dxa"/>
            <w:noWrap w:val="0"/>
            <w:vAlign w:val="center"/>
          </w:tcPr>
          <w:p w14:paraId="0851B34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个</w:t>
            </w:r>
          </w:p>
        </w:tc>
        <w:tc>
          <w:tcPr>
            <w:tcW w:w="732" w:type="dxa"/>
            <w:noWrap w:val="0"/>
            <w:vAlign w:val="center"/>
          </w:tcPr>
          <w:p w14:paraId="3C76583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9CBBBF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1A53C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5962363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7B8FB86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 门柜</w:t>
            </w:r>
          </w:p>
        </w:tc>
        <w:tc>
          <w:tcPr>
            <w:tcW w:w="683" w:type="dxa"/>
            <w:noWrap w:val="0"/>
            <w:vAlign w:val="center"/>
          </w:tcPr>
          <w:p w14:paraId="0CC605C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个</w:t>
            </w:r>
          </w:p>
        </w:tc>
        <w:tc>
          <w:tcPr>
            <w:tcW w:w="732" w:type="dxa"/>
            <w:noWrap w:val="0"/>
            <w:vAlign w:val="center"/>
          </w:tcPr>
          <w:p w14:paraId="0C26C87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2934" w:type="dxa"/>
            <w:noWrap w:val="0"/>
            <w:vAlign w:val="center"/>
          </w:tcPr>
          <w:p w14:paraId="56AFF90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060214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29C72F6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24E2F4D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椅子</w:t>
            </w:r>
          </w:p>
        </w:tc>
        <w:tc>
          <w:tcPr>
            <w:tcW w:w="683" w:type="dxa"/>
            <w:noWrap w:val="0"/>
            <w:vAlign w:val="center"/>
          </w:tcPr>
          <w:p w14:paraId="3B1591C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把</w:t>
            </w:r>
          </w:p>
        </w:tc>
        <w:tc>
          <w:tcPr>
            <w:tcW w:w="732" w:type="dxa"/>
            <w:noWrap w:val="0"/>
            <w:vAlign w:val="center"/>
          </w:tcPr>
          <w:p w14:paraId="15C00C4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29</w:t>
            </w:r>
          </w:p>
        </w:tc>
        <w:tc>
          <w:tcPr>
            <w:tcW w:w="2934" w:type="dxa"/>
            <w:noWrap w:val="0"/>
            <w:vAlign w:val="center"/>
          </w:tcPr>
          <w:p w14:paraId="4915067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72E173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029611E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6543737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皮椅</w:t>
            </w:r>
          </w:p>
        </w:tc>
        <w:tc>
          <w:tcPr>
            <w:tcW w:w="683" w:type="dxa"/>
            <w:noWrap w:val="0"/>
            <w:vAlign w:val="center"/>
          </w:tcPr>
          <w:p w14:paraId="2DF143E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把</w:t>
            </w:r>
          </w:p>
        </w:tc>
        <w:tc>
          <w:tcPr>
            <w:tcW w:w="732" w:type="dxa"/>
            <w:noWrap w:val="0"/>
            <w:vAlign w:val="center"/>
          </w:tcPr>
          <w:p w14:paraId="41D44F2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537117B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04B7F0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0C5CC1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4354" w:type="dxa"/>
            <w:noWrap w:val="0"/>
            <w:vAlign w:val="center"/>
          </w:tcPr>
          <w:p w14:paraId="627C35C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三人沙发</w:t>
            </w:r>
          </w:p>
        </w:tc>
        <w:tc>
          <w:tcPr>
            <w:tcW w:w="683" w:type="dxa"/>
            <w:noWrap w:val="0"/>
            <w:vAlign w:val="center"/>
          </w:tcPr>
          <w:p w14:paraId="41A1A00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套</w:t>
            </w:r>
          </w:p>
        </w:tc>
        <w:tc>
          <w:tcPr>
            <w:tcW w:w="732" w:type="dxa"/>
            <w:noWrap w:val="0"/>
            <w:vAlign w:val="center"/>
          </w:tcPr>
          <w:p w14:paraId="3CA39F5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6D047DB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3C1EA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7C0F696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7</w:t>
            </w:r>
          </w:p>
        </w:tc>
        <w:tc>
          <w:tcPr>
            <w:tcW w:w="4354" w:type="dxa"/>
            <w:noWrap w:val="0"/>
            <w:vAlign w:val="center"/>
          </w:tcPr>
          <w:p w14:paraId="63891A4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桌子</w:t>
            </w:r>
          </w:p>
        </w:tc>
        <w:tc>
          <w:tcPr>
            <w:tcW w:w="683" w:type="dxa"/>
            <w:noWrap w:val="0"/>
            <w:vAlign w:val="center"/>
          </w:tcPr>
          <w:p w14:paraId="18D8516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张</w:t>
            </w:r>
          </w:p>
        </w:tc>
        <w:tc>
          <w:tcPr>
            <w:tcW w:w="732" w:type="dxa"/>
            <w:noWrap w:val="0"/>
            <w:vAlign w:val="center"/>
          </w:tcPr>
          <w:p w14:paraId="40F1ED5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8</w:t>
            </w:r>
          </w:p>
        </w:tc>
        <w:tc>
          <w:tcPr>
            <w:tcW w:w="2934" w:type="dxa"/>
            <w:noWrap w:val="0"/>
            <w:vAlign w:val="center"/>
          </w:tcPr>
          <w:p w14:paraId="2692B66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2"/>
              </w:rPr>
            </w:pPr>
          </w:p>
        </w:tc>
      </w:tr>
      <w:tr w14:paraId="269B8C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970" w:hRule="atLeast"/>
          <w:jc w:val="center"/>
        </w:trPr>
        <w:tc>
          <w:tcPr>
            <w:tcW w:w="839" w:type="dxa"/>
            <w:noWrap w:val="0"/>
            <w:vAlign w:val="center"/>
          </w:tcPr>
          <w:p w14:paraId="422B1E8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8</w:t>
            </w:r>
          </w:p>
        </w:tc>
        <w:tc>
          <w:tcPr>
            <w:tcW w:w="4354" w:type="dxa"/>
            <w:noWrap w:val="0"/>
            <w:vAlign w:val="center"/>
          </w:tcPr>
          <w:p w14:paraId="487D326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空调 1.5 匹</w:t>
            </w:r>
          </w:p>
        </w:tc>
        <w:tc>
          <w:tcPr>
            <w:tcW w:w="683" w:type="dxa"/>
            <w:noWrap w:val="0"/>
            <w:vAlign w:val="center"/>
          </w:tcPr>
          <w:p w14:paraId="5169CB5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1BC97A3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2934" w:type="dxa"/>
            <w:noWrap w:val="0"/>
            <w:vAlign w:val="center"/>
          </w:tcPr>
          <w:p w14:paraId="2E0FD6A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电工房、化验室、3 楼办公室、3 楼中控室、3 楼技改办、厨房</w:t>
            </w:r>
          </w:p>
        </w:tc>
      </w:tr>
      <w:tr w14:paraId="08E18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3" w:hRule="atLeast"/>
          <w:jc w:val="center"/>
        </w:trPr>
        <w:tc>
          <w:tcPr>
            <w:tcW w:w="839" w:type="dxa"/>
            <w:noWrap w:val="0"/>
            <w:vAlign w:val="center"/>
          </w:tcPr>
          <w:p w14:paraId="27A7381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9</w:t>
            </w:r>
          </w:p>
        </w:tc>
        <w:tc>
          <w:tcPr>
            <w:tcW w:w="4354" w:type="dxa"/>
            <w:noWrap w:val="0"/>
            <w:vAlign w:val="center"/>
          </w:tcPr>
          <w:p w14:paraId="48862F6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空调 3 匹</w:t>
            </w:r>
          </w:p>
        </w:tc>
        <w:tc>
          <w:tcPr>
            <w:tcW w:w="683" w:type="dxa"/>
            <w:noWrap w:val="0"/>
            <w:vAlign w:val="center"/>
          </w:tcPr>
          <w:p w14:paraId="7764825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432B373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1636C6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 楼接待室</w:t>
            </w:r>
          </w:p>
        </w:tc>
      </w:tr>
      <w:tr w14:paraId="46F58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705AD12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10</w:t>
            </w:r>
          </w:p>
        </w:tc>
        <w:tc>
          <w:tcPr>
            <w:tcW w:w="4354" w:type="dxa"/>
            <w:noWrap w:val="0"/>
            <w:vAlign w:val="center"/>
          </w:tcPr>
          <w:p w14:paraId="101BE86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空气能</w:t>
            </w:r>
          </w:p>
        </w:tc>
        <w:tc>
          <w:tcPr>
            <w:tcW w:w="683" w:type="dxa"/>
            <w:noWrap w:val="0"/>
            <w:vAlign w:val="center"/>
          </w:tcPr>
          <w:p w14:paraId="323B03A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05E128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1CDD44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 楼卫生间</w:t>
            </w:r>
          </w:p>
        </w:tc>
      </w:tr>
      <w:tr w14:paraId="78C85E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45636CC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11</w:t>
            </w:r>
          </w:p>
        </w:tc>
        <w:tc>
          <w:tcPr>
            <w:tcW w:w="4354" w:type="dxa"/>
            <w:noWrap w:val="0"/>
            <w:vAlign w:val="center"/>
          </w:tcPr>
          <w:p w14:paraId="4A23B75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油烟机</w:t>
            </w:r>
          </w:p>
        </w:tc>
        <w:tc>
          <w:tcPr>
            <w:tcW w:w="683" w:type="dxa"/>
            <w:noWrap w:val="0"/>
            <w:vAlign w:val="center"/>
          </w:tcPr>
          <w:p w14:paraId="01D9FD9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E7F2D0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665C9B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厨房</w:t>
            </w:r>
          </w:p>
        </w:tc>
      </w:tr>
      <w:tr w14:paraId="6AFDFD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839" w:type="dxa"/>
            <w:noWrap w:val="0"/>
            <w:vAlign w:val="center"/>
          </w:tcPr>
          <w:p w14:paraId="230E654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12</w:t>
            </w:r>
          </w:p>
        </w:tc>
        <w:tc>
          <w:tcPr>
            <w:tcW w:w="4354" w:type="dxa"/>
            <w:noWrap w:val="0"/>
            <w:vAlign w:val="center"/>
          </w:tcPr>
          <w:p w14:paraId="542C370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消毒柜</w:t>
            </w:r>
          </w:p>
        </w:tc>
        <w:tc>
          <w:tcPr>
            <w:tcW w:w="683" w:type="dxa"/>
            <w:noWrap w:val="0"/>
            <w:vAlign w:val="center"/>
          </w:tcPr>
          <w:p w14:paraId="579B3CA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112F06A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24ED9E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厨房</w:t>
            </w:r>
          </w:p>
        </w:tc>
      </w:tr>
      <w:tr w14:paraId="57782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504" w:hRule="atLeast"/>
          <w:jc w:val="center"/>
        </w:trPr>
        <w:tc>
          <w:tcPr>
            <w:tcW w:w="9542" w:type="dxa"/>
            <w:gridSpan w:val="5"/>
            <w:noWrap w:val="0"/>
            <w:vAlign w:val="center"/>
          </w:tcPr>
          <w:p w14:paraId="23ED831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b/>
                <w:caps w:val="0"/>
                <w:color w:val="auto"/>
                <w:spacing w:val="0"/>
                <w:sz w:val="24"/>
              </w:rPr>
            </w:pPr>
            <w:r>
              <w:rPr>
                <w:rFonts w:hint="eastAsia" w:ascii="仿宋" w:hAnsi="仿宋" w:eastAsia="仿宋" w:cs="仿宋"/>
                <w:b/>
                <w:caps w:val="0"/>
                <w:color w:val="auto"/>
                <w:spacing w:val="0"/>
                <w:sz w:val="24"/>
              </w:rPr>
              <w:t>化验室仪器器材</w:t>
            </w:r>
          </w:p>
        </w:tc>
      </w:tr>
      <w:tr w14:paraId="2F7D0F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2581" w:hRule="atLeast"/>
          <w:jc w:val="center"/>
        </w:trPr>
        <w:tc>
          <w:tcPr>
            <w:tcW w:w="839" w:type="dxa"/>
            <w:noWrap w:val="0"/>
            <w:vAlign w:val="center"/>
          </w:tcPr>
          <w:p w14:paraId="45F9910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4354" w:type="dxa"/>
            <w:noWrap w:val="0"/>
            <w:vAlign w:val="center"/>
          </w:tcPr>
          <w:p w14:paraId="7AA7442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紫外可见分光光度计</w:t>
            </w:r>
          </w:p>
          <w:p w14:paraId="365A1BA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品牌：元析 UV-6000</w:t>
            </w:r>
          </w:p>
        </w:tc>
        <w:tc>
          <w:tcPr>
            <w:tcW w:w="683" w:type="dxa"/>
            <w:noWrap w:val="0"/>
            <w:vAlign w:val="center"/>
          </w:tcPr>
          <w:p w14:paraId="4CAADFF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373CFE3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0C2A1D17">
            <w:pPr>
              <w:pStyle w:val="31"/>
              <w:keepNext w:val="0"/>
              <w:keepLines w:val="0"/>
              <w:pageBreakBefore w:val="0"/>
              <w:widowControl w:val="0"/>
              <w:tabs>
                <w:tab w:val="left" w:pos="626"/>
                <w:tab w:val="left" w:pos="1147"/>
                <w:tab w:val="left" w:pos="1665"/>
                <w:tab w:val="left" w:pos="2183"/>
              </w:tabs>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波</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长</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范</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围</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 190-1100nm 。光谱宽带：1.8nm。波长准确度：±0.5nm。波长重复性：≤0.2nm。杂射光：≤0.05%T。检测器：进口硅光二极管。光源：进口长寿命钨灯、氘灯</w:t>
            </w:r>
          </w:p>
        </w:tc>
      </w:tr>
      <w:tr w14:paraId="47579B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55CC0F8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w:t>
            </w:r>
          </w:p>
        </w:tc>
        <w:tc>
          <w:tcPr>
            <w:tcW w:w="4354" w:type="dxa"/>
            <w:noWrap w:val="0"/>
            <w:vAlign w:val="center"/>
          </w:tcPr>
          <w:p w14:paraId="0AF0585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多参数水质检测仪（COD、氨氮、总磷、总氮）</w:t>
            </w:r>
          </w:p>
          <w:p w14:paraId="7285B68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品牌:盛奥华 6B-2000</w:t>
            </w:r>
          </w:p>
        </w:tc>
        <w:tc>
          <w:tcPr>
            <w:tcW w:w="683" w:type="dxa"/>
            <w:noWrap w:val="0"/>
            <w:vAlign w:val="center"/>
          </w:tcPr>
          <w:p w14:paraId="19F7EDD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42A14F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6E5C24C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可直接测定COD、氨氮、总磷、总氮、可扩展测硫化物、浊度、悬浮物</w:t>
            </w:r>
          </w:p>
          <w:p w14:paraId="724F522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（SS）等多项指标。</w:t>
            </w:r>
          </w:p>
        </w:tc>
      </w:tr>
      <w:tr w14:paraId="3B232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3630" w:hRule="atLeast"/>
          <w:jc w:val="center"/>
        </w:trPr>
        <w:tc>
          <w:tcPr>
            <w:tcW w:w="839" w:type="dxa"/>
            <w:noWrap w:val="0"/>
            <w:vAlign w:val="center"/>
          </w:tcPr>
          <w:p w14:paraId="272A52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3</w:t>
            </w:r>
          </w:p>
        </w:tc>
        <w:tc>
          <w:tcPr>
            <w:tcW w:w="4354" w:type="dxa"/>
            <w:noWrap w:val="0"/>
            <w:vAlign w:val="center"/>
          </w:tcPr>
          <w:p w14:paraId="5D7155F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智能消解仪</w:t>
            </w:r>
          </w:p>
          <w:p w14:paraId="261DEF0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品牌:盛奥华 6B-24</w:t>
            </w:r>
          </w:p>
        </w:tc>
        <w:tc>
          <w:tcPr>
            <w:tcW w:w="683" w:type="dxa"/>
            <w:noWrap w:val="0"/>
            <w:vAlign w:val="center"/>
          </w:tcPr>
          <w:p w14:paraId="0BC38FF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FCF42C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AE719C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控温范围： 室温－ 200℃</w:t>
            </w:r>
          </w:p>
          <w:p w14:paraId="49AA17C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消解温度：165/122± 0.5℃</w:t>
            </w:r>
          </w:p>
          <w:p w14:paraId="00C418D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消解时间：10/30 分钟处理样：24/30 个/批</w:t>
            </w:r>
          </w:p>
          <w:p w14:paraId="13BAC1E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（依照用户需求配置） 抗氯干扰： {cl-} ＜ 1200mg/l ； {cl-} ＜ 4000mg/l</w:t>
            </w:r>
          </w:p>
          <w:p w14:paraId="01C171C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工作电源：AC/220V±</w:t>
            </w:r>
          </w:p>
          <w:p w14:paraId="79114FA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10%/50Hz</w:t>
            </w:r>
          </w:p>
        </w:tc>
      </w:tr>
      <w:tr w14:paraId="71244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3E9B301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4</w:t>
            </w:r>
          </w:p>
        </w:tc>
        <w:tc>
          <w:tcPr>
            <w:tcW w:w="4354" w:type="dxa"/>
            <w:noWrap w:val="0"/>
            <w:vAlign w:val="center"/>
          </w:tcPr>
          <w:p w14:paraId="037F1D3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台式 PH 计，品牌：盛奥华 PHS-300</w:t>
            </w:r>
          </w:p>
        </w:tc>
        <w:tc>
          <w:tcPr>
            <w:tcW w:w="683" w:type="dxa"/>
            <w:noWrap w:val="0"/>
            <w:vAlign w:val="center"/>
          </w:tcPr>
          <w:p w14:paraId="1637E71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378D984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1AB62CDE">
            <w:pPr>
              <w:pStyle w:val="31"/>
              <w:keepNext w:val="0"/>
              <w:keepLines w:val="0"/>
              <w:pageBreakBefore w:val="0"/>
              <w:widowControl w:val="0"/>
              <w:tabs>
                <w:tab w:val="left" w:pos="626"/>
                <w:tab w:val="left" w:pos="1144"/>
                <w:tab w:val="left" w:pos="1665"/>
                <w:tab w:val="left" w:pos="2183"/>
              </w:tabs>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测</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量</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范</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围</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 (-2.00~16.00)pH</w:t>
            </w:r>
          </w:p>
          <w:p w14:paraId="0B82610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分辨率：0.01 pH</w:t>
            </w:r>
          </w:p>
          <w:p w14:paraId="21A8F31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基本误差：±0.02 pH</w:t>
            </w:r>
          </w:p>
        </w:tc>
      </w:tr>
      <w:tr w14:paraId="365AC3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2149" w:hRule="atLeast"/>
          <w:jc w:val="center"/>
        </w:trPr>
        <w:tc>
          <w:tcPr>
            <w:tcW w:w="839" w:type="dxa"/>
            <w:noWrap w:val="0"/>
            <w:vAlign w:val="center"/>
          </w:tcPr>
          <w:p w14:paraId="0E7F1A9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w:t>
            </w:r>
          </w:p>
        </w:tc>
        <w:tc>
          <w:tcPr>
            <w:tcW w:w="4354" w:type="dxa"/>
            <w:noWrap w:val="0"/>
            <w:vAlign w:val="center"/>
          </w:tcPr>
          <w:p w14:paraId="660A43E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台式溶解氧，品牌:盛奥华 DOS-200</w:t>
            </w:r>
          </w:p>
        </w:tc>
        <w:tc>
          <w:tcPr>
            <w:tcW w:w="683" w:type="dxa"/>
            <w:noWrap w:val="0"/>
            <w:vAlign w:val="center"/>
          </w:tcPr>
          <w:p w14:paraId="7ED1ECC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20750A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1604568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测量范围：0-20mg/L 温度：0-40℃</w:t>
            </w:r>
          </w:p>
          <w:p w14:paraId="0FA4F3E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饱和度：0-199% 分辨率：0.01mg/L</w:t>
            </w:r>
          </w:p>
          <w:p w14:paraId="08A44CE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测量精度（测量校准同温）：±0.3mg/L</w:t>
            </w:r>
          </w:p>
          <w:p w14:paraId="10BE8B7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温度误差：±0.5℃</w:t>
            </w:r>
          </w:p>
        </w:tc>
      </w:tr>
      <w:tr w14:paraId="75F98A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3837" w:hRule="atLeast"/>
          <w:jc w:val="center"/>
        </w:trPr>
        <w:tc>
          <w:tcPr>
            <w:tcW w:w="839" w:type="dxa"/>
            <w:noWrap w:val="0"/>
            <w:vAlign w:val="center"/>
          </w:tcPr>
          <w:p w14:paraId="455064D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w:t>
            </w:r>
          </w:p>
        </w:tc>
        <w:tc>
          <w:tcPr>
            <w:tcW w:w="4354" w:type="dxa"/>
            <w:noWrap w:val="0"/>
            <w:vAlign w:val="center"/>
          </w:tcPr>
          <w:p w14:paraId="2736703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COD 回流消解器，品牌:盛奥华 6B-6C</w:t>
            </w:r>
          </w:p>
        </w:tc>
        <w:tc>
          <w:tcPr>
            <w:tcW w:w="683" w:type="dxa"/>
            <w:noWrap w:val="0"/>
            <w:vAlign w:val="center"/>
          </w:tcPr>
          <w:p w14:paraId="77E562A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4205A06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FC9E0CA">
            <w:pPr>
              <w:pStyle w:val="31"/>
              <w:keepNext w:val="0"/>
              <w:keepLines w:val="0"/>
              <w:pageBreakBefore w:val="0"/>
              <w:widowControl w:val="0"/>
              <w:tabs>
                <w:tab w:val="left" w:pos="1159"/>
                <w:tab w:val="left" w:pos="1612"/>
                <w:tab w:val="left" w:pos="2183"/>
              </w:tabs>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测 量 范 围 ： 4 ～ 700mg/L</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700</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w:t>
            </w:r>
          </w:p>
          <w:p w14:paraId="2616B99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10000mg/L（须稀释水样）</w:t>
            </w:r>
          </w:p>
          <w:p w14:paraId="1E88523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测量时间：≤150 分钟</w:t>
            </w:r>
          </w:p>
          <w:p w14:paraId="1C1D01D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（可依据用户需求自行设定时间）</w:t>
            </w:r>
          </w:p>
          <w:p w14:paraId="124442D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测量误差：邻苯二甲酸氢 钾 标 准 溶 液</w:t>
            </w:r>
          </w:p>
          <w:p w14:paraId="02556FD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（500mg/L）、相对标准偏不大于 5.0%，工业废水（500mg/L）、</w:t>
            </w:r>
          </w:p>
          <w:p w14:paraId="59385F4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相对标准偏不大于8.0%</w:t>
            </w:r>
          </w:p>
        </w:tc>
      </w:tr>
      <w:tr w14:paraId="0E3CA8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3066" w:hRule="atLeast"/>
          <w:jc w:val="center"/>
        </w:trPr>
        <w:tc>
          <w:tcPr>
            <w:tcW w:w="839" w:type="dxa"/>
            <w:noWrap w:val="0"/>
            <w:vAlign w:val="center"/>
          </w:tcPr>
          <w:p w14:paraId="17C722D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7</w:t>
            </w:r>
          </w:p>
        </w:tc>
        <w:tc>
          <w:tcPr>
            <w:tcW w:w="4354" w:type="dxa"/>
            <w:noWrap w:val="0"/>
            <w:vAlign w:val="center"/>
          </w:tcPr>
          <w:p w14:paraId="55D0779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BOD 测定仪</w:t>
            </w:r>
          </w:p>
          <w:p w14:paraId="216CCDA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品牌:盛奥华 SH-850</w:t>
            </w:r>
          </w:p>
        </w:tc>
        <w:tc>
          <w:tcPr>
            <w:tcW w:w="683" w:type="dxa"/>
            <w:noWrap w:val="0"/>
            <w:vAlign w:val="center"/>
          </w:tcPr>
          <w:p w14:paraId="1F3551B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301378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018081A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测定范围：0-1000mg/L 测定精度：±10%</w:t>
            </w:r>
          </w:p>
          <w:p w14:paraId="289F13B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存储数据：每 1 小时自动保存当前数值测量周期：5 天数据打印：支持测量数量：8 组</w:t>
            </w:r>
          </w:p>
          <w:p w14:paraId="4B59D6C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搅拌模式：8 组，支持连续、间歇搅拌</w:t>
            </w:r>
          </w:p>
          <w:p w14:paraId="7AB5560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培养温度：20℃±1℃</w:t>
            </w:r>
          </w:p>
          <w:p w14:paraId="3372321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培养瓶容积：560mL</w:t>
            </w:r>
          </w:p>
        </w:tc>
      </w:tr>
      <w:tr w14:paraId="3ACE2C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7241" w:hRule="atLeast"/>
          <w:jc w:val="center"/>
        </w:trPr>
        <w:tc>
          <w:tcPr>
            <w:tcW w:w="839" w:type="dxa"/>
            <w:noWrap w:val="0"/>
            <w:vAlign w:val="center"/>
          </w:tcPr>
          <w:p w14:paraId="33AD97C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8</w:t>
            </w:r>
          </w:p>
        </w:tc>
        <w:tc>
          <w:tcPr>
            <w:tcW w:w="4354" w:type="dxa"/>
            <w:noWrap w:val="0"/>
            <w:vAlign w:val="center"/>
          </w:tcPr>
          <w:p w14:paraId="0BD31F9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双目生物显微镜</w:t>
            </w:r>
          </w:p>
          <w:p w14:paraId="17017E2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品牌:凤凰光学BMC100-A2</w:t>
            </w:r>
          </w:p>
        </w:tc>
        <w:tc>
          <w:tcPr>
            <w:tcW w:w="683" w:type="dxa"/>
            <w:noWrap w:val="0"/>
            <w:vAlign w:val="center"/>
          </w:tcPr>
          <w:p w14:paraId="36D2ABC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92AE4A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7A04B0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目镜：WF10X，其中一个目镜带 0.01mm 十字分划板；目镜可锁紧在目镜筒上，目镜放大率准 确 度 不 超 过 ± 1.05%。</w:t>
            </w:r>
          </w:p>
          <w:p w14:paraId="025109A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PH 无限远平场消色差物镜：4X 平场消色差物镜（ 成像直径圆≥ 15.8mm）；10X 平场消色差物镜（成像直径圆</w:t>
            </w:r>
          </w:p>
          <w:p w14:paraId="66D4F5F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≥15.8mm）；40X 平场消色差弹簧物镜（成像直径圆≥ 15.9mm）； 100X 平场消色差物镜</w:t>
            </w:r>
          </w:p>
          <w:p w14:paraId="0B2CDBF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（弹簧，油镜）（成像直径圆≥16.2mm），10 倍→ 4 倍齐焦不超过0.012mm,所 10 倍→40 倍 齐 焦 不 超 过0.009mm,40 倍 → 100</w:t>
            </w:r>
          </w:p>
          <w:p w14:paraId="4EB2B53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倍 齐 焦 不 超 过</w:t>
            </w:r>
          </w:p>
          <w:p w14:paraId="4D06B58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0.015mm, 所有物镜均保证齐焦；</w:t>
            </w:r>
          </w:p>
        </w:tc>
      </w:tr>
      <w:tr w14:paraId="36EA72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733" w:hRule="atLeast"/>
          <w:jc w:val="center"/>
        </w:trPr>
        <w:tc>
          <w:tcPr>
            <w:tcW w:w="839" w:type="dxa"/>
            <w:noWrap w:val="0"/>
            <w:vAlign w:val="center"/>
          </w:tcPr>
          <w:p w14:paraId="2E2C281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9</w:t>
            </w:r>
          </w:p>
        </w:tc>
        <w:tc>
          <w:tcPr>
            <w:tcW w:w="4354" w:type="dxa"/>
            <w:noWrap w:val="0"/>
            <w:vAlign w:val="center"/>
          </w:tcPr>
          <w:p w14:paraId="4AA6AC8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万分之一电子分析天平</w:t>
            </w:r>
          </w:p>
          <w:p w14:paraId="7E3786D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品牌:民桥FA1104N</w:t>
            </w:r>
          </w:p>
        </w:tc>
        <w:tc>
          <w:tcPr>
            <w:tcW w:w="683" w:type="dxa"/>
            <w:noWrap w:val="0"/>
            <w:vAlign w:val="center"/>
          </w:tcPr>
          <w:p w14:paraId="088C636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535C138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0B0862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称量范围 ：0-210g 读数精度： 0.1mg 秤盘尺寸： Φ90mm 净重： 6.8kg</w:t>
            </w:r>
          </w:p>
          <w:p w14:paraId="5A84E4B6">
            <w:pPr>
              <w:pStyle w:val="31"/>
              <w:keepNext w:val="0"/>
              <w:keepLines w:val="0"/>
              <w:pageBreakBefore w:val="0"/>
              <w:widowControl w:val="0"/>
              <w:tabs>
                <w:tab w:val="left" w:pos="2183"/>
              </w:tabs>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电 源 / 功 率</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 220V/50Hz±1Hz</w:t>
            </w:r>
          </w:p>
        </w:tc>
      </w:tr>
      <w:tr w14:paraId="3D0BA1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590FBD1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10</w:t>
            </w:r>
          </w:p>
        </w:tc>
        <w:tc>
          <w:tcPr>
            <w:tcW w:w="4354" w:type="dxa"/>
            <w:noWrap w:val="0"/>
            <w:vAlign w:val="center"/>
          </w:tcPr>
          <w:p w14:paraId="7E8AA2A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电热鼓风干燥箱</w:t>
            </w:r>
          </w:p>
          <w:p w14:paraId="7769996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品牌:博迅GZX-9070MBE</w:t>
            </w:r>
          </w:p>
        </w:tc>
        <w:tc>
          <w:tcPr>
            <w:tcW w:w="683" w:type="dxa"/>
            <w:noWrap w:val="0"/>
            <w:vAlign w:val="center"/>
          </w:tcPr>
          <w:p w14:paraId="39B8288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475BA9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A9E64D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控温范围：室温+5℃</w:t>
            </w:r>
          </w:p>
          <w:p w14:paraId="38A2B37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-250℃</w:t>
            </w:r>
          </w:p>
          <w:p w14:paraId="11B6E35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温度波动：±1℃ 分辨率：1℃</w:t>
            </w:r>
          </w:p>
        </w:tc>
      </w:tr>
      <w:tr w14:paraId="19D28C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171C31C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11</w:t>
            </w:r>
          </w:p>
        </w:tc>
        <w:tc>
          <w:tcPr>
            <w:tcW w:w="4354" w:type="dxa"/>
            <w:noWrap w:val="0"/>
            <w:vAlign w:val="center"/>
          </w:tcPr>
          <w:p w14:paraId="25395A5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万用电炉</w:t>
            </w:r>
          </w:p>
          <w:p w14:paraId="63FF1CF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品牌:泰斯特DK-98-11</w:t>
            </w:r>
          </w:p>
        </w:tc>
        <w:tc>
          <w:tcPr>
            <w:tcW w:w="683" w:type="dxa"/>
            <w:noWrap w:val="0"/>
            <w:vAlign w:val="center"/>
          </w:tcPr>
          <w:p w14:paraId="1E02D25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234BD25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338228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额定功率：1kw*6</w:t>
            </w:r>
          </w:p>
          <w:p w14:paraId="2FA793D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加热盘尺寸：125*125</w:t>
            </w:r>
          </w:p>
          <w:p w14:paraId="5E72BD1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最 大 额 定 电 流 ： AC220V/27.3A</w:t>
            </w:r>
          </w:p>
        </w:tc>
      </w:tr>
      <w:tr w14:paraId="6B0A02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2026" w:hRule="atLeast"/>
          <w:jc w:val="center"/>
        </w:trPr>
        <w:tc>
          <w:tcPr>
            <w:tcW w:w="839" w:type="dxa"/>
            <w:noWrap w:val="0"/>
            <w:vAlign w:val="center"/>
          </w:tcPr>
          <w:p w14:paraId="5AE335C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12</w:t>
            </w:r>
          </w:p>
        </w:tc>
        <w:tc>
          <w:tcPr>
            <w:tcW w:w="4354" w:type="dxa"/>
            <w:noWrap w:val="0"/>
            <w:vAlign w:val="center"/>
          </w:tcPr>
          <w:p w14:paraId="39DC55D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不锈钢压力蒸汽灭菌器</w:t>
            </w:r>
          </w:p>
          <w:p w14:paraId="5535362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品牌:博迅BXM-30R</w:t>
            </w:r>
          </w:p>
        </w:tc>
        <w:tc>
          <w:tcPr>
            <w:tcW w:w="683" w:type="dxa"/>
            <w:noWrap w:val="0"/>
            <w:vAlign w:val="center"/>
          </w:tcPr>
          <w:p w14:paraId="4A78F73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451E18B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2B348D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容积：30L 功率：2kw</w:t>
            </w:r>
          </w:p>
          <w:p w14:paraId="4C7AFB0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最高工作温度：126℃</w:t>
            </w:r>
          </w:p>
          <w:p w14:paraId="4B4A650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-128℃</w:t>
            </w:r>
          </w:p>
          <w:p w14:paraId="4703F84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最 高 工 作 压 力 ： 0.14Mpa-0.165Mpa</w:t>
            </w:r>
          </w:p>
          <w:p w14:paraId="17E8A20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定时范围：0-120 分钟</w:t>
            </w:r>
          </w:p>
        </w:tc>
      </w:tr>
      <w:tr w14:paraId="240B53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740" w:hRule="atLeast"/>
          <w:jc w:val="center"/>
        </w:trPr>
        <w:tc>
          <w:tcPr>
            <w:tcW w:w="839" w:type="dxa"/>
            <w:noWrap w:val="0"/>
            <w:vAlign w:val="center"/>
          </w:tcPr>
          <w:p w14:paraId="70FCDC8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13</w:t>
            </w:r>
          </w:p>
        </w:tc>
        <w:tc>
          <w:tcPr>
            <w:tcW w:w="4354" w:type="dxa"/>
            <w:noWrap w:val="0"/>
            <w:vAlign w:val="center"/>
          </w:tcPr>
          <w:p w14:paraId="79EC493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隔水式生化培养箱</w:t>
            </w:r>
          </w:p>
          <w:p w14:paraId="02E0F84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品牌:博迅 9</w:t>
            </w:r>
          </w:p>
          <w:p w14:paraId="01AEE46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BG-80</w:t>
            </w:r>
          </w:p>
        </w:tc>
        <w:tc>
          <w:tcPr>
            <w:tcW w:w="683" w:type="dxa"/>
            <w:noWrap w:val="0"/>
            <w:vAlign w:val="center"/>
          </w:tcPr>
          <w:p w14:paraId="376F4D6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1EBB68D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82F6D9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容积：80L</w:t>
            </w:r>
          </w:p>
          <w:p w14:paraId="3EFC29F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内胆不锈钢，LCD 液晶显示</w:t>
            </w:r>
          </w:p>
          <w:p w14:paraId="1967057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控温范围：室温：±2℃</w:t>
            </w:r>
          </w:p>
          <w:p w14:paraId="18A90DC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-65℃</w:t>
            </w:r>
          </w:p>
          <w:p w14:paraId="3259904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温度波动：±2℃</w:t>
            </w:r>
          </w:p>
        </w:tc>
      </w:tr>
      <w:tr w14:paraId="5B5A4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233" w:hRule="atLeast"/>
          <w:jc w:val="center"/>
        </w:trPr>
        <w:tc>
          <w:tcPr>
            <w:tcW w:w="839" w:type="dxa"/>
            <w:noWrap w:val="0"/>
            <w:vAlign w:val="center"/>
          </w:tcPr>
          <w:p w14:paraId="5DF37A3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14</w:t>
            </w:r>
          </w:p>
        </w:tc>
        <w:tc>
          <w:tcPr>
            <w:tcW w:w="4354" w:type="dxa"/>
            <w:noWrap w:val="0"/>
            <w:vAlign w:val="center"/>
          </w:tcPr>
          <w:p w14:paraId="7AB67DE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生化培养箱</w:t>
            </w:r>
          </w:p>
          <w:p w14:paraId="02E9C26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品牌:盛奥华SH-100L</w:t>
            </w:r>
          </w:p>
        </w:tc>
        <w:tc>
          <w:tcPr>
            <w:tcW w:w="683" w:type="dxa"/>
            <w:noWrap w:val="0"/>
            <w:vAlign w:val="center"/>
          </w:tcPr>
          <w:p w14:paraId="576CB8B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400432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64B85FA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容积：100L</w:t>
            </w:r>
          </w:p>
          <w:p w14:paraId="37BF3B5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环境温度：5～35° 温度范围：0～60℃</w:t>
            </w:r>
          </w:p>
          <w:p w14:paraId="7450627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温度分辨率：0.1℃</w:t>
            </w:r>
          </w:p>
        </w:tc>
      </w:tr>
      <w:tr w14:paraId="3F5E19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666" w:hRule="atLeast"/>
          <w:jc w:val="center"/>
        </w:trPr>
        <w:tc>
          <w:tcPr>
            <w:tcW w:w="839" w:type="dxa"/>
            <w:noWrap w:val="0"/>
            <w:vAlign w:val="center"/>
          </w:tcPr>
          <w:p w14:paraId="4C67BCD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15</w:t>
            </w:r>
          </w:p>
        </w:tc>
        <w:tc>
          <w:tcPr>
            <w:tcW w:w="4354" w:type="dxa"/>
            <w:noWrap w:val="0"/>
            <w:vAlign w:val="center"/>
          </w:tcPr>
          <w:p w14:paraId="422DB2C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超纯水机</w:t>
            </w:r>
          </w:p>
          <w:p w14:paraId="2B968FD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品牌：永洁达UPWS-1-10T</w:t>
            </w:r>
          </w:p>
        </w:tc>
        <w:tc>
          <w:tcPr>
            <w:tcW w:w="683" w:type="dxa"/>
            <w:noWrap w:val="0"/>
            <w:vAlign w:val="center"/>
          </w:tcPr>
          <w:p w14:paraId="7D7BEDE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9599573">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4D962B8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产 水 量: 纯水≥ 10L/H （25℃） 超纯水≥1.5L/min(瞬间流速)</w:t>
            </w:r>
          </w:p>
          <w:p w14:paraId="307C84F7">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电阻率≥18.2MΩ/cm</w:t>
            </w:r>
          </w:p>
          <w:p w14:paraId="52EA396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（25℃）功率&lt;100W</w:t>
            </w:r>
          </w:p>
        </w:tc>
      </w:tr>
      <w:tr w14:paraId="6739A8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966" w:hRule="atLeast"/>
          <w:jc w:val="center"/>
        </w:trPr>
        <w:tc>
          <w:tcPr>
            <w:tcW w:w="839" w:type="dxa"/>
            <w:noWrap w:val="0"/>
            <w:vAlign w:val="center"/>
          </w:tcPr>
          <w:p w14:paraId="6542ADC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16</w:t>
            </w:r>
          </w:p>
        </w:tc>
        <w:tc>
          <w:tcPr>
            <w:tcW w:w="4354" w:type="dxa"/>
            <w:noWrap w:val="0"/>
            <w:vAlign w:val="center"/>
          </w:tcPr>
          <w:p w14:paraId="61B040A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马弗炉，品牌：硕舟 YTH-2.5-12</w:t>
            </w:r>
          </w:p>
        </w:tc>
        <w:tc>
          <w:tcPr>
            <w:tcW w:w="683" w:type="dxa"/>
            <w:noWrap w:val="0"/>
            <w:vAlign w:val="center"/>
          </w:tcPr>
          <w:p w14:paraId="6975F85E">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C231791">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B6C359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搅拌方式：正反向工作调速范围：0-2600 转/ 分钟</w:t>
            </w:r>
          </w:p>
          <w:p w14:paraId="61B64BD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定时：0-120 分钟加热功率:400w</w:t>
            </w:r>
          </w:p>
          <w:p w14:paraId="7B864F4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控温范围：室温-100℃</w:t>
            </w:r>
          </w:p>
          <w:p w14:paraId="596FFA0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控温精度：±1℃</w:t>
            </w:r>
          </w:p>
        </w:tc>
      </w:tr>
      <w:tr w14:paraId="46F0A2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662" w:hRule="atLeast"/>
          <w:jc w:val="center"/>
        </w:trPr>
        <w:tc>
          <w:tcPr>
            <w:tcW w:w="839" w:type="dxa"/>
            <w:noWrap w:val="0"/>
            <w:vAlign w:val="center"/>
          </w:tcPr>
          <w:p w14:paraId="1A8C309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18</w:t>
            </w:r>
          </w:p>
        </w:tc>
        <w:tc>
          <w:tcPr>
            <w:tcW w:w="4354" w:type="dxa"/>
            <w:noWrap w:val="0"/>
            <w:vAlign w:val="center"/>
          </w:tcPr>
          <w:p w14:paraId="48046F2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冰箱</w:t>
            </w:r>
          </w:p>
          <w:p w14:paraId="46660EF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品牌：海尔HYC-198</w:t>
            </w:r>
          </w:p>
        </w:tc>
        <w:tc>
          <w:tcPr>
            <w:tcW w:w="683" w:type="dxa"/>
            <w:noWrap w:val="0"/>
            <w:vAlign w:val="center"/>
          </w:tcPr>
          <w:p w14:paraId="596DF13F">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59EC981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1B57BF0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内部尺寸（宽*深*高）</w:t>
            </w:r>
          </w:p>
          <w:p w14:paraId="34BC90B4">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（mm）：455*445*900 外部尺寸（宽*深*高）</w:t>
            </w:r>
          </w:p>
          <w:p w14:paraId="1227734C">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（mm）：530*600*1580</w:t>
            </w:r>
          </w:p>
          <w:p w14:paraId="784DBEB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输入功率：198W</w:t>
            </w:r>
          </w:p>
        </w:tc>
      </w:tr>
      <w:tr w14:paraId="1487CF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442" w:hRule="atLeast"/>
          <w:jc w:val="center"/>
        </w:trPr>
        <w:tc>
          <w:tcPr>
            <w:tcW w:w="839" w:type="dxa"/>
            <w:noWrap w:val="0"/>
            <w:vAlign w:val="center"/>
          </w:tcPr>
          <w:p w14:paraId="0AEBD97B">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19</w:t>
            </w:r>
          </w:p>
        </w:tc>
        <w:tc>
          <w:tcPr>
            <w:tcW w:w="4354" w:type="dxa"/>
            <w:noWrap w:val="0"/>
            <w:vAlign w:val="center"/>
          </w:tcPr>
          <w:p w14:paraId="59C63F19">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真空泵</w:t>
            </w:r>
          </w:p>
          <w:p w14:paraId="68C715C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品牌：予华SHZ-D(111)</w:t>
            </w:r>
          </w:p>
        </w:tc>
        <w:tc>
          <w:tcPr>
            <w:tcW w:w="683" w:type="dxa"/>
            <w:noWrap w:val="0"/>
            <w:vAlign w:val="center"/>
          </w:tcPr>
          <w:p w14:paraId="7400AEFA">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48EDECB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F26F00D">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功率：180W</w:t>
            </w:r>
          </w:p>
          <w:p w14:paraId="7BED63B5">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流量：80L/min 扬程：10m</w:t>
            </w:r>
          </w:p>
          <w:p w14:paraId="7BE9706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最大真空度：0.098Mpa</w:t>
            </w:r>
          </w:p>
        </w:tc>
      </w:tr>
      <w:tr w14:paraId="5C95EA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1538" w:hRule="atLeast"/>
          <w:jc w:val="center"/>
        </w:trPr>
        <w:tc>
          <w:tcPr>
            <w:tcW w:w="839" w:type="dxa"/>
            <w:noWrap w:val="0"/>
            <w:vAlign w:val="center"/>
          </w:tcPr>
          <w:p w14:paraId="4AC8CBF0">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20</w:t>
            </w:r>
          </w:p>
        </w:tc>
        <w:tc>
          <w:tcPr>
            <w:tcW w:w="4354" w:type="dxa"/>
            <w:noWrap w:val="0"/>
            <w:vAlign w:val="center"/>
          </w:tcPr>
          <w:p w14:paraId="7E93C3A6">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数显恒温水浴锅</w:t>
            </w:r>
          </w:p>
          <w:p w14:paraId="42F293C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品牌：博迅HH.S11-6</w:t>
            </w:r>
          </w:p>
        </w:tc>
        <w:tc>
          <w:tcPr>
            <w:tcW w:w="683" w:type="dxa"/>
            <w:noWrap w:val="0"/>
            <w:vAlign w:val="center"/>
          </w:tcPr>
          <w:p w14:paraId="5525BF58">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6ED56FC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365A65B">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操作室尺寸（mm）：900*170*120</w:t>
            </w:r>
          </w:p>
          <w:p w14:paraId="38808C66">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功率：1.5kw</w:t>
            </w:r>
          </w:p>
          <w:p w14:paraId="5F036CD2">
            <w:pPr>
              <w:pStyle w:val="31"/>
              <w:keepNext w:val="0"/>
              <w:keepLines w:val="0"/>
              <w:pageBreakBefore w:val="0"/>
              <w:widowControl w:val="0"/>
              <w:kinsoku/>
              <w:wordWrap/>
              <w:overflowPunct/>
              <w:topLinePunct w:val="0"/>
              <w:autoSpaceDE/>
              <w:autoSpaceDN/>
              <w:bidi w:val="0"/>
              <w:adjustRightInd/>
              <w:snapToGrid w:val="0"/>
              <w:spacing w:line="240" w:lineRule="auto"/>
              <w:ind w:left="0" w:right="0" w:firstLine="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温控范围：RT+5-100℃ 温度误差：±0.1℃</w:t>
            </w:r>
          </w:p>
        </w:tc>
      </w:tr>
      <w:tr w14:paraId="2604D8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926" w:hRule="atLeast"/>
          <w:jc w:val="center"/>
        </w:trPr>
        <w:tc>
          <w:tcPr>
            <w:tcW w:w="839" w:type="dxa"/>
            <w:noWrap w:val="0"/>
            <w:vAlign w:val="center"/>
          </w:tcPr>
          <w:p w14:paraId="6E6FCE79">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21</w:t>
            </w:r>
          </w:p>
        </w:tc>
        <w:tc>
          <w:tcPr>
            <w:tcW w:w="4354" w:type="dxa"/>
            <w:noWrap w:val="0"/>
            <w:vAlign w:val="center"/>
          </w:tcPr>
          <w:p w14:paraId="76FD72CF">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SS 测定仪</w:t>
            </w:r>
          </w:p>
          <w:p w14:paraId="5F8EFAEA">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品牌:盛奥华6B-50SS</w:t>
            </w:r>
          </w:p>
        </w:tc>
        <w:tc>
          <w:tcPr>
            <w:tcW w:w="683" w:type="dxa"/>
            <w:noWrap w:val="0"/>
            <w:vAlign w:val="center"/>
          </w:tcPr>
          <w:p w14:paraId="388AFE94">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AB42463">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03411F8F">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测定范围：1-200mg/L 准确度：≤±10%</w:t>
            </w:r>
          </w:p>
          <w:p w14:paraId="1BB1675E">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重复性：≤±5%</w:t>
            </w:r>
          </w:p>
        </w:tc>
      </w:tr>
      <w:tr w14:paraId="518053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922" w:hRule="atLeast"/>
          <w:jc w:val="center"/>
        </w:trPr>
        <w:tc>
          <w:tcPr>
            <w:tcW w:w="839" w:type="dxa"/>
            <w:noWrap w:val="0"/>
            <w:vAlign w:val="center"/>
          </w:tcPr>
          <w:p w14:paraId="7FA97FB0">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22</w:t>
            </w:r>
          </w:p>
        </w:tc>
        <w:tc>
          <w:tcPr>
            <w:tcW w:w="4354" w:type="dxa"/>
            <w:noWrap w:val="0"/>
            <w:vAlign w:val="center"/>
          </w:tcPr>
          <w:p w14:paraId="51255DBF">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DST 大肠菌群检测仪</w:t>
            </w:r>
          </w:p>
          <w:p w14:paraId="0C8C0625">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品牌:爱德士Seal er plus</w:t>
            </w:r>
          </w:p>
        </w:tc>
        <w:tc>
          <w:tcPr>
            <w:tcW w:w="683" w:type="dxa"/>
            <w:noWrap w:val="0"/>
            <w:vAlign w:val="center"/>
          </w:tcPr>
          <w:p w14:paraId="6A443C76">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7250307C">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F7B1CB6">
            <w:pPr>
              <w:pStyle w:val="31"/>
              <w:keepNext w:val="0"/>
              <w:keepLines w:val="0"/>
              <w:pageBreakBefore w:val="0"/>
              <w:widowControl w:val="0"/>
              <w:tabs>
                <w:tab w:val="left" w:pos="2303"/>
              </w:tabs>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尺 寸 ： 33cm 高</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x 35.5cm 宽 x 40.6cm 长</w:t>
            </w:r>
          </w:p>
        </w:tc>
      </w:tr>
      <w:tr w14:paraId="30D336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3028" w:hRule="atLeast"/>
          <w:jc w:val="center"/>
        </w:trPr>
        <w:tc>
          <w:tcPr>
            <w:tcW w:w="839" w:type="dxa"/>
            <w:noWrap w:val="0"/>
            <w:vAlign w:val="center"/>
          </w:tcPr>
          <w:p w14:paraId="3C44DC55">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23</w:t>
            </w:r>
          </w:p>
        </w:tc>
        <w:tc>
          <w:tcPr>
            <w:tcW w:w="4354" w:type="dxa"/>
            <w:noWrap w:val="0"/>
            <w:vAlign w:val="center"/>
          </w:tcPr>
          <w:p w14:paraId="6E4025EE">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便携式溶氧仪</w:t>
            </w:r>
          </w:p>
          <w:p w14:paraId="2FB96D5D">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品 牌 :HACH HQ30d</w:t>
            </w:r>
          </w:p>
        </w:tc>
        <w:tc>
          <w:tcPr>
            <w:tcW w:w="683" w:type="dxa"/>
            <w:noWrap w:val="0"/>
            <w:vAlign w:val="center"/>
          </w:tcPr>
          <w:p w14:paraId="7862F7D0">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308731A8">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79686B29">
            <w:pPr>
              <w:pStyle w:val="31"/>
              <w:keepNext w:val="0"/>
              <w:keepLines w:val="0"/>
              <w:pageBreakBefore w:val="0"/>
              <w:widowControl w:val="0"/>
              <w:tabs>
                <w:tab w:val="left" w:pos="1343"/>
              </w:tabs>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量 程 :</w:t>
            </w:r>
            <w:r>
              <w:rPr>
                <w:rFonts w:hint="eastAsia" w:ascii="仿宋" w:hAnsi="仿宋" w:eastAsia="仿宋" w:cs="仿宋"/>
                <w:caps w:val="0"/>
                <w:color w:val="auto"/>
                <w:spacing w:val="0"/>
                <w:sz w:val="24"/>
              </w:rPr>
              <w:tab/>
            </w:r>
            <w:r>
              <w:rPr>
                <w:rFonts w:hint="eastAsia" w:ascii="仿宋" w:hAnsi="仿宋" w:eastAsia="仿宋" w:cs="仿宋"/>
                <w:caps w:val="0"/>
                <w:color w:val="auto"/>
                <w:spacing w:val="0"/>
                <w:sz w:val="24"/>
              </w:rPr>
              <w:t>0.05~20.0</w:t>
            </w:r>
          </w:p>
          <w:p w14:paraId="18BE1BB8">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mg/L</w:t>
            </w:r>
          </w:p>
          <w:p w14:paraId="733339D9">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1~200% 饱和度</w:t>
            </w:r>
          </w:p>
          <w:p w14:paraId="0B09EB27">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分辨率：0.01 mg/L 溶解氧的准确度： 在0.1~8 mg/L 时，为 ±</w:t>
            </w:r>
          </w:p>
          <w:p w14:paraId="115304F4">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0.1 mg/L</w:t>
            </w:r>
          </w:p>
          <w:p w14:paraId="780AE87A">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大于 8.0 mg/L 时，为</w:t>
            </w:r>
          </w:p>
          <w:p w14:paraId="7EBC822C">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±0.2 mg/L</w:t>
            </w:r>
          </w:p>
        </w:tc>
      </w:tr>
      <w:tr w14:paraId="734A61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85" w:type="dxa"/>
            <w:bottom w:w="0" w:type="dxa"/>
            <w:right w:w="85" w:type="dxa"/>
          </w:tblCellMar>
        </w:tblPrEx>
        <w:trPr>
          <w:trHeight w:val="942" w:hRule="atLeast"/>
          <w:jc w:val="center"/>
        </w:trPr>
        <w:tc>
          <w:tcPr>
            <w:tcW w:w="839" w:type="dxa"/>
            <w:noWrap w:val="0"/>
            <w:vAlign w:val="center"/>
          </w:tcPr>
          <w:p w14:paraId="586436FD">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24</w:t>
            </w:r>
          </w:p>
        </w:tc>
        <w:tc>
          <w:tcPr>
            <w:tcW w:w="4354" w:type="dxa"/>
            <w:noWrap w:val="0"/>
            <w:vAlign w:val="center"/>
          </w:tcPr>
          <w:p w14:paraId="28947844">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电子天平（百分之一）</w:t>
            </w:r>
          </w:p>
          <w:p w14:paraId="653E8A4B">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 xml:space="preserve"> 品牌:民桥SL102M</w:t>
            </w:r>
          </w:p>
        </w:tc>
        <w:tc>
          <w:tcPr>
            <w:tcW w:w="683" w:type="dxa"/>
            <w:noWrap w:val="0"/>
            <w:vAlign w:val="center"/>
          </w:tcPr>
          <w:p w14:paraId="07FCDBD2">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台</w:t>
            </w:r>
          </w:p>
        </w:tc>
        <w:tc>
          <w:tcPr>
            <w:tcW w:w="732" w:type="dxa"/>
            <w:noWrap w:val="0"/>
            <w:vAlign w:val="center"/>
          </w:tcPr>
          <w:p w14:paraId="09AC61EB">
            <w:pPr>
              <w:pStyle w:val="31"/>
              <w:keepNext w:val="0"/>
              <w:keepLines w:val="0"/>
              <w:pageBreakBefore w:val="0"/>
              <w:widowControl w:val="0"/>
              <w:kinsoku/>
              <w:wordWrap/>
              <w:overflowPunct/>
              <w:topLinePunct w:val="0"/>
              <w:autoSpaceDE/>
              <w:autoSpaceDN/>
              <w:bidi w:val="0"/>
              <w:adjustRightInd/>
              <w:snapToGrid w:val="0"/>
              <w:spacing w:line="240" w:lineRule="auto"/>
              <w:ind w:left="0" w:right="0"/>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1</w:t>
            </w:r>
          </w:p>
        </w:tc>
        <w:tc>
          <w:tcPr>
            <w:tcW w:w="2934" w:type="dxa"/>
            <w:noWrap w:val="0"/>
            <w:vAlign w:val="center"/>
          </w:tcPr>
          <w:p w14:paraId="23B7DD8A">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最大称量：1000g 精度：0.01g</w:t>
            </w:r>
          </w:p>
          <w:p w14:paraId="57863E22">
            <w:pPr>
              <w:pStyle w:val="31"/>
              <w:keepNext w:val="0"/>
              <w:keepLines w:val="0"/>
              <w:pageBreakBefore w:val="0"/>
              <w:widowControl w:val="0"/>
              <w:kinsoku/>
              <w:wordWrap/>
              <w:overflowPunct/>
              <w:topLinePunct w:val="0"/>
              <w:autoSpaceDE/>
              <w:autoSpaceDN/>
              <w:bidi w:val="0"/>
              <w:adjustRightInd/>
              <w:snapToGrid w:val="0"/>
              <w:spacing w:line="240" w:lineRule="auto"/>
              <w:ind w:left="0" w:right="0"/>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秤盘直径：128</w:t>
            </w:r>
          </w:p>
        </w:tc>
      </w:tr>
    </w:tbl>
    <w:p w14:paraId="1E694DDD">
      <w:pPr>
        <w:pStyle w:val="18"/>
        <w:keepNext w:val="0"/>
        <w:keepLines w:val="0"/>
        <w:pageBreakBefore w:val="0"/>
        <w:widowControl/>
        <w:numPr>
          <w:ilvl w:val="0"/>
          <w:numId w:val="8"/>
        </w:numPr>
        <w:kinsoku/>
        <w:wordWrap/>
        <w:overflowPunct w:val="0"/>
        <w:topLinePunct w:val="0"/>
        <w:autoSpaceDE w:val="0"/>
        <w:autoSpaceDN w:val="0"/>
        <w:bidi w:val="0"/>
        <w:adjustRightInd w:val="0"/>
        <w:snapToGrid w:val="0"/>
        <w:spacing w:before="157" w:beforeLines="50" w:after="0" w:afterLines="35" w:line="360" w:lineRule="auto"/>
        <w:ind w:left="0" w:leftChars="0" w:firstLine="0" w:firstLineChars="0"/>
        <w:jc w:val="left"/>
        <w:textAlignment w:val="baseline"/>
        <w:outlineLvl w:val="1"/>
        <w:rPr>
          <w:rFonts w:hint="eastAsia" w:ascii="仿宋" w:hAnsi="仿宋" w:eastAsia="仿宋" w:cs="仿宋"/>
          <w:b/>
          <w:bCs/>
          <w:caps w:val="0"/>
          <w:color w:val="auto"/>
          <w:spacing w:val="0"/>
          <w:sz w:val="28"/>
          <w:szCs w:val="28"/>
        </w:rPr>
      </w:pPr>
      <w:bookmarkStart w:id="23" w:name="_Toc22407"/>
      <w:r>
        <w:rPr>
          <w:rFonts w:hint="eastAsia" w:ascii="仿宋" w:hAnsi="仿宋" w:eastAsia="仿宋" w:cs="仿宋"/>
          <w:b/>
          <w:bCs/>
          <w:caps w:val="0"/>
          <w:color w:val="auto"/>
          <w:spacing w:val="0"/>
          <w:sz w:val="28"/>
          <w:szCs w:val="28"/>
          <w:lang w:eastAsia="zh-CN"/>
        </w:rPr>
        <w:t>项目</w:t>
      </w:r>
      <w:r>
        <w:rPr>
          <w:rFonts w:hint="eastAsia" w:ascii="仿宋" w:hAnsi="仿宋" w:eastAsia="仿宋" w:cs="仿宋"/>
          <w:b/>
          <w:bCs/>
          <w:caps w:val="0"/>
          <w:color w:val="auto"/>
          <w:spacing w:val="0"/>
          <w:sz w:val="28"/>
          <w:szCs w:val="28"/>
        </w:rPr>
        <w:t>要求说明</w:t>
      </w:r>
      <w:bookmarkEnd w:id="23"/>
    </w:p>
    <w:p w14:paraId="38D7A1B9">
      <w:pPr>
        <w:pStyle w:val="3"/>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rPr>
        <w:t>人员要求</w:t>
      </w:r>
    </w:p>
    <w:p w14:paraId="282F391D">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textAlignment w:val="auto"/>
        <w:rPr>
          <w:rFonts w:hint="eastAsia" w:ascii="仿宋" w:hAnsi="仿宋" w:eastAsia="仿宋" w:cs="仿宋"/>
          <w:caps w:val="0"/>
          <w:color w:val="000000" w:themeColor="text1"/>
          <w:spacing w:val="0"/>
          <w:sz w:val="24"/>
          <w:szCs w:val="21"/>
          <w:lang w:eastAsia="zh-CN"/>
          <w14:textFill>
            <w14:solidFill>
              <w14:schemeClr w14:val="tx1"/>
            </w14:solidFill>
          </w14:textFill>
        </w:rPr>
      </w:pPr>
      <w:r>
        <w:rPr>
          <w:rFonts w:hint="eastAsia" w:ascii="仿宋" w:hAnsi="仿宋" w:eastAsia="仿宋" w:cs="仿宋"/>
          <w:caps w:val="0"/>
          <w:color w:val="auto"/>
          <w:spacing w:val="0"/>
          <w:sz w:val="24"/>
          <w:szCs w:val="21"/>
        </w:rPr>
        <w:t>投标人自行测算人数，但不得低于以下安排：项目负责人（可同： 技术负责人）</w:t>
      </w:r>
      <w:r>
        <w:rPr>
          <w:rFonts w:hint="eastAsia" w:ascii="仿宋" w:hAnsi="仿宋" w:eastAsia="仿宋" w:cs="仿宋"/>
          <w:caps w:val="0"/>
          <w:color w:val="000000" w:themeColor="text1"/>
          <w:spacing w:val="0"/>
          <w:sz w:val="24"/>
          <w:szCs w:val="21"/>
          <w14:textFill>
            <w14:solidFill>
              <w14:schemeClr w14:val="tx1"/>
            </w14:solidFill>
          </w14:textFill>
        </w:rPr>
        <w:t>1名，财务管理1名，技术员工7人，化验工3名，</w:t>
      </w:r>
      <w:r>
        <w:rPr>
          <w:rFonts w:hint="eastAsia" w:ascii="仿宋" w:hAnsi="仿宋" w:eastAsia="仿宋" w:cs="仿宋"/>
          <w:caps w:val="0"/>
          <w:color w:val="000000" w:themeColor="text1"/>
          <w:spacing w:val="0"/>
          <w:sz w:val="24"/>
          <w:szCs w:val="21"/>
          <w:lang w:val="en-US" w:eastAsia="zh-CN"/>
          <w14:textFill>
            <w14:solidFill>
              <w14:schemeClr w14:val="tx1"/>
            </w14:solidFill>
          </w14:textFill>
        </w:rPr>
        <w:t>管道巡检人员2名，</w:t>
      </w:r>
      <w:r>
        <w:rPr>
          <w:rFonts w:hint="eastAsia" w:ascii="仿宋" w:hAnsi="仿宋" w:eastAsia="仿宋" w:cs="仿宋"/>
          <w:caps w:val="0"/>
          <w:color w:val="000000" w:themeColor="text1"/>
          <w:spacing w:val="0"/>
          <w:sz w:val="24"/>
          <w:szCs w:val="21"/>
          <w14:textFill>
            <w14:solidFill>
              <w14:schemeClr w14:val="tx1"/>
            </w14:solidFill>
          </w14:textFill>
        </w:rPr>
        <w:t>脱泥人员1名，电工1名，门卫1名。</w:t>
      </w:r>
    </w:p>
    <w:p w14:paraId="6FFEC625">
      <w:pPr>
        <w:pStyle w:val="3"/>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000000" w:themeColor="text1"/>
          <w:spacing w:val="0"/>
          <w:sz w:val="24"/>
          <w:szCs w:val="21"/>
          <w14:textFill>
            <w14:solidFill>
              <w14:schemeClr w14:val="tx1"/>
            </w14:solidFill>
          </w14:textFill>
        </w:rPr>
      </w:pPr>
      <w:r>
        <w:rPr>
          <w:rFonts w:hint="eastAsia" w:ascii="仿宋" w:hAnsi="仿宋" w:eastAsia="仿宋" w:cs="仿宋"/>
          <w:caps w:val="0"/>
          <w:color w:val="000000" w:themeColor="text1"/>
          <w:spacing w:val="0"/>
          <w:sz w:val="24"/>
          <w:szCs w:val="21"/>
          <w14:textFill>
            <w14:solidFill>
              <w14:schemeClr w14:val="tx1"/>
            </w14:solidFill>
          </w14:textFill>
        </w:rPr>
        <w:t>▲报价要求</w:t>
      </w:r>
    </w:p>
    <w:p w14:paraId="1E59D250">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b w:val="0"/>
          <w:bCs w:val="0"/>
          <w:color w:val="000000" w:themeColor="text1"/>
          <w:sz w:val="24"/>
          <w:szCs w:val="24"/>
          <w:lang w:eastAsia="zh-CN"/>
          <w14:textFill>
            <w14:solidFill>
              <w14:schemeClr w14:val="tx1"/>
            </w14:solidFill>
          </w14:textFill>
        </w:rPr>
      </w:pPr>
      <w:r>
        <w:rPr>
          <w:rFonts w:hint="eastAsia" w:ascii="仿宋" w:hAnsi="仿宋" w:eastAsia="仿宋" w:cs="仿宋"/>
          <w:caps w:val="0"/>
          <w:color w:val="000000" w:themeColor="text1"/>
          <w:spacing w:val="0"/>
          <w:sz w:val="24"/>
          <w:szCs w:val="21"/>
          <w:lang w:val="en-US" w:eastAsia="zh-CN"/>
          <w14:textFill>
            <w14:solidFill>
              <w14:schemeClr w14:val="tx1"/>
            </w14:solidFill>
          </w14:textFill>
        </w:rPr>
        <w:t>1、</w:t>
      </w:r>
      <w:r>
        <w:rPr>
          <w:rFonts w:hint="eastAsia" w:ascii="仿宋" w:hAnsi="仿宋" w:eastAsia="仿宋" w:cs="仿宋"/>
          <w:caps w:val="0"/>
          <w:strike w:val="0"/>
          <w:dstrike w:val="0"/>
          <w:color w:val="000000" w:themeColor="text1"/>
          <w:spacing w:val="0"/>
          <w:sz w:val="24"/>
          <w:szCs w:val="21"/>
          <w:highlight w:val="none"/>
          <w:lang w:val="en-US" w:eastAsia="zh-CN"/>
          <w14:textFill>
            <w14:solidFill>
              <w14:schemeClr w14:val="tx1"/>
            </w14:solidFill>
          </w14:textFill>
        </w:rPr>
        <w:t>本项目为总价合同。投标人投标报价时按处理污水总量2646250吨进行报价，合同签订后，在“经开区污水调度工程”投入使用前，无论每日处理污水量低于或高于5000吨，合同总价不变；“经开区污水调度工程”投入运行3个月内，无论每日处理污水量低于或高于9000吨，合同总价不变；若“经开区污水调度工程”投入运行超过3个月的，调度部分污水按中标人投标总报价折算出的单价（即投标总报价/处理污水总量2646250吨）另行签订补充协议；投标人报价时需考虑和承担污水处理量变化的风险。</w:t>
      </w:r>
    </w:p>
    <w:p w14:paraId="3123D099">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w:t>
      </w:r>
      <w:r>
        <w:rPr>
          <w:rFonts w:hint="eastAsia" w:ascii="仿宋" w:hAnsi="仿宋" w:eastAsia="仿宋" w:cs="仿宋"/>
          <w:caps w:val="0"/>
          <w:color w:val="auto"/>
          <w:spacing w:val="0"/>
          <w:sz w:val="24"/>
          <w:szCs w:val="21"/>
          <w:lang w:val="en-US" w:eastAsia="zh-CN"/>
        </w:rPr>
        <w:t>投标人报价</w:t>
      </w:r>
      <w:r>
        <w:rPr>
          <w:rFonts w:hint="eastAsia" w:ascii="仿宋" w:hAnsi="仿宋" w:eastAsia="仿宋" w:cs="仿宋"/>
          <w:caps w:val="0"/>
          <w:color w:val="auto"/>
          <w:spacing w:val="0"/>
          <w:sz w:val="24"/>
          <w:szCs w:val="21"/>
        </w:rPr>
        <w:t>包含但不仅限于运维全过程所涉及的服务人员费用、设备维护费用、</w:t>
      </w:r>
      <w:r>
        <w:rPr>
          <w:rFonts w:hint="eastAsia" w:ascii="仿宋" w:hAnsi="仿宋" w:eastAsia="仿宋" w:cs="仿宋"/>
          <w:caps w:val="0"/>
          <w:color w:val="auto"/>
          <w:spacing w:val="0"/>
          <w:sz w:val="24"/>
          <w:szCs w:val="21"/>
          <w:lang w:eastAsia="zh-CN"/>
        </w:rPr>
        <w:t>耗材更换费用、</w:t>
      </w:r>
      <w:r>
        <w:rPr>
          <w:rFonts w:hint="eastAsia" w:ascii="仿宋" w:hAnsi="仿宋" w:eastAsia="仿宋" w:cs="仿宋"/>
          <w:caps w:val="0"/>
          <w:color w:val="auto"/>
          <w:spacing w:val="0"/>
          <w:sz w:val="24"/>
          <w:szCs w:val="21"/>
        </w:rPr>
        <w:t>药剂费用、实验室化验分析费、在线监测系统维护费</w:t>
      </w:r>
      <w:r>
        <w:rPr>
          <w:rFonts w:hint="eastAsia" w:ascii="仿宋" w:hAnsi="仿宋" w:eastAsia="仿宋" w:cs="仿宋"/>
          <w:color w:val="auto"/>
          <w:sz w:val="24"/>
          <w:szCs w:val="24"/>
          <w:highlight w:val="none"/>
        </w:rPr>
        <w:t>(含维修)</w:t>
      </w:r>
      <w:r>
        <w:rPr>
          <w:rFonts w:hint="eastAsia" w:ascii="仿宋" w:hAnsi="仿宋" w:eastAsia="仿宋" w:cs="仿宋"/>
          <w:caps w:val="0"/>
          <w:color w:val="auto"/>
          <w:spacing w:val="0"/>
          <w:sz w:val="24"/>
          <w:szCs w:val="21"/>
        </w:rPr>
        <w:t>、污泥处置费、</w:t>
      </w:r>
      <w:r>
        <w:rPr>
          <w:rFonts w:hint="eastAsia" w:ascii="仿宋" w:hAnsi="仿宋" w:eastAsia="仿宋" w:cs="仿宋"/>
          <w:caps w:val="0"/>
          <w:color w:val="auto"/>
          <w:spacing w:val="0"/>
          <w:sz w:val="24"/>
          <w:szCs w:val="21"/>
          <w:lang w:val="en-US" w:eastAsia="zh-CN"/>
        </w:rPr>
        <w:t>绿化维护费等</w:t>
      </w:r>
      <w:r>
        <w:rPr>
          <w:rFonts w:hint="eastAsia" w:ascii="仿宋" w:hAnsi="仿宋" w:eastAsia="仿宋" w:cs="仿宋"/>
          <w:caps w:val="0"/>
          <w:color w:val="auto"/>
          <w:spacing w:val="0"/>
          <w:sz w:val="24"/>
          <w:szCs w:val="21"/>
        </w:rPr>
        <w:t>一切费用及规费、水电费、管理费、税金、合理利润、招标代理服务费等一切成本及费用。投标人应自行增加系统正常、合法运行及使用所必需但招标文件没有包含的所有部件、版权、专利等一切费用，如果投标人在中标并签署合同后，在供货、安装、调试、培训等工作中出现硬件、软件等的任何遗漏，均由中标人免费提供，采购人将不再支付任何费用。投标报价为履行合同的最终价格，投标人不得再要求追加任何费用。</w:t>
      </w:r>
    </w:p>
    <w:p w14:paraId="583BD4B2">
      <w:pPr>
        <w:pStyle w:val="3"/>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w:t>
      </w:r>
      <w:r>
        <w:rPr>
          <w:rFonts w:hint="eastAsia" w:ascii="仿宋" w:hAnsi="仿宋" w:eastAsia="仿宋" w:cs="仿宋"/>
          <w:caps w:val="0"/>
          <w:color w:val="auto"/>
          <w:spacing w:val="0"/>
          <w:sz w:val="24"/>
          <w:szCs w:val="21"/>
          <w:highlight w:val="none"/>
          <w:lang w:val="en-US" w:eastAsia="zh-CN"/>
        </w:rPr>
        <w:t>本项目出水监测设备运维和进水监测设备运维</w:t>
      </w:r>
      <w:r>
        <w:rPr>
          <w:rFonts w:hint="eastAsia" w:ascii="仿宋" w:hAnsi="仿宋" w:eastAsia="仿宋" w:cs="仿宋"/>
          <w:color w:val="auto"/>
          <w:sz w:val="24"/>
          <w:szCs w:val="24"/>
          <w:highlight w:val="none"/>
          <w:lang w:val="en-US" w:eastAsia="zh-CN"/>
        </w:rPr>
        <w:t>须委托有资质的第三方</w:t>
      </w:r>
      <w:r>
        <w:rPr>
          <w:rFonts w:hint="eastAsia" w:ascii="仿宋" w:hAnsi="仿宋" w:eastAsia="仿宋" w:cs="仿宋"/>
          <w:caps w:val="0"/>
          <w:color w:val="auto"/>
          <w:spacing w:val="0"/>
          <w:sz w:val="24"/>
          <w:szCs w:val="21"/>
          <w:highlight w:val="none"/>
          <w:lang w:val="en-US" w:eastAsia="zh-CN"/>
        </w:rPr>
        <w:t>，但此项费用已包含在本次招标范围内，供应商的投标报价须包含该运行维护项的内容，采购人不再另行支付其他费用。</w:t>
      </w:r>
    </w:p>
    <w:p w14:paraId="1A905590">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rPr>
        <w:t>（三）</w:t>
      </w:r>
      <w:r>
        <w:rPr>
          <w:rFonts w:hint="eastAsia" w:ascii="仿宋" w:hAnsi="仿宋" w:eastAsia="仿宋" w:cs="仿宋"/>
          <w:caps w:val="0"/>
          <w:color w:val="auto"/>
          <w:spacing w:val="0"/>
          <w:sz w:val="24"/>
          <w:szCs w:val="21"/>
          <w:lang w:eastAsia="zh-CN"/>
        </w:rPr>
        <w:t>服务</w:t>
      </w:r>
      <w:r>
        <w:rPr>
          <w:rFonts w:hint="eastAsia" w:ascii="仿宋" w:hAnsi="仿宋" w:eastAsia="仿宋" w:cs="仿宋"/>
          <w:caps w:val="0"/>
          <w:color w:val="auto"/>
          <w:spacing w:val="0"/>
          <w:sz w:val="24"/>
          <w:szCs w:val="21"/>
        </w:rPr>
        <w:t>要求</w:t>
      </w:r>
    </w:p>
    <w:p w14:paraId="709CAC11">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bookmarkStart w:id="24" w:name="_Toc7188"/>
      <w:r>
        <w:rPr>
          <w:rFonts w:hint="eastAsia" w:ascii="仿宋" w:hAnsi="仿宋" w:eastAsia="仿宋" w:cs="仿宋"/>
          <w:caps w:val="0"/>
          <w:color w:val="auto"/>
          <w:spacing w:val="0"/>
          <w:sz w:val="24"/>
          <w:szCs w:val="21"/>
          <w:lang w:val="en-US" w:eastAsia="zh-CN"/>
        </w:rPr>
        <w:t>1、</w:t>
      </w:r>
      <w:r>
        <w:rPr>
          <w:rFonts w:hint="eastAsia" w:ascii="仿宋" w:hAnsi="仿宋" w:eastAsia="仿宋" w:cs="仿宋"/>
          <w:caps w:val="0"/>
          <w:color w:val="auto"/>
          <w:spacing w:val="0"/>
          <w:sz w:val="24"/>
          <w:szCs w:val="21"/>
          <w:lang w:eastAsia="zh-CN"/>
        </w:rPr>
        <w:t>污水处理厂</w:t>
      </w:r>
      <w:r>
        <w:rPr>
          <w:rFonts w:hint="eastAsia" w:ascii="仿宋" w:hAnsi="仿宋" w:eastAsia="仿宋" w:cs="仿宋"/>
          <w:caps w:val="0"/>
          <w:color w:val="auto"/>
          <w:spacing w:val="0"/>
          <w:sz w:val="24"/>
          <w:szCs w:val="21"/>
        </w:rPr>
        <w:t>实行每天24小时值班制度，确保</w:t>
      </w:r>
      <w:r>
        <w:rPr>
          <w:rFonts w:hint="eastAsia" w:ascii="仿宋" w:hAnsi="仿宋" w:eastAsia="仿宋" w:cs="仿宋"/>
          <w:caps w:val="0"/>
          <w:color w:val="auto"/>
          <w:spacing w:val="0"/>
          <w:sz w:val="24"/>
          <w:szCs w:val="21"/>
          <w:lang w:eastAsia="zh-CN"/>
        </w:rPr>
        <w:t>污水处理厂</w:t>
      </w:r>
      <w:r>
        <w:rPr>
          <w:rFonts w:hint="eastAsia" w:ascii="仿宋" w:hAnsi="仿宋" w:eastAsia="仿宋" w:cs="仿宋"/>
          <w:caps w:val="0"/>
          <w:color w:val="auto"/>
          <w:spacing w:val="0"/>
          <w:sz w:val="24"/>
          <w:szCs w:val="21"/>
        </w:rPr>
        <w:t>等系统设备每天24小时正常运行和排放</w:t>
      </w:r>
      <w:r>
        <w:rPr>
          <w:rFonts w:hint="eastAsia" w:ascii="仿宋" w:hAnsi="仿宋" w:eastAsia="仿宋" w:cs="仿宋"/>
          <w:caps w:val="0"/>
          <w:color w:val="auto"/>
          <w:spacing w:val="0"/>
          <w:sz w:val="24"/>
          <w:szCs w:val="21"/>
          <w:lang w:val="en-US" w:eastAsia="zh-CN"/>
        </w:rPr>
        <w:t>污染物</w:t>
      </w:r>
      <w:r>
        <w:rPr>
          <w:rFonts w:hint="eastAsia" w:ascii="仿宋" w:hAnsi="仿宋" w:eastAsia="仿宋" w:cs="仿宋"/>
          <w:caps w:val="0"/>
          <w:color w:val="auto"/>
          <w:spacing w:val="0"/>
          <w:sz w:val="24"/>
          <w:szCs w:val="21"/>
        </w:rPr>
        <w:t>达标；中标人需保证</w:t>
      </w:r>
      <w:r>
        <w:rPr>
          <w:rFonts w:hint="eastAsia" w:ascii="仿宋" w:hAnsi="仿宋" w:eastAsia="仿宋" w:cs="仿宋"/>
          <w:caps w:val="0"/>
          <w:color w:val="auto"/>
          <w:spacing w:val="0"/>
          <w:sz w:val="24"/>
          <w:szCs w:val="21"/>
          <w:lang w:eastAsia="zh-CN"/>
        </w:rPr>
        <w:t>污水处理厂</w:t>
      </w:r>
      <w:r>
        <w:rPr>
          <w:rFonts w:hint="eastAsia" w:ascii="仿宋" w:hAnsi="仿宋" w:eastAsia="仿宋" w:cs="仿宋"/>
          <w:caps w:val="0"/>
          <w:color w:val="auto"/>
          <w:spacing w:val="0"/>
          <w:sz w:val="24"/>
          <w:szCs w:val="21"/>
        </w:rPr>
        <w:t>等每天24小时都有值班运行人员，并且值班人员需持证上岗。</w:t>
      </w:r>
    </w:p>
    <w:p w14:paraId="5D13F7D7">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2、</w:t>
      </w:r>
      <w:r>
        <w:rPr>
          <w:rFonts w:hint="eastAsia" w:ascii="仿宋" w:hAnsi="仿宋" w:eastAsia="仿宋" w:cs="仿宋"/>
          <w:caps w:val="0"/>
          <w:color w:val="auto"/>
          <w:spacing w:val="0"/>
          <w:sz w:val="24"/>
          <w:szCs w:val="21"/>
        </w:rPr>
        <w:t>负责设备维修、维护、更换及管理：</w:t>
      </w:r>
    </w:p>
    <w:p w14:paraId="7142A882">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eastAsia="zh-CN"/>
        </w:rPr>
        <w:t>（</w:t>
      </w:r>
      <w:r>
        <w:rPr>
          <w:rFonts w:hint="eastAsia" w:ascii="仿宋" w:hAnsi="仿宋" w:eastAsia="仿宋" w:cs="仿宋"/>
          <w:caps w:val="0"/>
          <w:color w:val="auto"/>
          <w:spacing w:val="0"/>
          <w:sz w:val="24"/>
          <w:szCs w:val="21"/>
          <w:lang w:val="en-US" w:eastAsia="zh-CN"/>
        </w:rPr>
        <w:t>1</w:t>
      </w:r>
      <w:r>
        <w:rPr>
          <w:rFonts w:hint="eastAsia" w:ascii="仿宋" w:hAnsi="仿宋" w:eastAsia="仿宋" w:cs="仿宋"/>
          <w:caps w:val="0"/>
          <w:color w:val="auto"/>
          <w:spacing w:val="0"/>
          <w:sz w:val="24"/>
          <w:szCs w:val="21"/>
          <w:lang w:eastAsia="zh-CN"/>
        </w:rPr>
        <w:t>）</w:t>
      </w:r>
      <w:r>
        <w:rPr>
          <w:rFonts w:hint="eastAsia" w:ascii="仿宋" w:hAnsi="仿宋" w:eastAsia="仿宋" w:cs="仿宋"/>
          <w:caps w:val="0"/>
          <w:color w:val="auto"/>
          <w:spacing w:val="0"/>
          <w:sz w:val="24"/>
          <w:szCs w:val="21"/>
        </w:rPr>
        <w:t>供应商应自行前往现场进行踏勘，对目前污水处理厂设备的运行情况及现有设备全面了解，将风险综合考虑进投标报价中，采购人除运维服务费外不再另行支付任何费用。在今后运维过程中没有按相关规定操作、运维不到位及其他一切原因造成的设施损坏，所产生的损失（包括维修、更换费用）不管金额多少全部由中标人承担，并由中标人及时组织维修、更换，若中标人拒不组织维修、更换，采购人可自行组织力量进行维修、更换，维修、更换经费直接在运行管理费用中扣除。</w:t>
      </w:r>
    </w:p>
    <w:p w14:paraId="5E263AE7">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eastAsia="zh-CN"/>
        </w:rPr>
        <w:t>（</w:t>
      </w:r>
      <w:r>
        <w:rPr>
          <w:rFonts w:hint="eastAsia" w:ascii="仿宋" w:hAnsi="仿宋" w:eastAsia="仿宋" w:cs="仿宋"/>
          <w:caps w:val="0"/>
          <w:color w:val="auto"/>
          <w:spacing w:val="0"/>
          <w:sz w:val="24"/>
          <w:szCs w:val="21"/>
          <w:lang w:val="en-US" w:eastAsia="zh-CN"/>
        </w:rPr>
        <w:t>2</w:t>
      </w:r>
      <w:r>
        <w:rPr>
          <w:rFonts w:hint="eastAsia" w:ascii="仿宋" w:hAnsi="仿宋" w:eastAsia="仿宋" w:cs="仿宋"/>
          <w:caps w:val="0"/>
          <w:color w:val="auto"/>
          <w:spacing w:val="0"/>
          <w:sz w:val="24"/>
          <w:szCs w:val="21"/>
          <w:lang w:eastAsia="zh-CN"/>
        </w:rPr>
        <w:t>）</w:t>
      </w:r>
      <w:r>
        <w:rPr>
          <w:rFonts w:hint="eastAsia" w:ascii="仿宋" w:hAnsi="仿宋" w:eastAsia="仿宋" w:cs="仿宋"/>
          <w:caps w:val="0"/>
          <w:color w:val="auto"/>
          <w:spacing w:val="0"/>
          <w:sz w:val="24"/>
          <w:szCs w:val="21"/>
        </w:rPr>
        <w:t>待合同结束后，采购人与中标人组织人员对设备进行排查，排查时发现的设备故障，全部由中标人负责维修或更换，确保设备无故障能正常运行后移交给采购人，采购人方予以支付项目尾款。</w:t>
      </w:r>
    </w:p>
    <w:p w14:paraId="1D37618C">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3、</w:t>
      </w:r>
      <w:r>
        <w:rPr>
          <w:rFonts w:hint="eastAsia" w:ascii="仿宋" w:hAnsi="仿宋" w:eastAsia="仿宋" w:cs="仿宋"/>
          <w:caps w:val="0"/>
          <w:color w:val="auto"/>
          <w:spacing w:val="0"/>
          <w:sz w:val="24"/>
          <w:szCs w:val="21"/>
        </w:rPr>
        <w:t>负责对厂区绿化的日常维护及施肥、构筑物的日常维护、土建维护管理费用(包括土建的小修小补)及进水污水管网及泵站</w:t>
      </w:r>
      <w:r>
        <w:rPr>
          <w:rFonts w:hint="eastAsia" w:ascii="仿宋" w:hAnsi="仿宋" w:eastAsia="仿宋" w:cs="仿宋"/>
          <w:caps w:val="0"/>
          <w:color w:val="auto"/>
          <w:spacing w:val="0"/>
          <w:sz w:val="24"/>
          <w:szCs w:val="21"/>
          <w:lang w:eastAsia="zh-CN"/>
        </w:rPr>
        <w:t>（包含毛田区块泵站和经开区污水调度工程的二级泵站）</w:t>
      </w:r>
      <w:r>
        <w:rPr>
          <w:rFonts w:hint="eastAsia" w:ascii="仿宋" w:hAnsi="仿宋" w:eastAsia="仿宋" w:cs="仿宋"/>
          <w:caps w:val="0"/>
          <w:color w:val="auto"/>
          <w:spacing w:val="0"/>
          <w:sz w:val="24"/>
          <w:szCs w:val="21"/>
        </w:rPr>
        <w:t>的日常巡查及管理，产生的费用均考虑到投标报价内。</w:t>
      </w:r>
    </w:p>
    <w:p w14:paraId="1F477D14">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4、</w:t>
      </w:r>
      <w:r>
        <w:rPr>
          <w:rFonts w:hint="eastAsia" w:ascii="仿宋" w:hAnsi="仿宋" w:eastAsia="仿宋" w:cs="仿宋"/>
          <w:caps w:val="0"/>
          <w:color w:val="auto"/>
          <w:spacing w:val="0"/>
          <w:sz w:val="24"/>
          <w:szCs w:val="24"/>
        </w:rPr>
        <w:t>保证污水达标排放，因中标人管理不善造成排污超标的，</w:t>
      </w:r>
      <w:r>
        <w:rPr>
          <w:rFonts w:hint="eastAsia" w:ascii="仿宋" w:hAnsi="仿宋" w:eastAsia="仿宋" w:cs="仿宋"/>
          <w:caps w:val="0"/>
          <w:color w:val="auto"/>
          <w:spacing w:val="0"/>
          <w:sz w:val="24"/>
          <w:szCs w:val="24"/>
          <w:lang w:eastAsia="zh-CN"/>
        </w:rPr>
        <w:t>行政处罚及相应的行政罚款由中标人自行承担</w:t>
      </w:r>
      <w:r>
        <w:rPr>
          <w:rFonts w:hint="eastAsia" w:ascii="仿宋" w:hAnsi="仿宋" w:eastAsia="仿宋" w:cs="仿宋"/>
          <w:caps w:val="0"/>
          <w:color w:val="auto"/>
          <w:spacing w:val="0"/>
          <w:sz w:val="24"/>
          <w:szCs w:val="24"/>
        </w:rPr>
        <w:t>（因进水水质超设计进水</w:t>
      </w:r>
      <w:r>
        <w:rPr>
          <w:rFonts w:hint="eastAsia" w:ascii="仿宋" w:hAnsi="仿宋" w:eastAsia="仿宋" w:cs="仿宋"/>
          <w:caps w:val="0"/>
          <w:color w:val="auto"/>
          <w:spacing w:val="0"/>
          <w:sz w:val="24"/>
          <w:szCs w:val="24"/>
          <w:lang w:eastAsia="zh-CN"/>
        </w:rPr>
        <w:t>参数，且中标人采取应急预案中的相应应对措施后</w:t>
      </w:r>
      <w:r>
        <w:rPr>
          <w:rFonts w:hint="eastAsia" w:ascii="仿宋" w:hAnsi="仿宋" w:eastAsia="仿宋" w:cs="仿宋"/>
          <w:caps w:val="0"/>
          <w:color w:val="auto"/>
          <w:spacing w:val="0"/>
          <w:sz w:val="24"/>
          <w:szCs w:val="24"/>
        </w:rPr>
        <w:t>引起的出水超标，中标人免于承担责任）。</w:t>
      </w:r>
    </w:p>
    <w:p w14:paraId="2A455CE6">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5、</w:t>
      </w:r>
      <w:r>
        <w:rPr>
          <w:rFonts w:hint="eastAsia" w:ascii="仿宋" w:hAnsi="仿宋" w:eastAsia="仿宋" w:cs="仿宋"/>
          <w:caps w:val="0"/>
          <w:color w:val="auto"/>
          <w:spacing w:val="0"/>
          <w:sz w:val="24"/>
          <w:szCs w:val="21"/>
        </w:rPr>
        <w:t>为保障运营管理人员的人身安全及意外保险，应按社会劳动保险的有关规定， 为员工购买养老、工伤、医疗、失业等保险。</w:t>
      </w:r>
    </w:p>
    <w:p w14:paraId="6A8DEA39">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6、</w:t>
      </w:r>
      <w:r>
        <w:rPr>
          <w:rFonts w:hint="eastAsia" w:ascii="仿宋" w:hAnsi="仿宋" w:eastAsia="仿宋" w:cs="仿宋"/>
          <w:caps w:val="0"/>
          <w:color w:val="auto"/>
          <w:spacing w:val="0"/>
          <w:sz w:val="24"/>
          <w:szCs w:val="21"/>
        </w:rPr>
        <w:t>从事本项目运营管理人员日常作业时，应配置安全作业的工具和使用劳动保护产品。</w:t>
      </w:r>
    </w:p>
    <w:p w14:paraId="10859754">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eastAsia="zh-CN"/>
        </w:rPr>
      </w:pPr>
      <w:r>
        <w:rPr>
          <w:rFonts w:hint="eastAsia" w:ascii="仿宋" w:hAnsi="仿宋" w:eastAsia="仿宋" w:cs="仿宋"/>
          <w:caps w:val="0"/>
          <w:color w:val="auto"/>
          <w:spacing w:val="0"/>
          <w:sz w:val="24"/>
          <w:szCs w:val="21"/>
          <w:lang w:val="en-US" w:eastAsia="zh-CN"/>
        </w:rPr>
        <w:t>7、</w:t>
      </w:r>
      <w:r>
        <w:rPr>
          <w:rFonts w:hint="eastAsia" w:ascii="仿宋" w:hAnsi="仿宋" w:eastAsia="仿宋" w:cs="仿宋"/>
          <w:caps w:val="0"/>
          <w:color w:val="auto"/>
          <w:spacing w:val="0"/>
          <w:sz w:val="24"/>
          <w:szCs w:val="21"/>
        </w:rPr>
        <w:t>中标人接管污水处理厂后，必须严格执行《中华人民共和国环境保护法》《中华人民共和国水污染防治法》《排污许可管理条例》及国家、地方有关法律法规、标准，及时变更排污许可证，遵守现行颁布的环境管理规章制度及有关政策</w:t>
      </w:r>
      <w:r>
        <w:rPr>
          <w:rFonts w:hint="eastAsia" w:ascii="仿宋" w:hAnsi="仿宋" w:eastAsia="仿宋" w:cs="仿宋"/>
          <w:caps w:val="0"/>
          <w:color w:val="auto"/>
          <w:spacing w:val="0"/>
          <w:sz w:val="24"/>
          <w:szCs w:val="21"/>
          <w:lang w:eastAsia="zh-CN"/>
        </w:rPr>
        <w:t>。</w:t>
      </w:r>
    </w:p>
    <w:p w14:paraId="15DCEC3A">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highlight w:val="yellow"/>
        </w:rPr>
      </w:pPr>
      <w:r>
        <w:rPr>
          <w:rFonts w:hint="eastAsia" w:ascii="仿宋" w:hAnsi="仿宋" w:eastAsia="仿宋" w:cs="仿宋"/>
          <w:caps w:val="0"/>
          <w:color w:val="auto"/>
          <w:spacing w:val="0"/>
          <w:sz w:val="24"/>
          <w:szCs w:val="21"/>
          <w:lang w:val="en-US" w:eastAsia="zh-CN"/>
        </w:rPr>
        <w:t>8、</w:t>
      </w:r>
      <w:r>
        <w:rPr>
          <w:rFonts w:hint="eastAsia" w:ascii="仿宋" w:hAnsi="仿宋" w:eastAsia="仿宋" w:cs="仿宋"/>
          <w:caps w:val="0"/>
          <w:color w:val="auto"/>
          <w:spacing w:val="0"/>
          <w:sz w:val="24"/>
          <w:szCs w:val="21"/>
        </w:rPr>
        <w:t>中标人应配备充足的运营管理人员，制定岗位生产和安全责任制度，保证</w:t>
      </w:r>
      <w:r>
        <w:rPr>
          <w:rFonts w:hint="eastAsia" w:ascii="仿宋" w:hAnsi="仿宋" w:eastAsia="仿宋" w:cs="仿宋"/>
          <w:caps w:val="0"/>
          <w:color w:val="auto"/>
          <w:spacing w:val="0"/>
          <w:sz w:val="24"/>
          <w:szCs w:val="21"/>
          <w:lang w:eastAsia="zh-CN"/>
        </w:rPr>
        <w:t>污水处理厂</w:t>
      </w:r>
      <w:r>
        <w:rPr>
          <w:rFonts w:hint="eastAsia" w:ascii="仿宋" w:hAnsi="仿宋" w:eastAsia="仿宋" w:cs="仿宋"/>
          <w:caps w:val="0"/>
          <w:color w:val="auto"/>
          <w:spacing w:val="0"/>
          <w:sz w:val="24"/>
          <w:szCs w:val="21"/>
          <w:lang w:val="en-US" w:eastAsia="zh-CN"/>
        </w:rPr>
        <w:t>及配套环保处理设施</w:t>
      </w:r>
      <w:r>
        <w:rPr>
          <w:rFonts w:hint="eastAsia" w:ascii="仿宋" w:hAnsi="仿宋" w:eastAsia="仿宋" w:cs="仿宋"/>
          <w:caps w:val="0"/>
          <w:color w:val="auto"/>
          <w:spacing w:val="0"/>
          <w:sz w:val="24"/>
          <w:szCs w:val="21"/>
        </w:rPr>
        <w:t>不间断运转，</w:t>
      </w:r>
      <w:r>
        <w:rPr>
          <w:rFonts w:hint="eastAsia" w:ascii="仿宋" w:hAnsi="仿宋" w:eastAsia="仿宋" w:cs="仿宋"/>
          <w:caps w:val="0"/>
          <w:color w:val="auto"/>
          <w:spacing w:val="0"/>
          <w:sz w:val="24"/>
          <w:szCs w:val="21"/>
          <w:highlight w:val="none"/>
          <w:lang w:val="en-US" w:eastAsia="zh-CN"/>
        </w:rPr>
        <w:t>保证各项污染物达到相关</w:t>
      </w:r>
      <w:r>
        <w:rPr>
          <w:rFonts w:hint="eastAsia" w:ascii="仿宋" w:hAnsi="仿宋" w:eastAsia="仿宋" w:cs="仿宋"/>
          <w:caps w:val="0"/>
          <w:color w:val="auto"/>
          <w:spacing w:val="0"/>
          <w:sz w:val="24"/>
          <w:szCs w:val="21"/>
          <w:highlight w:val="none"/>
        </w:rPr>
        <w:t>排放标准要求。对系统设备、设施运行中出现的故障进行及时维修维护，制定《设备维护保养计划》，定期进行维护保养，定期清淤、清渣等。</w:t>
      </w:r>
    </w:p>
    <w:p w14:paraId="20CF2A02">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9、</w:t>
      </w:r>
      <w:r>
        <w:rPr>
          <w:rFonts w:hint="eastAsia" w:ascii="仿宋" w:hAnsi="仿宋" w:eastAsia="仿宋" w:cs="仿宋"/>
          <w:caps w:val="0"/>
          <w:color w:val="auto"/>
          <w:spacing w:val="0"/>
          <w:sz w:val="24"/>
          <w:szCs w:val="21"/>
        </w:rPr>
        <w:t>中标人应建立日常工作记录台簿，将每日进行的一切工作活动记录在册，包括开泵、关泵、清渣、投加药剂、定期清理格栅、固废（危废）贮存和处置、维修、清洗在线监测仪探头、交接班时间以及工作内容等。</w:t>
      </w:r>
    </w:p>
    <w:p w14:paraId="47C57C92">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10、</w:t>
      </w:r>
      <w:r>
        <w:rPr>
          <w:rFonts w:hint="eastAsia" w:ascii="仿宋" w:hAnsi="仿宋" w:eastAsia="仿宋" w:cs="仿宋"/>
          <w:caps w:val="0"/>
          <w:color w:val="auto"/>
          <w:spacing w:val="0"/>
          <w:sz w:val="24"/>
          <w:szCs w:val="21"/>
        </w:rPr>
        <w:t>中标人应保证污水处理设备和设施的安全与完整，防止各类事故的发生，如因管理不善造成的经济损失或重大事故，由中标人负全部责任，采购人有权解除合同。</w:t>
      </w:r>
    </w:p>
    <w:p w14:paraId="5CFFCC45">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eastAsia="zh-CN"/>
        </w:rPr>
      </w:pPr>
      <w:r>
        <w:rPr>
          <w:rFonts w:hint="eastAsia" w:ascii="仿宋" w:hAnsi="仿宋" w:eastAsia="仿宋" w:cs="仿宋"/>
          <w:caps w:val="0"/>
          <w:color w:val="auto"/>
          <w:spacing w:val="0"/>
          <w:sz w:val="24"/>
          <w:szCs w:val="21"/>
          <w:lang w:val="en-US" w:eastAsia="zh-CN"/>
        </w:rPr>
        <w:t>11、</w:t>
      </w:r>
      <w:r>
        <w:rPr>
          <w:rFonts w:hint="eastAsia" w:ascii="仿宋" w:hAnsi="仿宋" w:eastAsia="仿宋" w:cs="仿宋"/>
          <w:caps w:val="0"/>
          <w:color w:val="auto"/>
          <w:spacing w:val="0"/>
          <w:sz w:val="24"/>
          <w:szCs w:val="21"/>
        </w:rPr>
        <w:t>中标人应</w:t>
      </w:r>
      <w:r>
        <w:rPr>
          <w:rFonts w:hint="eastAsia" w:ascii="仿宋" w:hAnsi="仿宋" w:eastAsia="仿宋" w:cs="仿宋"/>
          <w:caps w:val="0"/>
          <w:color w:val="auto"/>
          <w:spacing w:val="0"/>
          <w:sz w:val="24"/>
          <w:szCs w:val="21"/>
          <w:lang w:val="en-US" w:eastAsia="zh-CN"/>
        </w:rPr>
        <w:t>按要求制定或修订突发环境事件应急预案，并组织演练；进水异常时应开展溯源排查，并将结果及时上报给采购人；无条件配合服务范围内的突发环境事件的处置；配合采购人及相关部门做好应急物资管理。</w:t>
      </w:r>
    </w:p>
    <w:p w14:paraId="577D0D4A">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eastAsia="zh-CN"/>
        </w:rPr>
      </w:pPr>
      <w:r>
        <w:rPr>
          <w:rFonts w:hint="eastAsia" w:ascii="仿宋" w:hAnsi="仿宋" w:eastAsia="仿宋" w:cs="仿宋"/>
          <w:caps w:val="0"/>
          <w:color w:val="auto"/>
          <w:spacing w:val="0"/>
          <w:sz w:val="24"/>
          <w:szCs w:val="21"/>
          <w:lang w:val="en-US" w:eastAsia="zh-CN"/>
        </w:rPr>
        <w:t>12、</w:t>
      </w:r>
      <w:r>
        <w:rPr>
          <w:rFonts w:hint="eastAsia" w:ascii="仿宋" w:hAnsi="仿宋" w:eastAsia="仿宋" w:cs="仿宋"/>
          <w:caps w:val="0"/>
          <w:color w:val="auto"/>
          <w:spacing w:val="0"/>
          <w:sz w:val="24"/>
          <w:szCs w:val="21"/>
        </w:rPr>
        <w:t>中标人应</w:t>
      </w:r>
      <w:r>
        <w:rPr>
          <w:rFonts w:hint="eastAsia" w:ascii="仿宋" w:hAnsi="仿宋" w:eastAsia="仿宋" w:cs="仿宋"/>
          <w:caps w:val="0"/>
          <w:color w:val="auto"/>
          <w:spacing w:val="0"/>
          <w:sz w:val="24"/>
          <w:szCs w:val="21"/>
          <w:lang w:eastAsia="zh-CN"/>
        </w:rPr>
        <w:t>无条件配合采购人实施污水处理厂改造工程，包含且不限于以下内容：为改造工程的施工场地整理和提供便利；采取合理的措施应对改造工程的临时停水；改造工程的运行调试；改造工程的验收和交接投运等。</w:t>
      </w:r>
    </w:p>
    <w:p w14:paraId="34004D1F">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13、</w:t>
      </w:r>
      <w:r>
        <w:rPr>
          <w:rFonts w:hint="eastAsia" w:ascii="仿宋" w:hAnsi="仿宋" w:eastAsia="仿宋" w:cs="仿宋"/>
          <w:caps w:val="0"/>
          <w:color w:val="auto"/>
          <w:spacing w:val="0"/>
          <w:sz w:val="24"/>
          <w:szCs w:val="21"/>
        </w:rPr>
        <w:t>运营管理协议期限到后，中标人应将所有资料无条件移交给采购人，且保证资料的真实与完整。</w:t>
      </w:r>
    </w:p>
    <w:p w14:paraId="643E7038">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14、</w:t>
      </w:r>
      <w:r>
        <w:rPr>
          <w:rFonts w:hint="eastAsia" w:ascii="仿宋" w:hAnsi="仿宋" w:eastAsia="仿宋" w:cs="仿宋"/>
          <w:caps w:val="0"/>
          <w:color w:val="auto"/>
          <w:spacing w:val="0"/>
          <w:sz w:val="24"/>
          <w:szCs w:val="21"/>
        </w:rPr>
        <w:t>请各投标单位在投标之前自行前往实地进行查勘，详细了解设备、配件等的技术参数、生产厂家、型号等情况及软硬件的兼容性，结合自身综合实力着重考虑中标后维修时能否在市场上获得与原设备匹配的替代设备及配件，以及设备、配件的市场销售和价格情况。</w:t>
      </w:r>
    </w:p>
    <w:p w14:paraId="0CC509CF">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15、</w:t>
      </w:r>
      <w:r>
        <w:rPr>
          <w:rFonts w:hint="eastAsia" w:ascii="仿宋" w:hAnsi="仿宋" w:eastAsia="仿宋" w:cs="仿宋"/>
          <w:caps w:val="0"/>
          <w:color w:val="auto"/>
          <w:spacing w:val="0"/>
          <w:sz w:val="24"/>
          <w:szCs w:val="21"/>
        </w:rPr>
        <w:t>供应商需在中标通知书发出之日后</w:t>
      </w:r>
      <w:r>
        <w:rPr>
          <w:rFonts w:hint="eastAsia" w:ascii="仿宋" w:hAnsi="仿宋" w:eastAsia="仿宋" w:cs="仿宋"/>
          <w:caps w:val="0"/>
          <w:color w:val="auto"/>
          <w:spacing w:val="0"/>
          <w:sz w:val="24"/>
          <w:szCs w:val="21"/>
          <w:lang w:val="en-US" w:eastAsia="zh-CN"/>
        </w:rPr>
        <w:t>15</w:t>
      </w:r>
      <w:r>
        <w:rPr>
          <w:rFonts w:hint="eastAsia" w:ascii="仿宋" w:hAnsi="仿宋" w:eastAsia="仿宋" w:cs="仿宋"/>
          <w:caps w:val="0"/>
          <w:color w:val="auto"/>
          <w:spacing w:val="0"/>
          <w:sz w:val="24"/>
          <w:szCs w:val="21"/>
        </w:rPr>
        <w:t>日内，与采购人签订合同，并组织人员与原运维单位进行移交，若供应商未在规定期限内签订合同，视为自动放弃中标资格；若供应商在签订合同后未在采购人规定期限内移交，则视为严重违约，采购人将取消其中标资格并承担其违约责任。</w:t>
      </w:r>
    </w:p>
    <w:p w14:paraId="25B4A36A">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rPr>
      </w:pPr>
      <w:r>
        <w:rPr>
          <w:rFonts w:hint="eastAsia" w:ascii="仿宋" w:hAnsi="仿宋" w:eastAsia="仿宋" w:cs="仿宋"/>
          <w:caps w:val="0"/>
          <w:color w:val="auto"/>
          <w:spacing w:val="0"/>
          <w:sz w:val="24"/>
          <w:szCs w:val="21"/>
          <w:lang w:val="en-US" w:eastAsia="zh-CN"/>
        </w:rPr>
        <w:t>16、</w:t>
      </w:r>
      <w:r>
        <w:rPr>
          <w:rFonts w:hint="eastAsia" w:ascii="仿宋" w:hAnsi="仿宋" w:eastAsia="仿宋" w:cs="仿宋"/>
          <w:caps w:val="0"/>
          <w:color w:val="auto"/>
          <w:spacing w:val="0"/>
          <w:sz w:val="24"/>
          <w:szCs w:val="21"/>
        </w:rPr>
        <w:t>在合同期内，现出水执行标准为一级A排放标准，如合同期内需提高排放标准， 提标改造所增加的运维费用另行商议。</w:t>
      </w:r>
    </w:p>
    <w:p w14:paraId="7C96C5C6">
      <w:pPr>
        <w:pStyle w:val="18"/>
        <w:keepNext w:val="0"/>
        <w:keepLines w:val="0"/>
        <w:pageBreakBefore w:val="0"/>
        <w:widowControl/>
        <w:numPr>
          <w:ilvl w:val="0"/>
          <w:numId w:val="8"/>
        </w:numPr>
        <w:kinsoku/>
        <w:wordWrap/>
        <w:overflowPunct w:val="0"/>
        <w:topLinePunct w:val="0"/>
        <w:autoSpaceDE w:val="0"/>
        <w:autoSpaceDN w:val="0"/>
        <w:bidi w:val="0"/>
        <w:adjustRightInd w:val="0"/>
        <w:snapToGrid w:val="0"/>
        <w:spacing w:before="157" w:beforeLines="50" w:after="0" w:afterLines="35" w:line="360" w:lineRule="auto"/>
        <w:ind w:left="0" w:leftChars="0" w:firstLine="0" w:firstLineChars="0"/>
        <w:jc w:val="left"/>
        <w:textAlignment w:val="baseline"/>
        <w:outlineLvl w:val="1"/>
        <w:rPr>
          <w:rFonts w:hint="eastAsia" w:ascii="仿宋" w:hAnsi="仿宋" w:eastAsia="仿宋" w:cs="仿宋"/>
          <w:b/>
          <w:bCs/>
          <w:caps w:val="0"/>
          <w:color w:val="auto"/>
          <w:spacing w:val="0"/>
          <w:sz w:val="28"/>
          <w:szCs w:val="28"/>
          <w:lang w:eastAsia="zh-CN"/>
        </w:rPr>
      </w:pPr>
      <w:r>
        <w:rPr>
          <w:rFonts w:hint="eastAsia" w:ascii="仿宋" w:hAnsi="仿宋" w:eastAsia="仿宋" w:cs="仿宋"/>
          <w:b/>
          <w:bCs/>
          <w:caps w:val="0"/>
          <w:color w:val="auto"/>
          <w:spacing w:val="0"/>
          <w:sz w:val="28"/>
          <w:szCs w:val="28"/>
          <w:lang w:eastAsia="zh-CN"/>
        </w:rPr>
        <w:t>商务要求</w:t>
      </w:r>
      <w:bookmarkEnd w:id="24"/>
    </w:p>
    <w:p w14:paraId="137EE0FE">
      <w:pPr>
        <w:pStyle w:val="3"/>
        <w:keepNext w:val="0"/>
        <w:keepLines w:val="0"/>
        <w:pageBreakBefore w:val="0"/>
        <w:widowControl w:val="0"/>
        <w:numPr>
          <w:ilvl w:val="0"/>
          <w:numId w:val="12"/>
        </w:numPr>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eastAsia="zh-CN"/>
        </w:rPr>
      </w:pPr>
      <w:r>
        <w:rPr>
          <w:rFonts w:hint="eastAsia" w:ascii="仿宋" w:hAnsi="仿宋" w:eastAsia="仿宋" w:cs="仿宋"/>
          <w:caps w:val="0"/>
          <w:color w:val="auto"/>
          <w:spacing w:val="0"/>
          <w:sz w:val="24"/>
          <w:szCs w:val="21"/>
          <w:lang w:val="en-US" w:eastAsia="zh-CN"/>
        </w:rPr>
        <w:t>售后技术服务要求：</w:t>
      </w:r>
    </w:p>
    <w:p w14:paraId="798241FE">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eastAsia="zh-CN"/>
        </w:rPr>
      </w:pPr>
      <w:r>
        <w:rPr>
          <w:rFonts w:hint="eastAsia" w:ascii="仿宋" w:hAnsi="仿宋" w:eastAsia="仿宋" w:cs="仿宋"/>
          <w:caps w:val="0"/>
          <w:color w:val="auto"/>
          <w:spacing w:val="0"/>
          <w:sz w:val="24"/>
          <w:szCs w:val="21"/>
          <w:lang w:val="en-US" w:eastAsia="zh-CN"/>
        </w:rPr>
        <w:t>（1）中标人必须提供足够的工作人员。</w:t>
      </w:r>
    </w:p>
    <w:p w14:paraId="38EA2D21">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eastAsia="zh-CN"/>
        </w:rPr>
      </w:pPr>
      <w:r>
        <w:rPr>
          <w:rFonts w:hint="eastAsia" w:ascii="仿宋" w:hAnsi="仿宋" w:eastAsia="仿宋" w:cs="仿宋"/>
          <w:caps w:val="0"/>
          <w:color w:val="auto"/>
          <w:spacing w:val="0"/>
          <w:sz w:val="24"/>
          <w:szCs w:val="21"/>
          <w:lang w:val="en-US" w:eastAsia="zh-CN"/>
        </w:rPr>
        <w:t>（2）委托运营维护及管理的全部资产（包括全部产权和建筑物、设备、软件、配套设施、应急物资、自动站和配套监控系统产生的各类数据信息及相关文档资料）属采购人所有。未经采购人方同意，中标人不得以任何方式对各类财产进行出售、抵押或转移；在委托运营及管理期间，中标人有责任保证上述全部资产的完整、安全并处于良好状态。</w:t>
      </w:r>
    </w:p>
    <w:p w14:paraId="5ADF54D5">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eastAsia="zh-CN"/>
        </w:rPr>
      </w:pPr>
      <w:r>
        <w:rPr>
          <w:rFonts w:hint="eastAsia" w:ascii="仿宋" w:hAnsi="仿宋" w:eastAsia="仿宋" w:cs="仿宋"/>
          <w:caps w:val="0"/>
          <w:color w:val="auto"/>
          <w:spacing w:val="0"/>
          <w:sz w:val="24"/>
          <w:szCs w:val="21"/>
          <w:lang w:val="en-US" w:eastAsia="zh-CN"/>
        </w:rPr>
        <w:t>（3）合同签订后，排污许可证过户至中标人。</w:t>
      </w:r>
    </w:p>
    <w:p w14:paraId="79865BDA">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eastAsia="zh-CN"/>
        </w:rPr>
      </w:pPr>
      <w:r>
        <w:rPr>
          <w:rFonts w:hint="eastAsia" w:ascii="仿宋" w:hAnsi="仿宋" w:eastAsia="仿宋" w:cs="仿宋"/>
          <w:caps w:val="0"/>
          <w:color w:val="auto"/>
          <w:spacing w:val="0"/>
          <w:sz w:val="24"/>
          <w:szCs w:val="21"/>
          <w:lang w:val="en-US" w:eastAsia="zh-CN"/>
        </w:rPr>
        <w:t>2、备品备件及耗材要求：中标人提供满足运行管理服务期限内正常运行所需的备品备件及耗材。</w:t>
      </w:r>
    </w:p>
    <w:p w14:paraId="7F232BFA">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lang w:val="en-US" w:eastAsia="zh-CN"/>
        </w:rPr>
      </w:pPr>
      <w:r>
        <w:rPr>
          <w:rFonts w:hint="eastAsia" w:ascii="仿宋" w:hAnsi="仿宋" w:eastAsia="仿宋" w:cs="仿宋"/>
          <w:caps w:val="0"/>
          <w:color w:val="auto"/>
          <w:spacing w:val="0"/>
          <w:sz w:val="24"/>
          <w:szCs w:val="21"/>
          <w:lang w:val="en-US" w:eastAsia="zh-CN"/>
        </w:rPr>
        <w:t>3、运维期限：15个月（2025年4月1日至2026年6月31日）。</w:t>
      </w:r>
    </w:p>
    <w:p w14:paraId="78195C21">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2" w:firstLineChars="200"/>
        <w:textAlignment w:val="auto"/>
        <w:rPr>
          <w:rFonts w:hint="eastAsia" w:ascii="仿宋" w:hAnsi="仿宋" w:eastAsia="仿宋" w:cs="仿宋"/>
          <w:b/>
          <w:bCs/>
          <w:caps w:val="0"/>
          <w:color w:val="auto"/>
          <w:spacing w:val="0"/>
          <w:sz w:val="24"/>
          <w:szCs w:val="21"/>
          <w:highlight w:val="none"/>
          <w:lang w:val="en-US" w:eastAsia="zh-CN"/>
        </w:rPr>
      </w:pPr>
      <w:r>
        <w:rPr>
          <w:rFonts w:hint="eastAsia" w:ascii="仿宋" w:hAnsi="仿宋" w:eastAsia="仿宋" w:cs="仿宋"/>
          <w:b/>
          <w:bCs/>
          <w:caps w:val="0"/>
          <w:color w:val="auto"/>
          <w:spacing w:val="0"/>
          <w:sz w:val="24"/>
          <w:szCs w:val="21"/>
          <w:highlight w:val="none"/>
          <w:lang w:val="en-US" w:eastAsia="zh-CN"/>
        </w:rPr>
        <w:t>4、合同期内，供应商须通过采购人的考核。合同履行期间依据浙江省污染源自动监控信息管理平台在线监测数据、丽水市生态环境局遂昌分局不定期抽查数据及采购人对其运行维护质量进行定期或不定期考核，考核结果不合格的，采购人有权提前终止合同。</w:t>
      </w:r>
    </w:p>
    <w:p w14:paraId="3A1D4F2E">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highlight w:val="none"/>
          <w:lang w:val="en-US" w:eastAsia="zh-CN"/>
        </w:rPr>
      </w:pPr>
      <w:r>
        <w:rPr>
          <w:rFonts w:hint="eastAsia" w:ascii="仿宋" w:hAnsi="仿宋" w:eastAsia="仿宋" w:cs="仿宋"/>
          <w:caps w:val="0"/>
          <w:color w:val="auto"/>
          <w:spacing w:val="0"/>
          <w:sz w:val="24"/>
          <w:szCs w:val="21"/>
          <w:highlight w:val="none"/>
          <w:lang w:val="en-US" w:eastAsia="zh-CN"/>
        </w:rPr>
        <w:t>5、付款方式：</w:t>
      </w:r>
    </w:p>
    <w:p w14:paraId="150AC74C">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highlight w:val="none"/>
          <w:lang w:val="en-US" w:eastAsia="zh-CN"/>
        </w:rPr>
      </w:pPr>
      <w:r>
        <w:rPr>
          <w:rFonts w:hint="eastAsia" w:ascii="仿宋" w:hAnsi="仿宋" w:eastAsia="仿宋" w:cs="仿宋"/>
          <w:caps w:val="0"/>
          <w:color w:val="auto"/>
          <w:spacing w:val="0"/>
          <w:sz w:val="24"/>
          <w:szCs w:val="21"/>
          <w:highlight w:val="none"/>
          <w:lang w:val="en-US" w:eastAsia="zh-CN"/>
        </w:rPr>
        <w:t>（1）</w:t>
      </w:r>
      <w:r>
        <w:rPr>
          <w:rFonts w:hint="eastAsia" w:ascii="仿宋" w:hAnsi="仿宋" w:eastAsia="仿宋" w:cs="仿宋"/>
          <w:color w:val="auto"/>
          <w:kern w:val="0"/>
          <w:sz w:val="24"/>
          <w:szCs w:val="24"/>
          <w:highlight w:val="none"/>
          <w:lang w:val="en-US" w:eastAsia="zh-CN"/>
        </w:rPr>
        <w:t>本项目分六次进行付款：</w:t>
      </w:r>
      <w:r>
        <w:rPr>
          <w:rFonts w:hint="eastAsia" w:ascii="仿宋" w:hAnsi="仿宋" w:eastAsia="仿宋" w:cs="仿宋"/>
          <w:caps w:val="0"/>
          <w:color w:val="auto"/>
          <w:spacing w:val="0"/>
          <w:sz w:val="24"/>
          <w:szCs w:val="21"/>
          <w:highlight w:val="none"/>
          <w:lang w:val="en-US" w:eastAsia="zh-CN"/>
        </w:rPr>
        <w:t>项目合同生效以及具备实施条件后7个工作日内支付合同总价的40%</w:t>
      </w:r>
      <w:r>
        <w:rPr>
          <w:rFonts w:hint="eastAsia" w:ascii="仿宋" w:hAnsi="仿宋" w:eastAsia="仿宋" w:cs="仿宋"/>
          <w:color w:val="auto"/>
          <w:kern w:val="0"/>
          <w:sz w:val="24"/>
          <w:szCs w:val="24"/>
          <w:highlight w:val="none"/>
          <w:lang w:val="en-US" w:eastAsia="zh-CN"/>
        </w:rPr>
        <w:t>作为预付款</w:t>
      </w:r>
      <w:r>
        <w:rPr>
          <w:rFonts w:hint="eastAsia" w:ascii="仿宋" w:hAnsi="仿宋" w:eastAsia="仿宋" w:cs="仿宋"/>
          <w:caps w:val="0"/>
          <w:color w:val="auto"/>
          <w:spacing w:val="0"/>
          <w:sz w:val="24"/>
          <w:szCs w:val="21"/>
          <w:highlight w:val="none"/>
          <w:lang w:val="en-US" w:eastAsia="zh-CN"/>
        </w:rPr>
        <w:t>；剩余款项按季度分五次进行结算，即每季度开始第一月，结算上一季度运维管理费（扣除合同总额8%的预付款）。</w:t>
      </w:r>
    </w:p>
    <w:p w14:paraId="71B850A6">
      <w:pPr>
        <w:spacing w:line="360" w:lineRule="auto"/>
        <w:ind w:firstLine="482" w:firstLineChars="200"/>
        <w:jc w:val="left"/>
        <w:rPr>
          <w:rFonts w:hint="eastAsia" w:ascii="仿宋" w:hAnsi="仿宋" w:eastAsia="仿宋" w:cs="仿宋"/>
          <w:b/>
          <w:bCs/>
          <w:color w:val="auto"/>
          <w:sz w:val="24"/>
          <w:szCs w:val="24"/>
          <w:highlight w:val="none"/>
          <w:u w:val="single"/>
          <w:lang w:eastAsia="zh-CN"/>
        </w:rPr>
      </w:pPr>
      <w:r>
        <w:rPr>
          <w:rFonts w:hint="eastAsia" w:ascii="仿宋" w:hAnsi="仿宋" w:eastAsia="仿宋" w:cs="仿宋"/>
          <w:b/>
          <w:bCs/>
          <w:color w:val="auto"/>
          <w:sz w:val="24"/>
          <w:szCs w:val="24"/>
          <w:highlight w:val="none"/>
          <w:u w:val="single"/>
        </w:rPr>
        <w:t>供应商明确表示无需预付款或者主动要求降低预付款比例的，采购合同可不适用前述规定。</w:t>
      </w:r>
    </w:p>
    <w:p w14:paraId="1D40E6CE">
      <w:pPr>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sz w:val="24"/>
          <w:szCs w:val="24"/>
          <w:highlight w:val="none"/>
        </w:rPr>
        <w:t>采购人在向供应商支付预付款之前，有权要求供应商提供与预付款金额相对应的担保措施，担保措施可以是银行、保险公司等金融机构出具的预付款保函或其他担保措施。</w:t>
      </w:r>
    </w:p>
    <w:p w14:paraId="6E5999C8">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highlight w:val="none"/>
          <w:lang w:val="en-US" w:eastAsia="zh-CN"/>
        </w:rPr>
      </w:pPr>
      <w:r>
        <w:rPr>
          <w:rFonts w:hint="eastAsia" w:ascii="仿宋" w:hAnsi="仿宋" w:eastAsia="仿宋" w:cs="仿宋"/>
          <w:caps w:val="0"/>
          <w:color w:val="auto"/>
          <w:spacing w:val="0"/>
          <w:sz w:val="24"/>
          <w:szCs w:val="21"/>
          <w:highlight w:val="none"/>
          <w:lang w:val="en-US" w:eastAsia="zh-CN"/>
        </w:rPr>
        <w:t>（3）需丽水市环境生态局遂昌分局对污水厂运行相关指标进行确认，合格后支付。如出现日均值超标的，扣除当日运营费用的2倍。</w:t>
      </w:r>
    </w:p>
    <w:p w14:paraId="4ABE6F32">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1"/>
          <w:highlight w:val="none"/>
          <w:lang w:val="en-US" w:eastAsia="zh-CN"/>
        </w:rPr>
      </w:pPr>
      <w:r>
        <w:rPr>
          <w:rFonts w:hint="eastAsia" w:ascii="仿宋" w:hAnsi="仿宋" w:eastAsia="仿宋" w:cs="仿宋"/>
          <w:caps w:val="0"/>
          <w:color w:val="auto"/>
          <w:spacing w:val="0"/>
          <w:sz w:val="24"/>
          <w:szCs w:val="21"/>
          <w:highlight w:val="none"/>
          <w:lang w:val="en-US" w:eastAsia="zh-CN"/>
        </w:rPr>
        <w:t>（4）合同款支付须成交供应商开具正式发票，采购人在成交供应商开具发票后7个工作日内支付。</w:t>
      </w:r>
    </w:p>
    <w:p w14:paraId="716C357F">
      <w:pPr>
        <w:pStyle w:val="18"/>
        <w:keepNext w:val="0"/>
        <w:keepLines w:val="0"/>
        <w:pageBreakBefore w:val="0"/>
        <w:widowControl/>
        <w:numPr>
          <w:ilvl w:val="0"/>
          <w:numId w:val="8"/>
        </w:numPr>
        <w:kinsoku/>
        <w:wordWrap/>
        <w:overflowPunct w:val="0"/>
        <w:topLinePunct w:val="0"/>
        <w:autoSpaceDE w:val="0"/>
        <w:autoSpaceDN w:val="0"/>
        <w:bidi w:val="0"/>
        <w:adjustRightInd w:val="0"/>
        <w:snapToGrid w:val="0"/>
        <w:spacing w:before="157" w:beforeLines="50" w:after="0" w:afterLines="35" w:line="360" w:lineRule="auto"/>
        <w:ind w:left="0" w:leftChars="0" w:firstLine="0" w:firstLineChars="0"/>
        <w:jc w:val="left"/>
        <w:textAlignment w:val="baseline"/>
        <w:outlineLvl w:val="1"/>
        <w:rPr>
          <w:rFonts w:hint="eastAsia" w:ascii="仿宋" w:hAnsi="仿宋" w:eastAsia="仿宋" w:cs="仿宋"/>
          <w:b/>
          <w:bCs/>
          <w:caps w:val="0"/>
          <w:color w:val="auto"/>
          <w:spacing w:val="0"/>
          <w:sz w:val="28"/>
          <w:szCs w:val="28"/>
          <w:lang w:val="en-US" w:eastAsia="zh-CN"/>
        </w:rPr>
      </w:pPr>
      <w:bookmarkStart w:id="25" w:name="_Toc29408"/>
      <w:r>
        <w:rPr>
          <w:rFonts w:hint="eastAsia" w:ascii="仿宋" w:hAnsi="仿宋" w:eastAsia="仿宋" w:cs="仿宋"/>
          <w:b/>
          <w:bCs/>
          <w:caps w:val="0"/>
          <w:color w:val="auto"/>
          <w:spacing w:val="0"/>
          <w:sz w:val="28"/>
          <w:szCs w:val="28"/>
          <w:lang w:val="en-US" w:eastAsia="zh-CN"/>
        </w:rPr>
        <w:t>其他要求</w:t>
      </w:r>
      <w:bookmarkEnd w:id="25"/>
    </w:p>
    <w:p w14:paraId="61053D9B">
      <w:pPr>
        <w:pStyle w:val="3"/>
        <w:keepNext w:val="0"/>
        <w:keepLines w:val="0"/>
        <w:pageBreakBefore w:val="0"/>
        <w:widowControl w:val="0"/>
        <w:kinsoku/>
        <w:wordWrap/>
        <w:overflowPunct/>
        <w:topLinePunct w:val="0"/>
        <w:autoSpaceDE/>
        <w:autoSpaceDN/>
        <w:bidi w:val="0"/>
        <w:adjustRightInd/>
        <w:snapToGrid w:val="0"/>
        <w:spacing w:line="360" w:lineRule="auto"/>
        <w:ind w:left="0" w:right="0" w:firstLine="482" w:firstLineChars="200"/>
        <w:textAlignment w:val="auto"/>
        <w:rPr>
          <w:rFonts w:hint="eastAsia" w:ascii="仿宋" w:hAnsi="仿宋" w:eastAsia="仿宋" w:cs="仿宋"/>
          <w:b/>
          <w:bCs/>
          <w:caps w:val="0"/>
          <w:color w:val="auto"/>
          <w:spacing w:val="0"/>
          <w:sz w:val="24"/>
          <w:szCs w:val="21"/>
          <w:highlight w:val="none"/>
          <w:lang w:val="en-US" w:eastAsia="zh-CN"/>
        </w:rPr>
      </w:pPr>
      <w:r>
        <w:rPr>
          <w:rFonts w:hint="eastAsia" w:ascii="仿宋" w:hAnsi="仿宋" w:eastAsia="仿宋" w:cs="仿宋"/>
          <w:b/>
          <w:bCs/>
          <w:caps w:val="0"/>
          <w:color w:val="auto"/>
          <w:spacing w:val="0"/>
          <w:sz w:val="24"/>
          <w:szCs w:val="21"/>
          <w:highlight w:val="none"/>
          <w:lang w:val="en-US" w:eastAsia="zh-CN"/>
        </w:rPr>
        <w:t>1、本项目接入光伏发电系统，光伏电费由中标人按浙江省供电公司拟定的电费价格支付给光伏产权所有人。</w:t>
      </w:r>
    </w:p>
    <w:p w14:paraId="36A330D2">
      <w:pPr>
        <w:pStyle w:val="3"/>
        <w:keepNext w:val="0"/>
        <w:keepLines w:val="0"/>
        <w:pageBreakBefore w:val="0"/>
        <w:widowControl w:val="0"/>
        <w:kinsoku/>
        <w:wordWrap/>
        <w:overflowPunct/>
        <w:topLinePunct w:val="0"/>
        <w:autoSpaceDE/>
        <w:autoSpaceDN/>
        <w:bidi w:val="0"/>
        <w:adjustRightInd/>
        <w:snapToGrid w:val="0"/>
        <w:spacing w:line="360" w:lineRule="auto"/>
        <w:ind w:left="0" w:right="0" w:firstLine="482" w:firstLineChars="200"/>
        <w:textAlignment w:val="auto"/>
        <w:rPr>
          <w:rFonts w:hint="eastAsia" w:ascii="仿宋" w:hAnsi="仿宋" w:eastAsia="仿宋" w:cs="仿宋"/>
          <w:b/>
          <w:bCs/>
          <w:caps w:val="0"/>
          <w:color w:val="auto"/>
          <w:spacing w:val="0"/>
          <w:sz w:val="24"/>
          <w:szCs w:val="21"/>
          <w:highlight w:val="none"/>
          <w:lang w:val="en-US" w:eastAsia="zh-CN"/>
        </w:rPr>
      </w:pPr>
      <w:r>
        <w:rPr>
          <w:rFonts w:hint="eastAsia" w:ascii="仿宋" w:hAnsi="仿宋" w:eastAsia="仿宋" w:cs="仿宋"/>
          <w:b/>
          <w:bCs/>
          <w:caps w:val="0"/>
          <w:color w:val="auto"/>
          <w:spacing w:val="0"/>
          <w:sz w:val="24"/>
          <w:szCs w:val="21"/>
          <w:highlight w:val="none"/>
          <w:lang w:val="en-US" w:eastAsia="zh-CN"/>
        </w:rPr>
        <w:t>2、原运维单位与国网（丽水）综合能源有限公司签订的风机节能改造合同，本次招标项目的中标人须继续履行该合同条约，根据合同约定每月向国网（丽水）综合能源有限公司支付节能服务费7365元。合同截止时间为2025年4月底。</w:t>
      </w:r>
    </w:p>
    <w:p w14:paraId="4BF1DDEE">
      <w:pPr>
        <w:pStyle w:val="3"/>
        <w:keepNext w:val="0"/>
        <w:keepLines w:val="0"/>
        <w:pageBreakBefore w:val="0"/>
        <w:widowControl w:val="0"/>
        <w:kinsoku/>
        <w:wordWrap/>
        <w:overflowPunct/>
        <w:topLinePunct w:val="0"/>
        <w:autoSpaceDE/>
        <w:autoSpaceDN/>
        <w:bidi w:val="0"/>
        <w:adjustRightInd/>
        <w:snapToGrid w:val="0"/>
        <w:spacing w:line="360" w:lineRule="auto"/>
        <w:ind w:left="0" w:right="0" w:firstLine="482" w:firstLineChars="200"/>
        <w:textAlignment w:val="auto"/>
        <w:rPr>
          <w:rFonts w:hint="eastAsia" w:ascii="仿宋" w:hAnsi="仿宋" w:eastAsia="仿宋" w:cs="仿宋"/>
          <w:b/>
          <w:bCs/>
          <w:caps w:val="0"/>
          <w:color w:val="auto"/>
          <w:spacing w:val="0"/>
          <w:sz w:val="24"/>
          <w:szCs w:val="21"/>
          <w:highlight w:val="none"/>
          <w:lang w:val="en-US" w:eastAsia="zh-CN"/>
        </w:rPr>
      </w:pPr>
      <w:r>
        <w:rPr>
          <w:rFonts w:hint="eastAsia" w:ascii="仿宋" w:hAnsi="仿宋" w:eastAsia="仿宋" w:cs="仿宋"/>
          <w:b/>
          <w:bCs/>
          <w:caps w:val="0"/>
          <w:color w:val="auto"/>
          <w:spacing w:val="0"/>
          <w:sz w:val="24"/>
          <w:szCs w:val="21"/>
          <w:highlight w:val="none"/>
          <w:lang w:val="en-US" w:eastAsia="zh-CN"/>
        </w:rPr>
        <w:t>3、毛田区块的污水加压泵的运行维护包含在本次招标范围内，供应商的投标报价须包含该运行维护项的内容，采购人不在另行支付其他费用。经开区污水调度工程的二级泵站运行费用，根据投运情况另行补充协议约定。</w:t>
      </w:r>
    </w:p>
    <w:p w14:paraId="2A39A863">
      <w:pPr>
        <w:pStyle w:val="3"/>
        <w:keepNext w:val="0"/>
        <w:keepLines w:val="0"/>
        <w:pageBreakBefore w:val="0"/>
        <w:widowControl w:val="0"/>
        <w:kinsoku/>
        <w:wordWrap/>
        <w:overflowPunct/>
        <w:topLinePunct w:val="0"/>
        <w:autoSpaceDE/>
        <w:autoSpaceDN/>
        <w:bidi w:val="0"/>
        <w:adjustRightInd/>
        <w:snapToGrid w:val="0"/>
        <w:spacing w:line="360" w:lineRule="auto"/>
        <w:ind w:left="0" w:right="0" w:firstLine="482" w:firstLineChars="200"/>
        <w:textAlignment w:val="auto"/>
        <w:rPr>
          <w:rFonts w:hint="eastAsia" w:ascii="仿宋" w:hAnsi="仿宋" w:eastAsia="仿宋" w:cs="仿宋"/>
          <w:b/>
          <w:bCs/>
          <w:caps w:val="0"/>
          <w:color w:val="auto"/>
          <w:spacing w:val="0"/>
          <w:sz w:val="24"/>
          <w:szCs w:val="21"/>
          <w:highlight w:val="none"/>
          <w:lang w:val="en-US" w:eastAsia="zh-CN"/>
        </w:rPr>
      </w:pPr>
      <w:r>
        <w:rPr>
          <w:rFonts w:hint="eastAsia" w:ascii="仿宋" w:hAnsi="仿宋" w:eastAsia="仿宋" w:cs="仿宋"/>
          <w:b/>
          <w:bCs/>
          <w:caps w:val="0"/>
          <w:color w:val="auto"/>
          <w:spacing w:val="0"/>
          <w:kern w:val="2"/>
          <w:sz w:val="24"/>
          <w:szCs w:val="21"/>
          <w:highlight w:val="none"/>
          <w:lang w:val="en-US" w:eastAsia="zh-CN" w:bidi="ar-SA"/>
        </w:rPr>
        <w:t>4、中标人如不继续聘用原有工作人员，应预留3个月的过渡期，以便相关工作的</w:t>
      </w:r>
      <w:r>
        <w:rPr>
          <w:rFonts w:hint="eastAsia" w:ascii="仿宋" w:hAnsi="仿宋" w:eastAsia="仿宋" w:cs="仿宋"/>
          <w:b/>
          <w:bCs/>
          <w:caps w:val="0"/>
          <w:color w:val="auto"/>
          <w:spacing w:val="0"/>
          <w:sz w:val="24"/>
          <w:szCs w:val="21"/>
          <w:highlight w:val="none"/>
          <w:lang w:val="en-US" w:eastAsia="zh-CN"/>
        </w:rPr>
        <w:t>交接。</w:t>
      </w:r>
    </w:p>
    <w:p w14:paraId="72944D2E">
      <w:pPr>
        <w:pStyle w:val="2"/>
        <w:keepNext w:val="0"/>
        <w:keepLines w:val="0"/>
        <w:pageBreakBefore w:val="0"/>
        <w:widowControl w:val="0"/>
        <w:kinsoku/>
        <w:wordWrap/>
        <w:overflowPunct/>
        <w:topLinePunct w:val="0"/>
        <w:autoSpaceDE/>
        <w:autoSpaceDN/>
        <w:bidi w:val="0"/>
        <w:snapToGrid w:val="0"/>
        <w:spacing w:after="0" w:line="360" w:lineRule="auto"/>
        <w:ind w:firstLine="482"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b/>
          <w:bCs/>
          <w:caps w:val="0"/>
          <w:color w:val="auto"/>
          <w:spacing w:val="0"/>
          <w:sz w:val="24"/>
          <w:szCs w:val="21"/>
          <w:highlight w:val="none"/>
          <w:lang w:val="en-US" w:eastAsia="zh-CN"/>
        </w:rPr>
        <w:t>5、合同期结束时，采购人委托第三方进行项目的绩效评估，中标人应无条件配合。</w:t>
      </w:r>
    </w:p>
    <w:p w14:paraId="1B470362">
      <w:pPr>
        <w:pStyle w:val="3"/>
        <w:keepNext w:val="0"/>
        <w:keepLines w:val="0"/>
        <w:pageBreakBefore w:val="0"/>
        <w:numPr>
          <w:ilvl w:val="0"/>
          <w:numId w:val="0"/>
        </w:numPr>
        <w:kinsoku/>
        <w:wordWrap/>
        <w:topLinePunct w:val="0"/>
        <w:bidi w:val="0"/>
        <w:snapToGrid/>
        <w:spacing w:line="360" w:lineRule="auto"/>
        <w:rPr>
          <w:rFonts w:hint="eastAsia" w:ascii="仿宋" w:hAnsi="仿宋" w:eastAsia="仿宋" w:cs="仿宋"/>
          <w:color w:val="auto"/>
          <w:lang w:val="en-US" w:eastAsia="zh-CN"/>
        </w:rPr>
      </w:pPr>
    </w:p>
    <w:p w14:paraId="5143D6F6">
      <w:pPr>
        <w:rPr>
          <w:rFonts w:hint="eastAsia" w:ascii="仿宋" w:hAnsi="仿宋" w:eastAsia="仿宋" w:cs="仿宋"/>
          <w:color w:val="auto"/>
          <w:lang w:val="en-US" w:eastAsia="zh-CN"/>
        </w:rPr>
      </w:pPr>
    </w:p>
    <w:p w14:paraId="55A20867">
      <w:pPr>
        <w:pStyle w:val="10"/>
        <w:rPr>
          <w:rFonts w:hint="eastAsia" w:ascii="仿宋" w:hAnsi="仿宋" w:eastAsia="仿宋" w:cs="仿宋"/>
          <w:color w:val="auto"/>
          <w:lang w:val="en-US" w:eastAsia="zh-CN"/>
        </w:rPr>
      </w:pPr>
    </w:p>
    <w:p w14:paraId="51C8FDA6">
      <w:pPr>
        <w:pStyle w:val="11"/>
        <w:rPr>
          <w:rFonts w:hint="eastAsia" w:ascii="仿宋" w:hAnsi="仿宋" w:eastAsia="仿宋" w:cs="仿宋"/>
          <w:color w:val="auto"/>
          <w:lang w:val="en-US" w:eastAsia="zh-CN"/>
        </w:rPr>
      </w:pPr>
    </w:p>
    <w:p w14:paraId="45E08E0A">
      <w:pPr>
        <w:rPr>
          <w:rFonts w:hint="eastAsia" w:ascii="仿宋" w:hAnsi="仿宋" w:eastAsia="仿宋" w:cs="仿宋"/>
          <w:color w:val="auto"/>
          <w:lang w:val="en-US" w:eastAsia="zh-CN"/>
        </w:rPr>
      </w:pPr>
    </w:p>
    <w:p w14:paraId="6613FF44">
      <w:pPr>
        <w:pStyle w:val="10"/>
        <w:rPr>
          <w:rFonts w:hint="eastAsia" w:ascii="仿宋" w:hAnsi="仿宋" w:eastAsia="仿宋" w:cs="仿宋"/>
          <w:color w:val="auto"/>
          <w:lang w:val="en-US" w:eastAsia="zh-CN"/>
        </w:rPr>
      </w:pPr>
    </w:p>
    <w:p w14:paraId="7F8F2820">
      <w:pPr>
        <w:pStyle w:val="11"/>
        <w:rPr>
          <w:rFonts w:hint="eastAsia" w:ascii="仿宋" w:hAnsi="仿宋" w:eastAsia="仿宋" w:cs="仿宋"/>
          <w:color w:val="auto"/>
          <w:lang w:val="en-US" w:eastAsia="zh-CN"/>
        </w:rPr>
      </w:pPr>
    </w:p>
    <w:p w14:paraId="06C9886A">
      <w:pPr>
        <w:rPr>
          <w:rFonts w:hint="eastAsia" w:ascii="仿宋" w:hAnsi="仿宋" w:eastAsia="仿宋" w:cs="仿宋"/>
          <w:color w:val="auto"/>
          <w:lang w:val="en-US" w:eastAsia="zh-CN"/>
        </w:rPr>
      </w:pPr>
    </w:p>
    <w:p w14:paraId="5B43F6A1">
      <w:pPr>
        <w:pStyle w:val="10"/>
        <w:rPr>
          <w:rFonts w:hint="eastAsia" w:ascii="仿宋" w:hAnsi="仿宋" w:eastAsia="仿宋" w:cs="仿宋"/>
          <w:color w:val="auto"/>
          <w:lang w:val="en-US" w:eastAsia="zh-CN"/>
        </w:rPr>
      </w:pPr>
    </w:p>
    <w:p w14:paraId="3143F71E">
      <w:pPr>
        <w:pStyle w:val="11"/>
        <w:rPr>
          <w:rFonts w:hint="eastAsia" w:ascii="仿宋" w:hAnsi="仿宋" w:eastAsia="仿宋" w:cs="仿宋"/>
          <w:color w:val="auto"/>
          <w:lang w:val="en-US" w:eastAsia="zh-CN"/>
        </w:rPr>
      </w:pPr>
    </w:p>
    <w:p w14:paraId="50D7D7F1">
      <w:pPr>
        <w:rPr>
          <w:rFonts w:hint="eastAsia" w:ascii="仿宋" w:hAnsi="仿宋" w:eastAsia="仿宋" w:cs="仿宋"/>
          <w:color w:val="auto"/>
          <w:lang w:val="en-US" w:eastAsia="zh-CN"/>
        </w:rPr>
      </w:pPr>
    </w:p>
    <w:p w14:paraId="5412509D">
      <w:pPr>
        <w:pStyle w:val="17"/>
        <w:rPr>
          <w:rFonts w:hint="eastAsia" w:ascii="仿宋" w:hAnsi="仿宋" w:eastAsia="仿宋" w:cs="仿宋"/>
          <w:color w:val="auto"/>
          <w:lang w:val="en-US" w:eastAsia="zh-CN"/>
        </w:rPr>
      </w:pPr>
    </w:p>
    <w:p w14:paraId="58112929">
      <w:pPr>
        <w:pStyle w:val="10"/>
        <w:rPr>
          <w:rFonts w:hint="eastAsia" w:ascii="仿宋" w:hAnsi="仿宋" w:eastAsia="仿宋" w:cs="仿宋"/>
          <w:color w:val="auto"/>
          <w:lang w:val="en-US" w:eastAsia="zh-CN"/>
        </w:rPr>
      </w:pPr>
    </w:p>
    <w:p w14:paraId="5F0E20A4">
      <w:pPr>
        <w:pStyle w:val="11"/>
        <w:rPr>
          <w:rFonts w:hint="eastAsia" w:ascii="仿宋" w:hAnsi="仿宋" w:eastAsia="仿宋" w:cs="仿宋"/>
          <w:color w:val="auto"/>
          <w:lang w:val="en-US" w:eastAsia="zh-CN"/>
        </w:rPr>
      </w:pPr>
    </w:p>
    <w:p w14:paraId="4CC9007D">
      <w:pPr>
        <w:rPr>
          <w:rFonts w:hint="eastAsia" w:ascii="仿宋" w:hAnsi="仿宋" w:eastAsia="仿宋" w:cs="仿宋"/>
          <w:color w:val="auto"/>
          <w:lang w:val="en-US" w:eastAsia="zh-CN"/>
        </w:rPr>
      </w:pPr>
    </w:p>
    <w:p w14:paraId="0F411196">
      <w:pPr>
        <w:numPr>
          <w:ilvl w:val="0"/>
          <w:numId w:val="7"/>
        </w:numPr>
        <w:wordWrap w:val="0"/>
        <w:adjustRightInd/>
        <w:spacing w:line="360" w:lineRule="auto"/>
        <w:jc w:val="center"/>
        <w:outlineLvl w:val="0"/>
        <w:rPr>
          <w:rFonts w:hint="eastAsia" w:ascii="仿宋" w:hAnsi="仿宋" w:eastAsia="仿宋" w:cs="仿宋"/>
          <w:b/>
          <w:color w:val="auto"/>
          <w:sz w:val="36"/>
          <w:szCs w:val="20"/>
          <w:highlight w:val="none"/>
          <w:lang w:val="en-US" w:eastAsia="zh-CN"/>
        </w:rPr>
      </w:pPr>
      <w:r>
        <w:rPr>
          <w:rFonts w:hint="eastAsia" w:ascii="仿宋" w:hAnsi="仿宋" w:eastAsia="仿宋" w:cs="仿宋"/>
          <w:b/>
          <w:color w:val="auto"/>
          <w:sz w:val="36"/>
          <w:szCs w:val="20"/>
          <w:highlight w:val="none"/>
          <w:lang w:val="en-US" w:eastAsia="zh-CN"/>
        </w:rPr>
        <w:t xml:space="preserve">  </w:t>
      </w:r>
      <w:bookmarkStart w:id="26" w:name="_Toc184308072"/>
      <w:bookmarkEnd w:id="26"/>
      <w:bookmarkStart w:id="27" w:name="_Toc184310333"/>
      <w:bookmarkEnd w:id="27"/>
      <w:bookmarkStart w:id="28" w:name="_Toc184313238"/>
      <w:bookmarkEnd w:id="28"/>
      <w:bookmarkStart w:id="29" w:name="_Toc184308085"/>
      <w:bookmarkEnd w:id="29"/>
      <w:bookmarkStart w:id="30" w:name="_Toc184308063"/>
      <w:bookmarkEnd w:id="30"/>
      <w:bookmarkStart w:id="31" w:name="_Toc184310276"/>
      <w:bookmarkEnd w:id="31"/>
      <w:bookmarkStart w:id="32" w:name="_Toc184314443"/>
      <w:bookmarkEnd w:id="32"/>
      <w:bookmarkStart w:id="33" w:name="_Toc184308039"/>
      <w:bookmarkEnd w:id="33"/>
      <w:bookmarkStart w:id="34" w:name="_Toc184312094"/>
      <w:bookmarkEnd w:id="34"/>
      <w:bookmarkStart w:id="35" w:name="_Toc184308045"/>
      <w:bookmarkEnd w:id="35"/>
      <w:bookmarkStart w:id="36" w:name="_Toc184312068"/>
      <w:bookmarkEnd w:id="36"/>
      <w:bookmarkStart w:id="37" w:name="_Toc184310306"/>
      <w:bookmarkEnd w:id="37"/>
      <w:bookmarkStart w:id="38" w:name="_Toc184313305"/>
      <w:bookmarkEnd w:id="38"/>
      <w:bookmarkStart w:id="39" w:name="_Toc184313310"/>
      <w:bookmarkEnd w:id="39"/>
      <w:bookmarkStart w:id="40" w:name="_Toc184310329"/>
      <w:bookmarkEnd w:id="40"/>
      <w:bookmarkStart w:id="41" w:name="_Toc184313273"/>
      <w:bookmarkEnd w:id="41"/>
      <w:bookmarkStart w:id="42" w:name="_Toc184310341"/>
      <w:bookmarkEnd w:id="42"/>
      <w:bookmarkStart w:id="43" w:name="_Toc184314438"/>
      <w:bookmarkEnd w:id="43"/>
      <w:bookmarkStart w:id="44" w:name="_Toc184314425"/>
      <w:bookmarkEnd w:id="44"/>
      <w:bookmarkStart w:id="45" w:name="_Toc184308057"/>
      <w:bookmarkEnd w:id="45"/>
      <w:bookmarkStart w:id="46" w:name="_Toc184313266"/>
      <w:bookmarkEnd w:id="46"/>
      <w:bookmarkStart w:id="47" w:name="_Toc184314462"/>
      <w:bookmarkEnd w:id="47"/>
      <w:bookmarkStart w:id="48" w:name="_Toc184312081"/>
      <w:bookmarkEnd w:id="48"/>
      <w:bookmarkStart w:id="49" w:name="_Toc184312119"/>
      <w:bookmarkEnd w:id="49"/>
      <w:bookmarkStart w:id="50" w:name="_Toc184310303"/>
      <w:bookmarkEnd w:id="50"/>
      <w:bookmarkStart w:id="51" w:name="_Toc184308048"/>
      <w:bookmarkEnd w:id="51"/>
      <w:bookmarkStart w:id="52" w:name="_Toc184313307"/>
      <w:bookmarkEnd w:id="52"/>
      <w:bookmarkStart w:id="53" w:name="_Toc184310292"/>
      <w:bookmarkEnd w:id="53"/>
      <w:bookmarkStart w:id="54" w:name="_Toc184310314"/>
      <w:bookmarkEnd w:id="54"/>
      <w:bookmarkStart w:id="55" w:name="_Toc184308046"/>
      <w:bookmarkEnd w:id="55"/>
      <w:bookmarkStart w:id="56" w:name="_Toc184314427"/>
      <w:bookmarkEnd w:id="56"/>
      <w:bookmarkStart w:id="57" w:name="_Toc184310340"/>
      <w:bookmarkEnd w:id="57"/>
      <w:bookmarkStart w:id="58" w:name="_Toc184308061"/>
      <w:bookmarkEnd w:id="58"/>
      <w:bookmarkStart w:id="59" w:name="_Toc184310335"/>
      <w:bookmarkEnd w:id="59"/>
      <w:bookmarkStart w:id="60" w:name="_Toc184310290"/>
      <w:bookmarkEnd w:id="60"/>
      <w:bookmarkStart w:id="61" w:name="_Toc184308079"/>
      <w:bookmarkEnd w:id="61"/>
      <w:bookmarkStart w:id="62" w:name="_Toc184314437"/>
      <w:bookmarkEnd w:id="62"/>
      <w:bookmarkStart w:id="63" w:name="_Toc184310297"/>
      <w:bookmarkEnd w:id="63"/>
      <w:bookmarkStart w:id="64" w:name="_Toc184314440"/>
      <w:bookmarkEnd w:id="64"/>
      <w:bookmarkStart w:id="65" w:name="_Toc184313293"/>
      <w:bookmarkEnd w:id="65"/>
      <w:bookmarkStart w:id="66" w:name="_Toc184308040"/>
      <w:bookmarkEnd w:id="66"/>
      <w:bookmarkStart w:id="67" w:name="_Toc184312117"/>
      <w:bookmarkEnd w:id="67"/>
      <w:bookmarkStart w:id="68" w:name="_Toc184308086"/>
      <w:bookmarkEnd w:id="68"/>
      <w:bookmarkStart w:id="69" w:name="_Toc184308103"/>
      <w:bookmarkEnd w:id="69"/>
      <w:bookmarkStart w:id="70" w:name="_Toc184313286"/>
      <w:bookmarkEnd w:id="70"/>
      <w:bookmarkStart w:id="71" w:name="_Toc184314474"/>
      <w:bookmarkEnd w:id="71"/>
      <w:bookmarkStart w:id="72" w:name="_Toc184310305"/>
      <w:bookmarkEnd w:id="72"/>
      <w:bookmarkStart w:id="73" w:name="_Toc184310309"/>
      <w:bookmarkEnd w:id="73"/>
      <w:bookmarkStart w:id="74" w:name="_Toc184308062"/>
      <w:bookmarkEnd w:id="74"/>
      <w:bookmarkStart w:id="75" w:name="_Toc184314429"/>
      <w:bookmarkEnd w:id="75"/>
      <w:bookmarkStart w:id="76" w:name="_Toc184312139"/>
      <w:bookmarkEnd w:id="76"/>
      <w:bookmarkStart w:id="77" w:name="_Toc184310279"/>
      <w:bookmarkEnd w:id="77"/>
      <w:bookmarkStart w:id="78" w:name="_Toc184314436"/>
      <w:bookmarkEnd w:id="78"/>
      <w:bookmarkStart w:id="79" w:name="_Toc184308093"/>
      <w:bookmarkEnd w:id="79"/>
      <w:bookmarkStart w:id="80" w:name="_Toc184308041"/>
      <w:bookmarkEnd w:id="80"/>
      <w:bookmarkStart w:id="81" w:name="_Toc184313281"/>
      <w:bookmarkEnd w:id="81"/>
      <w:bookmarkStart w:id="82" w:name="_Toc184313290"/>
      <w:bookmarkEnd w:id="82"/>
      <w:bookmarkStart w:id="83" w:name="_Toc184312105"/>
      <w:bookmarkEnd w:id="83"/>
      <w:bookmarkStart w:id="84" w:name="_Toc184313272"/>
      <w:bookmarkEnd w:id="84"/>
      <w:bookmarkStart w:id="85" w:name="_Toc184310332"/>
      <w:bookmarkEnd w:id="85"/>
      <w:bookmarkStart w:id="86" w:name="_Toc184313289"/>
      <w:bookmarkEnd w:id="86"/>
      <w:bookmarkStart w:id="87" w:name="_Toc184313298"/>
      <w:bookmarkEnd w:id="87"/>
      <w:bookmarkStart w:id="88" w:name="_Toc184308097"/>
      <w:bookmarkEnd w:id="88"/>
      <w:bookmarkStart w:id="89" w:name="_Toc184314454"/>
      <w:bookmarkEnd w:id="89"/>
      <w:bookmarkStart w:id="90" w:name="_Toc184308056"/>
      <w:bookmarkEnd w:id="90"/>
      <w:bookmarkStart w:id="91" w:name="_Toc184308037"/>
      <w:bookmarkEnd w:id="91"/>
      <w:bookmarkStart w:id="92" w:name="_Toc184312116"/>
      <w:bookmarkEnd w:id="92"/>
      <w:bookmarkStart w:id="93" w:name="_Toc184312097"/>
      <w:bookmarkEnd w:id="93"/>
      <w:bookmarkStart w:id="94" w:name="_Toc184314445"/>
      <w:bookmarkEnd w:id="94"/>
      <w:bookmarkStart w:id="95" w:name="_Toc184314424"/>
      <w:bookmarkEnd w:id="95"/>
      <w:bookmarkStart w:id="96" w:name="_Toc184310273"/>
      <w:bookmarkEnd w:id="96"/>
      <w:bookmarkStart w:id="97" w:name="_Toc184313253"/>
      <w:bookmarkEnd w:id="97"/>
      <w:bookmarkStart w:id="98" w:name="_Toc184308080"/>
      <w:bookmarkEnd w:id="98"/>
      <w:bookmarkStart w:id="99" w:name="_Toc184308058"/>
      <w:bookmarkEnd w:id="99"/>
      <w:bookmarkStart w:id="100" w:name="_Toc184314432"/>
      <w:bookmarkEnd w:id="100"/>
      <w:bookmarkStart w:id="101" w:name="_Toc184312071"/>
      <w:bookmarkEnd w:id="101"/>
      <w:bookmarkStart w:id="102" w:name="_Toc184314421"/>
      <w:bookmarkEnd w:id="102"/>
      <w:bookmarkStart w:id="103" w:name="_Toc184310300"/>
      <w:bookmarkEnd w:id="103"/>
      <w:bookmarkStart w:id="104" w:name="_Toc184314412"/>
      <w:bookmarkEnd w:id="104"/>
      <w:bookmarkStart w:id="105" w:name="_Toc184308075"/>
      <w:bookmarkEnd w:id="105"/>
      <w:bookmarkStart w:id="106" w:name="_Toc184312128"/>
      <w:bookmarkEnd w:id="106"/>
      <w:bookmarkStart w:id="107" w:name="_Toc184314449"/>
      <w:bookmarkEnd w:id="107"/>
      <w:bookmarkStart w:id="108" w:name="_Toc184314467"/>
      <w:bookmarkEnd w:id="108"/>
      <w:bookmarkStart w:id="109" w:name="_Toc184312112"/>
      <w:bookmarkEnd w:id="109"/>
      <w:bookmarkStart w:id="110" w:name="_Toc184308082"/>
      <w:bookmarkEnd w:id="110"/>
      <w:bookmarkStart w:id="111" w:name="_Toc184308066"/>
      <w:bookmarkEnd w:id="111"/>
      <w:bookmarkStart w:id="112" w:name="_Toc184308102"/>
      <w:bookmarkEnd w:id="112"/>
      <w:bookmarkStart w:id="113" w:name="_Toc184313300"/>
      <w:bookmarkEnd w:id="113"/>
      <w:bookmarkStart w:id="114" w:name="_Toc184312085"/>
      <w:bookmarkEnd w:id="114"/>
      <w:bookmarkStart w:id="115" w:name="_Toc184313282"/>
      <w:bookmarkEnd w:id="115"/>
      <w:bookmarkStart w:id="116" w:name="_Toc184308067"/>
      <w:bookmarkEnd w:id="116"/>
      <w:bookmarkStart w:id="117" w:name="_Toc184310330"/>
      <w:bookmarkEnd w:id="117"/>
      <w:bookmarkStart w:id="118" w:name="_Toc184312069"/>
      <w:bookmarkEnd w:id="118"/>
      <w:bookmarkStart w:id="119" w:name="_Toc184310325"/>
      <w:bookmarkEnd w:id="119"/>
      <w:bookmarkStart w:id="120" w:name="_Toc184313301"/>
      <w:bookmarkEnd w:id="120"/>
      <w:bookmarkStart w:id="121" w:name="_Toc184310275"/>
      <w:bookmarkEnd w:id="121"/>
      <w:bookmarkStart w:id="122" w:name="_Toc184314414"/>
      <w:bookmarkEnd w:id="122"/>
      <w:bookmarkStart w:id="123" w:name="_Toc184313243"/>
      <w:bookmarkEnd w:id="123"/>
      <w:bookmarkStart w:id="124" w:name="_Toc184313306"/>
      <w:bookmarkEnd w:id="124"/>
      <w:bookmarkStart w:id="125" w:name="_Toc184312086"/>
      <w:bookmarkEnd w:id="125"/>
      <w:bookmarkStart w:id="126" w:name="_Toc184312118"/>
      <w:bookmarkEnd w:id="126"/>
      <w:bookmarkStart w:id="127" w:name="_Toc184312076"/>
      <w:bookmarkEnd w:id="127"/>
      <w:bookmarkStart w:id="128" w:name="_Toc184308077"/>
      <w:bookmarkEnd w:id="128"/>
      <w:bookmarkStart w:id="129" w:name="_Toc184313276"/>
      <w:bookmarkEnd w:id="129"/>
      <w:bookmarkStart w:id="130" w:name="_Toc184314453"/>
      <w:bookmarkEnd w:id="130"/>
      <w:bookmarkStart w:id="131" w:name="_Toc184310312"/>
      <w:bookmarkEnd w:id="131"/>
      <w:bookmarkStart w:id="132" w:name="_Toc184308105"/>
      <w:bookmarkEnd w:id="132"/>
      <w:bookmarkStart w:id="133" w:name="_Toc184314441"/>
      <w:bookmarkEnd w:id="133"/>
      <w:bookmarkStart w:id="134" w:name="_Toc184313296"/>
      <w:bookmarkEnd w:id="134"/>
      <w:bookmarkStart w:id="135" w:name="_Toc184314416"/>
      <w:bookmarkEnd w:id="135"/>
      <w:bookmarkStart w:id="136" w:name="_Toc184312095"/>
      <w:bookmarkEnd w:id="136"/>
      <w:bookmarkStart w:id="137" w:name="_Toc184308043"/>
      <w:bookmarkEnd w:id="137"/>
      <w:bookmarkStart w:id="138" w:name="_Toc184310321"/>
      <w:bookmarkEnd w:id="138"/>
      <w:bookmarkStart w:id="139" w:name="_Toc184314458"/>
      <w:bookmarkEnd w:id="139"/>
      <w:bookmarkStart w:id="140" w:name="_Toc184314455"/>
      <w:bookmarkEnd w:id="140"/>
      <w:bookmarkStart w:id="141" w:name="_Toc184314435"/>
      <w:bookmarkEnd w:id="141"/>
      <w:bookmarkStart w:id="142" w:name="_Toc184312130"/>
      <w:bookmarkEnd w:id="142"/>
      <w:bookmarkStart w:id="143" w:name="_Toc184308098"/>
      <w:bookmarkEnd w:id="143"/>
      <w:bookmarkStart w:id="144" w:name="_Toc184308036"/>
      <w:bookmarkEnd w:id="144"/>
      <w:bookmarkStart w:id="145" w:name="_Toc184308068"/>
      <w:bookmarkEnd w:id="145"/>
      <w:bookmarkStart w:id="146" w:name="_Toc184308042"/>
      <w:bookmarkEnd w:id="146"/>
      <w:bookmarkStart w:id="147" w:name="_Toc184310323"/>
      <w:bookmarkEnd w:id="147"/>
      <w:bookmarkStart w:id="148" w:name="_Toc184308052"/>
      <w:bookmarkEnd w:id="148"/>
      <w:bookmarkStart w:id="149" w:name="_Toc184313277"/>
      <w:bookmarkEnd w:id="149"/>
      <w:bookmarkStart w:id="150" w:name="_Toc184314466"/>
      <w:bookmarkEnd w:id="150"/>
      <w:bookmarkStart w:id="151" w:name="_Toc184314475"/>
      <w:bookmarkEnd w:id="151"/>
      <w:bookmarkStart w:id="152" w:name="_Toc184308076"/>
      <w:bookmarkEnd w:id="152"/>
      <w:bookmarkStart w:id="153" w:name="_Toc184313297"/>
      <w:bookmarkEnd w:id="153"/>
      <w:bookmarkStart w:id="154" w:name="_Toc184312099"/>
      <w:bookmarkEnd w:id="154"/>
      <w:bookmarkStart w:id="155" w:name="_Toc184312096"/>
      <w:bookmarkEnd w:id="155"/>
      <w:bookmarkStart w:id="156" w:name="_Toc184310315"/>
      <w:bookmarkEnd w:id="156"/>
      <w:bookmarkStart w:id="157" w:name="_Toc184310318"/>
      <w:bookmarkEnd w:id="157"/>
      <w:bookmarkStart w:id="158" w:name="_Toc184312129"/>
      <w:bookmarkEnd w:id="158"/>
      <w:bookmarkStart w:id="159" w:name="_Toc184312092"/>
      <w:bookmarkEnd w:id="159"/>
      <w:bookmarkStart w:id="160" w:name="_Toc184314482"/>
      <w:bookmarkEnd w:id="160"/>
      <w:bookmarkStart w:id="161" w:name="_Toc184308074"/>
      <w:bookmarkEnd w:id="161"/>
      <w:bookmarkStart w:id="162" w:name="_Toc184310299"/>
      <w:bookmarkEnd w:id="162"/>
      <w:bookmarkStart w:id="163" w:name="_Toc184310339"/>
      <w:bookmarkEnd w:id="163"/>
      <w:bookmarkStart w:id="164" w:name="_Toc184308101"/>
      <w:bookmarkEnd w:id="164"/>
      <w:bookmarkStart w:id="165" w:name="_Toc184310277"/>
      <w:bookmarkEnd w:id="165"/>
      <w:bookmarkStart w:id="166" w:name="_Toc184308065"/>
      <w:bookmarkEnd w:id="166"/>
      <w:bookmarkStart w:id="167" w:name="_Toc184310317"/>
      <w:bookmarkEnd w:id="167"/>
      <w:bookmarkStart w:id="168" w:name="_Toc184313268"/>
      <w:bookmarkEnd w:id="168"/>
      <w:bookmarkStart w:id="169" w:name="_Toc184313239"/>
      <w:bookmarkEnd w:id="169"/>
      <w:bookmarkStart w:id="170" w:name="_Toc184314419"/>
      <w:bookmarkEnd w:id="170"/>
      <w:bookmarkStart w:id="171" w:name="_Toc184308096"/>
      <w:bookmarkEnd w:id="171"/>
      <w:bookmarkStart w:id="172" w:name="_Toc184308044"/>
      <w:bookmarkEnd w:id="172"/>
      <w:bookmarkStart w:id="173" w:name="_Toc184310283"/>
      <w:bookmarkEnd w:id="173"/>
      <w:bookmarkStart w:id="174" w:name="_Toc184308071"/>
      <w:bookmarkEnd w:id="174"/>
      <w:bookmarkStart w:id="175" w:name="_Toc184310336"/>
      <w:bookmarkEnd w:id="175"/>
      <w:bookmarkStart w:id="176" w:name="_Toc184313262"/>
      <w:bookmarkEnd w:id="176"/>
      <w:bookmarkStart w:id="177" w:name="_Toc184310288"/>
      <w:bookmarkEnd w:id="177"/>
      <w:bookmarkStart w:id="178" w:name="_Toc184313275"/>
      <w:bookmarkEnd w:id="178"/>
      <w:bookmarkStart w:id="179" w:name="_Toc184308073"/>
      <w:bookmarkEnd w:id="179"/>
      <w:bookmarkStart w:id="180" w:name="_Toc184310278"/>
      <w:bookmarkEnd w:id="180"/>
      <w:bookmarkStart w:id="181" w:name="_Toc184308053"/>
      <w:bookmarkEnd w:id="181"/>
      <w:bookmarkStart w:id="182" w:name="_Toc184308049"/>
      <w:bookmarkEnd w:id="182"/>
      <w:bookmarkStart w:id="183" w:name="_Toc184310308"/>
      <w:bookmarkEnd w:id="183"/>
      <w:bookmarkStart w:id="184" w:name="_Toc184314472"/>
      <w:bookmarkEnd w:id="184"/>
      <w:bookmarkStart w:id="185" w:name="_Toc184313302"/>
      <w:bookmarkEnd w:id="185"/>
      <w:bookmarkStart w:id="186" w:name="_Toc184314426"/>
      <w:bookmarkEnd w:id="186"/>
      <w:bookmarkStart w:id="187" w:name="_Toc184313274"/>
      <w:bookmarkEnd w:id="187"/>
      <w:bookmarkStart w:id="188" w:name="_Toc184308051"/>
      <w:bookmarkEnd w:id="188"/>
      <w:bookmarkStart w:id="189" w:name="_Toc184312103"/>
      <w:bookmarkEnd w:id="189"/>
      <w:bookmarkStart w:id="190" w:name="_Toc184314433"/>
      <w:bookmarkEnd w:id="190"/>
      <w:bookmarkStart w:id="191" w:name="_Toc184308106"/>
      <w:bookmarkEnd w:id="191"/>
      <w:bookmarkStart w:id="192" w:name="_Toc184310324"/>
      <w:bookmarkEnd w:id="192"/>
      <w:bookmarkStart w:id="193" w:name="_Toc184308069"/>
      <w:bookmarkEnd w:id="193"/>
      <w:bookmarkStart w:id="194" w:name="_Toc184310272"/>
      <w:bookmarkEnd w:id="194"/>
      <w:bookmarkStart w:id="195" w:name="_Toc184308059"/>
      <w:bookmarkEnd w:id="195"/>
      <w:bookmarkStart w:id="196" w:name="_Toc184312113"/>
      <w:bookmarkEnd w:id="196"/>
      <w:bookmarkStart w:id="197" w:name="_Toc184314415"/>
      <w:bookmarkEnd w:id="197"/>
      <w:bookmarkStart w:id="198" w:name="_Toc184312098"/>
      <w:bookmarkEnd w:id="198"/>
      <w:bookmarkStart w:id="199" w:name="_Toc184313258"/>
      <w:bookmarkEnd w:id="199"/>
      <w:bookmarkStart w:id="200" w:name="_Toc184310284"/>
      <w:bookmarkEnd w:id="200"/>
      <w:bookmarkStart w:id="201" w:name="_Toc184313242"/>
      <w:bookmarkEnd w:id="201"/>
      <w:bookmarkStart w:id="202" w:name="_Toc184313244"/>
      <w:bookmarkEnd w:id="202"/>
      <w:bookmarkStart w:id="203" w:name="_Toc184313303"/>
      <w:bookmarkEnd w:id="203"/>
      <w:bookmarkStart w:id="204" w:name="_Toc184310319"/>
      <w:bookmarkEnd w:id="204"/>
      <w:bookmarkStart w:id="205" w:name="_Toc184308054"/>
      <w:bookmarkEnd w:id="205"/>
      <w:bookmarkStart w:id="206" w:name="_Toc184312101"/>
      <w:bookmarkEnd w:id="206"/>
      <w:bookmarkStart w:id="207" w:name="_Toc184310296"/>
      <w:bookmarkEnd w:id="207"/>
      <w:bookmarkStart w:id="208" w:name="_Toc184313263"/>
      <w:bookmarkEnd w:id="208"/>
      <w:bookmarkStart w:id="209" w:name="_Toc184312120"/>
      <w:bookmarkEnd w:id="209"/>
      <w:bookmarkStart w:id="210" w:name="_Toc184310342"/>
      <w:bookmarkEnd w:id="210"/>
      <w:bookmarkStart w:id="211" w:name="_Toc184308060"/>
      <w:bookmarkEnd w:id="211"/>
      <w:bookmarkStart w:id="212" w:name="_Toc184313284"/>
      <w:bookmarkEnd w:id="212"/>
      <w:bookmarkStart w:id="213" w:name="_Toc184312072"/>
      <w:bookmarkEnd w:id="213"/>
      <w:bookmarkStart w:id="214" w:name="_Toc184310304"/>
      <w:bookmarkEnd w:id="214"/>
      <w:bookmarkStart w:id="215" w:name="_Toc184312109"/>
      <w:bookmarkEnd w:id="215"/>
      <w:bookmarkStart w:id="216" w:name="_Toc184312111"/>
      <w:bookmarkEnd w:id="216"/>
      <w:bookmarkStart w:id="217" w:name="_Toc184312100"/>
      <w:bookmarkEnd w:id="217"/>
      <w:bookmarkStart w:id="218" w:name="_Toc184308095"/>
      <w:bookmarkEnd w:id="218"/>
      <w:bookmarkStart w:id="219" w:name="_Toc184313288"/>
      <w:bookmarkEnd w:id="219"/>
      <w:bookmarkStart w:id="220" w:name="_Toc184310301"/>
      <w:bookmarkEnd w:id="220"/>
      <w:bookmarkStart w:id="221" w:name="_Toc184310282"/>
      <w:bookmarkEnd w:id="221"/>
      <w:bookmarkStart w:id="222" w:name="_Toc184313280"/>
      <w:bookmarkEnd w:id="222"/>
      <w:bookmarkStart w:id="223" w:name="_Toc184308092"/>
      <w:bookmarkEnd w:id="223"/>
      <w:bookmarkStart w:id="224" w:name="_Toc184314430"/>
      <w:bookmarkEnd w:id="224"/>
      <w:bookmarkStart w:id="225" w:name="_Toc184313278"/>
      <w:bookmarkEnd w:id="225"/>
      <w:bookmarkStart w:id="226" w:name="_Toc184312134"/>
      <w:bookmarkEnd w:id="226"/>
      <w:bookmarkStart w:id="227" w:name="_Toc184308090"/>
      <w:bookmarkEnd w:id="227"/>
      <w:bookmarkStart w:id="228" w:name="_Toc184308089"/>
      <w:bookmarkEnd w:id="228"/>
      <w:bookmarkStart w:id="229" w:name="_Toc184314465"/>
      <w:bookmarkEnd w:id="229"/>
      <w:bookmarkStart w:id="230" w:name="_Toc184314423"/>
      <w:bookmarkEnd w:id="230"/>
      <w:bookmarkStart w:id="231" w:name="_Toc184308050"/>
      <w:bookmarkEnd w:id="231"/>
      <w:bookmarkStart w:id="232" w:name="_Toc184310343"/>
      <w:bookmarkEnd w:id="232"/>
      <w:bookmarkStart w:id="233" w:name="_Toc184314464"/>
      <w:bookmarkEnd w:id="233"/>
      <w:bookmarkStart w:id="234" w:name="_Toc184308107"/>
      <w:bookmarkEnd w:id="234"/>
      <w:bookmarkStart w:id="235" w:name="_Toc184314477"/>
      <w:bookmarkEnd w:id="235"/>
      <w:bookmarkStart w:id="236" w:name="_Toc184313265"/>
      <w:bookmarkEnd w:id="236"/>
      <w:bookmarkStart w:id="237" w:name="_Toc184308088"/>
      <w:bookmarkEnd w:id="237"/>
      <w:bookmarkStart w:id="238" w:name="_Toc184312115"/>
      <w:bookmarkEnd w:id="238"/>
      <w:bookmarkStart w:id="239" w:name="_Toc184308100"/>
      <w:bookmarkEnd w:id="239"/>
      <w:bookmarkStart w:id="240" w:name="_Toc184314431"/>
      <w:bookmarkEnd w:id="240"/>
      <w:bookmarkStart w:id="241" w:name="_Toc184312080"/>
      <w:bookmarkEnd w:id="241"/>
      <w:bookmarkStart w:id="242" w:name="_Toc184310280"/>
      <w:bookmarkEnd w:id="242"/>
      <w:bookmarkStart w:id="243" w:name="_Toc184314459"/>
      <w:bookmarkEnd w:id="243"/>
      <w:bookmarkStart w:id="244" w:name="_Toc184312070"/>
      <w:bookmarkEnd w:id="244"/>
      <w:bookmarkStart w:id="245" w:name="_Toc184312107"/>
      <w:bookmarkEnd w:id="245"/>
      <w:bookmarkStart w:id="246" w:name="_Toc184314413"/>
      <w:bookmarkEnd w:id="246"/>
      <w:bookmarkStart w:id="247" w:name="_Toc184312084"/>
      <w:bookmarkEnd w:id="247"/>
      <w:bookmarkStart w:id="248" w:name="_Toc184310316"/>
      <w:bookmarkEnd w:id="248"/>
      <w:bookmarkStart w:id="249" w:name="_Toc184313285"/>
      <w:bookmarkEnd w:id="249"/>
      <w:bookmarkStart w:id="250" w:name="_Toc184314471"/>
      <w:bookmarkEnd w:id="250"/>
      <w:bookmarkStart w:id="251" w:name="_Toc184314460"/>
      <w:bookmarkEnd w:id="251"/>
      <w:bookmarkStart w:id="252" w:name="_Toc184314473"/>
      <w:bookmarkEnd w:id="252"/>
      <w:bookmarkStart w:id="253" w:name="_Toc184313251"/>
      <w:bookmarkEnd w:id="253"/>
      <w:bookmarkStart w:id="254" w:name="_Toc184313249"/>
      <w:bookmarkEnd w:id="254"/>
      <w:bookmarkStart w:id="255" w:name="_Toc184314479"/>
      <w:bookmarkEnd w:id="255"/>
      <w:bookmarkStart w:id="256" w:name="_Toc184310298"/>
      <w:bookmarkEnd w:id="256"/>
      <w:bookmarkStart w:id="257" w:name="_Toc184310344"/>
      <w:bookmarkEnd w:id="257"/>
      <w:bookmarkStart w:id="258" w:name="_Toc184314468"/>
      <w:bookmarkEnd w:id="258"/>
      <w:bookmarkStart w:id="259" w:name="_Toc184314411"/>
      <w:bookmarkEnd w:id="259"/>
      <w:bookmarkStart w:id="260" w:name="_Toc184313304"/>
      <w:bookmarkEnd w:id="260"/>
      <w:bookmarkStart w:id="261" w:name="_Toc184314456"/>
      <w:bookmarkEnd w:id="261"/>
      <w:bookmarkStart w:id="262" w:name="_Toc184312091"/>
      <w:bookmarkEnd w:id="262"/>
      <w:bookmarkStart w:id="263" w:name="_Toc184314434"/>
      <w:bookmarkEnd w:id="263"/>
      <w:bookmarkStart w:id="264" w:name="_Toc184314452"/>
      <w:bookmarkEnd w:id="264"/>
      <w:bookmarkStart w:id="265" w:name="_Toc184308104"/>
      <w:bookmarkEnd w:id="265"/>
      <w:bookmarkStart w:id="266" w:name="_Toc184313246"/>
      <w:bookmarkEnd w:id="266"/>
      <w:bookmarkStart w:id="267" w:name="_Toc184313291"/>
      <w:bookmarkEnd w:id="267"/>
      <w:bookmarkStart w:id="268" w:name="_Toc184314451"/>
      <w:bookmarkEnd w:id="268"/>
      <w:bookmarkStart w:id="269" w:name="_Toc184308094"/>
      <w:bookmarkEnd w:id="269"/>
      <w:bookmarkStart w:id="270" w:name="_Toc184312087"/>
      <w:bookmarkEnd w:id="270"/>
      <w:bookmarkStart w:id="271" w:name="_Toc184310289"/>
      <w:bookmarkEnd w:id="271"/>
      <w:bookmarkStart w:id="272" w:name="_Toc184313257"/>
      <w:bookmarkEnd w:id="272"/>
      <w:bookmarkStart w:id="273" w:name="_Toc184314447"/>
      <w:bookmarkEnd w:id="273"/>
      <w:bookmarkStart w:id="274" w:name="_Toc184312089"/>
      <w:bookmarkEnd w:id="274"/>
      <w:bookmarkStart w:id="275" w:name="_Toc184314417"/>
      <w:bookmarkEnd w:id="275"/>
      <w:bookmarkStart w:id="276" w:name="_Toc184312123"/>
      <w:bookmarkEnd w:id="276"/>
      <w:bookmarkStart w:id="277" w:name="_Toc184314463"/>
      <w:bookmarkEnd w:id="277"/>
      <w:bookmarkStart w:id="278" w:name="_Toc184312136"/>
      <w:bookmarkEnd w:id="278"/>
      <w:bookmarkStart w:id="279" w:name="_Toc184310293"/>
      <w:bookmarkEnd w:id="279"/>
      <w:bookmarkStart w:id="280" w:name="_Toc184310274"/>
      <w:bookmarkEnd w:id="280"/>
      <w:bookmarkStart w:id="281" w:name="_Toc184308055"/>
      <w:bookmarkEnd w:id="281"/>
      <w:bookmarkStart w:id="282" w:name="_Toc184313299"/>
      <w:bookmarkEnd w:id="282"/>
      <w:bookmarkStart w:id="283" w:name="_Toc184312073"/>
      <w:bookmarkEnd w:id="283"/>
      <w:bookmarkStart w:id="284" w:name="_Toc184314442"/>
      <w:bookmarkEnd w:id="284"/>
      <w:bookmarkStart w:id="285" w:name="_Toc184312104"/>
      <w:bookmarkEnd w:id="285"/>
      <w:bookmarkStart w:id="286" w:name="_Toc184314469"/>
      <w:bookmarkEnd w:id="286"/>
      <w:bookmarkStart w:id="287" w:name="_Toc184310302"/>
      <w:bookmarkEnd w:id="287"/>
      <w:bookmarkStart w:id="288" w:name="_Toc184314481"/>
      <w:bookmarkEnd w:id="288"/>
      <w:bookmarkStart w:id="289" w:name="_Toc184312102"/>
      <w:bookmarkEnd w:id="289"/>
      <w:bookmarkStart w:id="290" w:name="_Toc184310311"/>
      <w:bookmarkEnd w:id="290"/>
      <w:bookmarkStart w:id="291" w:name="_Toc184314480"/>
      <w:bookmarkEnd w:id="291"/>
      <w:bookmarkStart w:id="292" w:name="_Toc184313279"/>
      <w:bookmarkEnd w:id="292"/>
      <w:bookmarkStart w:id="293" w:name="_Toc184310310"/>
      <w:bookmarkEnd w:id="293"/>
      <w:bookmarkStart w:id="294" w:name="_Toc184310334"/>
      <w:bookmarkEnd w:id="294"/>
      <w:bookmarkStart w:id="295" w:name="_Toc184312131"/>
      <w:bookmarkEnd w:id="295"/>
      <w:bookmarkStart w:id="296" w:name="_Toc184313271"/>
      <w:bookmarkEnd w:id="296"/>
      <w:bookmarkStart w:id="297" w:name="_Toc184310320"/>
      <w:bookmarkEnd w:id="297"/>
      <w:bookmarkStart w:id="298" w:name="_Toc184308081"/>
      <w:bookmarkEnd w:id="298"/>
      <w:bookmarkStart w:id="299" w:name="_Toc184313256"/>
      <w:bookmarkEnd w:id="299"/>
      <w:bookmarkStart w:id="300" w:name="_Toc184312090"/>
      <w:bookmarkEnd w:id="300"/>
      <w:bookmarkStart w:id="301" w:name="_Toc184310285"/>
      <w:bookmarkEnd w:id="301"/>
      <w:bookmarkStart w:id="302" w:name="_Toc184312121"/>
      <w:bookmarkEnd w:id="302"/>
      <w:bookmarkStart w:id="303" w:name="_Toc184314450"/>
      <w:bookmarkEnd w:id="303"/>
      <w:bookmarkStart w:id="304" w:name="_Toc184313269"/>
      <w:bookmarkEnd w:id="304"/>
      <w:bookmarkStart w:id="305" w:name="_Toc184313240"/>
      <w:bookmarkEnd w:id="305"/>
      <w:bookmarkStart w:id="306" w:name="_Toc184313283"/>
      <w:bookmarkEnd w:id="306"/>
      <w:bookmarkStart w:id="307" w:name="_Toc184313255"/>
      <w:bookmarkEnd w:id="307"/>
      <w:bookmarkStart w:id="308" w:name="_Toc184314420"/>
      <w:bookmarkEnd w:id="308"/>
      <w:bookmarkStart w:id="309" w:name="_Toc184310313"/>
      <w:bookmarkEnd w:id="309"/>
      <w:bookmarkStart w:id="310" w:name="_Toc184310286"/>
      <w:bookmarkEnd w:id="310"/>
      <w:bookmarkStart w:id="311" w:name="_Toc184312067"/>
      <w:bookmarkEnd w:id="311"/>
      <w:bookmarkStart w:id="312" w:name="_Toc184310307"/>
      <w:bookmarkEnd w:id="312"/>
      <w:bookmarkStart w:id="313" w:name="_Toc184308091"/>
      <w:bookmarkEnd w:id="313"/>
      <w:bookmarkStart w:id="314" w:name="_Toc184310338"/>
      <w:bookmarkEnd w:id="314"/>
      <w:bookmarkStart w:id="315" w:name="_Toc184310326"/>
      <w:bookmarkEnd w:id="315"/>
      <w:bookmarkStart w:id="316" w:name="_Toc184313248"/>
      <w:bookmarkEnd w:id="316"/>
      <w:bookmarkStart w:id="317" w:name="_Toc184313309"/>
      <w:bookmarkEnd w:id="317"/>
      <w:bookmarkStart w:id="318" w:name="_Toc184312074"/>
      <w:bookmarkEnd w:id="318"/>
      <w:bookmarkStart w:id="319" w:name="_Toc184313295"/>
      <w:bookmarkEnd w:id="319"/>
      <w:bookmarkStart w:id="320" w:name="_Toc184312079"/>
      <w:bookmarkEnd w:id="320"/>
      <w:bookmarkStart w:id="321" w:name="_Toc184310328"/>
      <w:bookmarkEnd w:id="321"/>
      <w:bookmarkStart w:id="322" w:name="_Toc184314478"/>
      <w:bookmarkEnd w:id="322"/>
      <w:bookmarkStart w:id="323" w:name="_Toc184312135"/>
      <w:bookmarkEnd w:id="323"/>
      <w:bookmarkStart w:id="324" w:name="_Toc184313264"/>
      <w:bookmarkEnd w:id="324"/>
      <w:bookmarkStart w:id="325" w:name="_Toc184314461"/>
      <w:bookmarkEnd w:id="325"/>
      <w:bookmarkStart w:id="326" w:name="_Toc184312122"/>
      <w:bookmarkEnd w:id="326"/>
      <w:bookmarkStart w:id="327" w:name="_Toc184308038"/>
      <w:bookmarkEnd w:id="327"/>
      <w:bookmarkStart w:id="328" w:name="_Toc184314428"/>
      <w:bookmarkEnd w:id="328"/>
      <w:bookmarkStart w:id="329" w:name="_Toc184312106"/>
      <w:bookmarkEnd w:id="329"/>
      <w:bookmarkStart w:id="330" w:name="_Toc184313259"/>
      <w:bookmarkEnd w:id="330"/>
      <w:bookmarkStart w:id="331" w:name="_Toc184312110"/>
      <w:bookmarkEnd w:id="331"/>
      <w:bookmarkStart w:id="332" w:name="_Toc184308078"/>
      <w:bookmarkEnd w:id="332"/>
      <w:bookmarkStart w:id="333" w:name="_Toc184308064"/>
      <w:bookmarkEnd w:id="333"/>
      <w:bookmarkStart w:id="334" w:name="_Toc184313250"/>
      <w:bookmarkEnd w:id="334"/>
      <w:bookmarkStart w:id="335" w:name="_Toc184314476"/>
      <w:bookmarkEnd w:id="335"/>
      <w:bookmarkStart w:id="336" w:name="_Toc184313241"/>
      <w:bookmarkEnd w:id="336"/>
      <w:bookmarkStart w:id="337" w:name="_Toc184312138"/>
      <w:bookmarkEnd w:id="337"/>
      <w:bookmarkStart w:id="338" w:name="_Toc184310322"/>
      <w:bookmarkEnd w:id="338"/>
      <w:bookmarkStart w:id="339" w:name="_Toc184313308"/>
      <w:bookmarkEnd w:id="339"/>
      <w:bookmarkStart w:id="340" w:name="_Toc184314444"/>
      <w:bookmarkEnd w:id="340"/>
      <w:bookmarkStart w:id="341" w:name="_Toc184308084"/>
      <w:bookmarkEnd w:id="341"/>
      <w:bookmarkStart w:id="342" w:name="_Toc184312127"/>
      <w:bookmarkEnd w:id="342"/>
      <w:bookmarkStart w:id="343" w:name="_Toc184310287"/>
      <w:bookmarkEnd w:id="343"/>
      <w:bookmarkStart w:id="344" w:name="_Toc184313260"/>
      <w:bookmarkEnd w:id="344"/>
      <w:bookmarkStart w:id="345" w:name="_Toc184312075"/>
      <w:bookmarkEnd w:id="345"/>
      <w:bookmarkStart w:id="346" w:name="_Toc184312114"/>
      <w:bookmarkEnd w:id="346"/>
      <w:bookmarkStart w:id="347" w:name="_Toc184312093"/>
      <w:bookmarkEnd w:id="347"/>
      <w:bookmarkStart w:id="348" w:name="_Toc184314470"/>
      <w:bookmarkEnd w:id="348"/>
      <w:bookmarkStart w:id="349" w:name="_Toc184308108"/>
      <w:bookmarkEnd w:id="349"/>
      <w:bookmarkStart w:id="350" w:name="_Toc184313287"/>
      <w:bookmarkEnd w:id="350"/>
      <w:bookmarkStart w:id="351" w:name="_Toc184312125"/>
      <w:bookmarkEnd w:id="351"/>
      <w:bookmarkStart w:id="352" w:name="_Toc184312133"/>
      <w:bookmarkEnd w:id="352"/>
      <w:bookmarkStart w:id="353" w:name="_Toc184312137"/>
      <w:bookmarkEnd w:id="353"/>
      <w:bookmarkStart w:id="354" w:name="_Toc184314457"/>
      <w:bookmarkEnd w:id="354"/>
      <w:bookmarkStart w:id="355" w:name="_Toc184310281"/>
      <w:bookmarkEnd w:id="355"/>
      <w:bookmarkStart w:id="356" w:name="_Toc184312078"/>
      <w:bookmarkEnd w:id="356"/>
      <w:bookmarkStart w:id="357" w:name="_Toc184314410"/>
      <w:bookmarkEnd w:id="357"/>
      <w:bookmarkStart w:id="358" w:name="_Toc184308083"/>
      <w:bookmarkEnd w:id="358"/>
      <w:bookmarkStart w:id="359" w:name="_Toc184314446"/>
      <w:bookmarkEnd w:id="359"/>
      <w:bookmarkStart w:id="360" w:name="_Toc184313292"/>
      <w:bookmarkEnd w:id="360"/>
      <w:bookmarkStart w:id="361" w:name="_Toc184310327"/>
      <w:bookmarkEnd w:id="361"/>
      <w:bookmarkStart w:id="362" w:name="_Toc184312088"/>
      <w:bookmarkEnd w:id="362"/>
      <w:bookmarkStart w:id="363" w:name="_Toc184312108"/>
      <w:bookmarkEnd w:id="363"/>
      <w:bookmarkStart w:id="364" w:name="_Toc184308087"/>
      <w:bookmarkEnd w:id="364"/>
      <w:bookmarkStart w:id="365" w:name="_Toc184313270"/>
      <w:bookmarkEnd w:id="365"/>
      <w:bookmarkStart w:id="366" w:name="_Toc184308099"/>
      <w:bookmarkEnd w:id="366"/>
      <w:bookmarkStart w:id="367" w:name="_Toc184313247"/>
      <w:bookmarkEnd w:id="367"/>
      <w:bookmarkStart w:id="368" w:name="_Toc184310331"/>
      <w:bookmarkEnd w:id="368"/>
      <w:bookmarkStart w:id="369" w:name="_Toc184310294"/>
      <w:bookmarkEnd w:id="369"/>
      <w:bookmarkStart w:id="370" w:name="_Toc184310295"/>
      <w:bookmarkEnd w:id="370"/>
      <w:bookmarkStart w:id="371" w:name="_Toc184313261"/>
      <w:bookmarkEnd w:id="371"/>
      <w:bookmarkStart w:id="372" w:name="_Toc184314418"/>
      <w:bookmarkEnd w:id="372"/>
      <w:bookmarkStart w:id="373" w:name="_Toc184312083"/>
      <w:bookmarkEnd w:id="373"/>
      <w:bookmarkStart w:id="374" w:name="_Toc184314422"/>
      <w:bookmarkEnd w:id="374"/>
      <w:bookmarkStart w:id="375" w:name="_Toc184312082"/>
      <w:bookmarkEnd w:id="375"/>
      <w:bookmarkStart w:id="376" w:name="_Toc184312126"/>
      <w:bookmarkEnd w:id="376"/>
      <w:bookmarkStart w:id="377" w:name="_Toc184313254"/>
      <w:bookmarkEnd w:id="377"/>
      <w:bookmarkStart w:id="378" w:name="_Toc184313267"/>
      <w:bookmarkEnd w:id="378"/>
      <w:bookmarkStart w:id="379" w:name="_Toc184310337"/>
      <w:bookmarkEnd w:id="379"/>
      <w:bookmarkStart w:id="380" w:name="_Toc184310291"/>
      <w:bookmarkEnd w:id="380"/>
      <w:bookmarkStart w:id="381" w:name="_Toc184313252"/>
      <w:bookmarkEnd w:id="381"/>
      <w:bookmarkStart w:id="382" w:name="_Toc184314439"/>
      <w:bookmarkEnd w:id="382"/>
      <w:bookmarkStart w:id="383" w:name="_Toc184312077"/>
      <w:bookmarkEnd w:id="383"/>
      <w:bookmarkStart w:id="384" w:name="_Toc184308070"/>
      <w:bookmarkEnd w:id="384"/>
      <w:bookmarkStart w:id="385" w:name="_Toc184312124"/>
      <w:bookmarkEnd w:id="385"/>
      <w:bookmarkStart w:id="386" w:name="_Toc184313294"/>
      <w:bookmarkEnd w:id="386"/>
      <w:bookmarkStart w:id="387" w:name="_Toc184308047"/>
      <w:bookmarkEnd w:id="387"/>
      <w:bookmarkStart w:id="388" w:name="_Toc184314448"/>
      <w:bookmarkEnd w:id="388"/>
      <w:bookmarkStart w:id="389" w:name="_Toc184313245"/>
      <w:bookmarkEnd w:id="389"/>
      <w:bookmarkStart w:id="390" w:name="_Toc184312132"/>
      <w:bookmarkEnd w:id="390"/>
      <w:r>
        <w:rPr>
          <w:rFonts w:hint="eastAsia" w:ascii="仿宋" w:hAnsi="仿宋" w:eastAsia="仿宋" w:cs="仿宋"/>
          <w:b/>
          <w:color w:val="auto"/>
          <w:sz w:val="36"/>
          <w:szCs w:val="20"/>
          <w:highlight w:val="none"/>
          <w:lang w:val="en-US" w:eastAsia="zh-CN"/>
        </w:rPr>
        <w:t>评标办法</w:t>
      </w:r>
    </w:p>
    <w:p w14:paraId="23311303">
      <w:pPr>
        <w:pStyle w:val="9"/>
        <w:keepNext/>
        <w:keepLines/>
        <w:pageBreakBefore w:val="0"/>
        <w:widowControl w:val="0"/>
        <w:kinsoku/>
        <w:wordWrap/>
        <w:overflowPunct/>
        <w:topLinePunct w:val="0"/>
        <w:autoSpaceDE/>
        <w:autoSpaceDN/>
        <w:bidi w:val="0"/>
        <w:adjustRightInd/>
        <w:snapToGrid/>
        <w:spacing w:before="120" w:after="120" w:line="360" w:lineRule="auto"/>
        <w:ind w:firstLine="0" w:firstLineChars="0"/>
        <w:jc w:val="center"/>
        <w:textAlignment w:val="auto"/>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评标办法前附表</w:t>
      </w:r>
    </w:p>
    <w:tbl>
      <w:tblPr>
        <w:tblStyle w:val="20"/>
        <w:tblW w:w="9339" w:type="dxa"/>
        <w:tblInd w:w="-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9"/>
        <w:gridCol w:w="1233"/>
        <w:gridCol w:w="5652"/>
        <w:gridCol w:w="735"/>
        <w:gridCol w:w="990"/>
      </w:tblGrid>
      <w:tr w14:paraId="260A8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noWrap w:val="0"/>
            <w:vAlign w:val="center"/>
          </w:tcPr>
          <w:p w14:paraId="121605A8">
            <w:pPr>
              <w:spacing w:line="240" w:lineRule="auto"/>
              <w:jc w:val="center"/>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序号</w:t>
            </w:r>
          </w:p>
        </w:tc>
        <w:tc>
          <w:tcPr>
            <w:tcW w:w="1233" w:type="dxa"/>
            <w:noWrap/>
            <w:vAlign w:val="center"/>
          </w:tcPr>
          <w:p w14:paraId="55F4339D">
            <w:pPr>
              <w:spacing w:line="240" w:lineRule="auto"/>
              <w:jc w:val="center"/>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评分类型</w:t>
            </w:r>
          </w:p>
        </w:tc>
        <w:tc>
          <w:tcPr>
            <w:tcW w:w="5652" w:type="dxa"/>
            <w:noWrap w:val="0"/>
            <w:vAlign w:val="center"/>
          </w:tcPr>
          <w:p w14:paraId="00364D7F">
            <w:pPr>
              <w:spacing w:line="240" w:lineRule="auto"/>
              <w:jc w:val="center"/>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评标标准</w:t>
            </w:r>
          </w:p>
        </w:tc>
        <w:tc>
          <w:tcPr>
            <w:tcW w:w="735" w:type="dxa"/>
            <w:noWrap/>
            <w:vAlign w:val="center"/>
          </w:tcPr>
          <w:p w14:paraId="66018C97">
            <w:pPr>
              <w:spacing w:line="240" w:lineRule="auto"/>
              <w:jc w:val="center"/>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分值</w:t>
            </w:r>
          </w:p>
        </w:tc>
        <w:tc>
          <w:tcPr>
            <w:tcW w:w="990" w:type="dxa"/>
            <w:noWrap/>
            <w:vAlign w:val="center"/>
          </w:tcPr>
          <w:p w14:paraId="475A5D07">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备注</w:t>
            </w:r>
          </w:p>
        </w:tc>
      </w:tr>
      <w:tr w14:paraId="4B5E5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noWrap w:val="0"/>
            <w:vAlign w:val="center"/>
          </w:tcPr>
          <w:p w14:paraId="15AB6E01">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1</w:t>
            </w:r>
          </w:p>
        </w:tc>
        <w:tc>
          <w:tcPr>
            <w:tcW w:w="1233" w:type="dxa"/>
            <w:noWrap/>
            <w:vAlign w:val="center"/>
          </w:tcPr>
          <w:p w14:paraId="094B1AC7">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企业荣誉</w:t>
            </w:r>
          </w:p>
        </w:tc>
        <w:tc>
          <w:tcPr>
            <w:tcW w:w="5652" w:type="dxa"/>
            <w:noWrap w:val="0"/>
            <w:vAlign w:val="center"/>
          </w:tcPr>
          <w:p w14:paraId="1C025FCE">
            <w:pPr>
              <w:spacing w:line="240" w:lineRule="auto"/>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投标人获得污水处理或污水治理或污水运维相关奖项情况进行打分：省级及以上政府部门颁发的每个得2分；市级政府部门颁发的表彰荣誉的每个得1分；县级政府部门颁发的表彰荣誉的每个得0.5分，最高得2分。</w:t>
            </w:r>
          </w:p>
          <w:p w14:paraId="14F3D7DE">
            <w:pPr>
              <w:spacing w:line="240" w:lineRule="auto"/>
              <w:jc w:val="left"/>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注：须提供表彰文件或表彰证书复印件并加盖</w:t>
            </w:r>
            <w:r>
              <w:rPr>
                <w:rFonts w:hint="eastAsia" w:ascii="仿宋" w:hAnsi="仿宋" w:eastAsia="仿宋" w:cs="仿宋"/>
                <w:b/>
                <w:bCs/>
                <w:color w:val="000000" w:themeColor="text1"/>
                <w:sz w:val="24"/>
                <w:szCs w:val="24"/>
                <w:highlight w:val="none"/>
                <w14:textFill>
                  <w14:solidFill>
                    <w14:schemeClr w14:val="tx1"/>
                  </w14:solidFill>
                </w14:textFill>
              </w:rPr>
              <w:t>投标人</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公章，否则不得分。</w:t>
            </w:r>
          </w:p>
        </w:tc>
        <w:tc>
          <w:tcPr>
            <w:tcW w:w="735" w:type="dxa"/>
            <w:noWrap/>
            <w:vAlign w:val="center"/>
          </w:tcPr>
          <w:p w14:paraId="5CCF2A6E">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2分</w:t>
            </w:r>
          </w:p>
        </w:tc>
        <w:tc>
          <w:tcPr>
            <w:tcW w:w="990" w:type="dxa"/>
            <w:noWrap/>
            <w:vAlign w:val="center"/>
          </w:tcPr>
          <w:p w14:paraId="7A6A56FD">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客观分</w:t>
            </w:r>
          </w:p>
        </w:tc>
      </w:tr>
      <w:tr w14:paraId="6423D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noWrap w:val="0"/>
            <w:vAlign w:val="center"/>
          </w:tcPr>
          <w:p w14:paraId="46D8841C">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2</w:t>
            </w:r>
          </w:p>
        </w:tc>
        <w:tc>
          <w:tcPr>
            <w:tcW w:w="1233" w:type="dxa"/>
            <w:noWrap/>
            <w:vAlign w:val="center"/>
          </w:tcPr>
          <w:p w14:paraId="78CD064A">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类似业绩</w:t>
            </w:r>
          </w:p>
        </w:tc>
        <w:tc>
          <w:tcPr>
            <w:tcW w:w="5652" w:type="dxa"/>
            <w:noWrap w:val="0"/>
            <w:vAlign w:val="center"/>
          </w:tcPr>
          <w:p w14:paraId="41877A13">
            <w:pPr>
              <w:spacing w:line="240" w:lineRule="auto"/>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投标人自20</w:t>
            </w:r>
            <w:r>
              <w:rPr>
                <w:rFonts w:hint="eastAsia" w:ascii="仿宋" w:hAnsi="仿宋" w:eastAsia="仿宋" w:cs="仿宋"/>
                <w:color w:val="000000" w:themeColor="text1"/>
                <w:kern w:val="0"/>
                <w:sz w:val="24"/>
                <w:highlight w:val="none"/>
                <w:lang w:val="en-US" w:eastAsia="zh-CN"/>
                <w14:textFill>
                  <w14:solidFill>
                    <w14:schemeClr w14:val="tx1"/>
                  </w14:solidFill>
                </w14:textFill>
              </w:rPr>
              <w:t>21</w:t>
            </w:r>
            <w:r>
              <w:rPr>
                <w:rFonts w:hint="eastAsia" w:ascii="仿宋" w:hAnsi="仿宋" w:eastAsia="仿宋" w:cs="仿宋"/>
                <w:color w:val="000000" w:themeColor="text1"/>
                <w:kern w:val="0"/>
                <w:sz w:val="24"/>
                <w:highlight w:val="none"/>
                <w14:textFill>
                  <w14:solidFill>
                    <w14:schemeClr w14:val="tx1"/>
                  </w14:solidFill>
                </w14:textFill>
              </w:rPr>
              <w:t>年1月1日起（以合同签订时间为准）至</w:t>
            </w:r>
            <w:r>
              <w:rPr>
                <w:rFonts w:hint="eastAsia" w:ascii="仿宋" w:hAnsi="仿宋" w:eastAsia="仿宋" w:cs="仿宋"/>
                <w:color w:val="000000" w:themeColor="text1"/>
                <w:kern w:val="0"/>
                <w:sz w:val="24"/>
                <w:highlight w:val="none"/>
                <w:lang w:val="en-US" w:eastAsia="zh-CN"/>
                <w14:textFill>
                  <w14:solidFill>
                    <w14:schemeClr w14:val="tx1"/>
                  </w14:solidFill>
                </w14:textFill>
              </w:rPr>
              <w:t>投标</w:t>
            </w:r>
            <w:r>
              <w:rPr>
                <w:rFonts w:hint="eastAsia" w:ascii="仿宋" w:hAnsi="仿宋" w:eastAsia="仿宋" w:cs="仿宋"/>
                <w:color w:val="000000" w:themeColor="text1"/>
                <w:kern w:val="0"/>
                <w:sz w:val="24"/>
                <w:highlight w:val="none"/>
                <w14:textFill>
                  <w14:solidFill>
                    <w14:schemeClr w14:val="tx1"/>
                  </w14:solidFill>
                </w14:textFill>
              </w:rPr>
              <w:t>截止时间止，具有</w:t>
            </w:r>
            <w:r>
              <w:rPr>
                <w:rFonts w:hint="eastAsia" w:ascii="仿宋" w:hAnsi="仿宋" w:eastAsia="仿宋" w:cs="仿宋"/>
                <w:color w:val="000000" w:themeColor="text1"/>
                <w:kern w:val="0"/>
                <w:sz w:val="24"/>
                <w:highlight w:val="none"/>
                <w:lang w:val="en-US" w:eastAsia="zh-CN"/>
                <w14:textFill>
                  <w14:solidFill>
                    <w14:schemeClr w14:val="tx1"/>
                  </w14:solidFill>
                </w14:textFill>
              </w:rPr>
              <w:t>污水处理厂运维</w:t>
            </w:r>
            <w:r>
              <w:rPr>
                <w:rFonts w:hint="eastAsia" w:ascii="仿宋" w:hAnsi="仿宋" w:eastAsia="仿宋" w:cs="仿宋"/>
                <w:color w:val="000000" w:themeColor="text1"/>
                <w:kern w:val="0"/>
                <w:sz w:val="24"/>
                <w:highlight w:val="none"/>
                <w14:textFill>
                  <w14:solidFill>
                    <w14:schemeClr w14:val="tx1"/>
                  </w14:solidFill>
                </w14:textFill>
              </w:rPr>
              <w:t>项目业绩的，每提供一个得0.</w:t>
            </w:r>
            <w:r>
              <w:rPr>
                <w:rFonts w:hint="eastAsia" w:ascii="仿宋" w:hAnsi="仿宋" w:eastAsia="仿宋" w:cs="仿宋"/>
                <w:color w:val="000000" w:themeColor="text1"/>
                <w:kern w:val="0"/>
                <w:sz w:val="24"/>
                <w:highlight w:val="none"/>
                <w:lang w:val="en-US" w:eastAsia="zh-CN"/>
                <w14:textFill>
                  <w14:solidFill>
                    <w14:schemeClr w14:val="tx1"/>
                  </w14:solidFill>
                </w14:textFill>
              </w:rPr>
              <w:t>5</w:t>
            </w:r>
            <w:r>
              <w:rPr>
                <w:rFonts w:hint="eastAsia" w:ascii="仿宋" w:hAnsi="仿宋" w:eastAsia="仿宋" w:cs="仿宋"/>
                <w:color w:val="000000" w:themeColor="text1"/>
                <w:kern w:val="0"/>
                <w:sz w:val="24"/>
                <w:highlight w:val="none"/>
                <w14:textFill>
                  <w14:solidFill>
                    <w14:schemeClr w14:val="tx1"/>
                  </w14:solidFill>
                </w14:textFill>
              </w:rPr>
              <w:t>分，最高得</w:t>
            </w:r>
            <w:r>
              <w:rPr>
                <w:rFonts w:hint="eastAsia" w:ascii="仿宋" w:hAnsi="仿宋" w:eastAsia="仿宋" w:cs="仿宋"/>
                <w:color w:val="000000" w:themeColor="text1"/>
                <w:kern w:val="0"/>
                <w:sz w:val="24"/>
                <w:highlight w:val="none"/>
                <w:lang w:val="en-US" w:eastAsia="zh-CN"/>
                <w14:textFill>
                  <w14:solidFill>
                    <w14:schemeClr w14:val="tx1"/>
                  </w14:solidFill>
                </w14:textFill>
              </w:rPr>
              <w:t>1</w:t>
            </w:r>
            <w:r>
              <w:rPr>
                <w:rFonts w:hint="eastAsia" w:ascii="仿宋" w:hAnsi="仿宋" w:eastAsia="仿宋" w:cs="仿宋"/>
                <w:color w:val="000000" w:themeColor="text1"/>
                <w:kern w:val="0"/>
                <w:sz w:val="24"/>
                <w:highlight w:val="none"/>
                <w14:textFill>
                  <w14:solidFill>
                    <w14:schemeClr w14:val="tx1"/>
                  </w14:solidFill>
                </w14:textFill>
              </w:rPr>
              <w:t>分。</w:t>
            </w:r>
          </w:p>
          <w:p w14:paraId="28D79B1A">
            <w:pPr>
              <w:spacing w:line="240" w:lineRule="auto"/>
              <w:jc w:val="left"/>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注：须</w:t>
            </w:r>
            <w:r>
              <w:rPr>
                <w:rFonts w:hint="eastAsia" w:ascii="仿宋" w:hAnsi="仿宋" w:eastAsia="仿宋" w:cs="仿宋"/>
                <w:b/>
                <w:color w:val="000000" w:themeColor="text1"/>
                <w:kern w:val="0"/>
                <w:sz w:val="24"/>
                <w:highlight w:val="none"/>
                <w14:textFill>
                  <w14:solidFill>
                    <w14:schemeClr w14:val="tx1"/>
                  </w14:solidFill>
                </w14:textFill>
              </w:rPr>
              <w:t>提供合同</w:t>
            </w:r>
            <w:r>
              <w:rPr>
                <w:rFonts w:hint="eastAsia" w:ascii="仿宋" w:hAnsi="仿宋" w:eastAsia="仿宋" w:cs="仿宋"/>
                <w:b/>
                <w:color w:val="000000" w:themeColor="text1"/>
                <w:kern w:val="0"/>
                <w:sz w:val="24"/>
                <w:highlight w:val="none"/>
                <w:lang w:eastAsia="zh-CN"/>
                <w14:textFill>
                  <w14:solidFill>
                    <w14:schemeClr w14:val="tx1"/>
                  </w14:solidFill>
                </w14:textFill>
              </w:rPr>
              <w:t>原件扫描件</w:t>
            </w:r>
            <w:r>
              <w:rPr>
                <w:rFonts w:hint="eastAsia" w:ascii="仿宋" w:hAnsi="仿宋" w:eastAsia="仿宋" w:cs="仿宋"/>
                <w:b/>
                <w:color w:val="000000" w:themeColor="text1"/>
                <w:sz w:val="24"/>
                <w:highlight w:val="none"/>
                <w14:textFill>
                  <w14:solidFill>
                    <w14:schemeClr w14:val="tx1"/>
                  </w14:solidFill>
                </w14:textFill>
              </w:rPr>
              <w:t>并加盖公章，否则不得分。</w:t>
            </w:r>
          </w:p>
        </w:tc>
        <w:tc>
          <w:tcPr>
            <w:tcW w:w="735" w:type="dxa"/>
            <w:noWrap/>
            <w:vAlign w:val="center"/>
          </w:tcPr>
          <w:p w14:paraId="56550819">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1分</w:t>
            </w:r>
          </w:p>
        </w:tc>
        <w:tc>
          <w:tcPr>
            <w:tcW w:w="990" w:type="dxa"/>
            <w:noWrap/>
            <w:vAlign w:val="center"/>
          </w:tcPr>
          <w:p w14:paraId="081E3BE6">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客观分</w:t>
            </w:r>
          </w:p>
        </w:tc>
      </w:tr>
      <w:tr w14:paraId="581FE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vMerge w:val="restart"/>
            <w:noWrap w:val="0"/>
            <w:vAlign w:val="center"/>
          </w:tcPr>
          <w:p w14:paraId="1B17DE03">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3</w:t>
            </w:r>
          </w:p>
        </w:tc>
        <w:tc>
          <w:tcPr>
            <w:tcW w:w="1233" w:type="dxa"/>
            <w:vMerge w:val="restart"/>
            <w:noWrap/>
            <w:vAlign w:val="center"/>
          </w:tcPr>
          <w:p w14:paraId="6678C9BC">
            <w:pPr>
              <w:spacing w:line="240" w:lineRule="auto"/>
              <w:jc w:val="center"/>
              <w:rPr>
                <w:rFonts w:hint="eastAsia" w:ascii="仿宋" w:hAnsi="仿宋" w:eastAsia="仿宋" w:cs="仿宋"/>
                <w:b/>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szCs w:val="24"/>
                <w:highlight w:val="none"/>
                <w:lang w:val="en-US" w:eastAsia="zh-CN"/>
                <w14:textFill>
                  <w14:solidFill>
                    <w14:schemeClr w14:val="tx1"/>
                  </w14:solidFill>
                </w14:textFill>
              </w:rPr>
              <w:t>人员配置情况</w:t>
            </w:r>
          </w:p>
        </w:tc>
        <w:tc>
          <w:tcPr>
            <w:tcW w:w="5652" w:type="dxa"/>
            <w:noWrap w:val="0"/>
            <w:vAlign w:val="center"/>
          </w:tcPr>
          <w:p w14:paraId="529C4729">
            <w:pPr>
              <w:spacing w:line="240" w:lineRule="auto"/>
              <w:jc w:val="left"/>
              <w:rPr>
                <w:rFonts w:hint="eastAsia" w:ascii="仿宋" w:hAnsi="仿宋" w:eastAsia="仿宋" w:cs="仿宋"/>
                <w:b/>
                <w:color w:val="000000" w:themeColor="text1"/>
                <w:sz w:val="24"/>
                <w:szCs w:val="24"/>
                <w:highlight w:val="none"/>
                <w:lang w:val="en-US" w:eastAsia="zh-CN"/>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项目负责人：</w:t>
            </w:r>
          </w:p>
          <w:p w14:paraId="44FB7C77">
            <w:pPr>
              <w:pStyle w:val="7"/>
              <w:numPr>
                <w:ilvl w:val="0"/>
                <w:numId w:val="13"/>
              </w:numPr>
              <w:spacing w:line="240" w:lineRule="auto"/>
              <w:ind w:left="0" w:leftChars="0" w:firstLine="0" w:firstLineChars="0"/>
              <w:rPr>
                <w:rFonts w:hint="eastAsia" w:ascii="仿宋" w:hAnsi="仿宋" w:eastAsia="仿宋" w:cs="仿宋"/>
                <w:snapToGrid/>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snapToGrid/>
                <w:color w:val="000000" w:themeColor="text1"/>
                <w:kern w:val="0"/>
                <w:sz w:val="24"/>
                <w:szCs w:val="24"/>
                <w:highlight w:val="none"/>
                <w:lang w:val="en-US" w:eastAsia="zh-CN" w:bidi="ar-SA"/>
                <w14:textFill>
                  <w14:solidFill>
                    <w14:schemeClr w14:val="tx1"/>
                  </w14:solidFill>
                </w14:textFill>
              </w:rPr>
              <w:t>具有环保类高级及以上工程师职称证书的得2分，工程师职称证书的得1分，其他不得分。</w:t>
            </w:r>
          </w:p>
          <w:p w14:paraId="07B1F9FC">
            <w:pPr>
              <w:numPr>
                <w:ilvl w:val="0"/>
                <w:numId w:val="13"/>
              </w:numP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同时具有注册环保工程师或注册给排水工程师职称证书的得1分。</w:t>
            </w:r>
          </w:p>
          <w:p w14:paraId="297B80C8">
            <w:pPr>
              <w:pStyle w:val="8"/>
              <w:spacing w:line="240" w:lineRule="auto"/>
              <w:ind w:left="0" w:leftChars="0" w:firstLine="0" w:firstLineChars="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b/>
                <w:color w:val="000000" w:themeColor="text1"/>
                <w:kern w:val="2"/>
                <w:sz w:val="24"/>
                <w:szCs w:val="24"/>
                <w:highlight w:val="none"/>
                <w:lang w:val="zh-CN" w:eastAsia="zh-CN" w:bidi="ar-SA"/>
                <w14:textFill>
                  <w14:solidFill>
                    <w14:schemeClr w14:val="tx1"/>
                  </w14:solidFill>
                </w14:textFill>
              </w:rPr>
              <w:t>注：</w:t>
            </w:r>
            <w: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t>须提供人员相关证书及开标截止时间前三个月任意一个月投标人为其缴纳的社保证明材料并加盖公章，否则不得分。</w:t>
            </w:r>
          </w:p>
        </w:tc>
        <w:tc>
          <w:tcPr>
            <w:tcW w:w="735" w:type="dxa"/>
            <w:noWrap/>
            <w:vAlign w:val="center"/>
          </w:tcPr>
          <w:p w14:paraId="64724FBE">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3分</w:t>
            </w:r>
          </w:p>
        </w:tc>
        <w:tc>
          <w:tcPr>
            <w:tcW w:w="990" w:type="dxa"/>
            <w:noWrap/>
            <w:vAlign w:val="center"/>
          </w:tcPr>
          <w:p w14:paraId="1E5B0255">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客观分</w:t>
            </w:r>
          </w:p>
        </w:tc>
      </w:tr>
      <w:tr w14:paraId="665A0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vMerge w:val="continue"/>
            <w:noWrap w:val="0"/>
            <w:vAlign w:val="center"/>
          </w:tcPr>
          <w:p w14:paraId="527EAA01">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p>
        </w:tc>
        <w:tc>
          <w:tcPr>
            <w:tcW w:w="1233" w:type="dxa"/>
            <w:vMerge w:val="continue"/>
            <w:noWrap/>
            <w:vAlign w:val="center"/>
          </w:tcPr>
          <w:p w14:paraId="7EC5899E">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p>
        </w:tc>
        <w:tc>
          <w:tcPr>
            <w:tcW w:w="5652" w:type="dxa"/>
            <w:noWrap w:val="0"/>
            <w:vAlign w:val="center"/>
          </w:tcPr>
          <w:p w14:paraId="7AFA9E1C">
            <w:pPr>
              <w:pStyle w:val="7"/>
              <w:spacing w:line="240" w:lineRule="auto"/>
              <w:ind w:left="0" w:leftChars="0" w:firstLine="0" w:firstLineChars="0"/>
              <w:rPr>
                <w:rFonts w:hint="eastAsia" w:ascii="仿宋" w:hAnsi="仿宋" w:eastAsia="仿宋" w:cs="仿宋"/>
                <w:b/>
                <w:bCs/>
                <w:snapToGrid/>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bCs/>
                <w:snapToGrid/>
                <w:color w:val="000000" w:themeColor="text1"/>
                <w:kern w:val="0"/>
                <w:sz w:val="24"/>
                <w:szCs w:val="24"/>
                <w:highlight w:val="none"/>
                <w:lang w:val="en-US" w:eastAsia="zh-CN" w:bidi="ar-SA"/>
                <w14:textFill>
                  <w14:solidFill>
                    <w14:schemeClr w14:val="tx1"/>
                  </w14:solidFill>
                </w14:textFill>
              </w:rPr>
              <w:t>项目组成员（项目负责人除外）：</w:t>
            </w:r>
          </w:p>
          <w:p w14:paraId="1B74E574">
            <w:pPr>
              <w:keepNext w:val="0"/>
              <w:keepLines w:val="0"/>
              <w:pageBreakBefore w:val="0"/>
              <w:kinsoku/>
              <w:overflowPunct/>
              <w:topLinePunct w:val="0"/>
              <w:autoSpaceDE w:val="0"/>
              <w:autoSpaceDN w:val="0"/>
              <w:bidi w:val="0"/>
              <w:adjustRightInd/>
              <w:spacing w:line="269" w:lineRule="auto"/>
              <w:textAlignment w:val="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根据</w:t>
            </w:r>
            <w:r>
              <w:rPr>
                <w:rFonts w:hint="eastAsia" w:ascii="仿宋" w:hAnsi="仿宋" w:eastAsia="仿宋" w:cs="仿宋"/>
                <w:color w:val="000000" w:themeColor="text1"/>
                <w:sz w:val="24"/>
                <w14:textFill>
                  <w14:solidFill>
                    <w14:schemeClr w14:val="tx1"/>
                  </w14:solidFill>
                </w14:textFill>
              </w:rPr>
              <w:t>拟派项目</w:t>
            </w:r>
            <w:r>
              <w:rPr>
                <w:rFonts w:hint="eastAsia" w:ascii="仿宋" w:hAnsi="仿宋" w:eastAsia="仿宋" w:cs="仿宋"/>
                <w:color w:val="000000" w:themeColor="text1"/>
                <w:sz w:val="24"/>
                <w:lang w:val="en-US" w:eastAsia="zh-CN"/>
                <w14:textFill>
                  <w14:solidFill>
                    <w14:schemeClr w14:val="tx1"/>
                  </w14:solidFill>
                </w14:textFill>
              </w:rPr>
              <w:t>组成员配置情况进行综合打分</w:t>
            </w:r>
            <w:r>
              <w:rPr>
                <w:rFonts w:hint="eastAsia" w:ascii="仿宋" w:hAnsi="仿宋" w:eastAsia="仿宋" w:cs="仿宋"/>
                <w:color w:val="000000" w:themeColor="text1"/>
                <w:sz w:val="24"/>
                <w14:textFill>
                  <w14:solidFill>
                    <w14:schemeClr w14:val="tx1"/>
                  </w14:solidFill>
                </w14:textFill>
              </w:rPr>
              <w:t>，包括人员数量、</w:t>
            </w:r>
            <w:r>
              <w:rPr>
                <w:rFonts w:hint="eastAsia" w:ascii="仿宋" w:hAnsi="仿宋" w:eastAsia="仿宋" w:cs="仿宋"/>
                <w:color w:val="000000" w:themeColor="text1"/>
                <w:sz w:val="24"/>
                <w:lang w:val="en-US" w:eastAsia="zh-CN"/>
                <w14:textFill>
                  <w14:solidFill>
                    <w14:schemeClr w14:val="tx1"/>
                  </w14:solidFill>
                </w14:textFill>
              </w:rPr>
              <w:t>专业技能、工作经验、岗位设置及分工</w:t>
            </w:r>
            <w:r>
              <w:rPr>
                <w:rFonts w:hint="eastAsia" w:ascii="仿宋" w:hAnsi="仿宋" w:eastAsia="仿宋" w:cs="仿宋"/>
                <w:color w:val="000000" w:themeColor="text1"/>
                <w:sz w:val="24"/>
                <w14:textFill>
                  <w14:solidFill>
                    <w14:schemeClr w14:val="tx1"/>
                  </w14:solidFill>
                </w14:textFill>
              </w:rPr>
              <w:t>等</w:t>
            </w:r>
            <w:r>
              <w:rPr>
                <w:rFonts w:hint="eastAsia" w:ascii="仿宋" w:hAnsi="仿宋" w:eastAsia="仿宋" w:cs="仿宋"/>
                <w:color w:val="000000" w:themeColor="text1"/>
                <w:sz w:val="24"/>
                <w:lang w:eastAsia="zh-CN"/>
                <w14:textFill>
                  <w14:solidFill>
                    <w14:schemeClr w14:val="tx1"/>
                  </w14:solidFill>
                </w14:textFill>
              </w:rPr>
              <w:t>：</w:t>
            </w:r>
          </w:p>
          <w:p w14:paraId="72C61248">
            <w:pPr>
              <w:keepNext w:val="0"/>
              <w:keepLines w:val="0"/>
              <w:pageBreakBefore w:val="0"/>
              <w:kinsoku/>
              <w:overflowPunct/>
              <w:topLinePunct w:val="0"/>
              <w:autoSpaceDE w:val="0"/>
              <w:autoSpaceDN w:val="0"/>
              <w:bidi w:val="0"/>
              <w:adjustRightInd/>
              <w:spacing w:line="269" w:lineRule="auto"/>
              <w:textAlignment w:val="auto"/>
              <w:rPr>
                <w:rFonts w:hint="eastAsia" w:ascii="仿宋" w:hAnsi="仿宋" w:eastAsia="仿宋" w:cs="仿宋"/>
                <w:color w:val="000000" w:themeColor="text1"/>
                <w:kern w:val="0"/>
                <w:sz w:val="24"/>
                <w:lang w:val="en-US" w:eastAsia="zh-CN"/>
                <w14:textFill>
                  <w14:solidFill>
                    <w14:schemeClr w14:val="tx1"/>
                  </w14:solidFill>
                </w14:textFill>
              </w:rPr>
            </w:pPr>
            <w:r>
              <w:rPr>
                <w:rFonts w:hint="eastAsia" w:ascii="仿宋" w:hAnsi="仿宋" w:eastAsia="仿宋" w:cs="仿宋"/>
                <w:color w:val="000000" w:themeColor="text1"/>
                <w:kern w:val="0"/>
                <w:sz w:val="24"/>
                <w:lang w:val="en-US" w:eastAsia="zh-CN"/>
                <w14:textFill>
                  <w14:solidFill>
                    <w14:schemeClr w14:val="tx1"/>
                  </w14:solidFill>
                </w14:textFill>
              </w:rPr>
              <w:t>1.人员数量（0-1分）；</w:t>
            </w:r>
          </w:p>
          <w:p w14:paraId="51E9CA13">
            <w:pPr>
              <w:keepNext w:val="0"/>
              <w:keepLines w:val="0"/>
              <w:pageBreakBefore w:val="0"/>
              <w:numPr>
                <w:ilvl w:val="0"/>
                <w:numId w:val="0"/>
              </w:numPr>
              <w:kinsoku/>
              <w:overflowPunct/>
              <w:topLinePunct w:val="0"/>
              <w:bidi w:val="0"/>
              <w:adjustRightInd/>
              <w:spacing w:line="269" w:lineRule="auto"/>
              <w:ind w:left="0" w:leftChars="0" w:firstLine="0" w:firstLineChars="0"/>
              <w:jc w:val="left"/>
              <w:textAlignment w:val="auto"/>
              <w:rPr>
                <w:rFonts w:hint="eastAsia" w:ascii="仿宋" w:hAnsi="仿宋" w:eastAsia="仿宋" w:cs="仿宋"/>
                <w:color w:val="000000" w:themeColor="text1"/>
                <w:kern w:val="0"/>
                <w:sz w:val="24"/>
                <w:lang w:val="en-US" w:eastAsia="zh-CN"/>
                <w14:textFill>
                  <w14:solidFill>
                    <w14:schemeClr w14:val="tx1"/>
                  </w14:solidFill>
                </w14:textFill>
              </w:rPr>
            </w:pPr>
            <w:r>
              <w:rPr>
                <w:rFonts w:hint="eastAsia" w:ascii="仿宋" w:hAnsi="仿宋" w:eastAsia="仿宋" w:cs="仿宋"/>
                <w:color w:val="000000" w:themeColor="text1"/>
                <w:kern w:val="0"/>
                <w:sz w:val="24"/>
                <w:lang w:val="en-US" w:eastAsia="zh-CN"/>
                <w14:textFill>
                  <w14:solidFill>
                    <w14:schemeClr w14:val="tx1"/>
                  </w14:solidFill>
                </w14:textFill>
              </w:rPr>
              <w:t>2.专业技能（0-2分）；</w:t>
            </w:r>
          </w:p>
          <w:p w14:paraId="6DCB4F03">
            <w:pPr>
              <w:pStyle w:val="17"/>
              <w:keepNext w:val="0"/>
              <w:keepLines w:val="0"/>
              <w:pageBreakBefore w:val="0"/>
              <w:kinsoku/>
              <w:overflowPunct/>
              <w:topLinePunct w:val="0"/>
              <w:bidi w:val="0"/>
              <w:adjustRightInd/>
              <w:spacing w:line="269" w:lineRule="auto"/>
              <w:textAlignment w:val="auto"/>
              <w:rPr>
                <w:rFonts w:hint="eastAsia" w:ascii="仿宋" w:hAnsi="仿宋" w:eastAsia="仿宋" w:cs="仿宋"/>
                <w:color w:val="000000" w:themeColor="text1"/>
                <w:kern w:val="0"/>
                <w:sz w:val="24"/>
                <w:lang w:val="en-US" w:eastAsia="zh-CN"/>
                <w14:textFill>
                  <w14:solidFill>
                    <w14:schemeClr w14:val="tx1"/>
                  </w14:solidFill>
                </w14:textFill>
              </w:rPr>
            </w:pPr>
            <w:r>
              <w:rPr>
                <w:rFonts w:hint="eastAsia" w:ascii="仿宋" w:hAnsi="仿宋" w:eastAsia="仿宋" w:cs="仿宋"/>
                <w:color w:val="000000" w:themeColor="text1"/>
                <w:kern w:val="0"/>
                <w:sz w:val="24"/>
                <w:lang w:val="en-US" w:eastAsia="zh-CN"/>
                <w14:textFill>
                  <w14:solidFill>
                    <w14:schemeClr w14:val="tx1"/>
                  </w14:solidFill>
                </w14:textFill>
              </w:rPr>
              <w:t>3.工作经验（0-1分）；</w:t>
            </w:r>
          </w:p>
          <w:p w14:paraId="0624AC16">
            <w:pPr>
              <w:pStyle w:val="17"/>
              <w:keepNext w:val="0"/>
              <w:keepLines w:val="0"/>
              <w:pageBreakBefore w:val="0"/>
              <w:kinsoku/>
              <w:overflowPunct/>
              <w:topLinePunct w:val="0"/>
              <w:bidi w:val="0"/>
              <w:adjustRightInd/>
              <w:spacing w:line="269" w:lineRule="auto"/>
              <w:textAlignment w:val="auto"/>
              <w:rPr>
                <w:rFonts w:hint="eastAsia" w:ascii="仿宋" w:hAnsi="仿宋" w:eastAsia="仿宋" w:cs="仿宋"/>
                <w:color w:val="000000" w:themeColor="text1"/>
                <w:kern w:val="0"/>
                <w:sz w:val="24"/>
                <w:lang w:val="en-US" w:eastAsia="zh-CN"/>
                <w14:textFill>
                  <w14:solidFill>
                    <w14:schemeClr w14:val="tx1"/>
                  </w14:solidFill>
                </w14:textFill>
              </w:rPr>
            </w:pPr>
            <w:r>
              <w:rPr>
                <w:rFonts w:hint="eastAsia" w:ascii="仿宋" w:hAnsi="仿宋" w:eastAsia="仿宋" w:cs="仿宋"/>
                <w:color w:val="000000" w:themeColor="text1"/>
                <w:kern w:val="0"/>
                <w:sz w:val="24"/>
                <w:lang w:val="en-US" w:eastAsia="zh-CN"/>
                <w14:textFill>
                  <w14:solidFill>
                    <w14:schemeClr w14:val="tx1"/>
                  </w14:solidFill>
                </w14:textFill>
              </w:rPr>
              <w:t>4.岗位设置及分工（0-1分）。</w:t>
            </w:r>
          </w:p>
          <w:p w14:paraId="21B93CF0">
            <w:pPr>
              <w:pStyle w:val="7"/>
              <w:spacing w:line="240" w:lineRule="auto"/>
              <w:ind w:left="0" w:leftChars="0" w:firstLine="0" w:firstLineChars="0"/>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b/>
                <w:bCs/>
                <w:color w:val="000000" w:themeColor="text1"/>
                <w:kern w:val="2"/>
                <w:sz w:val="24"/>
                <w:szCs w:val="24"/>
                <w:highlight w:val="none"/>
                <w:lang w:val="zh-CN" w:eastAsia="zh-CN" w:bidi="ar-SA"/>
                <w14:textFill>
                  <w14:solidFill>
                    <w14:schemeClr w14:val="tx1"/>
                  </w14:solidFill>
                </w14:textFill>
              </w:rPr>
              <w:t>注：</w:t>
            </w: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须提供人员学历证书、职称证书等相关证明材料及开标截止时间前三个月任意一个月投标人为其缴纳的社保证明材料并加盖公章，否则不得分。</w:t>
            </w:r>
          </w:p>
        </w:tc>
        <w:tc>
          <w:tcPr>
            <w:tcW w:w="735" w:type="dxa"/>
            <w:noWrap/>
            <w:vAlign w:val="center"/>
          </w:tcPr>
          <w:p w14:paraId="087C28B1">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5分</w:t>
            </w:r>
          </w:p>
        </w:tc>
        <w:tc>
          <w:tcPr>
            <w:tcW w:w="990" w:type="dxa"/>
            <w:noWrap/>
            <w:vAlign w:val="center"/>
          </w:tcPr>
          <w:p w14:paraId="0023CB2A">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779C6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noWrap w:val="0"/>
            <w:vAlign w:val="center"/>
          </w:tcPr>
          <w:p w14:paraId="1130DE05">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4</w:t>
            </w:r>
          </w:p>
        </w:tc>
        <w:tc>
          <w:tcPr>
            <w:tcW w:w="1233" w:type="dxa"/>
            <w:noWrap/>
            <w:vAlign w:val="center"/>
          </w:tcPr>
          <w:p w14:paraId="676E2B39">
            <w:pPr>
              <w:spacing w:line="240" w:lineRule="auto"/>
              <w:jc w:val="center"/>
              <w:rPr>
                <w:rFonts w:hint="eastAsia" w:ascii="仿宋" w:hAnsi="仿宋" w:eastAsia="仿宋" w:cs="仿宋"/>
                <w:b/>
                <w:bCs w:val="0"/>
                <w:color w:val="000000" w:themeColor="text1"/>
                <w:kern w:val="0"/>
                <w:sz w:val="24"/>
                <w:highlight w:val="none"/>
                <w:lang w:val="en-US" w:eastAsia="zh-CN"/>
                <w14:textFill>
                  <w14:solidFill>
                    <w14:schemeClr w14:val="tx1"/>
                  </w14:solidFill>
                </w14:textFill>
              </w:rPr>
            </w:pPr>
            <w:r>
              <w:rPr>
                <w:rFonts w:hint="eastAsia" w:ascii="仿宋" w:hAnsi="仿宋" w:eastAsia="仿宋" w:cs="仿宋"/>
                <w:b/>
                <w:bCs w:val="0"/>
                <w:color w:val="000000" w:themeColor="text1"/>
                <w:kern w:val="0"/>
                <w:sz w:val="24"/>
                <w:highlight w:val="none"/>
                <w14:textFill>
                  <w14:solidFill>
                    <w14:schemeClr w14:val="tx1"/>
                  </w14:solidFill>
                </w14:textFill>
              </w:rPr>
              <w:t>需求的理解及分析</w:t>
            </w:r>
          </w:p>
        </w:tc>
        <w:tc>
          <w:tcPr>
            <w:tcW w:w="5652" w:type="dxa"/>
            <w:noWrap w:val="0"/>
            <w:vAlign w:val="center"/>
          </w:tcPr>
          <w:p w14:paraId="169FE57C">
            <w:pPr>
              <w:spacing w:line="240" w:lineRule="auto"/>
              <w:jc w:val="left"/>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根据投标人对本项目</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运行维护</w:t>
            </w:r>
            <w:r>
              <w:rPr>
                <w:rFonts w:hint="eastAsia" w:ascii="仿宋" w:hAnsi="仿宋" w:eastAsia="仿宋" w:cs="仿宋"/>
                <w:color w:val="000000" w:themeColor="text1"/>
                <w:sz w:val="24"/>
                <w:highlight w:val="none"/>
                <w:lang w:eastAsia="zh-CN"/>
                <w14:textFill>
                  <w14:solidFill>
                    <w14:schemeClr w14:val="tx1"/>
                  </w14:solidFill>
                </w14:textFill>
              </w:rPr>
              <w:t>工作</w:t>
            </w:r>
            <w:r>
              <w:rPr>
                <w:rFonts w:hint="eastAsia" w:ascii="仿宋" w:hAnsi="仿宋" w:eastAsia="仿宋" w:cs="仿宋"/>
                <w:color w:val="000000" w:themeColor="text1"/>
                <w:sz w:val="24"/>
                <w:highlight w:val="none"/>
                <w14:textFill>
                  <w14:solidFill>
                    <w14:schemeClr w14:val="tx1"/>
                  </w14:solidFill>
                </w14:textFill>
              </w:rPr>
              <w:t>背景、现状以及对本项目工作目的、工作任务、工作内容的理解是否清晰，</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由评审专家进行综合打分：内容阐述全面完整，能充分了解项目现状及目标需求，问题分析准确、归纳总结到位</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分；基本了解项目现状及目标需求，问题分析及归纳情况一般的得</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内容与项目实际情况符合度差、阐述粗略、分析差、缺陷较多的得</w:t>
            </w:r>
            <w:r>
              <w:rPr>
                <w:rFonts w:hint="eastAsia" w:ascii="仿宋" w:hAnsi="仿宋" w:eastAsia="仿宋" w:cs="仿宋"/>
                <w:color w:val="000000" w:themeColor="text1"/>
                <w:sz w:val="24"/>
                <w:lang w:val="en-US" w:eastAsia="zh-CN"/>
                <w14:textFill>
                  <w14:solidFill>
                    <w14:schemeClr w14:val="tx1"/>
                  </w14:solidFill>
                </w14:textFill>
              </w:rPr>
              <w:t>0-1.0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36A7E35D">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5分</w:t>
            </w:r>
          </w:p>
        </w:tc>
        <w:tc>
          <w:tcPr>
            <w:tcW w:w="990" w:type="dxa"/>
            <w:noWrap/>
            <w:vAlign w:val="center"/>
          </w:tcPr>
          <w:p w14:paraId="28C37D60">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3175D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noWrap w:val="0"/>
            <w:vAlign w:val="center"/>
          </w:tcPr>
          <w:p w14:paraId="17B3FAC1">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5</w:t>
            </w:r>
          </w:p>
        </w:tc>
        <w:tc>
          <w:tcPr>
            <w:tcW w:w="1233" w:type="dxa"/>
            <w:noWrap/>
            <w:vAlign w:val="center"/>
          </w:tcPr>
          <w:p w14:paraId="468DEE91">
            <w:pPr>
              <w:spacing w:line="240" w:lineRule="auto"/>
              <w:jc w:val="center"/>
              <w:rPr>
                <w:rFonts w:hint="eastAsia" w:ascii="仿宋" w:hAnsi="仿宋" w:eastAsia="仿宋" w:cs="仿宋"/>
                <w:b/>
                <w:bCs w:val="0"/>
                <w:color w:val="000000" w:themeColor="text1"/>
                <w:sz w:val="24"/>
                <w:highlight w:val="none"/>
                <w:lang w:val="en-US" w:eastAsia="zh-CN"/>
                <w14:textFill>
                  <w14:solidFill>
                    <w14:schemeClr w14:val="tx1"/>
                  </w14:solidFill>
                </w14:textFill>
              </w:rPr>
            </w:pPr>
            <w:r>
              <w:rPr>
                <w:rFonts w:hint="eastAsia" w:ascii="仿宋" w:hAnsi="仿宋" w:eastAsia="仿宋" w:cs="仿宋"/>
                <w:b/>
                <w:bCs w:val="0"/>
                <w:color w:val="000000" w:themeColor="text1"/>
                <w:sz w:val="24"/>
                <w:highlight w:val="none"/>
                <w:lang w:val="en-US" w:eastAsia="zh-CN"/>
                <w14:textFill>
                  <w14:solidFill>
                    <w14:schemeClr w14:val="tx1"/>
                  </w14:solidFill>
                </w14:textFill>
              </w:rPr>
              <w:t>重难点分析及解决措施</w:t>
            </w:r>
          </w:p>
        </w:tc>
        <w:tc>
          <w:tcPr>
            <w:tcW w:w="5652" w:type="dxa"/>
            <w:noWrap w:val="0"/>
            <w:vAlign w:val="center"/>
          </w:tcPr>
          <w:p w14:paraId="45C16DEF">
            <w:pPr>
              <w:spacing w:line="240" w:lineRule="auto"/>
              <w:jc w:val="left"/>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投标人结合自身工作经验，针对污水处理及运维管理的重难点问题进行技术分析，并提出对应解决措施，</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由评审专家进行综合打分：内容阐述全面完整，分析准确到位，措施针对性强的得3.1-5分；技术分析及措施一般的得1.1-3.0分；</w:t>
            </w:r>
            <w:r>
              <w:rPr>
                <w:rFonts w:hint="eastAsia" w:ascii="仿宋" w:hAnsi="仿宋" w:eastAsia="仿宋" w:cs="仿宋"/>
                <w:color w:val="000000" w:themeColor="text1"/>
                <w:sz w:val="24"/>
                <w14:textFill>
                  <w14:solidFill>
                    <w14:schemeClr w14:val="tx1"/>
                  </w14:solidFill>
                </w14:textFill>
              </w:rPr>
              <w:t>内容与项目实际情况符合度差、阐述粗略、分析差、缺陷较多的得</w:t>
            </w:r>
            <w:r>
              <w:rPr>
                <w:rFonts w:hint="eastAsia" w:ascii="仿宋" w:hAnsi="仿宋" w:eastAsia="仿宋" w:cs="仿宋"/>
                <w:color w:val="000000" w:themeColor="text1"/>
                <w:sz w:val="24"/>
                <w:lang w:val="en-US" w:eastAsia="zh-CN"/>
                <w14:textFill>
                  <w14:solidFill>
                    <w14:schemeClr w14:val="tx1"/>
                  </w14:solidFill>
                </w14:textFill>
              </w:rPr>
              <w:t>0-1.0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5727EE0A">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5分</w:t>
            </w:r>
          </w:p>
        </w:tc>
        <w:tc>
          <w:tcPr>
            <w:tcW w:w="990" w:type="dxa"/>
            <w:noWrap/>
            <w:vAlign w:val="center"/>
          </w:tcPr>
          <w:p w14:paraId="25CDCBF3">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10853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vMerge w:val="restart"/>
            <w:noWrap w:val="0"/>
            <w:vAlign w:val="center"/>
          </w:tcPr>
          <w:p w14:paraId="588E8F9D">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6</w:t>
            </w:r>
          </w:p>
        </w:tc>
        <w:tc>
          <w:tcPr>
            <w:tcW w:w="1233" w:type="dxa"/>
            <w:vMerge w:val="restart"/>
            <w:noWrap/>
            <w:vAlign w:val="center"/>
          </w:tcPr>
          <w:p w14:paraId="47DF9940">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运维管理方案</w:t>
            </w:r>
          </w:p>
        </w:tc>
        <w:tc>
          <w:tcPr>
            <w:tcW w:w="5652" w:type="dxa"/>
            <w:noWrap w:val="0"/>
            <w:vAlign w:val="center"/>
          </w:tcPr>
          <w:p w14:paraId="646F5B40">
            <w:pPr>
              <w:spacing w:line="240" w:lineRule="auto"/>
              <w:jc w:val="left"/>
              <w:rPr>
                <w:rFonts w:hint="eastAsia" w:ascii="仿宋" w:hAnsi="仿宋" w:eastAsia="仿宋" w:cs="仿宋"/>
                <w:bCs/>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根据投标人运维管理方案的</w:t>
            </w:r>
            <w:r>
              <w:rPr>
                <w:rFonts w:hint="eastAsia" w:ascii="仿宋" w:hAnsi="仿宋" w:eastAsia="仿宋" w:cs="仿宋"/>
                <w:color w:val="000000" w:themeColor="text1"/>
                <w:kern w:val="0"/>
                <w:sz w:val="24"/>
                <w:lang w:val="en-US" w:eastAsia="zh-CN"/>
                <w14:textFill>
                  <w14:solidFill>
                    <w14:schemeClr w14:val="tx1"/>
                  </w14:solidFill>
                </w14:textFill>
              </w:rPr>
              <w:t>全面性、合理性、可操作性，</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由评审专家进行综合打分，包括污水处理设施设备的管理措施，工作思路及方法以及关键节点及工作重点的控制措施等：内容阐述全面完整，满足项目需求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6</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0-2.0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64CA80E5">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6分</w:t>
            </w:r>
          </w:p>
        </w:tc>
        <w:tc>
          <w:tcPr>
            <w:tcW w:w="990" w:type="dxa"/>
            <w:noWrap/>
            <w:vAlign w:val="center"/>
          </w:tcPr>
          <w:p w14:paraId="78DEB1CC">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20BB4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vMerge w:val="continue"/>
            <w:noWrap w:val="0"/>
            <w:vAlign w:val="center"/>
          </w:tcPr>
          <w:p w14:paraId="6CDEAD4B">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p>
        </w:tc>
        <w:tc>
          <w:tcPr>
            <w:tcW w:w="1233" w:type="dxa"/>
            <w:vMerge w:val="continue"/>
            <w:noWrap/>
            <w:vAlign w:val="center"/>
          </w:tcPr>
          <w:p w14:paraId="2C9DDED7">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p>
        </w:tc>
        <w:tc>
          <w:tcPr>
            <w:tcW w:w="5652" w:type="dxa"/>
            <w:noWrap w:val="0"/>
            <w:vAlign w:val="center"/>
          </w:tcPr>
          <w:p w14:paraId="2EA43FB9">
            <w:pPr>
              <w:spacing w:line="240" w:lineRule="auto"/>
              <w:jc w:val="left"/>
              <w:rPr>
                <w:rFonts w:hint="eastAsia" w:ascii="仿宋" w:hAnsi="仿宋" w:eastAsia="仿宋" w:cs="仿宋"/>
                <w:bCs/>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根据投标人运维工作制度的</w:t>
            </w:r>
            <w:r>
              <w:rPr>
                <w:rFonts w:hint="eastAsia" w:ascii="仿宋" w:hAnsi="仿宋" w:eastAsia="仿宋" w:cs="仿宋"/>
                <w:color w:val="000000" w:themeColor="text1"/>
                <w:kern w:val="0"/>
                <w:sz w:val="24"/>
                <w:lang w:val="en-US" w:eastAsia="zh-CN"/>
                <w14:textFill>
                  <w14:solidFill>
                    <w14:schemeClr w14:val="tx1"/>
                  </w14:solidFill>
                </w14:textFill>
              </w:rPr>
              <w:t>全面性、合理性、可操作性，</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w:t>
            </w:r>
            <w:r>
              <w:rPr>
                <w:rFonts w:hint="eastAsia" w:ascii="仿宋" w:hAnsi="仿宋" w:eastAsia="仿宋" w:cs="仿宋"/>
                <w:color w:val="000000" w:themeColor="text1"/>
                <w:kern w:val="0"/>
                <w:sz w:val="24"/>
                <w:lang w:val="en-US" w:eastAsia="zh-CN"/>
                <w14:textFill>
                  <w14:solidFill>
                    <w14:schemeClr w14:val="tx1"/>
                  </w14:solidFill>
                </w14:textFill>
              </w:rPr>
              <w:t>包括</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项目管理制度、工艺运行管理、</w:t>
            </w:r>
            <w:r>
              <w:rPr>
                <w:rFonts w:hint="eastAsia" w:ascii="仿宋" w:hAnsi="仿宋" w:eastAsia="仿宋" w:cs="仿宋"/>
                <w:color w:val="000000" w:themeColor="text1"/>
                <w:kern w:val="0"/>
                <w:sz w:val="24"/>
                <w:lang w:val="en-US" w:eastAsia="zh-CN"/>
                <w14:textFill>
                  <w14:solidFill>
                    <w14:schemeClr w14:val="tx1"/>
                  </w14:solidFill>
                </w14:textFill>
              </w:rPr>
              <w:t>人员管理、教育培训、考核办法等</w:t>
            </w:r>
            <w:r>
              <w:rPr>
                <w:rFonts w:hint="eastAsia" w:ascii="仿宋" w:hAnsi="仿宋" w:eastAsia="仿宋" w:cs="仿宋"/>
                <w:bCs/>
                <w:color w:val="000000" w:themeColor="text1"/>
                <w:sz w:val="24"/>
                <w:lang w:val="en-US" w:eastAsia="zh-CN"/>
                <w14:textFill>
                  <w14:solidFill>
                    <w14:schemeClr w14:val="tx1"/>
                  </w14:solidFill>
                </w14:textFill>
              </w:rPr>
              <w:t>：内容阐述全面完整，满足项目需求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6</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0-2.0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446569EF">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6分</w:t>
            </w:r>
          </w:p>
        </w:tc>
        <w:tc>
          <w:tcPr>
            <w:tcW w:w="990" w:type="dxa"/>
            <w:noWrap/>
            <w:vAlign w:val="center"/>
          </w:tcPr>
          <w:p w14:paraId="6EB18E54">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6D544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vMerge w:val="continue"/>
            <w:noWrap w:val="0"/>
            <w:vAlign w:val="center"/>
          </w:tcPr>
          <w:p w14:paraId="734A10B7">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p>
        </w:tc>
        <w:tc>
          <w:tcPr>
            <w:tcW w:w="1233" w:type="dxa"/>
            <w:vMerge w:val="continue"/>
            <w:noWrap/>
            <w:vAlign w:val="center"/>
          </w:tcPr>
          <w:p w14:paraId="5F5D5DA8">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p>
        </w:tc>
        <w:tc>
          <w:tcPr>
            <w:tcW w:w="5652" w:type="dxa"/>
            <w:noWrap w:val="0"/>
            <w:vAlign w:val="center"/>
          </w:tcPr>
          <w:p w14:paraId="21593021">
            <w:pPr>
              <w:numPr>
                <w:ilvl w:val="0"/>
                <w:numId w:val="0"/>
              </w:numPr>
              <w:spacing w:line="240" w:lineRule="auto"/>
              <w:jc w:val="left"/>
              <w:rPr>
                <w:rFonts w:hint="eastAsia" w:ascii="仿宋" w:hAnsi="仿宋" w:eastAsia="仿宋" w:cs="仿宋"/>
                <w:color w:val="000000" w:themeColor="text1"/>
                <w:kern w:val="0"/>
                <w:sz w:val="24"/>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根据投标人</w:t>
            </w:r>
            <w:r>
              <w:rPr>
                <w:rFonts w:hint="eastAsia" w:ascii="仿宋" w:hAnsi="仿宋" w:eastAsia="仿宋" w:cs="仿宋"/>
                <w:color w:val="000000" w:themeColor="text1"/>
                <w:kern w:val="0"/>
                <w:sz w:val="24"/>
                <w:lang w:val="en-US" w:eastAsia="zh-CN"/>
                <w14:textFill>
                  <w14:solidFill>
                    <w14:schemeClr w14:val="tx1"/>
                  </w14:solidFill>
                </w14:textFill>
              </w:rPr>
              <w:t>管理台账</w:t>
            </w:r>
            <w:r>
              <w:rPr>
                <w:rFonts w:hint="eastAsia" w:ascii="仿宋" w:hAnsi="仿宋" w:eastAsia="仿宋" w:cs="仿宋"/>
                <w:color w:val="000000" w:themeColor="text1"/>
                <w:sz w:val="24"/>
                <w:highlight w:val="none"/>
                <w:lang w:val="en-US" w:eastAsia="zh-CN"/>
                <w14:textFill>
                  <w14:solidFill>
                    <w14:schemeClr w14:val="tx1"/>
                  </w14:solidFill>
                </w14:textFill>
              </w:rPr>
              <w:t>的</w:t>
            </w:r>
            <w:r>
              <w:rPr>
                <w:rFonts w:hint="eastAsia" w:ascii="仿宋" w:hAnsi="仿宋" w:eastAsia="仿宋" w:cs="仿宋"/>
                <w:color w:val="000000" w:themeColor="text1"/>
                <w:kern w:val="0"/>
                <w:sz w:val="24"/>
                <w:lang w:val="en-US" w:eastAsia="zh-CN"/>
                <w14:textFill>
                  <w14:solidFill>
                    <w14:schemeClr w14:val="tx1"/>
                  </w14:solidFill>
                </w14:textFill>
              </w:rPr>
              <w:t>全面性、合理性、可操作性，</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w:t>
            </w:r>
            <w:r>
              <w:rPr>
                <w:rFonts w:hint="eastAsia" w:ascii="仿宋" w:hAnsi="仿宋" w:eastAsia="仿宋" w:cs="仿宋"/>
                <w:color w:val="000000" w:themeColor="text1"/>
                <w:kern w:val="0"/>
                <w:sz w:val="24"/>
                <w:lang w:val="en-US" w:eastAsia="zh-CN"/>
                <w14:textFill>
                  <w14:solidFill>
                    <w14:schemeClr w14:val="tx1"/>
                  </w14:solidFill>
                </w14:textFill>
              </w:rPr>
              <w:t>包括巡查巡检报告、</w:t>
            </w:r>
            <w:r>
              <w:rPr>
                <w:rFonts w:hint="eastAsia" w:ascii="仿宋" w:hAnsi="仿宋" w:eastAsia="仿宋" w:cs="仿宋"/>
                <w:color w:val="000000" w:themeColor="text1"/>
                <w:kern w:val="0"/>
                <w:sz w:val="24"/>
                <w:szCs w:val="24"/>
                <w:highlight w:val="none"/>
                <w:lang w:val="en-US" w:eastAsia="zh-CN" w:bidi="ar-SA"/>
                <w14:textFill>
                  <w14:solidFill>
                    <w14:schemeClr w14:val="tx1"/>
                  </w14:solidFill>
                </w14:textFill>
              </w:rPr>
              <w:t>水质数据报表、</w:t>
            </w:r>
            <w:r>
              <w:rPr>
                <w:rFonts w:hint="eastAsia" w:ascii="仿宋" w:hAnsi="仿宋" w:eastAsia="仿宋" w:cs="仿宋"/>
                <w:color w:val="000000" w:themeColor="text1"/>
                <w:kern w:val="0"/>
                <w:sz w:val="24"/>
                <w:lang w:val="en-US" w:eastAsia="zh-CN"/>
                <w14:textFill>
                  <w14:solidFill>
                    <w14:schemeClr w14:val="tx1"/>
                  </w14:solidFill>
                </w14:textFill>
              </w:rPr>
              <w:t>故障维修记录以及各类管理台账等</w:t>
            </w:r>
            <w:r>
              <w:rPr>
                <w:rFonts w:hint="eastAsia" w:ascii="仿宋" w:hAnsi="仿宋" w:eastAsia="仿宋" w:cs="仿宋"/>
                <w:bCs/>
                <w:color w:val="000000" w:themeColor="text1"/>
                <w:sz w:val="24"/>
                <w:lang w:val="en-US" w:eastAsia="zh-CN"/>
                <w14:textFill>
                  <w14:solidFill>
                    <w14:schemeClr w14:val="tx1"/>
                  </w14:solidFill>
                </w14:textFill>
              </w:rPr>
              <w:t>：内容阐述全面完整，满足项目需求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6</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0-2.0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0A0FA444">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6分</w:t>
            </w:r>
          </w:p>
        </w:tc>
        <w:tc>
          <w:tcPr>
            <w:tcW w:w="990" w:type="dxa"/>
            <w:noWrap/>
            <w:vAlign w:val="center"/>
          </w:tcPr>
          <w:p w14:paraId="03778AD2">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2D2DF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vMerge w:val="continue"/>
            <w:noWrap w:val="0"/>
            <w:vAlign w:val="center"/>
          </w:tcPr>
          <w:p w14:paraId="5A774DC2">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p>
        </w:tc>
        <w:tc>
          <w:tcPr>
            <w:tcW w:w="1233" w:type="dxa"/>
            <w:vMerge w:val="continue"/>
            <w:noWrap/>
            <w:vAlign w:val="center"/>
          </w:tcPr>
          <w:p w14:paraId="6BACFA7D">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p>
        </w:tc>
        <w:tc>
          <w:tcPr>
            <w:tcW w:w="5652" w:type="dxa"/>
            <w:noWrap w:val="0"/>
            <w:vAlign w:val="center"/>
          </w:tcPr>
          <w:p w14:paraId="2F48F22E">
            <w:pPr>
              <w:numPr>
                <w:ilvl w:val="0"/>
                <w:numId w:val="0"/>
              </w:numPr>
              <w:spacing w:line="240" w:lineRule="auto"/>
              <w:jc w:val="left"/>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根据投标人管道巡查方案的</w:t>
            </w:r>
            <w:r>
              <w:rPr>
                <w:rFonts w:hint="eastAsia" w:ascii="仿宋" w:hAnsi="仿宋" w:eastAsia="仿宋" w:cs="仿宋"/>
                <w:color w:val="000000" w:themeColor="text1"/>
                <w:kern w:val="0"/>
                <w:sz w:val="24"/>
                <w:lang w:val="en-US" w:eastAsia="zh-CN"/>
                <w14:textFill>
                  <w14:solidFill>
                    <w14:schemeClr w14:val="tx1"/>
                  </w14:solidFill>
                </w14:textFill>
              </w:rPr>
              <w:t>全面性、合理性、可操作性，</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w:t>
            </w:r>
            <w:r>
              <w:rPr>
                <w:rFonts w:hint="eastAsia" w:ascii="仿宋" w:hAnsi="仿宋" w:eastAsia="仿宋" w:cs="仿宋"/>
                <w:color w:val="000000" w:themeColor="text1"/>
                <w:kern w:val="0"/>
                <w:sz w:val="24"/>
                <w:lang w:val="en-US" w:eastAsia="zh-CN"/>
                <w14:textFill>
                  <w14:solidFill>
                    <w14:schemeClr w14:val="tx1"/>
                  </w14:solidFill>
                </w14:textFill>
              </w:rPr>
              <w:t>包括备机、备件、耗材的采购、存放、使用等</w:t>
            </w:r>
            <w:r>
              <w:rPr>
                <w:rFonts w:hint="eastAsia" w:ascii="仿宋" w:hAnsi="仿宋" w:eastAsia="仿宋" w:cs="仿宋"/>
                <w:bCs/>
                <w:color w:val="000000" w:themeColor="text1"/>
                <w:sz w:val="24"/>
                <w:lang w:val="en-US" w:eastAsia="zh-CN"/>
                <w14:textFill>
                  <w14:solidFill>
                    <w14:schemeClr w14:val="tx1"/>
                  </w14:solidFill>
                </w14:textFill>
              </w:rPr>
              <w:t>：内容阐述全面完整，满足项目需求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6</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0-2.0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65076501">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6分</w:t>
            </w:r>
          </w:p>
        </w:tc>
        <w:tc>
          <w:tcPr>
            <w:tcW w:w="990" w:type="dxa"/>
            <w:noWrap/>
            <w:vAlign w:val="center"/>
          </w:tcPr>
          <w:p w14:paraId="6C954061">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6B74C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vMerge w:val="continue"/>
            <w:noWrap w:val="0"/>
            <w:vAlign w:val="center"/>
          </w:tcPr>
          <w:p w14:paraId="25ED7DE2">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p>
        </w:tc>
        <w:tc>
          <w:tcPr>
            <w:tcW w:w="1233" w:type="dxa"/>
            <w:vMerge w:val="continue"/>
            <w:noWrap/>
            <w:vAlign w:val="center"/>
          </w:tcPr>
          <w:p w14:paraId="5F4C36D4">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p>
        </w:tc>
        <w:tc>
          <w:tcPr>
            <w:tcW w:w="5652" w:type="dxa"/>
            <w:noWrap w:val="0"/>
            <w:vAlign w:val="center"/>
          </w:tcPr>
          <w:p w14:paraId="6080D46E">
            <w:pPr>
              <w:numPr>
                <w:ilvl w:val="0"/>
                <w:numId w:val="0"/>
              </w:numPr>
              <w:spacing w:line="240" w:lineRule="auto"/>
              <w:jc w:val="left"/>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根据投标人备品备件储备及管理方案的</w:t>
            </w:r>
            <w:r>
              <w:rPr>
                <w:rFonts w:hint="eastAsia" w:ascii="仿宋" w:hAnsi="仿宋" w:eastAsia="仿宋" w:cs="仿宋"/>
                <w:color w:val="000000" w:themeColor="text1"/>
                <w:kern w:val="0"/>
                <w:sz w:val="24"/>
                <w:lang w:val="en-US" w:eastAsia="zh-CN"/>
                <w14:textFill>
                  <w14:solidFill>
                    <w14:schemeClr w14:val="tx1"/>
                  </w14:solidFill>
                </w14:textFill>
              </w:rPr>
              <w:t>全面性、合理性、可操作性，</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w:t>
            </w:r>
            <w:r>
              <w:rPr>
                <w:rFonts w:hint="eastAsia" w:ascii="仿宋" w:hAnsi="仿宋" w:eastAsia="仿宋" w:cs="仿宋"/>
                <w:color w:val="000000" w:themeColor="text1"/>
                <w:kern w:val="0"/>
                <w:sz w:val="24"/>
                <w:lang w:val="en-US" w:eastAsia="zh-CN"/>
                <w14:textFill>
                  <w14:solidFill>
                    <w14:schemeClr w14:val="tx1"/>
                  </w14:solidFill>
                </w14:textFill>
              </w:rPr>
              <w:t>包括备机、备件、耗材的采购、存放、使用等</w:t>
            </w:r>
            <w:r>
              <w:rPr>
                <w:rFonts w:hint="eastAsia" w:ascii="仿宋" w:hAnsi="仿宋" w:eastAsia="仿宋" w:cs="仿宋"/>
                <w:bCs/>
                <w:color w:val="000000" w:themeColor="text1"/>
                <w:sz w:val="24"/>
                <w:lang w:val="en-US" w:eastAsia="zh-CN"/>
                <w14:textFill>
                  <w14:solidFill>
                    <w14:schemeClr w14:val="tx1"/>
                  </w14:solidFill>
                </w14:textFill>
              </w:rPr>
              <w:t>：内容阐述全面完整，满足项目需求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6</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0-2.0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586EBCD1">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6分</w:t>
            </w:r>
          </w:p>
        </w:tc>
        <w:tc>
          <w:tcPr>
            <w:tcW w:w="990" w:type="dxa"/>
            <w:noWrap/>
            <w:vAlign w:val="center"/>
          </w:tcPr>
          <w:p w14:paraId="79B91E74">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1362F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noWrap w:val="0"/>
            <w:vAlign w:val="center"/>
          </w:tcPr>
          <w:p w14:paraId="53EA6F43">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7</w:t>
            </w:r>
          </w:p>
        </w:tc>
        <w:tc>
          <w:tcPr>
            <w:tcW w:w="1233" w:type="dxa"/>
            <w:noWrap/>
            <w:vAlign w:val="center"/>
          </w:tcPr>
          <w:p w14:paraId="70BF5F05">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水质管理方案</w:t>
            </w:r>
          </w:p>
        </w:tc>
        <w:tc>
          <w:tcPr>
            <w:tcW w:w="5652" w:type="dxa"/>
            <w:noWrap w:val="0"/>
            <w:vAlign w:val="center"/>
          </w:tcPr>
          <w:p w14:paraId="085F80E3">
            <w:pPr>
              <w:numPr>
                <w:ilvl w:val="0"/>
                <w:numId w:val="0"/>
              </w:numPr>
              <w:spacing w:line="240" w:lineRule="auto"/>
              <w:jc w:val="left"/>
              <w:rPr>
                <w:rFonts w:hint="eastAsia" w:ascii="仿宋" w:hAnsi="仿宋" w:eastAsia="仿宋" w:cs="仿宋"/>
                <w:bCs/>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根据投标人</w:t>
            </w:r>
            <w:r>
              <w:rPr>
                <w:rFonts w:hint="eastAsia" w:ascii="仿宋" w:hAnsi="仿宋" w:eastAsia="仿宋" w:cs="仿宋"/>
                <w:color w:val="000000" w:themeColor="text1"/>
                <w:sz w:val="24"/>
                <w:highlight w:val="none"/>
                <w:lang w:val="en-US" w:eastAsia="zh-CN"/>
                <w14:textFill>
                  <w14:solidFill>
                    <w14:schemeClr w14:val="tx1"/>
                  </w14:solidFill>
                </w14:textFill>
              </w:rPr>
              <w:t>水质管理方案的全面性、合理性、可行性</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0-1.0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704345A4">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5分</w:t>
            </w:r>
          </w:p>
        </w:tc>
        <w:tc>
          <w:tcPr>
            <w:tcW w:w="990" w:type="dxa"/>
            <w:noWrap/>
            <w:vAlign w:val="center"/>
          </w:tcPr>
          <w:p w14:paraId="4AA4DB7D">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787FE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shd w:val="clear" w:color="auto" w:fill="auto"/>
            <w:noWrap w:val="0"/>
            <w:vAlign w:val="center"/>
          </w:tcPr>
          <w:p w14:paraId="084C84EC">
            <w:pPr>
              <w:spacing w:line="240" w:lineRule="auto"/>
              <w:jc w:val="cente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8</w:t>
            </w:r>
          </w:p>
        </w:tc>
        <w:tc>
          <w:tcPr>
            <w:tcW w:w="1233" w:type="dxa"/>
            <w:noWrap/>
            <w:vAlign w:val="center"/>
          </w:tcPr>
          <w:p w14:paraId="68C79A24">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智能化运维</w:t>
            </w: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管理</w:t>
            </w:r>
          </w:p>
        </w:tc>
        <w:tc>
          <w:tcPr>
            <w:tcW w:w="5652" w:type="dxa"/>
            <w:noWrap w:val="0"/>
            <w:vAlign w:val="center"/>
          </w:tcPr>
          <w:p w14:paraId="0F99CD08">
            <w:pPr>
              <w:numPr>
                <w:ilvl w:val="0"/>
                <w:numId w:val="0"/>
              </w:numPr>
              <w:spacing w:line="240" w:lineRule="auto"/>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根据</w:t>
            </w:r>
            <w:r>
              <w:rPr>
                <w:rFonts w:hint="eastAsia" w:ascii="仿宋" w:hAnsi="仿宋" w:eastAsia="仿宋" w:cs="仿宋"/>
                <w:color w:val="000000" w:themeColor="text1"/>
                <w:sz w:val="24"/>
                <w:szCs w:val="24"/>
                <w14:textFill>
                  <w14:solidFill>
                    <w14:schemeClr w14:val="tx1"/>
                  </w14:solidFill>
                </w14:textFill>
              </w:rPr>
              <w:t>投标人智能化运维管理方案</w:t>
            </w:r>
            <w:r>
              <w:rPr>
                <w:rFonts w:hint="eastAsia" w:ascii="仿宋" w:hAnsi="仿宋" w:eastAsia="仿宋" w:cs="仿宋"/>
                <w:color w:val="000000" w:themeColor="text1"/>
                <w:sz w:val="24"/>
                <w:szCs w:val="24"/>
                <w:lang w:eastAsia="zh-CN"/>
                <w14:textFill>
                  <w14:solidFill>
                    <w14:schemeClr w14:val="tx1"/>
                  </w14:solidFill>
                </w14:textFill>
              </w:rPr>
              <w:t>的</w:t>
            </w:r>
            <w:r>
              <w:rPr>
                <w:rFonts w:hint="eastAsia" w:ascii="仿宋" w:hAnsi="仿宋" w:eastAsia="仿宋" w:cs="仿宋"/>
                <w:color w:val="000000" w:themeColor="text1"/>
                <w:sz w:val="24"/>
                <w:highlight w:val="none"/>
                <w:lang w:val="en-US" w:eastAsia="zh-CN"/>
                <w14:textFill>
                  <w14:solidFill>
                    <w14:schemeClr w14:val="tx1"/>
                  </w14:solidFill>
                </w14:textFill>
              </w:rPr>
              <w:t>全面性、先进性</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由评审专家进行综合打分，包括</w:t>
            </w:r>
            <w:r>
              <w:rPr>
                <w:rFonts w:hint="eastAsia" w:ascii="仿宋" w:hAnsi="仿宋" w:eastAsia="仿宋" w:cs="仿宋"/>
                <w:color w:val="000000" w:themeColor="text1"/>
                <w:sz w:val="24"/>
                <w:szCs w:val="24"/>
                <w:lang w:val="en-US" w:eastAsia="zh-CN"/>
                <w14:textFill>
                  <w14:solidFill>
                    <w14:schemeClr w14:val="tx1"/>
                  </w14:solidFill>
                </w14:textFill>
              </w:rPr>
              <w:t>智能化运维管理系统</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智能</w:t>
            </w:r>
            <w:r>
              <w:rPr>
                <w:rFonts w:hint="eastAsia" w:ascii="仿宋" w:hAnsi="仿宋" w:eastAsia="仿宋" w:cs="仿宋"/>
                <w:color w:val="000000" w:themeColor="text1"/>
                <w:sz w:val="24"/>
                <w:szCs w:val="24"/>
                <w14:textFill>
                  <w14:solidFill>
                    <w14:schemeClr w14:val="tx1"/>
                  </w14:solidFill>
                </w14:textFill>
              </w:rPr>
              <w:t>化管理</w:t>
            </w:r>
            <w:r>
              <w:rPr>
                <w:rFonts w:hint="eastAsia" w:ascii="仿宋" w:hAnsi="仿宋" w:eastAsia="仿宋" w:cs="仿宋"/>
                <w:color w:val="000000" w:themeColor="text1"/>
                <w:sz w:val="24"/>
                <w:szCs w:val="24"/>
                <w:lang w:val="en-US" w:eastAsia="zh-CN"/>
                <w14:textFill>
                  <w14:solidFill>
                    <w14:schemeClr w14:val="tx1"/>
                  </w14:solidFill>
                </w14:textFill>
              </w:rPr>
              <w:t>措施等：内容阐述全面完整，具有智能化运维管理系统的得2.1-3.0分；</w:t>
            </w:r>
            <w:r>
              <w:rPr>
                <w:rFonts w:hint="eastAsia" w:ascii="仿宋" w:hAnsi="仿宋" w:eastAsia="仿宋" w:cs="仿宋"/>
                <w:bCs/>
                <w:color w:val="000000" w:themeColor="text1"/>
                <w:sz w:val="24"/>
                <w:lang w:val="en-US" w:eastAsia="zh-CN"/>
                <w14:textFill>
                  <w14:solidFill>
                    <w14:schemeClr w14:val="tx1"/>
                  </w14:solidFill>
                </w14:textFill>
              </w:rPr>
              <w:t>内容阐述较全面完整，具备部分智能化管理措施的得1.1-2.0分；阐述粗略，不具备智能化管理措施的得0-1.0分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5DEFBEEF">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3分</w:t>
            </w:r>
          </w:p>
        </w:tc>
        <w:tc>
          <w:tcPr>
            <w:tcW w:w="990" w:type="dxa"/>
            <w:noWrap/>
            <w:vAlign w:val="center"/>
          </w:tcPr>
          <w:p w14:paraId="38B005A1">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23A0A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shd w:val="clear" w:color="auto" w:fill="auto"/>
            <w:noWrap w:val="0"/>
            <w:vAlign w:val="center"/>
          </w:tcPr>
          <w:p w14:paraId="29077EA1">
            <w:pPr>
              <w:spacing w:line="240" w:lineRule="auto"/>
              <w:jc w:val="cente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9</w:t>
            </w:r>
          </w:p>
        </w:tc>
        <w:tc>
          <w:tcPr>
            <w:tcW w:w="1233" w:type="dxa"/>
            <w:shd w:val="clear" w:color="auto" w:fill="auto"/>
            <w:noWrap/>
            <w:vAlign w:val="center"/>
          </w:tcPr>
          <w:p w14:paraId="2F901F82">
            <w:pPr>
              <w:pStyle w:val="31"/>
              <w:spacing w:line="240" w:lineRule="auto"/>
              <w:jc w:val="center"/>
              <w:rPr>
                <w:rFonts w:hint="eastAsia" w:ascii="仿宋" w:hAnsi="仿宋" w:eastAsia="仿宋" w:cs="仿宋"/>
                <w:b/>
                <w:color w:val="000000" w:themeColor="text1"/>
                <w:kern w:val="0"/>
                <w:sz w:val="24"/>
                <w:szCs w:val="24"/>
                <w:highlight w:val="none"/>
                <w:lang w:val="en-US" w:eastAsia="zh-CN" w:bidi="zh-CN"/>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污泥处置方案</w:t>
            </w:r>
          </w:p>
        </w:tc>
        <w:tc>
          <w:tcPr>
            <w:tcW w:w="5652" w:type="dxa"/>
            <w:shd w:val="clear" w:color="auto" w:fill="auto"/>
            <w:noWrap w:val="0"/>
            <w:vAlign w:val="center"/>
          </w:tcPr>
          <w:p w14:paraId="5E890064">
            <w:pPr>
              <w:pStyle w:val="31"/>
              <w:spacing w:line="240" w:lineRule="auto"/>
              <w:rPr>
                <w:rFonts w:hint="eastAsia" w:ascii="仿宋" w:hAnsi="仿宋" w:eastAsia="仿宋" w:cs="仿宋"/>
                <w:color w:val="000000" w:themeColor="text1"/>
                <w:kern w:val="2"/>
                <w:sz w:val="24"/>
                <w:szCs w:val="24"/>
                <w:highlight w:val="none"/>
                <w:lang w:val="zh-CN" w:eastAsia="zh-CN" w:bidi="zh-CN"/>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根据投标人提供的的污泥运输处置方案的全面性、针对性、安全性、规范性等，</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0-1.0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shd w:val="clear" w:color="auto" w:fill="auto"/>
            <w:noWrap/>
            <w:vAlign w:val="center"/>
          </w:tcPr>
          <w:p w14:paraId="1422FD8D">
            <w:pPr>
              <w:spacing w:line="240" w:lineRule="auto"/>
              <w:jc w:val="center"/>
              <w:rPr>
                <w:rFonts w:hint="eastAsia" w:ascii="仿宋" w:hAnsi="仿宋" w:eastAsia="仿宋" w:cs="仿宋"/>
                <w:b w:val="0"/>
                <w:bCs/>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3分</w:t>
            </w:r>
          </w:p>
        </w:tc>
        <w:tc>
          <w:tcPr>
            <w:tcW w:w="990" w:type="dxa"/>
            <w:shd w:val="clear" w:color="auto" w:fill="auto"/>
            <w:noWrap/>
            <w:vAlign w:val="center"/>
          </w:tcPr>
          <w:p w14:paraId="404A1E34">
            <w:pPr>
              <w:spacing w:line="240" w:lineRule="auto"/>
              <w:jc w:val="center"/>
              <w:rPr>
                <w:rFonts w:hint="eastAsia" w:ascii="仿宋" w:hAnsi="仿宋" w:eastAsia="仿宋" w:cs="仿宋"/>
                <w:b w:val="0"/>
                <w:bCs/>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767F8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shd w:val="clear" w:color="auto" w:fill="auto"/>
            <w:noWrap w:val="0"/>
            <w:vAlign w:val="center"/>
          </w:tcPr>
          <w:p w14:paraId="292F38B8">
            <w:pPr>
              <w:spacing w:line="240" w:lineRule="auto"/>
              <w:jc w:val="cente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10</w:t>
            </w:r>
          </w:p>
        </w:tc>
        <w:tc>
          <w:tcPr>
            <w:tcW w:w="1233" w:type="dxa"/>
            <w:noWrap/>
            <w:vAlign w:val="center"/>
          </w:tcPr>
          <w:p w14:paraId="2DE71E86">
            <w:pPr>
              <w:keepNext w:val="0"/>
              <w:keepLines w:val="0"/>
              <w:pageBreakBefore w:val="0"/>
              <w:widowControl/>
              <w:kinsoku/>
              <w:wordWrap/>
              <w:overflowPunct/>
              <w:topLinePunct w:val="0"/>
              <w:bidi w:val="0"/>
              <w:snapToGrid w:val="0"/>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bCs/>
                <w:color w:val="000000" w:themeColor="text1"/>
                <w:kern w:val="0"/>
                <w:sz w:val="24"/>
                <w:highlight w:val="none"/>
                <w:lang w:val="en-US" w:eastAsia="zh-CN"/>
                <w14:textFill>
                  <w14:solidFill>
                    <w14:schemeClr w14:val="tx1"/>
                  </w14:solidFill>
                </w14:textFill>
              </w:rPr>
              <w:t>质量控制措施</w:t>
            </w:r>
          </w:p>
        </w:tc>
        <w:tc>
          <w:tcPr>
            <w:tcW w:w="5652" w:type="dxa"/>
            <w:noWrap w:val="0"/>
            <w:vAlign w:val="center"/>
          </w:tcPr>
          <w:p w14:paraId="7E0F6A20">
            <w:pPr>
              <w:pStyle w:val="50"/>
              <w:keepNext w:val="0"/>
              <w:keepLines w:val="0"/>
              <w:pageBreakBefore w:val="0"/>
              <w:kinsoku/>
              <w:wordWrap/>
              <w:overflowPunct/>
              <w:topLinePunct w:val="0"/>
              <w:bidi w:val="0"/>
              <w:spacing w:after="0" w:line="240" w:lineRule="auto"/>
              <w:ind w:left="0" w:leftChars="0"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根据投标人提供的质量控制措施及技术保障措施的全面性、合理性、可行性</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由评审专家进行综合打分：内容阐述全面完整，措施有效可行，满足项目需求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分；内容阐述较全面完整，措施比较可行，基本满足项目需求的得</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0-1.0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15C35077">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5分</w:t>
            </w:r>
          </w:p>
        </w:tc>
        <w:tc>
          <w:tcPr>
            <w:tcW w:w="990" w:type="dxa"/>
            <w:noWrap/>
            <w:vAlign w:val="center"/>
          </w:tcPr>
          <w:p w14:paraId="7EFBBC95">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1455C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noWrap w:val="0"/>
            <w:vAlign w:val="center"/>
          </w:tcPr>
          <w:p w14:paraId="7306F769">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11</w:t>
            </w:r>
          </w:p>
        </w:tc>
        <w:tc>
          <w:tcPr>
            <w:tcW w:w="1233" w:type="dxa"/>
            <w:noWrap/>
            <w:vAlign w:val="center"/>
          </w:tcPr>
          <w:p w14:paraId="092DCC5C">
            <w:pPr>
              <w:pStyle w:val="31"/>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安全保障措施</w:t>
            </w:r>
          </w:p>
        </w:tc>
        <w:tc>
          <w:tcPr>
            <w:tcW w:w="5652" w:type="dxa"/>
            <w:noWrap w:val="0"/>
            <w:vAlign w:val="center"/>
          </w:tcPr>
          <w:p w14:paraId="1294AEBC">
            <w:pPr>
              <w:pStyle w:val="31"/>
              <w:spacing w:line="24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根据投标人对运维过程的安全保证措施</w:t>
            </w:r>
            <w:r>
              <w:rPr>
                <w:rFonts w:hint="eastAsia" w:ascii="仿宋" w:hAnsi="仿宋" w:eastAsia="仿宋" w:cs="仿宋"/>
                <w:color w:val="000000" w:themeColor="text1"/>
                <w:sz w:val="24"/>
                <w:highlight w:val="none"/>
                <w:lang w:val="en-US" w:eastAsia="zh-CN"/>
                <w14:textFill>
                  <w14:solidFill>
                    <w14:schemeClr w14:val="tx1"/>
                  </w14:solidFill>
                </w14:textFill>
              </w:rPr>
              <w:t>的全面性、合理性、可行性</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0-1.0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58DFDDA8">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5分</w:t>
            </w:r>
          </w:p>
        </w:tc>
        <w:tc>
          <w:tcPr>
            <w:tcW w:w="990" w:type="dxa"/>
            <w:noWrap/>
            <w:vAlign w:val="center"/>
          </w:tcPr>
          <w:p w14:paraId="637229D6">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0DFF2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shd w:val="clear" w:color="auto" w:fill="auto"/>
            <w:noWrap w:val="0"/>
            <w:vAlign w:val="center"/>
          </w:tcPr>
          <w:p w14:paraId="167AC33F">
            <w:pPr>
              <w:spacing w:line="240" w:lineRule="auto"/>
              <w:jc w:val="cente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12</w:t>
            </w:r>
          </w:p>
        </w:tc>
        <w:tc>
          <w:tcPr>
            <w:tcW w:w="1233" w:type="dxa"/>
            <w:noWrap/>
            <w:vAlign w:val="center"/>
          </w:tcPr>
          <w:p w14:paraId="6D01A875">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应急方案</w:t>
            </w:r>
          </w:p>
        </w:tc>
        <w:tc>
          <w:tcPr>
            <w:tcW w:w="5652" w:type="dxa"/>
            <w:noWrap w:val="0"/>
            <w:vAlign w:val="center"/>
          </w:tcPr>
          <w:p w14:paraId="049D3979">
            <w:pPr>
              <w:spacing w:line="240" w:lineRule="auto"/>
              <w:jc w:val="left"/>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根据投标人应急方案的</w:t>
            </w:r>
            <w:r>
              <w:rPr>
                <w:rFonts w:hint="eastAsia" w:ascii="仿宋" w:hAnsi="仿宋" w:eastAsia="仿宋" w:cs="仿宋"/>
                <w:color w:val="000000" w:themeColor="text1"/>
                <w:kern w:val="0"/>
                <w:sz w:val="24"/>
                <w:lang w:val="en-US" w:eastAsia="zh-CN"/>
                <w14:textFill>
                  <w14:solidFill>
                    <w14:schemeClr w14:val="tx1"/>
                  </w14:solidFill>
                </w14:textFill>
              </w:rPr>
              <w:t>全面性、合理性、可操作性，</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由评审专家进行综合打分，包括</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停水停电情况处理、设备故障应急处理、水质超标紧急处理、有限空间作业等</w:t>
            </w:r>
            <w:r>
              <w:rPr>
                <w:rFonts w:hint="eastAsia" w:ascii="仿宋" w:hAnsi="仿宋" w:eastAsia="仿宋" w:cs="仿宋"/>
                <w:bCs/>
                <w:color w:val="000000" w:themeColor="text1"/>
                <w:sz w:val="24"/>
                <w:lang w:val="en-US" w:eastAsia="zh-CN"/>
                <w14:textFill>
                  <w14:solidFill>
                    <w14:schemeClr w14:val="tx1"/>
                  </w14:solidFill>
                </w14:textFill>
              </w:rPr>
              <w:t>：内容阐述全面完整，满足项目需求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0-1.0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2036C769">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5分</w:t>
            </w:r>
          </w:p>
        </w:tc>
        <w:tc>
          <w:tcPr>
            <w:tcW w:w="990" w:type="dxa"/>
            <w:noWrap/>
            <w:vAlign w:val="center"/>
          </w:tcPr>
          <w:p w14:paraId="358FF81D">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7F6A0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shd w:val="clear" w:color="auto" w:fill="auto"/>
            <w:noWrap w:val="0"/>
            <w:vAlign w:val="center"/>
          </w:tcPr>
          <w:p w14:paraId="20A3B6D6">
            <w:pPr>
              <w:spacing w:line="240" w:lineRule="auto"/>
              <w:jc w:val="cente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13</w:t>
            </w:r>
          </w:p>
        </w:tc>
        <w:tc>
          <w:tcPr>
            <w:tcW w:w="1233" w:type="dxa"/>
            <w:noWrap/>
            <w:vAlign w:val="center"/>
          </w:tcPr>
          <w:p w14:paraId="71AEA387">
            <w:pPr>
              <w:pStyle w:val="31"/>
              <w:spacing w:line="240" w:lineRule="auto"/>
              <w:jc w:val="cente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t>项目移交审核、验收方案</w:t>
            </w:r>
          </w:p>
        </w:tc>
        <w:tc>
          <w:tcPr>
            <w:tcW w:w="5652" w:type="dxa"/>
            <w:noWrap w:val="0"/>
            <w:vAlign w:val="center"/>
          </w:tcPr>
          <w:p w14:paraId="6EC45399">
            <w:pPr>
              <w:pStyle w:val="31"/>
              <w:spacing w:line="240" w:lineRule="auto"/>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根据投标人</w:t>
            </w:r>
            <w:r>
              <w:rPr>
                <w:rFonts w:hint="eastAsia" w:ascii="仿宋" w:hAnsi="仿宋" w:eastAsia="仿宋" w:cs="仿宋"/>
                <w:bCs/>
                <w:color w:val="000000" w:themeColor="text1"/>
                <w:sz w:val="24"/>
                <w:lang w:val="en-US" w:eastAsia="zh-CN"/>
                <w14:textFill>
                  <w14:solidFill>
                    <w14:schemeClr w14:val="tx1"/>
                  </w14:solidFill>
                </w14:textFill>
              </w:rPr>
              <w:t>提供项目移交审核、验收方案</w:t>
            </w:r>
            <w:r>
              <w:rPr>
                <w:rFonts w:hint="eastAsia" w:ascii="仿宋" w:hAnsi="仿宋" w:eastAsia="仿宋" w:cs="仿宋"/>
                <w:color w:val="000000" w:themeColor="text1"/>
                <w:sz w:val="24"/>
                <w:highlight w:val="none"/>
                <w:lang w:val="en-US" w:eastAsia="zh-CN"/>
                <w14:textFill>
                  <w14:solidFill>
                    <w14:schemeClr w14:val="tx1"/>
                  </w14:solidFill>
                </w14:textFill>
              </w:rPr>
              <w:t>的</w:t>
            </w:r>
            <w:r>
              <w:rPr>
                <w:rFonts w:hint="eastAsia" w:ascii="仿宋" w:hAnsi="仿宋" w:eastAsia="仿宋" w:cs="仿宋"/>
                <w:color w:val="000000" w:themeColor="text1"/>
                <w:kern w:val="0"/>
                <w:sz w:val="24"/>
                <w:lang w:val="en-US" w:eastAsia="zh-CN"/>
                <w14:textFill>
                  <w14:solidFill>
                    <w14:schemeClr w14:val="tx1"/>
                  </w14:solidFill>
                </w14:textFill>
              </w:rPr>
              <w:t>全面性、合理性、可操作性，</w:t>
            </w:r>
            <w:r>
              <w:rPr>
                <w:rFonts w:hint="eastAsia" w:ascii="仿宋" w:hAnsi="仿宋" w:eastAsia="仿宋" w:cs="仿宋"/>
                <w:bCs/>
                <w:color w:val="000000" w:themeColor="text1"/>
                <w:sz w:val="24"/>
                <w:lang w:val="en-US" w:eastAsia="zh-CN"/>
                <w14:textFill>
                  <w14:solidFill>
                    <w14:schemeClr w14:val="tx1"/>
                  </w14:solidFill>
                </w14:textFill>
              </w:rPr>
              <w:t>由评审专家进行综合打分：内容阐述全面完整，满足项目需求</w:t>
            </w:r>
            <w:r>
              <w:rPr>
                <w:rFonts w:hint="eastAsia" w:ascii="仿宋" w:hAnsi="仿宋" w:eastAsia="仿宋" w:cs="仿宋"/>
                <w:bCs/>
                <w:color w:val="000000" w:themeColor="text1"/>
                <w:sz w:val="24"/>
                <w:lang w:eastAsia="zh-CN"/>
                <w14:textFill>
                  <w14:solidFill>
                    <w14:schemeClr w14:val="tx1"/>
                  </w14:solidFill>
                </w14:textFill>
              </w:rPr>
              <w:t>的得</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分；内容阐述较全面完整，基本满足项目需求的得</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0</w:t>
            </w:r>
            <w:r>
              <w:rPr>
                <w:rFonts w:hint="eastAsia" w:ascii="仿宋" w:hAnsi="仿宋" w:eastAsia="仿宋" w:cs="仿宋"/>
                <w:bCs/>
                <w:color w:val="000000" w:themeColor="text1"/>
                <w:sz w:val="24"/>
                <w:lang w:val="en-US" w:eastAsia="zh-CN"/>
                <w14:textFill>
                  <w14:solidFill>
                    <w14:schemeClr w14:val="tx1"/>
                  </w14:solidFill>
                </w14:textFill>
              </w:rPr>
              <w:t>分；</w:t>
            </w:r>
            <w:r>
              <w:rPr>
                <w:rFonts w:hint="eastAsia" w:ascii="仿宋" w:hAnsi="仿宋" w:eastAsia="仿宋" w:cs="仿宋"/>
                <w:color w:val="000000" w:themeColor="text1"/>
                <w:sz w:val="24"/>
                <w14:textFill>
                  <w14:solidFill>
                    <w14:schemeClr w14:val="tx1"/>
                  </w14:solidFill>
                </w14:textFill>
              </w:rPr>
              <w:t>内容与项目实际情况符合度差、阐述粗略、缺陷较多的得</w:t>
            </w:r>
            <w:r>
              <w:rPr>
                <w:rFonts w:hint="eastAsia" w:ascii="仿宋" w:hAnsi="仿宋" w:eastAsia="仿宋" w:cs="仿宋"/>
                <w:color w:val="000000" w:themeColor="text1"/>
                <w:sz w:val="24"/>
                <w:lang w:val="en-US" w:eastAsia="zh-CN"/>
                <w14:textFill>
                  <w14:solidFill>
                    <w14:schemeClr w14:val="tx1"/>
                  </w14:solidFill>
                </w14:textFill>
              </w:rPr>
              <w:t>0-1.0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eastAsia="zh-Hans"/>
                <w14:textFill>
                  <w14:solidFill>
                    <w14:schemeClr w14:val="tx1"/>
                  </w14:solidFill>
                </w14:textFill>
              </w:rPr>
              <w:t>；未提供相关阐述或不符合项目</w:t>
            </w:r>
            <w:r>
              <w:rPr>
                <w:rFonts w:hint="eastAsia" w:ascii="仿宋" w:hAnsi="仿宋" w:eastAsia="仿宋" w:cs="仿宋"/>
                <w:color w:val="000000" w:themeColor="text1"/>
                <w:sz w:val="24"/>
                <w14:textFill>
                  <w14:solidFill>
                    <w14:schemeClr w14:val="tx1"/>
                  </w14:solidFill>
                </w14:textFill>
              </w:rPr>
              <w:t>需求</w:t>
            </w:r>
            <w:r>
              <w:rPr>
                <w:rFonts w:hint="eastAsia" w:ascii="仿宋" w:hAnsi="仿宋" w:eastAsia="仿宋" w:cs="仿宋"/>
                <w:color w:val="000000" w:themeColor="text1"/>
                <w:sz w:val="24"/>
                <w:lang w:eastAsia="zh-Hans"/>
                <w14:textFill>
                  <w14:solidFill>
                    <w14:schemeClr w14:val="tx1"/>
                  </w14:solidFill>
                </w14:textFill>
              </w:rPr>
              <w:t>的不得分。</w:t>
            </w:r>
          </w:p>
        </w:tc>
        <w:tc>
          <w:tcPr>
            <w:tcW w:w="735" w:type="dxa"/>
            <w:noWrap/>
            <w:vAlign w:val="center"/>
          </w:tcPr>
          <w:p w14:paraId="6FF09991">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5分</w:t>
            </w:r>
          </w:p>
        </w:tc>
        <w:tc>
          <w:tcPr>
            <w:tcW w:w="990" w:type="dxa"/>
            <w:noWrap/>
            <w:vAlign w:val="center"/>
          </w:tcPr>
          <w:p w14:paraId="51B28B47">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3DE7D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shd w:val="clear" w:color="auto" w:fill="auto"/>
            <w:noWrap w:val="0"/>
            <w:vAlign w:val="center"/>
          </w:tcPr>
          <w:p w14:paraId="0DE92618">
            <w:pPr>
              <w:spacing w:line="240" w:lineRule="auto"/>
              <w:jc w:val="cente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14</w:t>
            </w:r>
          </w:p>
        </w:tc>
        <w:tc>
          <w:tcPr>
            <w:tcW w:w="1233" w:type="dxa"/>
            <w:noWrap/>
            <w:vAlign w:val="center"/>
          </w:tcPr>
          <w:p w14:paraId="5D2C094D">
            <w:pPr>
              <w:pStyle w:val="31"/>
              <w:spacing w:line="240" w:lineRule="auto"/>
              <w:jc w:val="cente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t>合理化建议及优惠承诺</w:t>
            </w:r>
          </w:p>
        </w:tc>
        <w:tc>
          <w:tcPr>
            <w:tcW w:w="5652" w:type="dxa"/>
            <w:noWrap w:val="0"/>
            <w:vAlign w:val="center"/>
          </w:tcPr>
          <w:p w14:paraId="10AF1B00">
            <w:pPr>
              <w:pStyle w:val="31"/>
              <w:spacing w:line="24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根据投标人</w:t>
            </w:r>
            <w:r>
              <w:rPr>
                <w:rFonts w:hint="eastAsia" w:ascii="仿宋" w:hAnsi="仿宋" w:eastAsia="仿宋" w:cs="仿宋"/>
                <w:color w:val="000000" w:themeColor="text1"/>
                <w:sz w:val="24"/>
                <w:lang w:val="en-US" w:eastAsia="zh-CN"/>
                <w14:textFill>
                  <w14:solidFill>
                    <w14:schemeClr w14:val="tx1"/>
                  </w14:solidFill>
                </w14:textFill>
              </w:rPr>
              <w:t>对本项目的合理化建议和其他优惠承诺进行打分，对采购人有实际价值、有重要的实质性的意义的每有1条得1分，最高得3分。</w:t>
            </w:r>
          </w:p>
        </w:tc>
        <w:tc>
          <w:tcPr>
            <w:tcW w:w="735" w:type="dxa"/>
            <w:noWrap/>
            <w:vAlign w:val="center"/>
          </w:tcPr>
          <w:p w14:paraId="512ED2BF">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3分</w:t>
            </w:r>
          </w:p>
        </w:tc>
        <w:tc>
          <w:tcPr>
            <w:tcW w:w="990" w:type="dxa"/>
            <w:noWrap/>
            <w:vAlign w:val="center"/>
          </w:tcPr>
          <w:p w14:paraId="379D0F1D">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主观分</w:t>
            </w:r>
          </w:p>
        </w:tc>
      </w:tr>
      <w:tr w14:paraId="46D1D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blHeader/>
        </w:trPr>
        <w:tc>
          <w:tcPr>
            <w:tcW w:w="729" w:type="dxa"/>
            <w:noWrap w:val="0"/>
            <w:vAlign w:val="center"/>
          </w:tcPr>
          <w:p w14:paraId="76398523">
            <w:pPr>
              <w:spacing w:line="240" w:lineRule="auto"/>
              <w:jc w:val="center"/>
              <w:rPr>
                <w:rFonts w:hint="eastAsia" w:ascii="仿宋" w:hAnsi="仿宋" w:eastAsia="仿宋" w:cs="仿宋"/>
                <w:b/>
                <w:color w:val="000000" w:themeColor="text1"/>
                <w:kern w:val="0"/>
                <w:sz w:val="24"/>
                <w:highlight w:val="none"/>
                <w:lang w:val="en-US" w:eastAsia="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15</w:t>
            </w:r>
          </w:p>
        </w:tc>
        <w:tc>
          <w:tcPr>
            <w:tcW w:w="1233" w:type="dxa"/>
            <w:noWrap/>
            <w:vAlign w:val="center"/>
          </w:tcPr>
          <w:p w14:paraId="57EF0091">
            <w:pPr>
              <w:pStyle w:val="31"/>
              <w:spacing w:line="240" w:lineRule="auto"/>
              <w:jc w:val="cente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szCs w:val="24"/>
                <w:highlight w:val="none"/>
                <w:lang w:val="en-US" w:eastAsia="zh-CN" w:bidi="ar-SA"/>
                <w14:textFill>
                  <w14:solidFill>
                    <w14:schemeClr w14:val="tx1"/>
                  </w14:solidFill>
                </w14:textFill>
              </w:rPr>
              <w:t>报价分</w:t>
            </w:r>
          </w:p>
        </w:tc>
        <w:tc>
          <w:tcPr>
            <w:tcW w:w="5652" w:type="dxa"/>
            <w:noWrap w:val="0"/>
            <w:vAlign w:val="center"/>
          </w:tcPr>
          <w:p w14:paraId="4DB13A35">
            <w:pPr>
              <w:pStyle w:val="31"/>
              <w:spacing w:line="24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有效投标报价的最低价作为评标基准价，其最低报价为满分；按［投标报价得分=（评标基准价/投标报价）*</w:t>
            </w:r>
            <w:r>
              <w:rPr>
                <w:rFonts w:hint="eastAsia" w:ascii="仿宋" w:hAnsi="仿宋" w:eastAsia="仿宋" w:cs="仿宋"/>
                <w:color w:val="000000" w:themeColor="text1"/>
                <w:sz w:val="24"/>
                <w:lang w:val="en-US" w:eastAsia="zh-CN"/>
                <w14:textFill>
                  <w14:solidFill>
                    <w14:schemeClr w14:val="tx1"/>
                  </w14:solidFill>
                </w14:textFill>
              </w:rPr>
              <w:t>15</w:t>
            </w:r>
            <w:r>
              <w:rPr>
                <w:rFonts w:hint="eastAsia" w:ascii="仿宋" w:hAnsi="仿宋" w:eastAsia="仿宋" w:cs="仿宋"/>
                <w:color w:val="000000" w:themeColor="text1"/>
                <w:sz w:val="24"/>
                <w14:textFill>
                  <w14:solidFill>
                    <w14:schemeClr w14:val="tx1"/>
                  </w14:solidFill>
                </w14:textFill>
              </w:rPr>
              <w:t>］的计算公式计算。</w:t>
            </w:r>
          </w:p>
          <w:p w14:paraId="6FFCA0A5">
            <w:pPr>
              <w:pStyle w:val="31"/>
              <w:spacing w:line="24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☑对于未预留份额专门面向中小企业的政府采购服务项目，以及预留份额政府采购服务项目中的非预留部分标项，对小型和微型企业的投标报价给予10%的扣除，用扣除后的价格参与评审。</w:t>
            </w:r>
          </w:p>
        </w:tc>
        <w:tc>
          <w:tcPr>
            <w:tcW w:w="735" w:type="dxa"/>
            <w:noWrap/>
            <w:vAlign w:val="center"/>
          </w:tcPr>
          <w:p w14:paraId="39DB9F9E">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15分</w:t>
            </w:r>
          </w:p>
        </w:tc>
        <w:tc>
          <w:tcPr>
            <w:tcW w:w="990" w:type="dxa"/>
            <w:noWrap/>
            <w:vAlign w:val="center"/>
          </w:tcPr>
          <w:p w14:paraId="68D359A0">
            <w:pPr>
              <w:spacing w:line="240" w:lineRule="auto"/>
              <w:jc w:val="cente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val="0"/>
                <w:bCs/>
                <w:color w:val="000000" w:themeColor="text1"/>
                <w:kern w:val="0"/>
                <w:sz w:val="24"/>
                <w:highlight w:val="none"/>
                <w:lang w:val="en-US" w:eastAsia="zh-CN"/>
                <w14:textFill>
                  <w14:solidFill>
                    <w14:schemeClr w14:val="tx1"/>
                  </w14:solidFill>
                </w14:textFill>
              </w:rPr>
              <w:t>客观分</w:t>
            </w:r>
          </w:p>
        </w:tc>
      </w:tr>
    </w:tbl>
    <w:p w14:paraId="74D240F8">
      <w:pPr>
        <w:pStyle w:val="15"/>
        <w:keepNext w:val="0"/>
        <w:keepLines w:val="0"/>
        <w:pageBreakBefore w:val="0"/>
        <w:widowControl w:val="0"/>
        <w:kinsoku/>
        <w:wordWrap/>
        <w:overflowPunct/>
        <w:topLinePunct w:val="0"/>
        <w:autoSpaceDE/>
        <w:autoSpaceDN/>
        <w:bidi w:val="0"/>
        <w:adjustRightInd w:val="0"/>
        <w:snapToGrid/>
        <w:spacing w:before="0" w:after="0" w:line="360"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备注：</w:t>
      </w:r>
      <w:r>
        <w:rPr>
          <w:rFonts w:hint="eastAsia" w:ascii="仿宋" w:hAnsi="仿宋" w:eastAsia="仿宋" w:cs="仿宋"/>
          <w:b w:val="0"/>
          <w:bCs w:val="0"/>
          <w:color w:val="auto"/>
          <w:sz w:val="24"/>
          <w:szCs w:val="24"/>
          <w:highlight w:val="none"/>
        </w:rPr>
        <w:t>投标人编制投标文件（</w:t>
      </w:r>
      <w:r>
        <w:rPr>
          <w:rFonts w:hint="eastAsia" w:ascii="仿宋" w:hAnsi="仿宋" w:eastAsia="仿宋" w:cs="仿宋"/>
          <w:b w:val="0"/>
          <w:bCs w:val="0"/>
          <w:color w:val="auto"/>
          <w:sz w:val="24"/>
          <w:szCs w:val="24"/>
          <w:highlight w:val="none"/>
          <w:lang w:eastAsia="zh-CN"/>
        </w:rPr>
        <w:t>商务技术</w:t>
      </w:r>
      <w:r>
        <w:rPr>
          <w:rFonts w:hint="eastAsia" w:ascii="仿宋" w:hAnsi="仿宋" w:eastAsia="仿宋" w:cs="仿宋"/>
          <w:b w:val="0"/>
          <w:bCs w:val="0"/>
          <w:color w:val="auto"/>
          <w:sz w:val="24"/>
          <w:szCs w:val="24"/>
          <w:highlight w:val="none"/>
        </w:rPr>
        <w:t>文件部分）时，建议按此目录（序号和内容）提供评标标准相应的</w:t>
      </w:r>
      <w:r>
        <w:rPr>
          <w:rFonts w:hint="eastAsia" w:ascii="仿宋" w:hAnsi="仿宋" w:eastAsia="仿宋" w:cs="仿宋"/>
          <w:b w:val="0"/>
          <w:bCs w:val="0"/>
          <w:color w:val="auto"/>
          <w:sz w:val="24"/>
          <w:szCs w:val="24"/>
          <w:highlight w:val="none"/>
          <w:lang w:eastAsia="zh-CN"/>
        </w:rPr>
        <w:t>商务技术</w:t>
      </w:r>
      <w:r>
        <w:rPr>
          <w:rFonts w:hint="eastAsia" w:ascii="仿宋" w:hAnsi="仿宋" w:eastAsia="仿宋" w:cs="仿宋"/>
          <w:b w:val="0"/>
          <w:bCs w:val="0"/>
          <w:color w:val="auto"/>
          <w:sz w:val="24"/>
          <w:szCs w:val="24"/>
          <w:highlight w:val="none"/>
        </w:rPr>
        <w:t>资料。</w:t>
      </w:r>
      <w:r>
        <w:rPr>
          <w:rFonts w:hint="eastAsia" w:ascii="仿宋" w:hAnsi="仿宋" w:eastAsia="仿宋" w:cs="仿宋"/>
          <w:color w:val="auto"/>
          <w:sz w:val="24"/>
          <w:szCs w:val="24"/>
          <w:highlight w:val="none"/>
        </w:rPr>
        <w:t> </w:t>
      </w:r>
    </w:p>
    <w:p w14:paraId="04E39476">
      <w:pPr>
        <w:pStyle w:val="9"/>
        <w:keepNext/>
        <w:keepLines/>
        <w:pageBreakBefore w:val="0"/>
        <w:widowControl w:val="0"/>
        <w:kinsoku/>
        <w:wordWrap/>
        <w:overflowPunct/>
        <w:topLinePunct w:val="0"/>
        <w:autoSpaceDE/>
        <w:autoSpaceDN/>
        <w:bidi w:val="0"/>
        <w:adjustRightInd/>
        <w:snapToGrid/>
        <w:spacing w:before="120" w:after="120" w:line="360" w:lineRule="auto"/>
        <w:ind w:firstLine="0" w:firstLineChars="0"/>
        <w:jc w:val="left"/>
        <w:textAlignment w:val="auto"/>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一、评标方法</w:t>
      </w:r>
    </w:p>
    <w:p w14:paraId="1F98DDA4">
      <w:pPr>
        <w:keepNext w:val="0"/>
        <w:keepLines w:val="0"/>
        <w:pageBreakBefore w:val="0"/>
        <w:widowControl w:val="0"/>
        <w:kinsoku/>
        <w:wordWrap/>
        <w:overflowPunct/>
        <w:topLinePunct w:val="0"/>
        <w:autoSpaceDE/>
        <w:autoSpaceDN/>
        <w:bidi w:val="0"/>
        <w:adjustRightInd/>
        <w:snapToGrid/>
        <w:spacing w:line="360" w:lineRule="auto"/>
        <w:ind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1.本项目采用综合评分法。</w:t>
      </w:r>
      <w:r>
        <w:rPr>
          <w:rFonts w:hint="eastAsia" w:ascii="仿宋" w:hAnsi="仿宋" w:eastAsia="仿宋" w:cs="仿宋"/>
          <w:color w:val="auto"/>
          <w:kern w:val="0"/>
          <w:sz w:val="24"/>
          <w:szCs w:val="24"/>
          <w:highlight w:val="none"/>
        </w:rPr>
        <w:t>综合评分法，是指投标文件满足招标文件全部实质性要求，且按照评审因素的量化指标评审得分最高的投标人为中标候选人的评标方法。</w:t>
      </w:r>
    </w:p>
    <w:p w14:paraId="6CA2582F">
      <w:pPr>
        <w:pStyle w:val="9"/>
        <w:keepNext/>
        <w:keepLines/>
        <w:pageBreakBefore w:val="0"/>
        <w:widowControl w:val="0"/>
        <w:kinsoku/>
        <w:wordWrap/>
        <w:overflowPunct/>
        <w:topLinePunct w:val="0"/>
        <w:autoSpaceDE/>
        <w:autoSpaceDN/>
        <w:bidi w:val="0"/>
        <w:adjustRightInd/>
        <w:snapToGrid/>
        <w:spacing w:before="120" w:after="120" w:line="360" w:lineRule="auto"/>
        <w:ind w:firstLine="0" w:firstLineChars="0"/>
        <w:jc w:val="left"/>
        <w:textAlignment w:val="auto"/>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val="en-US" w:eastAsia="zh-CN"/>
        </w:rPr>
        <w:t>二</w:t>
      </w:r>
      <w:r>
        <w:rPr>
          <w:rFonts w:hint="eastAsia" w:ascii="仿宋" w:hAnsi="仿宋" w:eastAsia="仿宋" w:cs="仿宋"/>
          <w:b/>
          <w:color w:val="auto"/>
          <w:sz w:val="30"/>
          <w:szCs w:val="30"/>
          <w:highlight w:val="none"/>
        </w:rPr>
        <w:t>、评标</w:t>
      </w:r>
      <w:r>
        <w:rPr>
          <w:rFonts w:hint="eastAsia" w:ascii="仿宋" w:hAnsi="仿宋" w:eastAsia="仿宋" w:cs="仿宋"/>
          <w:b/>
          <w:color w:val="auto"/>
          <w:sz w:val="30"/>
          <w:szCs w:val="30"/>
          <w:highlight w:val="none"/>
          <w:lang w:val="en-US" w:eastAsia="zh-CN"/>
        </w:rPr>
        <w:t>标准</w:t>
      </w:r>
    </w:p>
    <w:p w14:paraId="1670A97F">
      <w:pPr>
        <w:keepNext w:val="0"/>
        <w:keepLines w:val="0"/>
        <w:pageBreakBefore w:val="0"/>
        <w:widowControl w:val="0"/>
        <w:kinsoku/>
        <w:wordWrap/>
        <w:overflowPunct/>
        <w:topLinePunct w:val="0"/>
        <w:autoSpaceDE/>
        <w:autoSpaceDN/>
        <w:bidi w:val="0"/>
        <w:adjustRightInd/>
        <w:snapToGrid/>
        <w:spacing w:line="360" w:lineRule="auto"/>
        <w:ind w:firstLine="472" w:firstLineChars="196"/>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color w:val="auto"/>
          <w:kern w:val="0"/>
          <w:sz w:val="24"/>
          <w:szCs w:val="24"/>
          <w:highlight w:val="none"/>
        </w:rPr>
        <w:t>2. 评标标准：</w:t>
      </w:r>
      <w:r>
        <w:rPr>
          <w:rFonts w:hint="eastAsia" w:ascii="仿宋" w:hAnsi="仿宋" w:eastAsia="仿宋" w:cs="仿宋"/>
          <w:b w:val="0"/>
          <w:bCs/>
          <w:color w:val="auto"/>
          <w:kern w:val="0"/>
          <w:sz w:val="24"/>
          <w:szCs w:val="24"/>
          <w:highlight w:val="none"/>
        </w:rPr>
        <w:t>见评标办法前附表。</w:t>
      </w:r>
    </w:p>
    <w:p w14:paraId="209D7945">
      <w:pPr>
        <w:pStyle w:val="9"/>
        <w:keepNext/>
        <w:keepLines/>
        <w:pageBreakBefore w:val="0"/>
        <w:widowControl w:val="0"/>
        <w:kinsoku/>
        <w:wordWrap/>
        <w:overflowPunct/>
        <w:topLinePunct w:val="0"/>
        <w:autoSpaceDE/>
        <w:autoSpaceDN/>
        <w:bidi w:val="0"/>
        <w:adjustRightInd/>
        <w:snapToGrid/>
        <w:spacing w:before="120" w:after="120" w:line="360" w:lineRule="auto"/>
        <w:ind w:firstLine="0" w:firstLineChars="0"/>
        <w:jc w:val="left"/>
        <w:textAlignment w:val="auto"/>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val="en-US" w:eastAsia="zh-CN"/>
        </w:rPr>
        <w:t>三、评标程序</w:t>
      </w:r>
    </w:p>
    <w:p w14:paraId="4304EDA8">
      <w:pPr>
        <w:pageBreakBefore w:val="0"/>
        <w:kinsoku/>
        <w:wordWrap/>
        <w:overflowPunct/>
        <w:topLinePunct w:val="0"/>
        <w:autoSpaceDE/>
        <w:autoSpaceDN/>
        <w:bidi w:val="0"/>
        <w:snapToGrid/>
        <w:spacing w:line="360" w:lineRule="auto"/>
        <w:ind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3.1符合性审查。</w:t>
      </w:r>
      <w:r>
        <w:rPr>
          <w:rFonts w:hint="eastAsia" w:ascii="仿宋" w:hAnsi="仿宋" w:eastAsia="仿宋" w:cs="仿宋"/>
          <w:color w:val="auto"/>
          <w:kern w:val="0"/>
          <w:sz w:val="24"/>
          <w:szCs w:val="24"/>
          <w:highlight w:val="none"/>
        </w:rPr>
        <w:t>评标委员会应当对符合资格的投标人的投标文件进行符合性审查，以确定其是否满足招标文件的实质性要求。不满足招标文件的实质性要求的，投标无效。</w:t>
      </w:r>
    </w:p>
    <w:p w14:paraId="32BB02AF">
      <w:pPr>
        <w:pageBreakBefore w:val="0"/>
        <w:kinsoku/>
        <w:wordWrap/>
        <w:overflowPunct/>
        <w:topLinePunct w:val="0"/>
        <w:autoSpaceDE/>
        <w:autoSpaceDN/>
        <w:bidi w:val="0"/>
        <w:snapToGrid/>
        <w:spacing w:line="360" w:lineRule="auto"/>
        <w:ind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3.2 比较与评价。</w:t>
      </w:r>
      <w:r>
        <w:rPr>
          <w:rFonts w:hint="eastAsia" w:ascii="仿宋" w:hAnsi="仿宋" w:eastAsia="仿宋" w:cs="仿宋"/>
          <w:color w:val="auto"/>
          <w:kern w:val="0"/>
          <w:sz w:val="24"/>
          <w:szCs w:val="24"/>
          <w:highlight w:val="none"/>
        </w:rPr>
        <w:t>评标委员会应当按照招标文件中规定的评标方法和标准，对符合性审查合格的投标文件进行商务和技术评估，综合比较与评价。</w:t>
      </w:r>
    </w:p>
    <w:p w14:paraId="44780C92">
      <w:pPr>
        <w:pageBreakBefore w:val="0"/>
        <w:kinsoku/>
        <w:wordWrap/>
        <w:overflowPunct/>
        <w:topLinePunct w:val="0"/>
        <w:autoSpaceDE/>
        <w:autoSpaceDN/>
        <w:bidi w:val="0"/>
        <w:snapToGrid/>
        <w:spacing w:line="360" w:lineRule="auto"/>
        <w:ind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3.3汇总商务技术得分。</w:t>
      </w:r>
      <w:r>
        <w:rPr>
          <w:rFonts w:hint="eastAsia" w:ascii="仿宋" w:hAnsi="仿宋" w:eastAsia="仿宋" w:cs="仿宋"/>
          <w:color w:val="auto"/>
          <w:kern w:val="0"/>
          <w:sz w:val="24"/>
          <w:szCs w:val="24"/>
          <w:highlight w:val="none"/>
        </w:rPr>
        <w:t>评标委员会各成员应当独立对每个投标人的商务和技术文件进行评价，并汇总商务技术得分情况。</w:t>
      </w:r>
    </w:p>
    <w:p w14:paraId="6CAEAA45">
      <w:pPr>
        <w:pageBreakBefore w:val="0"/>
        <w:kinsoku/>
        <w:wordWrap/>
        <w:overflowPunct/>
        <w:topLinePunct w:val="0"/>
        <w:autoSpaceDE/>
        <w:autoSpaceDN/>
        <w:bidi w:val="0"/>
        <w:snapToGrid/>
        <w:spacing w:line="360" w:lineRule="auto"/>
        <w:ind w:firstLine="472" w:firstLineChars="196"/>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3.4报价评审。</w:t>
      </w:r>
    </w:p>
    <w:p w14:paraId="107009E1">
      <w:pPr>
        <w:pStyle w:val="26"/>
        <w:pageBreakBefore w:val="0"/>
        <w:kinsoku/>
        <w:wordWrap/>
        <w:overflowPunct/>
        <w:topLinePunct w:val="0"/>
        <w:autoSpaceDE/>
        <w:autoSpaceDN/>
        <w:bidi w:val="0"/>
        <w:snapToGrid/>
        <w:spacing w:before="0" w:line="360" w:lineRule="auto"/>
        <w:ind w:firstLine="508" w:firstLineChars="212"/>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3.4.1投标文件报价出现前后不一致的，按照下列规定修正：</w:t>
      </w:r>
    </w:p>
    <w:p w14:paraId="08537DC7">
      <w:pPr>
        <w:pStyle w:val="26"/>
        <w:pageBreakBefore w:val="0"/>
        <w:kinsoku/>
        <w:wordWrap/>
        <w:overflowPunct/>
        <w:topLinePunct w:val="0"/>
        <w:autoSpaceDE/>
        <w:autoSpaceDN/>
        <w:bidi w:val="0"/>
        <w:snapToGrid/>
        <w:spacing w:before="0"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3.4.1.1报价文件中开标一览表（报价表）内容与报价明细表相应内容不一致的，以开标一览表（报价表）为准（政采云系统开启报价若与报价文件不一致以报价文件为准）</w:t>
      </w:r>
      <w:r>
        <w:rPr>
          <w:rFonts w:hint="eastAsia" w:ascii="仿宋" w:hAnsi="仿宋" w:eastAsia="仿宋" w:cs="仿宋"/>
          <w:color w:val="auto"/>
          <w:kern w:val="0"/>
          <w:sz w:val="24"/>
          <w:szCs w:val="24"/>
          <w:highlight w:val="none"/>
          <w:lang w:eastAsia="zh-CN"/>
        </w:rPr>
        <w:t>；</w:t>
      </w:r>
    </w:p>
    <w:p w14:paraId="331D960C">
      <w:pPr>
        <w:pStyle w:val="26"/>
        <w:pageBreakBefore w:val="0"/>
        <w:kinsoku/>
        <w:wordWrap/>
        <w:overflowPunct/>
        <w:topLinePunct w:val="0"/>
        <w:autoSpaceDE/>
        <w:autoSpaceDN/>
        <w:bidi w:val="0"/>
        <w:snapToGrid/>
        <w:spacing w:before="0"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3.4.1.2大写金额和小写金额不一致的，以大写金额为准</w:t>
      </w:r>
      <w:r>
        <w:rPr>
          <w:rFonts w:hint="eastAsia" w:ascii="仿宋" w:hAnsi="仿宋" w:eastAsia="仿宋" w:cs="仿宋"/>
          <w:color w:val="auto"/>
          <w:kern w:val="0"/>
          <w:sz w:val="24"/>
          <w:szCs w:val="24"/>
          <w:highlight w:val="none"/>
          <w:lang w:eastAsia="zh-CN"/>
        </w:rPr>
        <w:t>；</w:t>
      </w:r>
    </w:p>
    <w:p w14:paraId="1230C351">
      <w:pPr>
        <w:pStyle w:val="26"/>
        <w:pageBreakBefore w:val="0"/>
        <w:kinsoku/>
        <w:wordWrap/>
        <w:overflowPunct/>
        <w:topLinePunct w:val="0"/>
        <w:autoSpaceDE/>
        <w:autoSpaceDN/>
        <w:bidi w:val="0"/>
        <w:snapToGrid/>
        <w:spacing w:before="0"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3.4.1.3单价金额小数点或者百分比有明显错位的，以</w:t>
      </w:r>
      <w:r>
        <w:rPr>
          <w:rFonts w:hint="eastAsia" w:ascii="仿宋" w:hAnsi="仿宋" w:eastAsia="仿宋" w:cs="仿宋"/>
          <w:color w:val="auto"/>
          <w:kern w:val="0"/>
          <w:sz w:val="24"/>
          <w:szCs w:val="24"/>
          <w:highlight w:val="none"/>
          <w:lang w:eastAsia="zh-CN"/>
        </w:rPr>
        <w:t>开标一览表（报价表）</w:t>
      </w:r>
      <w:r>
        <w:rPr>
          <w:rFonts w:hint="eastAsia" w:ascii="仿宋" w:hAnsi="仿宋" w:eastAsia="仿宋" w:cs="仿宋"/>
          <w:color w:val="auto"/>
          <w:kern w:val="0"/>
          <w:sz w:val="24"/>
          <w:szCs w:val="24"/>
          <w:highlight w:val="none"/>
        </w:rPr>
        <w:t>的总价为准，并修改单价</w:t>
      </w:r>
      <w:r>
        <w:rPr>
          <w:rFonts w:hint="eastAsia" w:ascii="仿宋" w:hAnsi="仿宋" w:eastAsia="仿宋" w:cs="仿宋"/>
          <w:color w:val="auto"/>
          <w:kern w:val="0"/>
          <w:sz w:val="24"/>
          <w:szCs w:val="24"/>
          <w:highlight w:val="none"/>
          <w:lang w:eastAsia="zh-CN"/>
        </w:rPr>
        <w:t>；</w:t>
      </w:r>
    </w:p>
    <w:p w14:paraId="0FD40B1E">
      <w:pPr>
        <w:pStyle w:val="26"/>
        <w:pageBreakBefore w:val="0"/>
        <w:kinsoku/>
        <w:wordWrap/>
        <w:overflowPunct/>
        <w:topLinePunct w:val="0"/>
        <w:autoSpaceDE/>
        <w:autoSpaceDN/>
        <w:bidi w:val="0"/>
        <w:snapToGrid/>
        <w:spacing w:before="0"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3.4.1.4总价金额与按单价汇总金额不一致的，以单价金额计算结果为准。</w:t>
      </w:r>
    </w:p>
    <w:p w14:paraId="3C8BBA12">
      <w:pPr>
        <w:pStyle w:val="26"/>
        <w:pageBreakBefore w:val="0"/>
        <w:kinsoku/>
        <w:wordWrap/>
        <w:overflowPunct/>
        <w:topLinePunct w:val="0"/>
        <w:autoSpaceDE/>
        <w:autoSpaceDN/>
        <w:bidi w:val="0"/>
        <w:snapToGrid/>
        <w:spacing w:before="0"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F1DA55D">
      <w:pPr>
        <w:pageBreakBefore w:val="0"/>
        <w:kinsoku/>
        <w:wordWrap/>
        <w:overflowPunct/>
        <w:topLinePunct w:val="0"/>
        <w:autoSpaceDE/>
        <w:autoSpaceDN/>
        <w:bidi w:val="0"/>
        <w:snapToGrid/>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3.4.2投标文件出现不是唯一的、有选择性投标报价的，投标无效。</w:t>
      </w:r>
    </w:p>
    <w:p w14:paraId="6F468CBD">
      <w:pPr>
        <w:pageBreakBefore w:val="0"/>
        <w:kinsoku/>
        <w:wordWrap/>
        <w:overflowPunct/>
        <w:topLinePunct w:val="0"/>
        <w:autoSpaceDE/>
        <w:autoSpaceDN/>
        <w:bidi w:val="0"/>
        <w:snapToGrid/>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3.4.3投标报价超过招标文件中规定的预算金额或者最高限价的，投标无效。</w:t>
      </w:r>
    </w:p>
    <w:p w14:paraId="4E36084A">
      <w:pPr>
        <w:pStyle w:val="26"/>
        <w:pageBreakBefore w:val="0"/>
        <w:kinsoku/>
        <w:wordWrap/>
        <w:overflowPunct/>
        <w:topLinePunct w:val="0"/>
        <w:autoSpaceDE/>
        <w:autoSpaceDN/>
        <w:bidi w:val="0"/>
        <w:snapToGrid/>
        <w:spacing w:before="0"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投标人不能证明其报价合理性的，评标委员会应当将其作为无效投标处理。</w:t>
      </w:r>
    </w:p>
    <w:p w14:paraId="60CCDA94">
      <w:pPr>
        <w:pStyle w:val="26"/>
        <w:pageBreakBefore w:val="0"/>
        <w:kinsoku/>
        <w:wordWrap/>
        <w:overflowPunct/>
        <w:topLinePunct w:val="0"/>
        <w:autoSpaceDE/>
        <w:autoSpaceDN/>
        <w:bidi w:val="0"/>
        <w:snapToGrid/>
        <w:spacing w:before="0" w:line="360" w:lineRule="auto"/>
        <w:ind w:firstLine="4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3.4.5对于未预留份额专门面向中小企业的政府采购服务项目，以及预留份额政府采购服务项目中的非预留部分标项，对小型和微型企业的投标报价给予</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%的扣除，用扣除后的价格参加评审。组成联合体或者接受分包的小微企业与联合体内其他企业、分包企业之间存在直接控股、管理关系的，不享受价格扣除优惠政策。</w:t>
      </w:r>
    </w:p>
    <w:p w14:paraId="2E84C220">
      <w:pPr>
        <w:pageBreakBefore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3.5排序与推荐。</w:t>
      </w:r>
      <w:r>
        <w:rPr>
          <w:rFonts w:hint="eastAsia" w:ascii="仿宋" w:hAnsi="仿宋" w:eastAsia="仿宋" w:cs="仿宋"/>
          <w:color w:val="auto"/>
          <w:kern w:val="0"/>
          <w:sz w:val="24"/>
          <w:szCs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A33DD42">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
          <w:color w:val="auto"/>
          <w:kern w:val="0"/>
          <w:sz w:val="24"/>
          <w:szCs w:val="24"/>
          <w:highlight w:val="none"/>
          <w:lang w:eastAsia="zh-CN"/>
        </w:rPr>
      </w:pPr>
      <w:r>
        <w:rPr>
          <w:rFonts w:hint="eastAsia" w:ascii="仿宋" w:hAnsi="仿宋" w:eastAsia="仿宋" w:cs="仿宋"/>
          <w:color w:val="auto"/>
          <w:kern w:val="0"/>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本项目不适用</w:t>
      </w:r>
      <w:r>
        <w:rPr>
          <w:rFonts w:hint="eastAsia" w:ascii="仿宋" w:hAnsi="仿宋" w:eastAsia="仿宋" w:cs="仿宋"/>
          <w:color w:val="auto"/>
          <w:kern w:val="0"/>
          <w:sz w:val="24"/>
          <w:szCs w:val="24"/>
          <w:highlight w:val="none"/>
          <w:lang w:eastAsia="zh-CN"/>
        </w:rPr>
        <w:t>）</w:t>
      </w:r>
    </w:p>
    <w:p w14:paraId="0AA3EAA0">
      <w:pPr>
        <w:pageBreakBefore w:val="0"/>
        <w:shd w:val="clear"/>
        <w:kinsoku/>
        <w:wordWrap/>
        <w:overflowPunct/>
        <w:topLinePunct w:val="0"/>
        <w:autoSpaceDE/>
        <w:autoSpaceDN/>
        <w:bidi w:val="0"/>
        <w:snapToGrid/>
        <w:spacing w:line="360" w:lineRule="auto"/>
        <w:ind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3.6编写评标报告。</w:t>
      </w:r>
      <w:r>
        <w:rPr>
          <w:rFonts w:hint="eastAsia" w:ascii="仿宋" w:hAnsi="仿宋" w:eastAsia="仿宋" w:cs="仿宋"/>
          <w:color w:val="auto"/>
          <w:kern w:val="0"/>
          <w:sz w:val="24"/>
          <w:szCs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2103CEC">
      <w:pPr>
        <w:pStyle w:val="9"/>
        <w:keepNext/>
        <w:keepLines/>
        <w:pageBreakBefore w:val="0"/>
        <w:widowControl w:val="0"/>
        <w:kinsoku/>
        <w:wordWrap/>
        <w:overflowPunct/>
        <w:topLinePunct w:val="0"/>
        <w:autoSpaceDE/>
        <w:autoSpaceDN/>
        <w:bidi w:val="0"/>
        <w:adjustRightInd/>
        <w:snapToGrid/>
        <w:spacing w:before="120" w:after="120" w:line="360" w:lineRule="auto"/>
        <w:ind w:firstLine="0" w:firstLineChars="0"/>
        <w:jc w:val="left"/>
        <w:textAlignment w:val="auto"/>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val="en-US" w:eastAsia="zh-CN"/>
        </w:rPr>
        <w:t>四、评标中的其他事项</w:t>
      </w:r>
    </w:p>
    <w:p w14:paraId="6D2EB448">
      <w:pPr>
        <w:pStyle w:val="26"/>
        <w:pageBreakBefore w:val="0"/>
        <w:shd w:val="clear"/>
        <w:kinsoku/>
        <w:wordWrap/>
        <w:overflowPunct/>
        <w:topLinePunct w:val="0"/>
        <w:autoSpaceDE/>
        <w:autoSpaceDN/>
        <w:bidi w:val="0"/>
        <w:snapToGrid/>
        <w:spacing w:before="0" w:line="360" w:lineRule="auto"/>
        <w:ind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4.1投标人澄清、说明或者补正。</w:t>
      </w:r>
      <w:r>
        <w:rPr>
          <w:rFonts w:hint="eastAsia" w:ascii="仿宋" w:hAnsi="仿宋" w:eastAsia="仿宋" w:cs="仿宋"/>
          <w:color w:val="auto"/>
          <w:kern w:val="0"/>
          <w:sz w:val="24"/>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43DA934">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4.2投标无效。</w:t>
      </w:r>
      <w:r>
        <w:rPr>
          <w:rFonts w:hint="eastAsia" w:ascii="仿宋" w:hAnsi="仿宋" w:eastAsia="仿宋" w:cs="仿宋"/>
          <w:color w:val="auto"/>
          <w:sz w:val="24"/>
          <w:szCs w:val="24"/>
          <w:highlight w:val="none"/>
        </w:rPr>
        <w:t>实质上没有响应招标文件要求的投标将被视为无效投标。投标人不得通过修正或撤销不合要求的偏离或保留从而使其投标成为实质上响应的投标。投标人如有下列情形之一的，其投标将被拒绝，投标文件无效：</w:t>
      </w:r>
    </w:p>
    <w:p w14:paraId="3C884042">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4.2.1不同投标人IP地址相同的，投标人未作合理说明，或理由不充分的，作无效响应处理；</w:t>
      </w:r>
    </w:p>
    <w:p w14:paraId="324FB4F5">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不同投标人MAC、设备硬件信息相同的，作无效响应处理，经核实存在串围标情形的，由财政部门按规定处理。</w:t>
      </w:r>
    </w:p>
    <w:p w14:paraId="2648F0E4">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投标人不具备招标文件中规定的资格要求的（投标人未提供有效的资格文件的，视为投标人不具备招标文件中规定的资格要求）；</w:t>
      </w:r>
    </w:p>
    <w:p w14:paraId="44F32A30">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投标文件未按照招标文件要求签署、盖章的；</w:t>
      </w:r>
    </w:p>
    <w:p w14:paraId="4B83C665">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采购人拟采购的产品属于政府强制采购的节能产品品目清单范围的，投标人相应的投标产品未获得国家确定的认证机构出具的、处于有效期之内的节能产品认证证书的；</w:t>
      </w:r>
    </w:p>
    <w:p w14:paraId="4CDC05FC">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6评审委员会评定有实质上“▲”条款的负偏离的。</w:t>
      </w:r>
    </w:p>
    <w:p w14:paraId="0DD7F4EF">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rPr>
        <w:t>投标文件含有采购人不能接受的附加条件的；</w:t>
      </w:r>
    </w:p>
    <w:p w14:paraId="1FF678A2">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rPr>
        <w:t>投标文件中承诺的投标有效期少于招标文件中载明的投标有效期的；</w:t>
      </w:r>
    </w:p>
    <w:p w14:paraId="430746CC">
      <w:pPr>
        <w:pageBreakBefore w:val="0"/>
        <w:kinsoku/>
        <w:wordWrap/>
        <w:overflowPunct/>
        <w:topLinePunct w:val="0"/>
        <w:autoSpaceDE/>
        <w:autoSpaceDN/>
        <w:bidi w:val="0"/>
        <w:snapToGrid/>
        <w:spacing w:line="360" w:lineRule="auto"/>
        <w:ind w:firstLine="120" w:firstLineChars="5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9</w:t>
      </w:r>
      <w:r>
        <w:rPr>
          <w:rFonts w:hint="eastAsia" w:ascii="仿宋" w:hAnsi="仿宋" w:eastAsia="仿宋" w:cs="仿宋"/>
          <w:color w:val="auto"/>
          <w:kern w:val="0"/>
          <w:sz w:val="24"/>
          <w:szCs w:val="24"/>
          <w:highlight w:val="none"/>
        </w:rPr>
        <w:t>投标文件出现不是唯一的、有选择性投标报价的</w:t>
      </w:r>
      <w:r>
        <w:rPr>
          <w:rFonts w:hint="eastAsia" w:ascii="仿宋" w:hAnsi="仿宋" w:eastAsia="仿宋" w:cs="仿宋"/>
          <w:color w:val="auto"/>
          <w:kern w:val="0"/>
          <w:sz w:val="24"/>
          <w:szCs w:val="24"/>
          <w:highlight w:val="none"/>
          <w:lang w:eastAsia="zh-CN"/>
        </w:rPr>
        <w:t>；</w:t>
      </w:r>
    </w:p>
    <w:p w14:paraId="113DC8A3">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10</w:t>
      </w:r>
      <w:r>
        <w:rPr>
          <w:rFonts w:hint="eastAsia" w:ascii="仿宋" w:hAnsi="仿宋" w:eastAsia="仿宋" w:cs="仿宋"/>
          <w:color w:val="auto"/>
          <w:kern w:val="0"/>
          <w:sz w:val="24"/>
          <w:szCs w:val="24"/>
          <w:highlight w:val="none"/>
        </w:rPr>
        <w:t>投标报价超过招标文件中规定的预算金额或者最高限价的</w:t>
      </w:r>
      <w:r>
        <w:rPr>
          <w:rFonts w:hint="eastAsia" w:ascii="仿宋" w:hAnsi="仿宋" w:eastAsia="仿宋" w:cs="仿宋"/>
          <w:color w:val="auto"/>
          <w:kern w:val="0"/>
          <w:sz w:val="24"/>
          <w:szCs w:val="24"/>
          <w:highlight w:val="none"/>
          <w:lang w:eastAsia="zh-CN"/>
        </w:rPr>
        <w:t>；</w:t>
      </w:r>
    </w:p>
    <w:p w14:paraId="1D74955B">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11招标文件中未要求，但投标人给予赠品、回扣或与采购无关的其他商品、服务的。</w:t>
      </w:r>
    </w:p>
    <w:p w14:paraId="0A84F912">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12</w:t>
      </w:r>
      <w:r>
        <w:rPr>
          <w:rFonts w:hint="eastAsia" w:ascii="仿宋" w:hAnsi="仿宋" w:eastAsia="仿宋" w:cs="仿宋"/>
          <w:color w:val="auto"/>
          <w:sz w:val="24"/>
          <w:highlight w:val="none"/>
        </w:rPr>
        <w:t>投标报价存在漏项或报价数量少于采购要求的。</w:t>
      </w:r>
    </w:p>
    <w:p w14:paraId="5F770C9A">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13</w:t>
      </w:r>
      <w:r>
        <w:rPr>
          <w:rFonts w:hint="eastAsia" w:ascii="仿宋" w:hAnsi="仿宋" w:eastAsia="仿宋" w:cs="仿宋"/>
          <w:color w:val="auto"/>
          <w:kern w:val="0"/>
          <w:sz w:val="24"/>
          <w:szCs w:val="24"/>
          <w:highlight w:val="none"/>
        </w:rPr>
        <w:t>报价明显低于其他通过符合性审查投标人的报价，有可能影响产品质量或者不能诚信履约的，未能按要求提供书面说明或者提交相关证明材料，不能证明其报价合理性的</w:t>
      </w:r>
      <w:r>
        <w:rPr>
          <w:rFonts w:hint="eastAsia" w:ascii="仿宋" w:hAnsi="仿宋" w:eastAsia="仿宋" w:cs="仿宋"/>
          <w:color w:val="auto"/>
          <w:kern w:val="0"/>
          <w:sz w:val="24"/>
          <w:szCs w:val="24"/>
          <w:highlight w:val="none"/>
          <w:lang w:eastAsia="zh-CN"/>
        </w:rPr>
        <w:t>；</w:t>
      </w:r>
    </w:p>
    <w:p w14:paraId="62CB0890">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14</w:t>
      </w:r>
      <w:r>
        <w:rPr>
          <w:rFonts w:hint="eastAsia" w:ascii="仿宋" w:hAnsi="仿宋" w:eastAsia="仿宋" w:cs="仿宋"/>
          <w:color w:val="auto"/>
          <w:kern w:val="0"/>
          <w:sz w:val="24"/>
          <w:szCs w:val="24"/>
          <w:highlight w:val="none"/>
        </w:rPr>
        <w:t>投标人对根据修正原则修正后的报价不确认的；</w:t>
      </w:r>
    </w:p>
    <w:p w14:paraId="2E060D03">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4.2.1</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投标人提供虚假材料投标的；</w:t>
      </w:r>
    </w:p>
    <w:p w14:paraId="5471B0F1">
      <w:pPr>
        <w:pageBreakBefore w:val="0"/>
        <w:kinsoku/>
        <w:wordWrap/>
        <w:overflowPunct/>
        <w:topLinePunct w:val="0"/>
        <w:autoSpaceDE/>
        <w:autoSpaceDN/>
        <w:bidi w:val="0"/>
        <w:snapToGrid/>
        <w:spacing w:line="360" w:lineRule="auto"/>
        <w:ind w:firstLine="240" w:firstLineChars="1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4.2.1</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投标人有恶意串通、妨碍其他投标人的竞争行为、损害采购人或者其他投标人的合法权益情形的；</w:t>
      </w:r>
    </w:p>
    <w:p w14:paraId="6B7A9100">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4.2.1</w:t>
      </w: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rPr>
        <w:t>投标人仅提交备份投标文件，未在电子交易平台传输递交投标文件的，投标无效；</w:t>
      </w:r>
    </w:p>
    <w:p w14:paraId="17DA780E">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lang w:val="en-US"/>
        </w:rPr>
      </w:pPr>
      <w:r>
        <w:rPr>
          <w:rFonts w:hint="eastAsia" w:ascii="仿宋" w:hAnsi="仿宋" w:eastAsia="仿宋" w:cs="仿宋"/>
          <w:color w:val="auto"/>
          <w:kern w:val="0"/>
          <w:sz w:val="24"/>
          <w:szCs w:val="24"/>
          <w:highlight w:val="none"/>
          <w:lang w:val="en-US"/>
        </w:rPr>
        <w:t>4.2.1</w:t>
      </w: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lang w:val="en-US"/>
        </w:rPr>
        <w:t>投标文件不满足招标文件的其它实质性要求的；</w:t>
      </w:r>
    </w:p>
    <w:p w14:paraId="0DD12CDE">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4.2.1</w:t>
      </w:r>
      <w:r>
        <w:rPr>
          <w:rFonts w:hint="eastAsia" w:ascii="仿宋" w:hAnsi="仿宋" w:eastAsia="仿宋" w:cs="仿宋"/>
          <w:color w:val="auto"/>
          <w:kern w:val="0"/>
          <w:sz w:val="24"/>
          <w:szCs w:val="24"/>
          <w:highlight w:val="none"/>
          <w:lang w:val="en-US" w:eastAsia="zh-CN"/>
        </w:rPr>
        <w:t>9《中小企业声明函》填写企业类型错误或者未填写企业类型的（本条针对专门面向中小企业项目）；</w:t>
      </w:r>
    </w:p>
    <w:p w14:paraId="00469DF6">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4.2.20参与同一个采购包（标段）的供应商存在下列情形之一的，其投标（响应）文件无效：（1）上传的电子投标（响应）文件若出现使用本项目其他投标（响应）人的数字证书加密的，或者加盖本项目其他投标（响应）人的电子印章的；（2）不同供应商的投标（响应）文件的内容存在两处以上细节错误一致，且无法合理解释的；（3）不同供应商联系人为同一人或不同联系人的联系电话一致，且无法合理解释的；</w:t>
      </w:r>
    </w:p>
    <w:p w14:paraId="73E8A78E">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4.2.21</w:t>
      </w:r>
      <w:r>
        <w:rPr>
          <w:rFonts w:hint="eastAsia" w:ascii="仿宋" w:hAnsi="仿宋" w:eastAsia="仿宋" w:cs="仿宋"/>
          <w:color w:val="auto"/>
          <w:kern w:val="0"/>
          <w:sz w:val="24"/>
          <w:szCs w:val="24"/>
          <w:highlight w:val="none"/>
        </w:rPr>
        <w:t>法律、法规、规章（适用本市的）及省级以上规范性文件（适用本市的）规定的其他无效情形。</w:t>
      </w:r>
    </w:p>
    <w:p w14:paraId="133E3326">
      <w:pPr>
        <w:pStyle w:val="8"/>
        <w:pageBreakBefore w:val="0"/>
        <w:kinsoku/>
        <w:wordWrap/>
        <w:overflowPunct/>
        <w:topLinePunct w:val="0"/>
        <w:autoSpaceDE/>
        <w:autoSpaceDN/>
        <w:bidi w:val="0"/>
        <w:snapToGrid/>
        <w:spacing w:beforeLines="0" w:afterLines="0" w:line="360" w:lineRule="auto"/>
        <w:ind w:firstLine="472" w:firstLineChars="196"/>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5.废标。</w:t>
      </w:r>
      <w:r>
        <w:rPr>
          <w:rFonts w:hint="eastAsia" w:ascii="仿宋" w:hAnsi="仿宋" w:eastAsia="仿宋" w:cs="仿宋"/>
          <w:color w:val="auto"/>
          <w:sz w:val="24"/>
          <w:szCs w:val="24"/>
          <w:highlight w:val="none"/>
        </w:rPr>
        <w:t>根据《中华人民共和国政府采购法》第三十六条之规定，在采购中，出现下列情形之一的，应予废标：</w:t>
      </w:r>
    </w:p>
    <w:p w14:paraId="4CB9CCB8">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5.1符合专业条件的供应商或者对招标文件作实质响应的供应商不足3家的；</w:t>
      </w:r>
    </w:p>
    <w:p w14:paraId="0DB62F09">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5.2出现影响采购公正的违法、违规行为的；</w:t>
      </w:r>
    </w:p>
    <w:p w14:paraId="78D6D530">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5.3投标人的报价均超过了采购预算，采购人不能支付的；</w:t>
      </w:r>
    </w:p>
    <w:p w14:paraId="5FD3C8FF">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5.4因重大变故，采购任务取消的。</w:t>
      </w:r>
    </w:p>
    <w:p w14:paraId="696665C2">
      <w:pPr>
        <w:pStyle w:val="8"/>
        <w:pageBreakBefore w:val="0"/>
        <w:kinsoku/>
        <w:wordWrap/>
        <w:overflowPunct/>
        <w:topLinePunct w:val="0"/>
        <w:autoSpaceDE/>
        <w:autoSpaceDN/>
        <w:bidi w:val="0"/>
        <w:snapToGrid/>
        <w:spacing w:beforeLines="0" w:afterLines="0" w:line="360" w:lineRule="auto"/>
        <w:ind w:firstLine="588" w:firstLineChars="24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废标后，采购代理机构应当将废标理由通知所有投标人。</w:t>
      </w:r>
    </w:p>
    <w:p w14:paraId="5B0FCECB">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6.修改招标文件，重新组织采购活动。</w:t>
      </w:r>
      <w:r>
        <w:rPr>
          <w:rFonts w:hint="eastAsia" w:ascii="仿宋" w:hAnsi="仿宋" w:eastAsia="仿宋" w:cs="仿宋"/>
          <w:color w:val="auto"/>
          <w:sz w:val="24"/>
          <w:szCs w:val="24"/>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88AF0E5">
      <w:pPr>
        <w:pStyle w:val="8"/>
        <w:pageBreakBefore w:val="0"/>
        <w:kinsoku/>
        <w:wordWrap/>
        <w:overflowPunct/>
        <w:topLinePunct w:val="0"/>
        <w:autoSpaceDE/>
        <w:autoSpaceDN/>
        <w:bidi w:val="0"/>
        <w:snapToGrid/>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7.重新开展采购。</w:t>
      </w:r>
      <w:r>
        <w:rPr>
          <w:rFonts w:hint="eastAsia" w:ascii="仿宋" w:hAnsi="仿宋" w:eastAsia="仿宋" w:cs="仿宋"/>
          <w:color w:val="auto"/>
          <w:sz w:val="24"/>
          <w:szCs w:val="24"/>
          <w:highlight w:val="none"/>
        </w:rPr>
        <w:t>有政府采购法第七十一条、第七十二条规定的违法行为之一，影响或者可能影响中标结果的，依照下列规定处理：</w:t>
      </w:r>
    </w:p>
    <w:p w14:paraId="228C290D">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7.1未确定中标供应商的，终止本次政府采购活动，重新开展政府采购活动。</w:t>
      </w:r>
    </w:p>
    <w:p w14:paraId="1BF73DDF">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7.2已确定中标供应商但尚未签订政府采购合同的，中标结果无效，从合格的中标候选人中另行确定中标供应商；没有合格的中标候选人的，重新开展政府采购活动。</w:t>
      </w:r>
    </w:p>
    <w:p w14:paraId="12FBB61E">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7.3政府采购合同已签订但尚未履行的，撤销合同，从合格的中标候选人中另行确定中标供应商；没有合格的中标候选人的，重新开展政府采购活动。</w:t>
      </w:r>
    </w:p>
    <w:p w14:paraId="5A5A9961">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7.4政府采购合同已经履行，给采购人、供应商造成损失的，由责任人承担赔偿责任。</w:t>
      </w:r>
    </w:p>
    <w:p w14:paraId="492F8D16">
      <w:pPr>
        <w:pStyle w:val="8"/>
        <w:pageBreakBefore w:val="0"/>
        <w:kinsoku/>
        <w:wordWrap/>
        <w:overflowPunct/>
        <w:topLinePunct w:val="0"/>
        <w:autoSpaceDE/>
        <w:autoSpaceDN/>
        <w:bidi w:val="0"/>
        <w:snapToGrid/>
        <w:spacing w:beforeLines="0" w:after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4199E089">
      <w:pPr>
        <w:rPr>
          <w:rFonts w:hint="eastAsia" w:ascii="仿宋" w:hAnsi="仿宋" w:eastAsia="仿宋" w:cs="仿宋"/>
          <w:color w:val="auto"/>
          <w:sz w:val="24"/>
          <w:szCs w:val="24"/>
          <w:highlight w:val="none"/>
        </w:rPr>
      </w:pPr>
    </w:p>
    <w:p w14:paraId="79A75900">
      <w:pPr>
        <w:numPr>
          <w:ilvl w:val="0"/>
          <w:numId w:val="7"/>
        </w:numPr>
        <w:wordWrap w:val="0"/>
        <w:adjustRightInd/>
        <w:spacing w:line="360" w:lineRule="auto"/>
        <w:jc w:val="center"/>
        <w:outlineLvl w:val="0"/>
        <w:rPr>
          <w:rFonts w:hint="eastAsia" w:ascii="仿宋" w:hAnsi="仿宋" w:eastAsia="仿宋" w:cs="仿宋"/>
          <w:b/>
          <w:color w:val="auto"/>
          <w:sz w:val="36"/>
          <w:szCs w:val="20"/>
          <w:highlight w:val="none"/>
          <w:lang w:val="en-US" w:eastAsia="zh-CN"/>
        </w:rPr>
      </w:pPr>
      <w:r>
        <w:rPr>
          <w:rFonts w:hint="eastAsia" w:ascii="仿宋" w:hAnsi="仿宋" w:eastAsia="仿宋" w:cs="仿宋"/>
          <w:b/>
          <w:color w:val="auto"/>
          <w:sz w:val="36"/>
          <w:szCs w:val="20"/>
          <w:highlight w:val="none"/>
          <w:lang w:val="en-US" w:eastAsia="zh-CN"/>
        </w:rPr>
        <w:t xml:space="preserve"> 拟签订的合同文本</w:t>
      </w:r>
    </w:p>
    <w:p w14:paraId="3A8B2224">
      <w:pPr>
        <w:rPr>
          <w:rFonts w:hint="eastAsia" w:ascii="仿宋" w:hAnsi="仿宋" w:eastAsia="仿宋" w:cs="仿宋"/>
          <w:color w:val="auto"/>
          <w:sz w:val="24"/>
          <w:szCs w:val="24"/>
          <w:highlight w:val="none"/>
        </w:rPr>
      </w:pPr>
    </w:p>
    <w:p w14:paraId="065EAFF4">
      <w:pPr>
        <w:rPr>
          <w:rFonts w:hint="eastAsia" w:ascii="仿宋" w:hAnsi="仿宋" w:eastAsia="仿宋" w:cs="仿宋"/>
          <w:color w:val="auto"/>
          <w:sz w:val="24"/>
          <w:szCs w:val="24"/>
          <w:highlight w:val="none"/>
        </w:rPr>
      </w:pPr>
    </w:p>
    <w:p w14:paraId="6B8983D9">
      <w:pPr>
        <w:rPr>
          <w:rFonts w:hint="eastAsia" w:ascii="仿宋" w:hAnsi="仿宋" w:eastAsia="仿宋" w:cs="仿宋"/>
          <w:color w:val="auto"/>
          <w:sz w:val="24"/>
          <w:szCs w:val="24"/>
          <w:u w:val="single"/>
        </w:rPr>
      </w:pPr>
      <w:r>
        <w:rPr>
          <w:rFonts w:hint="eastAsia" w:ascii="仿宋" w:hAnsi="仿宋" w:eastAsia="仿宋" w:cs="仿宋"/>
          <w:color w:val="auto"/>
          <w:sz w:val="24"/>
          <w:szCs w:val="24"/>
        </w:rPr>
        <w:t>合同编号：</w:t>
      </w:r>
      <w:r>
        <w:rPr>
          <w:rFonts w:hint="eastAsia" w:ascii="仿宋" w:hAnsi="仿宋" w:eastAsia="仿宋" w:cs="仿宋"/>
          <w:color w:val="auto"/>
          <w:sz w:val="24"/>
          <w:szCs w:val="24"/>
          <w:u w:val="single"/>
        </w:rPr>
        <w:t xml:space="preserve">           </w:t>
      </w:r>
    </w:p>
    <w:p w14:paraId="168ABBBC">
      <w:pPr>
        <w:spacing w:line="480" w:lineRule="auto"/>
        <w:jc w:val="center"/>
        <w:rPr>
          <w:rFonts w:hint="eastAsia" w:ascii="仿宋" w:hAnsi="仿宋" w:eastAsia="仿宋" w:cs="仿宋"/>
          <w:b/>
          <w:color w:val="auto"/>
          <w:sz w:val="24"/>
          <w:szCs w:val="24"/>
        </w:rPr>
      </w:pPr>
    </w:p>
    <w:p w14:paraId="03615BD5">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5568ADB1">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（服务类）</w:t>
      </w:r>
    </w:p>
    <w:p w14:paraId="72C8E76B">
      <w:pPr>
        <w:spacing w:before="120" w:line="22" w:lineRule="atLeast"/>
        <w:rPr>
          <w:rFonts w:hint="eastAsia" w:ascii="仿宋" w:hAnsi="仿宋" w:eastAsia="仿宋" w:cs="仿宋"/>
          <w:color w:val="auto"/>
          <w:sz w:val="24"/>
          <w:szCs w:val="24"/>
        </w:rPr>
      </w:pPr>
    </w:p>
    <w:p w14:paraId="0FF6B0F3">
      <w:pPr>
        <w:pStyle w:val="6"/>
        <w:rPr>
          <w:rFonts w:hint="eastAsia" w:ascii="仿宋" w:hAnsi="仿宋" w:eastAsia="仿宋" w:cs="仿宋"/>
          <w:color w:val="auto"/>
          <w:sz w:val="24"/>
          <w:szCs w:val="24"/>
        </w:rPr>
      </w:pPr>
    </w:p>
    <w:p w14:paraId="3C0D0715">
      <w:pPr>
        <w:spacing w:before="120" w:line="22" w:lineRule="atLeast"/>
        <w:ind w:left="960"/>
        <w:rPr>
          <w:rFonts w:hint="eastAsia" w:ascii="仿宋" w:hAnsi="仿宋" w:eastAsia="仿宋" w:cs="仿宋"/>
          <w:color w:val="auto"/>
          <w:sz w:val="24"/>
          <w:szCs w:val="24"/>
        </w:rPr>
      </w:pPr>
      <w:r>
        <w:rPr>
          <w:rFonts w:hint="eastAsia" w:ascii="仿宋" w:hAnsi="仿宋" w:eastAsia="仿宋" w:cs="仿宋"/>
          <w:color w:val="auto"/>
          <w:sz w:val="24"/>
          <w:szCs w:val="24"/>
        </w:rPr>
        <w:t>项目名称：</w:t>
      </w:r>
      <w:r>
        <w:rPr>
          <w:rFonts w:hint="eastAsia" w:ascii="仿宋" w:hAnsi="仿宋" w:eastAsia="仿宋" w:cs="仿宋"/>
          <w:color w:val="auto"/>
          <w:sz w:val="24"/>
          <w:szCs w:val="24"/>
          <w:u w:val="single"/>
        </w:rPr>
        <w:t xml:space="preserve">                                   </w:t>
      </w:r>
    </w:p>
    <w:p w14:paraId="0A32DD20">
      <w:pPr>
        <w:pStyle w:val="33"/>
        <w:spacing w:before="120" w:line="22" w:lineRule="atLeast"/>
        <w:rPr>
          <w:rFonts w:hint="eastAsia" w:ascii="仿宋" w:hAnsi="仿宋" w:eastAsia="仿宋" w:cs="仿宋"/>
          <w:color w:val="auto"/>
          <w:sz w:val="24"/>
          <w:szCs w:val="24"/>
        </w:rPr>
      </w:pPr>
    </w:p>
    <w:p w14:paraId="53789C70">
      <w:pPr>
        <w:pStyle w:val="33"/>
        <w:spacing w:before="120" w:line="22" w:lineRule="atLeast"/>
        <w:rPr>
          <w:rFonts w:hint="eastAsia" w:ascii="仿宋" w:hAnsi="仿宋" w:eastAsia="仿宋" w:cs="仿宋"/>
          <w:color w:val="auto"/>
          <w:sz w:val="24"/>
          <w:szCs w:val="24"/>
        </w:rPr>
      </w:pPr>
    </w:p>
    <w:p w14:paraId="48632578">
      <w:pPr>
        <w:rPr>
          <w:rFonts w:hint="eastAsia" w:ascii="仿宋" w:hAnsi="仿宋" w:eastAsia="仿宋" w:cs="仿宋"/>
          <w:color w:val="auto"/>
          <w:sz w:val="24"/>
          <w:szCs w:val="24"/>
        </w:rPr>
      </w:pPr>
    </w:p>
    <w:p w14:paraId="16E71BC7">
      <w:pPr>
        <w:spacing w:before="120" w:line="22" w:lineRule="atLeast"/>
        <w:ind w:left="960"/>
        <w:rPr>
          <w:rFonts w:hint="eastAsia" w:ascii="仿宋" w:hAnsi="仿宋" w:eastAsia="仿宋" w:cs="仿宋"/>
          <w:color w:val="auto"/>
          <w:sz w:val="24"/>
          <w:szCs w:val="24"/>
          <w:u w:val="single"/>
        </w:rPr>
      </w:pPr>
      <w:r>
        <w:rPr>
          <w:rFonts w:hint="eastAsia" w:ascii="仿宋" w:hAnsi="仿宋" w:eastAsia="仿宋" w:cs="仿宋"/>
          <w:color w:val="auto"/>
          <w:sz w:val="24"/>
          <w:szCs w:val="24"/>
        </w:rPr>
        <w:t>甲方：</w:t>
      </w:r>
      <w:r>
        <w:rPr>
          <w:rFonts w:hint="eastAsia" w:ascii="仿宋" w:hAnsi="仿宋" w:eastAsia="仿宋" w:cs="仿宋"/>
          <w:color w:val="auto"/>
          <w:sz w:val="24"/>
          <w:szCs w:val="24"/>
          <w:u w:val="single"/>
        </w:rPr>
        <w:t xml:space="preserve">                                       </w:t>
      </w:r>
    </w:p>
    <w:p w14:paraId="5FFFBBE7">
      <w:pPr>
        <w:spacing w:before="120" w:line="22" w:lineRule="atLeast"/>
        <w:rPr>
          <w:rFonts w:hint="eastAsia" w:ascii="仿宋" w:hAnsi="仿宋" w:eastAsia="仿宋" w:cs="仿宋"/>
          <w:color w:val="auto"/>
          <w:sz w:val="24"/>
          <w:szCs w:val="24"/>
        </w:rPr>
      </w:pPr>
    </w:p>
    <w:p w14:paraId="41BAAE74">
      <w:pPr>
        <w:spacing w:before="120" w:line="22" w:lineRule="atLeast"/>
        <w:ind w:left="960"/>
        <w:rPr>
          <w:rFonts w:hint="eastAsia" w:ascii="仿宋" w:hAnsi="仿宋" w:eastAsia="仿宋" w:cs="仿宋"/>
          <w:color w:val="auto"/>
          <w:sz w:val="24"/>
          <w:szCs w:val="24"/>
          <w:u w:val="single"/>
        </w:rPr>
      </w:pPr>
      <w:r>
        <w:rPr>
          <w:rFonts w:hint="eastAsia" w:ascii="仿宋" w:hAnsi="仿宋" w:eastAsia="仿宋" w:cs="仿宋"/>
          <w:color w:val="auto"/>
          <w:sz w:val="24"/>
          <w:szCs w:val="24"/>
        </w:rPr>
        <w:t>乙方：</w:t>
      </w:r>
      <w:r>
        <w:rPr>
          <w:rFonts w:hint="eastAsia" w:ascii="仿宋" w:hAnsi="仿宋" w:eastAsia="仿宋" w:cs="仿宋"/>
          <w:color w:val="auto"/>
          <w:sz w:val="24"/>
          <w:szCs w:val="24"/>
          <w:u w:val="single"/>
        </w:rPr>
        <w:t xml:space="preserve">                                       </w:t>
      </w:r>
    </w:p>
    <w:p w14:paraId="3D2814DA">
      <w:pPr>
        <w:spacing w:before="120" w:line="22" w:lineRule="atLeast"/>
        <w:rPr>
          <w:rFonts w:hint="eastAsia" w:ascii="仿宋" w:hAnsi="仿宋" w:eastAsia="仿宋" w:cs="仿宋"/>
          <w:color w:val="auto"/>
          <w:sz w:val="24"/>
          <w:szCs w:val="24"/>
        </w:rPr>
      </w:pPr>
    </w:p>
    <w:p w14:paraId="072335EB">
      <w:pPr>
        <w:spacing w:before="120" w:line="22" w:lineRule="atLeast"/>
        <w:ind w:firstLine="960" w:firstLineChars="400"/>
        <w:rPr>
          <w:rFonts w:hint="eastAsia" w:ascii="仿宋" w:hAnsi="仿宋" w:eastAsia="仿宋" w:cs="仿宋"/>
          <w:color w:val="auto"/>
          <w:sz w:val="24"/>
          <w:szCs w:val="24"/>
          <w:u w:val="single"/>
        </w:rPr>
      </w:pPr>
      <w:r>
        <w:rPr>
          <w:rFonts w:hint="eastAsia" w:ascii="仿宋" w:hAnsi="仿宋" w:eastAsia="仿宋" w:cs="仿宋"/>
          <w:color w:val="auto"/>
          <w:sz w:val="24"/>
          <w:szCs w:val="24"/>
        </w:rPr>
        <w:t>签订地：</w:t>
      </w:r>
      <w:r>
        <w:rPr>
          <w:rFonts w:hint="eastAsia" w:ascii="仿宋" w:hAnsi="仿宋" w:eastAsia="仿宋" w:cs="仿宋"/>
          <w:color w:val="auto"/>
          <w:sz w:val="24"/>
          <w:szCs w:val="24"/>
          <w:u w:val="single"/>
        </w:rPr>
        <w:t xml:space="preserve">                                     </w:t>
      </w:r>
    </w:p>
    <w:p w14:paraId="039B19FA">
      <w:pPr>
        <w:spacing w:before="120" w:line="22" w:lineRule="atLeast"/>
        <w:rPr>
          <w:rFonts w:hint="eastAsia" w:ascii="仿宋" w:hAnsi="仿宋" w:eastAsia="仿宋" w:cs="仿宋"/>
          <w:color w:val="auto"/>
          <w:sz w:val="24"/>
          <w:szCs w:val="24"/>
        </w:rPr>
      </w:pPr>
    </w:p>
    <w:p w14:paraId="0A064E57">
      <w:pPr>
        <w:spacing w:before="120" w:line="22" w:lineRule="atLeast"/>
        <w:ind w:firstLine="960" w:firstLineChars="400"/>
        <w:rPr>
          <w:rFonts w:hint="eastAsia" w:ascii="仿宋" w:hAnsi="仿宋" w:eastAsia="仿宋" w:cs="仿宋"/>
          <w:color w:val="auto"/>
          <w:sz w:val="24"/>
          <w:szCs w:val="24"/>
          <w:u w:val="single"/>
        </w:rPr>
      </w:pPr>
      <w:r>
        <w:rPr>
          <w:rFonts w:hint="eastAsia" w:ascii="仿宋" w:hAnsi="仿宋" w:eastAsia="仿宋" w:cs="仿宋"/>
          <w:color w:val="auto"/>
          <w:sz w:val="24"/>
          <w:szCs w:val="24"/>
        </w:rPr>
        <w:t>签订日期：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51CFBA9C">
      <w:pPr>
        <w:widowControl/>
        <w:jc w:val="left"/>
        <w:rPr>
          <w:rFonts w:hint="eastAsia" w:ascii="仿宋" w:hAnsi="仿宋" w:eastAsia="仿宋" w:cs="仿宋"/>
          <w:color w:val="auto"/>
          <w:kern w:val="0"/>
          <w:sz w:val="24"/>
          <w:szCs w:val="24"/>
        </w:rPr>
        <w:sectPr>
          <w:pgSz w:w="11907" w:h="16840"/>
          <w:pgMar w:top="1440" w:right="1531" w:bottom="1440" w:left="1531" w:header="851" w:footer="851" w:gutter="0"/>
          <w:pgBorders>
            <w:top w:val="none" w:sz="0" w:space="0"/>
            <w:left w:val="none" w:sz="0" w:space="0"/>
            <w:bottom w:val="none" w:sz="0" w:space="0"/>
            <w:right w:val="none" w:sz="0" w:space="0"/>
          </w:pgBorders>
          <w:pgNumType w:fmt="decimal"/>
          <w:cols w:space="720" w:num="1"/>
        </w:sectPr>
      </w:pPr>
    </w:p>
    <w:p w14:paraId="1B9FD00A">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采购人：</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（以下</w:t>
      </w:r>
      <w:r>
        <w:rPr>
          <w:rFonts w:hint="eastAsia" w:ascii="仿宋" w:hAnsi="仿宋" w:eastAsia="仿宋" w:cs="仿宋"/>
          <w:color w:val="auto"/>
          <w:kern w:val="0"/>
          <w:sz w:val="24"/>
          <w:szCs w:val="24"/>
          <w:lang w:val="en-US" w:eastAsia="zh-CN"/>
        </w:rPr>
        <w:t>简称</w:t>
      </w:r>
      <w:r>
        <w:rPr>
          <w:rFonts w:hint="eastAsia" w:ascii="仿宋" w:hAnsi="仿宋" w:eastAsia="仿宋" w:cs="仿宋"/>
          <w:color w:val="auto"/>
          <w:kern w:val="0"/>
          <w:sz w:val="24"/>
          <w:szCs w:val="24"/>
        </w:rPr>
        <w:t>甲方）</w:t>
      </w:r>
    </w:p>
    <w:p w14:paraId="3D78E989">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中标人：</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（以下</w:t>
      </w:r>
      <w:r>
        <w:rPr>
          <w:rFonts w:hint="eastAsia" w:ascii="仿宋" w:hAnsi="仿宋" w:eastAsia="仿宋" w:cs="仿宋"/>
          <w:color w:val="auto"/>
          <w:kern w:val="0"/>
          <w:sz w:val="24"/>
          <w:szCs w:val="24"/>
          <w:lang w:val="en-US" w:eastAsia="zh-CN"/>
        </w:rPr>
        <w:t>简称</w:t>
      </w:r>
      <w:r>
        <w:rPr>
          <w:rFonts w:hint="eastAsia" w:ascii="仿宋" w:hAnsi="仿宋" w:eastAsia="仿宋" w:cs="仿宋"/>
          <w:color w:val="auto"/>
          <w:kern w:val="0"/>
          <w:sz w:val="24"/>
          <w:szCs w:val="24"/>
        </w:rPr>
        <w:t>乙方）</w:t>
      </w:r>
    </w:p>
    <w:p w14:paraId="2CD18F77">
      <w:pPr>
        <w:spacing w:line="240" w:lineRule="auto"/>
        <w:ind w:firstLine="480" w:firstLineChars="200"/>
        <w:rPr>
          <w:rFonts w:hint="eastAsia" w:ascii="仿宋" w:hAnsi="仿宋" w:eastAsia="仿宋" w:cs="仿宋"/>
          <w:color w:val="auto"/>
          <w:sz w:val="24"/>
          <w:highlight w:val="none"/>
          <w:u w:val="single"/>
          <w:lang w:val="zh-CN"/>
        </w:rPr>
      </w:pPr>
    </w:p>
    <w:p w14:paraId="099F8D39">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年</w:t>
      </w:r>
      <w:r>
        <w:rPr>
          <w:rFonts w:hint="eastAsia"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月</w:t>
      </w:r>
      <w:r>
        <w:rPr>
          <w:rFonts w:hint="eastAsia"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日</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浙江遂昌经济开发区管理委员会 </w:t>
      </w:r>
      <w:r>
        <w:rPr>
          <w:rFonts w:hint="eastAsia" w:ascii="仿宋" w:hAnsi="仿宋" w:eastAsia="仿宋" w:cs="仿宋"/>
          <w:color w:val="auto"/>
          <w:sz w:val="24"/>
          <w:szCs w:val="24"/>
        </w:rPr>
        <w:t>以</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公开招标</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eastAsia="zh-CN"/>
        </w:rPr>
        <w:t>遂昌县第二污水处理厂2025-2026年度代管运维服务项目</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进行了采购。经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评审委员会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评定，</w:t>
      </w:r>
      <w:r>
        <w:rPr>
          <w:rFonts w:hint="eastAsia" w:ascii="仿宋" w:hAnsi="仿宋" w:eastAsia="仿宋" w:cs="仿宋"/>
          <w:color w:val="auto"/>
          <w:sz w:val="24"/>
          <w:szCs w:val="24"/>
          <w:u w:val="single"/>
        </w:rPr>
        <w:t xml:space="preserve"> （中标或者成交供应商名称） </w:t>
      </w:r>
      <w:r>
        <w:rPr>
          <w:rFonts w:hint="eastAsia" w:ascii="仿宋" w:hAnsi="仿宋" w:eastAsia="仿宋" w:cs="仿宋"/>
          <w:color w:val="auto"/>
          <w:sz w:val="24"/>
          <w:szCs w:val="24"/>
        </w:rPr>
        <w:t>为该项目中标或者成交供应商。现于中标或者成交通知书发出之日起</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个工作日内，按照采购文件确定的事项签订本合同。</w:t>
      </w:r>
    </w:p>
    <w:p w14:paraId="795B007C">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szCs w:val="24"/>
          <w:u w:val="single"/>
        </w:rPr>
        <w:t xml:space="preserve"> 浙江遂昌经济开发区管理委员会  </w:t>
      </w:r>
      <w:r>
        <w:rPr>
          <w:rFonts w:hint="eastAsia" w:ascii="仿宋" w:hAnsi="仿宋" w:eastAsia="仿宋" w:cs="仿宋"/>
          <w:color w:val="auto"/>
          <w:sz w:val="24"/>
          <w:szCs w:val="24"/>
          <w:lang w:val="zh-CN"/>
        </w:rPr>
        <w:t>(以下简称：甲方)和</w:t>
      </w:r>
      <w:r>
        <w:rPr>
          <w:rFonts w:hint="eastAsia" w:ascii="仿宋" w:hAnsi="仿宋" w:eastAsia="仿宋" w:cs="仿宋"/>
          <w:color w:val="auto"/>
          <w:sz w:val="24"/>
          <w:szCs w:val="24"/>
          <w:u w:val="single"/>
        </w:rPr>
        <w:t xml:space="preserve">   （中或者成交标供应商名称）   </w:t>
      </w:r>
      <w:r>
        <w:rPr>
          <w:rFonts w:hint="eastAsia" w:ascii="仿宋" w:hAnsi="仿宋" w:eastAsia="仿宋" w:cs="仿宋"/>
          <w:color w:val="auto"/>
          <w:sz w:val="24"/>
          <w:szCs w:val="24"/>
          <w:lang w:val="zh-CN"/>
        </w:rPr>
        <w:t>(以下简称：乙方)协商一致，约定以下合同</w:t>
      </w:r>
      <w:r>
        <w:rPr>
          <w:rFonts w:hint="eastAsia" w:ascii="仿宋" w:hAnsi="仿宋" w:eastAsia="仿宋" w:cs="仿宋"/>
          <w:color w:val="auto"/>
          <w:sz w:val="24"/>
          <w:szCs w:val="24"/>
        </w:rPr>
        <w:t>条款，以兹共同遵守、全面履行。</w:t>
      </w:r>
    </w:p>
    <w:p w14:paraId="3D6AE451">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color w:val="auto"/>
          <w:sz w:val="24"/>
          <w:szCs w:val="24"/>
        </w:rPr>
      </w:pPr>
      <w:bookmarkStart w:id="391" w:name="_Toc28855"/>
      <w:bookmarkStart w:id="392" w:name="_Toc20421"/>
      <w:bookmarkStart w:id="393" w:name="_Toc19273"/>
      <w:bookmarkStart w:id="394" w:name="_Toc22967"/>
      <w:bookmarkStart w:id="395" w:name="_Toc15367"/>
      <w:r>
        <w:rPr>
          <w:rFonts w:hint="eastAsia" w:ascii="仿宋" w:hAnsi="仿宋" w:eastAsia="仿宋" w:cs="仿宋"/>
          <w:b/>
          <w:color w:val="auto"/>
          <w:sz w:val="24"/>
          <w:szCs w:val="24"/>
        </w:rPr>
        <w:t>合同组成部分</w:t>
      </w:r>
      <w:bookmarkEnd w:id="391"/>
      <w:bookmarkEnd w:id="392"/>
      <w:bookmarkEnd w:id="393"/>
      <w:bookmarkEnd w:id="394"/>
      <w:bookmarkEnd w:id="395"/>
    </w:p>
    <w:p w14:paraId="79754610">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E30D713">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1.1 本合同及其补充合同、变更协议；</w:t>
      </w:r>
    </w:p>
    <w:p w14:paraId="21A092F3">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1.2 中标或者成交通知书；</w:t>
      </w:r>
    </w:p>
    <w:p w14:paraId="631787B0">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1.3 投标或者响应文件（含澄清或者说明文件）；</w:t>
      </w:r>
    </w:p>
    <w:p w14:paraId="2F1E1CEA">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1.4 采购文件（含澄清或者修改文件）；</w:t>
      </w:r>
    </w:p>
    <w:p w14:paraId="00497F96">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1.5 其他相关采购文件。</w:t>
      </w:r>
    </w:p>
    <w:p w14:paraId="554E8DC9">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rPr>
      </w:pPr>
      <w:r>
        <w:rPr>
          <w:rFonts w:hint="eastAsia" w:ascii="仿宋" w:hAnsi="仿宋" w:eastAsia="仿宋" w:cs="仿宋"/>
          <w:b/>
          <w:color w:val="auto"/>
          <w:sz w:val="24"/>
          <w:szCs w:val="24"/>
        </w:rPr>
        <w:t>服务内容</w:t>
      </w:r>
      <w:r>
        <w:rPr>
          <w:rFonts w:hint="eastAsia" w:ascii="仿宋" w:hAnsi="仿宋" w:eastAsia="仿宋" w:cs="仿宋"/>
          <w:b/>
          <w:color w:val="auto"/>
          <w:sz w:val="24"/>
          <w:szCs w:val="24"/>
          <w:lang w:val="en-US" w:eastAsia="zh-CN"/>
        </w:rPr>
        <w:t>和范围</w:t>
      </w:r>
    </w:p>
    <w:p w14:paraId="68D4FD80">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.1</w:t>
      </w:r>
      <w:r>
        <w:rPr>
          <w:rFonts w:hint="eastAsia" w:ascii="仿宋" w:hAnsi="仿宋" w:eastAsia="仿宋" w:cs="仿宋"/>
          <w:color w:val="auto"/>
          <w:sz w:val="24"/>
          <w:szCs w:val="24"/>
        </w:rPr>
        <w:t xml:space="preserve"> </w:t>
      </w:r>
      <w:r>
        <w:rPr>
          <w:rFonts w:hint="eastAsia" w:ascii="仿宋" w:hAnsi="仿宋" w:eastAsia="仿宋" w:cs="仿宋"/>
          <w:caps w:val="0"/>
          <w:color w:val="auto"/>
          <w:spacing w:val="0"/>
          <w:position w:val="0"/>
          <w:sz w:val="24"/>
          <w:szCs w:val="24"/>
          <w:lang w:eastAsia="zh-CN"/>
        </w:rPr>
        <w:t>污水处理厂</w:t>
      </w:r>
      <w:r>
        <w:rPr>
          <w:rFonts w:hint="eastAsia" w:ascii="仿宋" w:hAnsi="仿宋" w:eastAsia="仿宋" w:cs="仿宋"/>
          <w:caps w:val="0"/>
          <w:color w:val="auto"/>
          <w:spacing w:val="0"/>
          <w:position w:val="0"/>
          <w:sz w:val="24"/>
          <w:szCs w:val="24"/>
        </w:rPr>
        <w:t>实行每天24小时值班制度，确保</w:t>
      </w:r>
      <w:r>
        <w:rPr>
          <w:rFonts w:hint="eastAsia" w:ascii="仿宋" w:hAnsi="仿宋" w:eastAsia="仿宋" w:cs="仿宋"/>
          <w:caps w:val="0"/>
          <w:color w:val="auto"/>
          <w:spacing w:val="0"/>
          <w:position w:val="0"/>
          <w:sz w:val="24"/>
          <w:szCs w:val="24"/>
          <w:lang w:eastAsia="zh-CN"/>
        </w:rPr>
        <w:t>污水处理厂</w:t>
      </w:r>
      <w:r>
        <w:rPr>
          <w:rFonts w:hint="eastAsia" w:ascii="仿宋" w:hAnsi="仿宋" w:eastAsia="仿宋" w:cs="仿宋"/>
          <w:caps w:val="0"/>
          <w:color w:val="auto"/>
          <w:spacing w:val="0"/>
          <w:position w:val="0"/>
          <w:sz w:val="24"/>
          <w:szCs w:val="24"/>
        </w:rPr>
        <w:t>等系统设备每天24小时正常运行和排放</w:t>
      </w:r>
      <w:r>
        <w:rPr>
          <w:rFonts w:hint="eastAsia" w:ascii="仿宋" w:hAnsi="仿宋" w:eastAsia="仿宋" w:cs="仿宋"/>
          <w:caps w:val="0"/>
          <w:color w:val="auto"/>
          <w:spacing w:val="0"/>
          <w:position w:val="0"/>
          <w:sz w:val="24"/>
          <w:szCs w:val="24"/>
          <w:lang w:val="en-US" w:eastAsia="zh-CN"/>
        </w:rPr>
        <w:t>污水</w:t>
      </w:r>
      <w:r>
        <w:rPr>
          <w:rFonts w:hint="eastAsia" w:ascii="仿宋" w:hAnsi="仿宋" w:eastAsia="仿宋" w:cs="仿宋"/>
          <w:caps w:val="0"/>
          <w:color w:val="auto"/>
          <w:spacing w:val="0"/>
          <w:position w:val="0"/>
          <w:sz w:val="24"/>
          <w:szCs w:val="24"/>
        </w:rPr>
        <w:t>达标；乙方需保证</w:t>
      </w:r>
      <w:r>
        <w:rPr>
          <w:rFonts w:hint="eastAsia" w:ascii="仿宋" w:hAnsi="仿宋" w:eastAsia="仿宋" w:cs="仿宋"/>
          <w:caps w:val="0"/>
          <w:color w:val="auto"/>
          <w:spacing w:val="0"/>
          <w:position w:val="0"/>
          <w:sz w:val="24"/>
          <w:szCs w:val="24"/>
          <w:lang w:eastAsia="zh-CN"/>
        </w:rPr>
        <w:t>污水处理厂</w:t>
      </w:r>
      <w:r>
        <w:rPr>
          <w:rFonts w:hint="eastAsia" w:ascii="仿宋" w:hAnsi="仿宋" w:eastAsia="仿宋" w:cs="仿宋"/>
          <w:caps w:val="0"/>
          <w:color w:val="auto"/>
          <w:spacing w:val="0"/>
          <w:position w:val="0"/>
          <w:sz w:val="24"/>
          <w:szCs w:val="24"/>
        </w:rPr>
        <w:t>等每天24小时都有值班运行人员，并且值班人员需持证上岗。</w:t>
      </w:r>
    </w:p>
    <w:p w14:paraId="289D4885">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.2</w:t>
      </w:r>
      <w:r>
        <w:rPr>
          <w:rFonts w:hint="eastAsia" w:ascii="仿宋" w:hAnsi="仿宋" w:eastAsia="仿宋" w:cs="仿宋"/>
          <w:color w:val="auto"/>
          <w:sz w:val="24"/>
          <w:szCs w:val="24"/>
        </w:rPr>
        <w:t xml:space="preserve"> </w:t>
      </w:r>
      <w:r>
        <w:rPr>
          <w:rFonts w:hint="eastAsia" w:ascii="仿宋" w:hAnsi="仿宋" w:eastAsia="仿宋" w:cs="仿宋"/>
          <w:caps w:val="0"/>
          <w:color w:val="auto"/>
          <w:spacing w:val="0"/>
          <w:position w:val="0"/>
          <w:sz w:val="24"/>
          <w:szCs w:val="24"/>
        </w:rPr>
        <w:t>负责设备维修、维护、更换及管理：</w:t>
      </w:r>
    </w:p>
    <w:p w14:paraId="657CB02C">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甲方除运维服务费外不再另行支付任何费用。在今后运维过程中没有按相关规定操作、运维不到位及其他一切原因造成的设施损坏，所产生的损失(包括维修、更换费用)不管金额多少全部由乙方承担，并由乙方及时组织维修、更换，若乙方拒不组织维修、更换，甲方可自行组织力量进行维修、更换，维修、更换经费直接在运行管理费用中扣除。</w:t>
      </w:r>
    </w:p>
    <w:p w14:paraId="0E6C23F0">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(2)待合同结束后，甲方与乙方组织人员对设备进行排查，排查时发现的设备故障，全部由乙方负责维修或更换，确保设备无故障能正常运行后移交给甲方，</w:t>
      </w:r>
      <w:r>
        <w:rPr>
          <w:rFonts w:hint="eastAsia" w:ascii="仿宋" w:hAnsi="仿宋" w:eastAsia="仿宋" w:cs="仿宋"/>
          <w:caps w:val="0"/>
          <w:color w:val="auto"/>
          <w:spacing w:val="0"/>
          <w:position w:val="0"/>
          <w:sz w:val="24"/>
          <w:szCs w:val="24"/>
          <w:lang w:eastAsia="zh-CN"/>
        </w:rPr>
        <w:t>甲方</w:t>
      </w:r>
      <w:r>
        <w:rPr>
          <w:rFonts w:hint="eastAsia" w:ascii="仿宋" w:hAnsi="仿宋" w:eastAsia="仿宋" w:cs="仿宋"/>
          <w:caps w:val="0"/>
          <w:color w:val="auto"/>
          <w:spacing w:val="0"/>
          <w:position w:val="0"/>
          <w:sz w:val="24"/>
          <w:szCs w:val="24"/>
        </w:rPr>
        <w:t>予以支付项目尾款。</w:t>
      </w:r>
    </w:p>
    <w:p w14:paraId="5CB4A6C9">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.3 负责对厂区绿化的日常维护及施肥、构筑物的日常维护、土建维护管理费用(包括土建的小修小补)及进水污水管网及泵站</w:t>
      </w:r>
      <w:r>
        <w:rPr>
          <w:rFonts w:hint="eastAsia" w:ascii="仿宋" w:hAnsi="仿宋" w:eastAsia="仿宋" w:cs="仿宋"/>
          <w:caps w:val="0"/>
          <w:color w:val="auto"/>
          <w:spacing w:val="0"/>
          <w:position w:val="0"/>
          <w:sz w:val="24"/>
          <w:szCs w:val="24"/>
          <w:lang w:eastAsia="zh-CN"/>
        </w:rPr>
        <w:t>（</w:t>
      </w:r>
      <w:r>
        <w:rPr>
          <w:rFonts w:hint="eastAsia" w:ascii="仿宋" w:hAnsi="仿宋" w:eastAsia="仿宋" w:cs="仿宋"/>
          <w:caps w:val="0"/>
          <w:color w:val="auto"/>
          <w:spacing w:val="0"/>
          <w:sz w:val="24"/>
          <w:szCs w:val="21"/>
          <w:lang w:eastAsia="zh-CN"/>
        </w:rPr>
        <w:t>包含毛田区块泵站和经开区污水调度工程的二级泵站）</w:t>
      </w:r>
      <w:r>
        <w:rPr>
          <w:rFonts w:hint="eastAsia" w:ascii="仿宋" w:hAnsi="仿宋" w:eastAsia="仿宋" w:cs="仿宋"/>
          <w:caps w:val="0"/>
          <w:color w:val="auto"/>
          <w:spacing w:val="0"/>
          <w:position w:val="0"/>
          <w:sz w:val="24"/>
          <w:szCs w:val="24"/>
        </w:rPr>
        <w:t>的日常巡查及管理，产生的费用均</w:t>
      </w:r>
      <w:r>
        <w:rPr>
          <w:rFonts w:hint="eastAsia" w:ascii="仿宋" w:hAnsi="仿宋" w:eastAsia="仿宋" w:cs="仿宋"/>
          <w:caps w:val="0"/>
          <w:color w:val="auto"/>
          <w:spacing w:val="0"/>
          <w:position w:val="0"/>
          <w:sz w:val="24"/>
          <w:szCs w:val="24"/>
          <w:lang w:val="en-US" w:eastAsia="zh-CN"/>
        </w:rPr>
        <w:t>包含在合同价款中</w:t>
      </w:r>
      <w:r>
        <w:rPr>
          <w:rFonts w:hint="eastAsia" w:ascii="仿宋" w:hAnsi="仿宋" w:eastAsia="仿宋" w:cs="仿宋"/>
          <w:caps w:val="0"/>
          <w:color w:val="auto"/>
          <w:spacing w:val="0"/>
          <w:position w:val="0"/>
          <w:sz w:val="24"/>
          <w:szCs w:val="24"/>
        </w:rPr>
        <w:t>。</w:t>
      </w:r>
    </w:p>
    <w:p w14:paraId="6FD656BD">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aps w:val="0"/>
          <w:color w:val="auto"/>
          <w:spacing w:val="0"/>
          <w:position w:val="0"/>
          <w:sz w:val="24"/>
          <w:szCs w:val="24"/>
          <w:highlight w:val="none"/>
          <w:lang w:val="en-US" w:eastAsia="zh-CN"/>
        </w:rPr>
        <w:t xml:space="preserve">2.4 </w:t>
      </w:r>
      <w:r>
        <w:rPr>
          <w:rFonts w:hint="eastAsia" w:ascii="仿宋" w:hAnsi="仿宋" w:eastAsia="仿宋" w:cs="仿宋"/>
          <w:caps w:val="0"/>
          <w:color w:val="auto"/>
          <w:spacing w:val="0"/>
          <w:position w:val="0"/>
          <w:sz w:val="24"/>
          <w:szCs w:val="24"/>
          <w:highlight w:val="none"/>
        </w:rPr>
        <w:t>保证污水达标排放，因乙方管理不善造成排污超标的，行政处罚及相应的行政罚款由中标人自行承担(</w:t>
      </w:r>
      <w:r>
        <w:rPr>
          <w:rFonts w:hint="eastAsia" w:ascii="仿宋" w:hAnsi="仿宋" w:eastAsia="仿宋" w:cs="仿宋"/>
          <w:caps w:val="0"/>
          <w:color w:val="auto"/>
          <w:spacing w:val="0"/>
          <w:sz w:val="24"/>
          <w:szCs w:val="21"/>
          <w:highlight w:val="none"/>
        </w:rPr>
        <w:t>因进水水质超设计进水</w:t>
      </w:r>
      <w:r>
        <w:rPr>
          <w:rFonts w:hint="eastAsia" w:ascii="仿宋" w:hAnsi="仿宋" w:eastAsia="仿宋" w:cs="仿宋"/>
          <w:caps w:val="0"/>
          <w:color w:val="auto"/>
          <w:spacing w:val="0"/>
          <w:sz w:val="24"/>
          <w:szCs w:val="21"/>
          <w:highlight w:val="none"/>
          <w:lang w:eastAsia="zh-CN"/>
        </w:rPr>
        <w:t>参数，且</w:t>
      </w:r>
      <w:r>
        <w:rPr>
          <w:rFonts w:hint="eastAsia" w:ascii="仿宋" w:hAnsi="仿宋" w:eastAsia="仿宋" w:cs="仿宋"/>
          <w:caps w:val="0"/>
          <w:color w:val="auto"/>
          <w:spacing w:val="0"/>
          <w:sz w:val="24"/>
          <w:szCs w:val="21"/>
          <w:highlight w:val="none"/>
          <w:lang w:val="en-US" w:eastAsia="zh-CN"/>
        </w:rPr>
        <w:t>乙方</w:t>
      </w:r>
      <w:r>
        <w:rPr>
          <w:rFonts w:hint="eastAsia" w:ascii="仿宋" w:hAnsi="仿宋" w:eastAsia="仿宋" w:cs="仿宋"/>
          <w:caps w:val="0"/>
          <w:color w:val="auto"/>
          <w:spacing w:val="0"/>
          <w:sz w:val="24"/>
          <w:szCs w:val="21"/>
          <w:highlight w:val="none"/>
          <w:lang w:eastAsia="zh-CN"/>
        </w:rPr>
        <w:t>采取应急预案中的相应应对措施后</w:t>
      </w:r>
      <w:r>
        <w:rPr>
          <w:rFonts w:hint="eastAsia" w:ascii="仿宋" w:hAnsi="仿宋" w:eastAsia="仿宋" w:cs="仿宋"/>
          <w:caps w:val="0"/>
          <w:color w:val="auto"/>
          <w:spacing w:val="0"/>
          <w:sz w:val="24"/>
          <w:szCs w:val="21"/>
          <w:highlight w:val="none"/>
        </w:rPr>
        <w:t>引起的出水超标，</w:t>
      </w:r>
      <w:r>
        <w:rPr>
          <w:rFonts w:hint="eastAsia" w:ascii="仿宋" w:hAnsi="仿宋" w:eastAsia="仿宋" w:cs="仿宋"/>
          <w:caps w:val="0"/>
          <w:color w:val="auto"/>
          <w:spacing w:val="0"/>
          <w:sz w:val="24"/>
          <w:szCs w:val="21"/>
          <w:highlight w:val="none"/>
          <w:lang w:val="en-US" w:eastAsia="zh-CN"/>
        </w:rPr>
        <w:t>乙方</w:t>
      </w:r>
      <w:r>
        <w:rPr>
          <w:rFonts w:hint="eastAsia" w:ascii="仿宋" w:hAnsi="仿宋" w:eastAsia="仿宋" w:cs="仿宋"/>
          <w:caps w:val="0"/>
          <w:color w:val="auto"/>
          <w:spacing w:val="0"/>
          <w:sz w:val="24"/>
          <w:szCs w:val="21"/>
          <w:highlight w:val="none"/>
        </w:rPr>
        <w:t>免于承担责任</w:t>
      </w:r>
      <w:r>
        <w:rPr>
          <w:rFonts w:hint="eastAsia" w:ascii="仿宋" w:hAnsi="仿宋" w:eastAsia="仿宋" w:cs="仿宋"/>
          <w:caps w:val="0"/>
          <w:color w:val="auto"/>
          <w:spacing w:val="0"/>
          <w:position w:val="0"/>
          <w:sz w:val="24"/>
          <w:szCs w:val="24"/>
          <w:highlight w:val="none"/>
        </w:rPr>
        <w:t>)。</w:t>
      </w:r>
    </w:p>
    <w:p w14:paraId="3C3B5552">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w:t>
      </w:r>
      <w:r>
        <w:rPr>
          <w:rFonts w:hint="eastAsia" w:ascii="仿宋" w:hAnsi="仿宋" w:eastAsia="仿宋" w:cs="仿宋"/>
          <w:caps w:val="0"/>
          <w:color w:val="auto"/>
          <w:spacing w:val="0"/>
          <w:position w:val="0"/>
          <w:sz w:val="24"/>
          <w:szCs w:val="24"/>
          <w:lang w:val="en-US" w:eastAsia="zh-CN"/>
        </w:rPr>
        <w:t>5</w:t>
      </w:r>
      <w:r>
        <w:rPr>
          <w:rFonts w:hint="eastAsia" w:ascii="仿宋" w:hAnsi="仿宋" w:eastAsia="仿宋" w:cs="仿宋"/>
          <w:caps w:val="0"/>
          <w:color w:val="auto"/>
          <w:spacing w:val="0"/>
          <w:position w:val="0"/>
          <w:sz w:val="24"/>
          <w:szCs w:val="24"/>
        </w:rPr>
        <w:t xml:space="preserve"> 为保障运营管理人员的人身安全及意外保险，乙方应按社会劳动保险的有关规定，为员工购买养老、工伤、医疗、失业等保险。</w:t>
      </w:r>
    </w:p>
    <w:p w14:paraId="4326548E">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w:t>
      </w:r>
      <w:r>
        <w:rPr>
          <w:rFonts w:hint="eastAsia" w:ascii="仿宋" w:hAnsi="仿宋" w:eastAsia="仿宋" w:cs="仿宋"/>
          <w:caps w:val="0"/>
          <w:color w:val="auto"/>
          <w:spacing w:val="0"/>
          <w:position w:val="0"/>
          <w:sz w:val="24"/>
          <w:szCs w:val="24"/>
          <w:lang w:val="en-US" w:eastAsia="zh-CN"/>
        </w:rPr>
        <w:t>6</w:t>
      </w:r>
      <w:r>
        <w:rPr>
          <w:rFonts w:hint="eastAsia" w:ascii="仿宋" w:hAnsi="仿宋" w:eastAsia="仿宋" w:cs="仿宋"/>
          <w:caps w:val="0"/>
          <w:color w:val="auto"/>
          <w:spacing w:val="0"/>
          <w:position w:val="0"/>
          <w:sz w:val="24"/>
          <w:szCs w:val="24"/>
        </w:rPr>
        <w:t xml:space="preserve"> 从事本项目运营管理人员日常作业时，乙方应配置安全作业的工具和使用劳动保护产品。</w:t>
      </w:r>
    </w:p>
    <w:p w14:paraId="24142CA3">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w:t>
      </w:r>
      <w:r>
        <w:rPr>
          <w:rFonts w:hint="eastAsia" w:ascii="仿宋" w:hAnsi="仿宋" w:eastAsia="仿宋" w:cs="仿宋"/>
          <w:caps w:val="0"/>
          <w:color w:val="auto"/>
          <w:spacing w:val="0"/>
          <w:position w:val="0"/>
          <w:sz w:val="24"/>
          <w:szCs w:val="24"/>
          <w:lang w:val="en-US" w:eastAsia="zh-CN"/>
        </w:rPr>
        <w:t>7</w:t>
      </w:r>
      <w:r>
        <w:rPr>
          <w:rFonts w:hint="eastAsia" w:ascii="仿宋" w:hAnsi="仿宋" w:eastAsia="仿宋" w:cs="仿宋"/>
          <w:caps w:val="0"/>
          <w:color w:val="auto"/>
          <w:spacing w:val="0"/>
          <w:position w:val="0"/>
          <w:sz w:val="24"/>
          <w:szCs w:val="24"/>
        </w:rPr>
        <w:t xml:space="preserve"> 乙方接管</w:t>
      </w:r>
      <w:r>
        <w:rPr>
          <w:rFonts w:hint="eastAsia" w:ascii="仿宋" w:hAnsi="仿宋" w:eastAsia="仿宋" w:cs="仿宋"/>
          <w:caps w:val="0"/>
          <w:color w:val="auto"/>
          <w:spacing w:val="0"/>
          <w:position w:val="0"/>
          <w:sz w:val="24"/>
          <w:szCs w:val="24"/>
          <w:lang w:eastAsia="zh-CN"/>
        </w:rPr>
        <w:t>污水处理厂</w:t>
      </w:r>
      <w:r>
        <w:rPr>
          <w:rFonts w:hint="eastAsia" w:ascii="仿宋" w:hAnsi="仿宋" w:eastAsia="仿宋" w:cs="仿宋"/>
          <w:caps w:val="0"/>
          <w:color w:val="auto"/>
          <w:spacing w:val="0"/>
          <w:position w:val="0"/>
          <w:sz w:val="24"/>
          <w:szCs w:val="24"/>
        </w:rPr>
        <w:t>后，</w:t>
      </w:r>
      <w:r>
        <w:rPr>
          <w:rFonts w:hint="eastAsia" w:ascii="仿宋" w:hAnsi="仿宋" w:eastAsia="仿宋" w:cs="仿宋"/>
          <w:caps w:val="0"/>
          <w:color w:val="auto"/>
          <w:spacing w:val="0"/>
          <w:sz w:val="24"/>
          <w:szCs w:val="21"/>
        </w:rPr>
        <w:t>必须严格执行《中华人民共和国环境保护法》《中华人民共和国水污染防治法》《排污许可管理条例》及国家、地方有关法律法规、标准，及时变更排污许可证，遵守现行颁布的环境管理规章制度及有关政策</w:t>
      </w:r>
      <w:r>
        <w:rPr>
          <w:rFonts w:hint="eastAsia" w:ascii="仿宋" w:hAnsi="仿宋" w:eastAsia="仿宋" w:cs="仿宋"/>
          <w:caps w:val="0"/>
          <w:color w:val="auto"/>
          <w:spacing w:val="0"/>
          <w:sz w:val="24"/>
          <w:szCs w:val="21"/>
          <w:lang w:eastAsia="zh-CN"/>
        </w:rPr>
        <w:t>。</w:t>
      </w:r>
    </w:p>
    <w:p w14:paraId="40BEFC83">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w:t>
      </w:r>
      <w:r>
        <w:rPr>
          <w:rFonts w:hint="eastAsia" w:ascii="仿宋" w:hAnsi="仿宋" w:eastAsia="仿宋" w:cs="仿宋"/>
          <w:caps w:val="0"/>
          <w:color w:val="auto"/>
          <w:spacing w:val="0"/>
          <w:position w:val="0"/>
          <w:sz w:val="24"/>
          <w:szCs w:val="24"/>
          <w:lang w:val="en-US" w:eastAsia="zh-CN"/>
        </w:rPr>
        <w:t>8</w:t>
      </w:r>
      <w:r>
        <w:rPr>
          <w:rFonts w:hint="eastAsia" w:ascii="仿宋" w:hAnsi="仿宋" w:eastAsia="仿宋" w:cs="仿宋"/>
          <w:caps w:val="0"/>
          <w:color w:val="auto"/>
          <w:spacing w:val="0"/>
          <w:position w:val="0"/>
          <w:sz w:val="24"/>
          <w:szCs w:val="24"/>
        </w:rPr>
        <w:t xml:space="preserve"> 乙方应配备充足的运营管理人员，制定岗位生产和安全责任制度，</w:t>
      </w:r>
      <w:r>
        <w:rPr>
          <w:rFonts w:hint="eastAsia" w:ascii="仿宋" w:hAnsi="仿宋" w:eastAsia="仿宋" w:cs="仿宋"/>
          <w:caps w:val="0"/>
          <w:color w:val="auto"/>
          <w:spacing w:val="0"/>
          <w:sz w:val="24"/>
          <w:szCs w:val="21"/>
        </w:rPr>
        <w:t>保证</w:t>
      </w:r>
      <w:r>
        <w:rPr>
          <w:rFonts w:hint="eastAsia" w:ascii="仿宋" w:hAnsi="仿宋" w:eastAsia="仿宋" w:cs="仿宋"/>
          <w:caps w:val="0"/>
          <w:color w:val="auto"/>
          <w:spacing w:val="0"/>
          <w:sz w:val="24"/>
          <w:szCs w:val="21"/>
          <w:lang w:eastAsia="zh-CN"/>
        </w:rPr>
        <w:t>污水处理厂</w:t>
      </w:r>
      <w:r>
        <w:rPr>
          <w:rFonts w:hint="eastAsia" w:ascii="仿宋" w:hAnsi="仿宋" w:eastAsia="仿宋" w:cs="仿宋"/>
          <w:caps w:val="0"/>
          <w:color w:val="auto"/>
          <w:spacing w:val="0"/>
          <w:sz w:val="24"/>
          <w:szCs w:val="21"/>
          <w:lang w:val="en-US" w:eastAsia="zh-CN"/>
        </w:rPr>
        <w:t>及配套环保处理设施</w:t>
      </w:r>
      <w:r>
        <w:rPr>
          <w:rFonts w:hint="eastAsia" w:ascii="仿宋" w:hAnsi="仿宋" w:eastAsia="仿宋" w:cs="仿宋"/>
          <w:caps w:val="0"/>
          <w:color w:val="auto"/>
          <w:spacing w:val="0"/>
          <w:sz w:val="24"/>
          <w:szCs w:val="21"/>
        </w:rPr>
        <w:t>不间断运转，</w:t>
      </w:r>
      <w:r>
        <w:rPr>
          <w:rFonts w:hint="eastAsia" w:ascii="仿宋" w:hAnsi="仿宋" w:eastAsia="仿宋" w:cs="仿宋"/>
          <w:caps w:val="0"/>
          <w:color w:val="auto"/>
          <w:spacing w:val="0"/>
          <w:sz w:val="24"/>
          <w:szCs w:val="21"/>
          <w:highlight w:val="none"/>
          <w:lang w:val="en-US" w:eastAsia="zh-CN"/>
        </w:rPr>
        <w:t>保证各项污染物达到相关</w:t>
      </w:r>
      <w:r>
        <w:rPr>
          <w:rFonts w:hint="eastAsia" w:ascii="仿宋" w:hAnsi="仿宋" w:eastAsia="仿宋" w:cs="仿宋"/>
          <w:caps w:val="0"/>
          <w:color w:val="auto"/>
          <w:spacing w:val="0"/>
          <w:sz w:val="24"/>
          <w:szCs w:val="21"/>
          <w:highlight w:val="none"/>
        </w:rPr>
        <w:t>排放标准要求。</w:t>
      </w:r>
      <w:r>
        <w:rPr>
          <w:rFonts w:hint="eastAsia" w:ascii="仿宋" w:hAnsi="仿宋" w:eastAsia="仿宋" w:cs="仿宋"/>
          <w:caps w:val="0"/>
          <w:color w:val="auto"/>
          <w:spacing w:val="0"/>
          <w:position w:val="0"/>
          <w:sz w:val="24"/>
          <w:szCs w:val="24"/>
        </w:rPr>
        <w:t>对系统设备、设施运行中出现的故障进行及时维修维护，制定《设备维护保养计划》,定期进行维护保养，定期清淤、清渣等。</w:t>
      </w:r>
    </w:p>
    <w:p w14:paraId="4B527D1D">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w:t>
      </w:r>
      <w:r>
        <w:rPr>
          <w:rFonts w:hint="eastAsia" w:ascii="仿宋" w:hAnsi="仿宋" w:eastAsia="仿宋" w:cs="仿宋"/>
          <w:caps w:val="0"/>
          <w:color w:val="auto"/>
          <w:spacing w:val="0"/>
          <w:position w:val="0"/>
          <w:sz w:val="24"/>
          <w:szCs w:val="24"/>
          <w:lang w:val="en-US" w:eastAsia="zh-CN"/>
        </w:rPr>
        <w:t>9</w:t>
      </w:r>
      <w:r>
        <w:rPr>
          <w:rFonts w:hint="eastAsia" w:ascii="仿宋" w:hAnsi="仿宋" w:eastAsia="仿宋" w:cs="仿宋"/>
          <w:caps w:val="0"/>
          <w:color w:val="auto"/>
          <w:spacing w:val="0"/>
          <w:position w:val="0"/>
          <w:sz w:val="24"/>
          <w:szCs w:val="24"/>
        </w:rPr>
        <w:t xml:space="preserve"> 乙方应建立日常工作记录台簿，将每日进行的一切工作活动记录在册，包括开泵、关泵、清渣、投加药剂、定期清理格栅、固废（危废）贮存和处置、维修、清洗在线监测仪探头、交接班时间以及工作内容等。</w:t>
      </w:r>
    </w:p>
    <w:p w14:paraId="416C94AD">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.1</w:t>
      </w:r>
      <w:r>
        <w:rPr>
          <w:rFonts w:hint="eastAsia" w:ascii="仿宋" w:hAnsi="仿宋" w:eastAsia="仿宋" w:cs="仿宋"/>
          <w:caps w:val="0"/>
          <w:color w:val="auto"/>
          <w:spacing w:val="0"/>
          <w:position w:val="0"/>
          <w:sz w:val="24"/>
          <w:szCs w:val="24"/>
          <w:lang w:val="en-US" w:eastAsia="zh-CN"/>
        </w:rPr>
        <w:t>0</w:t>
      </w:r>
      <w:r>
        <w:rPr>
          <w:rFonts w:hint="eastAsia" w:ascii="仿宋" w:hAnsi="仿宋" w:eastAsia="仿宋" w:cs="仿宋"/>
          <w:caps w:val="0"/>
          <w:color w:val="auto"/>
          <w:spacing w:val="0"/>
          <w:position w:val="0"/>
          <w:sz w:val="24"/>
          <w:szCs w:val="24"/>
        </w:rPr>
        <w:t xml:space="preserve"> 乙方应保证污水处理设备和设施的安全与完整，防止各类事故的发生，如因管理不善造成的经济损失或重大事故，由乙方负全部责任，甲方有权解除合同 。</w:t>
      </w:r>
    </w:p>
    <w:p w14:paraId="7BD41473">
      <w:pPr>
        <w:keepNext w:val="0"/>
        <w:keepLines w:val="0"/>
        <w:pageBreakBefore w:val="0"/>
        <w:widowControl w:val="0"/>
        <w:numPr>
          <w:ilvl w:val="0"/>
          <w:numId w:val="0"/>
        </w:numPr>
        <w:tabs>
          <w:tab w:val="left" w:pos="434"/>
        </w:tabs>
        <w:kinsoku/>
        <w:wordWrap/>
        <w:overflowPunct/>
        <w:topLinePunct w:val="0"/>
        <w:bidi w:val="0"/>
        <w:adjustRightInd w:val="0"/>
        <w:snapToGrid/>
        <w:spacing w:line="360" w:lineRule="auto"/>
        <w:ind w:firstLine="480" w:firstLineChars="200"/>
        <w:rPr>
          <w:rFonts w:hint="eastAsia" w:ascii="仿宋" w:hAnsi="仿宋" w:eastAsia="仿宋" w:cs="仿宋"/>
          <w:caps w:val="0"/>
          <w:color w:val="auto"/>
          <w:spacing w:val="0"/>
          <w:position w:val="0"/>
          <w:sz w:val="24"/>
          <w:szCs w:val="24"/>
          <w:lang w:eastAsia="zh-CN"/>
        </w:rPr>
      </w:pPr>
      <w:r>
        <w:rPr>
          <w:rFonts w:hint="eastAsia" w:ascii="仿宋" w:hAnsi="仿宋" w:eastAsia="仿宋" w:cs="仿宋"/>
          <w:caps w:val="0"/>
          <w:color w:val="auto"/>
          <w:spacing w:val="0"/>
          <w:position w:val="0"/>
          <w:sz w:val="24"/>
          <w:szCs w:val="24"/>
          <w:lang w:val="en-US" w:eastAsia="zh-CN"/>
        </w:rPr>
        <w:t>2</w:t>
      </w:r>
      <w:r>
        <w:rPr>
          <w:rFonts w:hint="eastAsia" w:ascii="仿宋" w:hAnsi="仿宋" w:eastAsia="仿宋" w:cs="仿宋"/>
          <w:caps w:val="0"/>
          <w:color w:val="auto"/>
          <w:spacing w:val="0"/>
          <w:position w:val="0"/>
          <w:sz w:val="24"/>
          <w:szCs w:val="24"/>
        </w:rPr>
        <w:t>.1</w:t>
      </w:r>
      <w:r>
        <w:rPr>
          <w:rFonts w:hint="eastAsia" w:ascii="仿宋" w:hAnsi="仿宋" w:eastAsia="仿宋" w:cs="仿宋"/>
          <w:caps w:val="0"/>
          <w:color w:val="auto"/>
          <w:spacing w:val="0"/>
          <w:position w:val="0"/>
          <w:sz w:val="24"/>
          <w:szCs w:val="24"/>
          <w:lang w:val="en-US" w:eastAsia="zh-CN"/>
        </w:rPr>
        <w:t>1</w:t>
      </w:r>
      <w:r>
        <w:rPr>
          <w:rFonts w:hint="eastAsia" w:ascii="仿宋" w:hAnsi="仿宋" w:eastAsia="仿宋" w:cs="仿宋"/>
          <w:caps w:val="0"/>
          <w:color w:val="auto"/>
          <w:spacing w:val="0"/>
          <w:position w:val="0"/>
          <w:sz w:val="24"/>
          <w:szCs w:val="24"/>
        </w:rPr>
        <w:t xml:space="preserve"> </w:t>
      </w:r>
      <w:r>
        <w:rPr>
          <w:rFonts w:hint="eastAsia" w:ascii="仿宋" w:hAnsi="仿宋" w:eastAsia="仿宋" w:cs="仿宋"/>
          <w:color w:val="auto"/>
          <w:kern w:val="0"/>
          <w:sz w:val="24"/>
          <w:szCs w:val="24"/>
          <w:lang w:val="en-US" w:eastAsia="zh-CN"/>
        </w:rPr>
        <w:t>乙方</w:t>
      </w:r>
      <w:r>
        <w:rPr>
          <w:rFonts w:hint="eastAsia" w:ascii="仿宋" w:hAnsi="仿宋" w:eastAsia="仿宋" w:cs="仿宋"/>
          <w:color w:val="auto"/>
          <w:kern w:val="0"/>
          <w:sz w:val="24"/>
          <w:szCs w:val="24"/>
        </w:rPr>
        <w:t>应按要求制定或修订突发环境事件应急预案，并组织演练；进水异常时应开展溯源排查，并将结果及时上报给</w:t>
      </w:r>
      <w:r>
        <w:rPr>
          <w:rFonts w:hint="eastAsia" w:ascii="仿宋" w:hAnsi="仿宋" w:eastAsia="仿宋" w:cs="仿宋"/>
          <w:color w:val="auto"/>
          <w:kern w:val="0"/>
          <w:sz w:val="24"/>
          <w:szCs w:val="24"/>
          <w:lang w:val="en-US" w:eastAsia="zh-CN"/>
        </w:rPr>
        <w:t>甲方</w:t>
      </w:r>
      <w:r>
        <w:rPr>
          <w:rFonts w:hint="eastAsia" w:ascii="仿宋" w:hAnsi="仿宋" w:eastAsia="仿宋" w:cs="仿宋"/>
          <w:color w:val="auto"/>
          <w:kern w:val="0"/>
          <w:sz w:val="24"/>
          <w:szCs w:val="24"/>
        </w:rPr>
        <w:t>；无条件配合服务范围内的突发环境事件的处置</w:t>
      </w:r>
      <w:r>
        <w:rPr>
          <w:rFonts w:hint="eastAsia" w:ascii="仿宋" w:hAnsi="仿宋" w:eastAsia="仿宋" w:cs="仿宋"/>
          <w:color w:val="auto"/>
          <w:kern w:val="0"/>
          <w:sz w:val="24"/>
          <w:szCs w:val="24"/>
          <w:lang w:eastAsia="zh-CN"/>
        </w:rPr>
        <w:t>；</w:t>
      </w:r>
      <w:r>
        <w:rPr>
          <w:rFonts w:hint="eastAsia" w:ascii="仿宋" w:hAnsi="仿宋" w:eastAsia="仿宋" w:cs="仿宋"/>
          <w:caps w:val="0"/>
          <w:color w:val="auto"/>
          <w:spacing w:val="0"/>
          <w:sz w:val="24"/>
          <w:szCs w:val="21"/>
          <w:lang w:val="en-US" w:eastAsia="zh-CN"/>
        </w:rPr>
        <w:t>配合甲方及相关部门做好应急物资管理。</w:t>
      </w:r>
    </w:p>
    <w:p w14:paraId="213216E6">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lang w:val="en-US" w:eastAsia="zh-CN"/>
        </w:rPr>
      </w:pPr>
      <w:r>
        <w:rPr>
          <w:rFonts w:hint="eastAsia" w:ascii="仿宋" w:hAnsi="仿宋" w:eastAsia="仿宋" w:cs="仿宋"/>
          <w:caps w:val="0"/>
          <w:color w:val="auto"/>
          <w:spacing w:val="0"/>
          <w:position w:val="0"/>
          <w:sz w:val="24"/>
          <w:szCs w:val="24"/>
          <w:lang w:val="en-US" w:eastAsia="zh-CN"/>
        </w:rPr>
        <w:t>2.12乙方</w:t>
      </w:r>
      <w:r>
        <w:rPr>
          <w:rFonts w:hint="eastAsia" w:ascii="仿宋" w:hAnsi="仿宋" w:eastAsia="仿宋" w:cs="仿宋"/>
          <w:caps w:val="0"/>
          <w:color w:val="auto"/>
          <w:spacing w:val="0"/>
          <w:sz w:val="24"/>
          <w:szCs w:val="21"/>
        </w:rPr>
        <w:t>应</w:t>
      </w:r>
      <w:r>
        <w:rPr>
          <w:rFonts w:hint="eastAsia" w:ascii="仿宋" w:hAnsi="仿宋" w:eastAsia="仿宋" w:cs="仿宋"/>
          <w:caps w:val="0"/>
          <w:color w:val="auto"/>
          <w:spacing w:val="0"/>
          <w:sz w:val="24"/>
          <w:szCs w:val="21"/>
          <w:lang w:eastAsia="zh-CN"/>
        </w:rPr>
        <w:t>无条件配合</w:t>
      </w:r>
      <w:r>
        <w:rPr>
          <w:rFonts w:hint="eastAsia" w:ascii="仿宋" w:hAnsi="仿宋" w:eastAsia="仿宋" w:cs="仿宋"/>
          <w:caps w:val="0"/>
          <w:color w:val="auto"/>
          <w:spacing w:val="0"/>
          <w:sz w:val="24"/>
          <w:szCs w:val="21"/>
          <w:lang w:val="en-US" w:eastAsia="zh-CN"/>
        </w:rPr>
        <w:t>甲方</w:t>
      </w:r>
      <w:r>
        <w:rPr>
          <w:rFonts w:hint="eastAsia" w:ascii="仿宋" w:hAnsi="仿宋" w:eastAsia="仿宋" w:cs="仿宋"/>
          <w:caps w:val="0"/>
          <w:color w:val="auto"/>
          <w:spacing w:val="0"/>
          <w:sz w:val="24"/>
          <w:szCs w:val="21"/>
          <w:lang w:eastAsia="zh-CN"/>
        </w:rPr>
        <w:t>实施污水处理厂改造工程，包含且不限于以下内容：为改造工程的施工场地整理和提供便利；采取合理的措施应对改造工程的临时停水；改造工程的运行调试；改造工程的验收和交接投运等。</w:t>
      </w:r>
    </w:p>
    <w:p w14:paraId="65FFBB7F">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 xml:space="preserve">2.13 </w:t>
      </w:r>
      <w:r>
        <w:rPr>
          <w:rFonts w:hint="eastAsia" w:ascii="仿宋" w:hAnsi="仿宋" w:eastAsia="仿宋" w:cs="仿宋"/>
          <w:caps w:val="0"/>
          <w:color w:val="auto"/>
          <w:spacing w:val="0"/>
          <w:position w:val="0"/>
          <w:sz w:val="24"/>
          <w:szCs w:val="24"/>
        </w:rPr>
        <w:t>合同到期或终止时，在交接前</w:t>
      </w:r>
      <w:r>
        <w:rPr>
          <w:rFonts w:hint="eastAsia" w:ascii="仿宋" w:hAnsi="仿宋" w:eastAsia="仿宋" w:cs="仿宋"/>
          <w:caps w:val="0"/>
          <w:color w:val="auto"/>
          <w:spacing w:val="0"/>
          <w:position w:val="0"/>
          <w:sz w:val="24"/>
          <w:szCs w:val="24"/>
          <w:lang w:val="en-US" w:eastAsia="zh-CN"/>
        </w:rPr>
        <w:t>乙方</w:t>
      </w:r>
      <w:r>
        <w:rPr>
          <w:rFonts w:hint="eastAsia" w:ascii="仿宋" w:hAnsi="仿宋" w:eastAsia="仿宋" w:cs="仿宋"/>
          <w:caps w:val="0"/>
          <w:color w:val="auto"/>
          <w:spacing w:val="0"/>
          <w:position w:val="0"/>
          <w:sz w:val="24"/>
          <w:szCs w:val="24"/>
        </w:rPr>
        <w:t>必须确保</w:t>
      </w:r>
      <w:r>
        <w:rPr>
          <w:rFonts w:hint="eastAsia" w:ascii="仿宋" w:hAnsi="仿宋" w:eastAsia="仿宋" w:cs="仿宋"/>
          <w:caps w:val="0"/>
          <w:color w:val="auto"/>
          <w:spacing w:val="0"/>
          <w:position w:val="0"/>
          <w:sz w:val="24"/>
          <w:szCs w:val="24"/>
          <w:lang w:eastAsia="zh-CN"/>
        </w:rPr>
        <w:t>污水处理厂</w:t>
      </w:r>
      <w:r>
        <w:rPr>
          <w:rFonts w:hint="eastAsia" w:ascii="仿宋" w:hAnsi="仿宋" w:eastAsia="仿宋" w:cs="仿宋"/>
          <w:caps w:val="0"/>
          <w:color w:val="auto"/>
          <w:spacing w:val="0"/>
          <w:position w:val="0"/>
          <w:sz w:val="24"/>
          <w:szCs w:val="24"/>
        </w:rPr>
        <w:t>设备设施正常运行、出水达标排放。且应将所有资料无条件移交给</w:t>
      </w:r>
      <w:r>
        <w:rPr>
          <w:rFonts w:hint="eastAsia" w:ascii="仿宋" w:hAnsi="仿宋" w:eastAsia="仿宋" w:cs="仿宋"/>
          <w:caps w:val="0"/>
          <w:color w:val="auto"/>
          <w:spacing w:val="0"/>
          <w:position w:val="0"/>
          <w:sz w:val="24"/>
          <w:szCs w:val="24"/>
          <w:lang w:val="en-US" w:eastAsia="zh-CN"/>
        </w:rPr>
        <w:t>甲方</w:t>
      </w:r>
      <w:r>
        <w:rPr>
          <w:rFonts w:hint="eastAsia" w:ascii="仿宋" w:hAnsi="仿宋" w:eastAsia="仿宋" w:cs="仿宋"/>
          <w:caps w:val="0"/>
          <w:color w:val="auto"/>
          <w:spacing w:val="0"/>
          <w:position w:val="0"/>
          <w:sz w:val="24"/>
          <w:szCs w:val="24"/>
        </w:rPr>
        <w:t>，且保证资料的真实与完整</w:t>
      </w:r>
    </w:p>
    <w:p w14:paraId="2351D13C">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lang w:val="en-US" w:eastAsia="zh-CN"/>
        </w:rPr>
        <w:t xml:space="preserve">2.14 </w:t>
      </w:r>
      <w:r>
        <w:rPr>
          <w:rFonts w:hint="eastAsia" w:ascii="仿宋" w:hAnsi="仿宋" w:eastAsia="仿宋" w:cs="仿宋"/>
          <w:caps w:val="0"/>
          <w:color w:val="auto"/>
          <w:spacing w:val="0"/>
          <w:position w:val="0"/>
          <w:sz w:val="24"/>
          <w:szCs w:val="24"/>
        </w:rPr>
        <w:t>乙方应做好上游排污企业和相关污水管网排摸，发现企业超标排污或偷排污水，及时向市生态环境局遂昌分局和相关单位报告。</w:t>
      </w:r>
    </w:p>
    <w:p w14:paraId="67AE34AC">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olor w:val="auto"/>
          <w:kern w:val="0"/>
          <w:sz w:val="24"/>
          <w:highlight w:val="none"/>
          <w:lang w:eastAsia="zh-CN"/>
        </w:rPr>
      </w:pPr>
      <w:r>
        <w:rPr>
          <w:rFonts w:hint="eastAsia" w:ascii="仿宋" w:hAnsi="仿宋" w:eastAsia="仿宋" w:cs="仿宋"/>
          <w:caps w:val="0"/>
          <w:color w:val="auto"/>
          <w:spacing w:val="0"/>
          <w:position w:val="0"/>
          <w:sz w:val="24"/>
          <w:szCs w:val="24"/>
          <w:lang w:val="en-US" w:eastAsia="zh-CN"/>
        </w:rPr>
        <w:t xml:space="preserve">2.15 </w:t>
      </w:r>
      <w:r>
        <w:rPr>
          <w:rFonts w:hint="eastAsia" w:ascii="仿宋" w:hAnsi="仿宋" w:eastAsia="仿宋" w:cs="仿宋"/>
          <w:color w:val="auto"/>
          <w:kern w:val="0"/>
          <w:sz w:val="24"/>
          <w:highlight w:val="none"/>
        </w:rPr>
        <w:t>委托运营维护及管理的全部资产（包括全部产权和建筑物、设备、软件、配套设施、自动站和配套监控系统产生的各类数据信息及相关文档资料）属</w:t>
      </w:r>
      <w:r>
        <w:rPr>
          <w:rFonts w:hint="eastAsia" w:ascii="仿宋" w:hAnsi="仿宋" w:eastAsia="仿宋" w:cs="仿宋"/>
          <w:color w:val="auto"/>
          <w:kern w:val="0"/>
          <w:sz w:val="24"/>
          <w:highlight w:val="none"/>
          <w:lang w:val="en-US" w:eastAsia="zh-CN"/>
        </w:rPr>
        <w:t>甲方</w:t>
      </w:r>
      <w:r>
        <w:rPr>
          <w:rFonts w:hint="eastAsia" w:ascii="仿宋" w:hAnsi="仿宋" w:eastAsia="仿宋" w:cs="仿宋"/>
          <w:color w:val="auto"/>
          <w:kern w:val="0"/>
          <w:sz w:val="24"/>
          <w:highlight w:val="none"/>
        </w:rPr>
        <w:t>所有。未经</w:t>
      </w:r>
      <w:r>
        <w:rPr>
          <w:rFonts w:hint="eastAsia" w:ascii="仿宋" w:hAnsi="仿宋" w:eastAsia="仿宋" w:cs="仿宋"/>
          <w:color w:val="auto"/>
          <w:kern w:val="0"/>
          <w:sz w:val="24"/>
          <w:highlight w:val="none"/>
          <w:lang w:val="en-US" w:eastAsia="zh-CN"/>
        </w:rPr>
        <w:t>甲方</w:t>
      </w:r>
      <w:r>
        <w:rPr>
          <w:rFonts w:hint="eastAsia" w:ascii="仿宋" w:hAnsi="仿宋" w:eastAsia="仿宋" w:cs="仿宋"/>
          <w:color w:val="auto"/>
          <w:kern w:val="0"/>
          <w:sz w:val="24"/>
          <w:highlight w:val="none"/>
        </w:rPr>
        <w:t>同意，</w:t>
      </w:r>
      <w:r>
        <w:rPr>
          <w:rFonts w:hint="eastAsia" w:ascii="仿宋" w:hAnsi="仿宋" w:eastAsia="仿宋" w:cs="仿宋"/>
          <w:color w:val="auto"/>
          <w:kern w:val="0"/>
          <w:sz w:val="24"/>
          <w:highlight w:val="none"/>
          <w:lang w:val="en-US" w:eastAsia="zh-CN"/>
        </w:rPr>
        <w:t>乙方</w:t>
      </w:r>
      <w:r>
        <w:rPr>
          <w:rFonts w:hint="eastAsia" w:ascii="仿宋" w:hAnsi="仿宋" w:eastAsia="仿宋" w:cs="仿宋"/>
          <w:color w:val="auto"/>
          <w:kern w:val="0"/>
          <w:sz w:val="24"/>
          <w:highlight w:val="none"/>
        </w:rPr>
        <w:t>不得以任何方式对各类财产进行出售、抵押或转移；在委托运营及管理期间，</w:t>
      </w:r>
      <w:r>
        <w:rPr>
          <w:rFonts w:hint="eastAsia" w:ascii="仿宋" w:hAnsi="仿宋" w:eastAsia="仿宋" w:cs="仿宋"/>
          <w:color w:val="auto"/>
          <w:kern w:val="0"/>
          <w:sz w:val="24"/>
          <w:highlight w:val="none"/>
          <w:lang w:val="en-US" w:eastAsia="zh-CN"/>
        </w:rPr>
        <w:t>乙方</w:t>
      </w:r>
      <w:r>
        <w:rPr>
          <w:rFonts w:hint="eastAsia" w:ascii="仿宋" w:hAnsi="仿宋" w:eastAsia="仿宋" w:cs="仿宋"/>
          <w:color w:val="auto"/>
          <w:kern w:val="0"/>
          <w:sz w:val="24"/>
          <w:highlight w:val="none"/>
        </w:rPr>
        <w:t>有责任保证上述全部资产的完整、安全并处于良好状态</w:t>
      </w:r>
      <w:r>
        <w:rPr>
          <w:rFonts w:hint="eastAsia" w:ascii="仿宋" w:hAnsi="仿宋" w:eastAsia="仿宋" w:cs="仿宋"/>
          <w:color w:val="auto"/>
          <w:kern w:val="0"/>
          <w:sz w:val="24"/>
          <w:highlight w:val="none"/>
          <w:lang w:eastAsia="zh-CN"/>
        </w:rPr>
        <w:t>。</w:t>
      </w:r>
    </w:p>
    <w:p w14:paraId="67B6AC87">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2.16 乙方提供满足运行管理期限内正常运行所需的备品备件及耗材。</w:t>
      </w:r>
    </w:p>
    <w:p w14:paraId="6F04E10E">
      <w:pPr>
        <w:keepNext w:val="0"/>
        <w:keepLines w:val="0"/>
        <w:pageBreakBefore w:val="0"/>
        <w:widowControl w:val="0"/>
        <w:tabs>
          <w:tab w:val="left" w:pos="4018"/>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2.17 </w:t>
      </w:r>
      <w:r>
        <w:rPr>
          <w:rFonts w:hint="eastAsia" w:ascii="仿宋" w:hAnsi="仿宋" w:eastAsia="仿宋" w:cs="仿宋"/>
          <w:color w:val="000000" w:themeColor="text1"/>
          <w:kern w:val="0"/>
          <w:sz w:val="24"/>
          <w:szCs w:val="24"/>
          <w:highlight w:val="none"/>
          <w:lang w:eastAsia="zh-CN"/>
          <w14:textFill>
            <w14:solidFill>
              <w14:schemeClr w14:val="tx1"/>
            </w14:solidFill>
          </w14:textFill>
        </w:rPr>
        <w:t>如因乙方管理不善造成的经济损失、重大事故</w:t>
      </w: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或</w:t>
      </w:r>
      <w:r>
        <w:rPr>
          <w:rFonts w:hint="eastAsia" w:ascii="仿宋" w:hAnsi="仿宋" w:eastAsia="仿宋" w:cs="仿宋"/>
          <w:b w:val="0"/>
          <w:bCs/>
          <w:color w:val="000000" w:themeColor="text1"/>
          <w:sz w:val="24"/>
          <w:szCs w:val="24"/>
          <w:highlight w:val="none"/>
          <w:lang w:eastAsia="zh-CN"/>
          <w14:textFill>
            <w14:solidFill>
              <w14:schemeClr w14:val="tx1"/>
            </w14:solidFill>
          </w14:textFill>
        </w:rPr>
        <w:t>不良社会影响等问题的</w:t>
      </w: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，乙方应主动积极消除影响，并承担所有相关责任及损失，且甲方保留追溯相关责任的权利。</w:t>
      </w:r>
    </w:p>
    <w:p w14:paraId="58942541">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000000" w:themeColor="text1"/>
          <w:sz w:val="24"/>
          <w:szCs w:val="24"/>
          <w:lang w:val="en-US" w:eastAsia="zh-CN"/>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合同</w:t>
      </w:r>
      <w:r>
        <w:rPr>
          <w:rFonts w:hint="eastAsia" w:ascii="仿宋" w:hAnsi="仿宋" w:eastAsia="仿宋" w:cs="仿宋"/>
          <w:b/>
          <w:color w:val="000000" w:themeColor="text1"/>
          <w:sz w:val="24"/>
          <w:szCs w:val="24"/>
          <w:lang w:val="en-US" w:eastAsia="zh-CN"/>
          <w14:textFill>
            <w14:solidFill>
              <w14:schemeClr w14:val="tx1"/>
            </w14:solidFill>
          </w14:textFill>
        </w:rPr>
        <w:t>总价款</w:t>
      </w:r>
    </w:p>
    <w:p w14:paraId="3C67373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szCs w:val="24"/>
          <w:highlight w:val="none"/>
          <w:u w:val="single"/>
          <w:lang w:val="en-US"/>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3.1</w:t>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本</w:t>
      </w:r>
      <w:r>
        <w:rPr>
          <w:rFonts w:hint="eastAsia" w:ascii="仿宋" w:hAnsi="仿宋" w:eastAsia="仿宋" w:cs="仿宋"/>
          <w:caps w:val="0"/>
          <w:color w:val="000000" w:themeColor="text1"/>
          <w:spacing w:val="0"/>
          <w:sz w:val="24"/>
          <w:szCs w:val="24"/>
          <w:highlight w:val="none"/>
          <w:lang w:val="en-US" w:eastAsia="zh-CN"/>
          <w14:textFill>
            <w14:solidFill>
              <w14:schemeClr w14:val="tx1"/>
            </w14:solidFill>
          </w14:textFill>
        </w:rPr>
        <w:t>合同总价款</w:t>
      </w:r>
      <w:r>
        <w:rPr>
          <w:rFonts w:hint="eastAsia" w:ascii="仿宋" w:hAnsi="仿宋" w:eastAsia="仿宋" w:cs="仿宋"/>
          <w:caps w:val="0"/>
          <w:color w:val="000000" w:themeColor="text1"/>
          <w:spacing w:val="0"/>
          <w:sz w:val="24"/>
          <w:szCs w:val="24"/>
          <w:highlight w:val="none"/>
          <w:u w:val="none"/>
          <w:lang w:val="en-US" w:eastAsia="zh-CN"/>
          <w14:textFill>
            <w14:solidFill>
              <w14:schemeClr w14:val="tx1"/>
            </w14:solidFill>
          </w14:textFill>
        </w:rPr>
        <w:t>：</w:t>
      </w:r>
      <w:r>
        <w:rPr>
          <w:rFonts w:hint="eastAsia" w:ascii="仿宋" w:hAnsi="仿宋" w:eastAsia="仿宋" w:cs="仿宋"/>
          <w:caps w:val="0"/>
          <w:color w:val="000000" w:themeColor="text1"/>
          <w:spacing w:val="0"/>
          <w:sz w:val="24"/>
          <w:szCs w:val="24"/>
          <w:highlight w:val="none"/>
          <w:u w:val="single"/>
          <w:lang w:val="en-US" w:eastAsia="zh-CN"/>
          <w14:textFill>
            <w14:solidFill>
              <w14:schemeClr w14:val="tx1"/>
            </w14:solidFill>
          </w14:textFill>
        </w:rPr>
        <w:t xml:space="preserve">             </w:t>
      </w:r>
      <w:r>
        <w:rPr>
          <w:rFonts w:hint="eastAsia" w:ascii="仿宋" w:hAnsi="仿宋" w:eastAsia="仿宋" w:cs="仿宋"/>
          <w:caps w:val="0"/>
          <w:color w:val="000000" w:themeColor="text1"/>
          <w:spacing w:val="0"/>
          <w:sz w:val="24"/>
          <w:szCs w:val="24"/>
          <w:highlight w:val="none"/>
          <w:u w:val="none"/>
          <w:lang w:val="en-US" w:eastAsia="zh-CN"/>
          <w14:textFill>
            <w14:solidFill>
              <w14:schemeClr w14:val="tx1"/>
            </w14:solidFill>
          </w14:textFill>
        </w:rPr>
        <w:t>（大写）（¥：</w:t>
      </w:r>
      <w:r>
        <w:rPr>
          <w:rFonts w:hint="eastAsia" w:ascii="仿宋" w:hAnsi="仿宋" w:eastAsia="仿宋" w:cs="仿宋"/>
          <w:caps w:val="0"/>
          <w:color w:val="000000" w:themeColor="text1"/>
          <w:spacing w:val="0"/>
          <w:sz w:val="24"/>
          <w:szCs w:val="24"/>
          <w:highlight w:val="none"/>
          <w:u w:val="single"/>
          <w:lang w:val="en-US" w:eastAsia="zh-CN"/>
          <w14:textFill>
            <w14:solidFill>
              <w14:schemeClr w14:val="tx1"/>
            </w14:solidFill>
          </w14:textFill>
        </w:rPr>
        <w:t xml:space="preserve">            ）</w:t>
      </w:r>
      <w:r>
        <w:rPr>
          <w:rFonts w:hint="eastAsia" w:ascii="仿宋" w:hAnsi="仿宋" w:eastAsia="仿宋" w:cs="仿宋"/>
          <w:caps w:val="0"/>
          <w:strike w:val="0"/>
          <w:dstrike w:val="0"/>
          <w:color w:val="000000" w:themeColor="text1"/>
          <w:spacing w:val="0"/>
          <w:sz w:val="24"/>
          <w:szCs w:val="24"/>
          <w:highlight w:val="none"/>
          <w:u w:val="none"/>
          <w:lang w:val="en-US" w:eastAsia="zh-CN"/>
          <w14:textFill>
            <w14:solidFill>
              <w14:schemeClr w14:val="tx1"/>
            </w14:solidFill>
          </w14:textFill>
        </w:rPr>
        <w:t>（小写）。</w:t>
      </w:r>
    </w:p>
    <w:p w14:paraId="1A8A549E">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textAlignment w:val="auto"/>
        <w:rPr>
          <w:rFonts w:hint="eastAsia"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aps w:val="0"/>
          <w:color w:val="000000" w:themeColor="text1"/>
          <w:spacing w:val="0"/>
          <w:position w:val="0"/>
          <w:sz w:val="24"/>
          <w:szCs w:val="24"/>
          <w:highlight w:val="none"/>
          <w:lang w:val="en-US" w:eastAsia="zh-CN"/>
          <w14:textFill>
            <w14:solidFill>
              <w14:schemeClr w14:val="tx1"/>
            </w14:solidFill>
          </w14:textFill>
        </w:rPr>
        <w:t>3</w:t>
      </w:r>
      <w:r>
        <w:rPr>
          <w:rFonts w:hint="eastAsia" w:ascii="仿宋" w:hAnsi="仿宋" w:eastAsia="仿宋" w:cs="仿宋"/>
          <w:caps w:val="0"/>
          <w:color w:val="000000" w:themeColor="text1"/>
          <w:spacing w:val="0"/>
          <w:position w:val="0"/>
          <w:sz w:val="24"/>
          <w:szCs w:val="24"/>
          <w:highlight w:val="none"/>
          <w14:textFill>
            <w14:solidFill>
              <w14:schemeClr w14:val="tx1"/>
            </w14:solidFill>
          </w14:textFill>
        </w:rPr>
        <w:t>.</w:t>
      </w:r>
      <w:r>
        <w:rPr>
          <w:rFonts w:hint="eastAsia" w:ascii="仿宋" w:hAnsi="仿宋" w:eastAsia="仿宋" w:cs="仿宋"/>
          <w:caps w:val="0"/>
          <w:color w:val="000000" w:themeColor="text1"/>
          <w:spacing w:val="0"/>
          <w:position w:val="0"/>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aps w:val="0"/>
          <w:strike w:val="0"/>
          <w:dstrike w:val="0"/>
          <w:color w:val="000000" w:themeColor="text1"/>
          <w:spacing w:val="0"/>
          <w:sz w:val="24"/>
          <w:szCs w:val="21"/>
          <w:highlight w:val="none"/>
          <w:lang w:val="en-US" w:eastAsia="zh-CN"/>
          <w14:textFill>
            <w14:solidFill>
              <w14:schemeClr w14:val="tx1"/>
            </w14:solidFill>
          </w14:textFill>
        </w:rPr>
        <w:t>本项目采用总价合同一次性包干。合同签订后，在“经开区污水调度工程”投入使用前，无论每日处理污水量低于或高于5000吨，合同总价不变；“经开区污水调度工程”投入运行3个月内，无论每日处理污水量低于或高于9000吨，合同总价不变，若投入运行超过3个月的，调度部分污水按中标人报价的单价另行签订补充协议。</w:t>
      </w:r>
    </w:p>
    <w:p w14:paraId="144D334B">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 本合同总价款包含但不仅限于</w:t>
      </w:r>
      <w:r>
        <w:rPr>
          <w:rFonts w:hint="eastAsia" w:ascii="仿宋" w:hAnsi="仿宋" w:eastAsia="仿宋" w:cs="仿宋"/>
          <w:caps w:val="0"/>
          <w:color w:val="auto"/>
          <w:spacing w:val="0"/>
          <w:sz w:val="24"/>
          <w:szCs w:val="24"/>
          <w:highlight w:val="none"/>
          <w:lang w:val="en-US" w:eastAsia="zh-CN"/>
        </w:rPr>
        <w:t>运维</w:t>
      </w:r>
      <w:r>
        <w:rPr>
          <w:rFonts w:hint="eastAsia" w:ascii="仿宋" w:hAnsi="仿宋" w:eastAsia="仿宋" w:cs="仿宋"/>
          <w:caps w:val="0"/>
          <w:color w:val="auto"/>
          <w:spacing w:val="0"/>
          <w:sz w:val="24"/>
          <w:szCs w:val="24"/>
          <w:highlight w:val="none"/>
        </w:rPr>
        <w:t>全过程所涉及的服务人员费用、设备维护费用、</w:t>
      </w:r>
      <w:r>
        <w:rPr>
          <w:rFonts w:hint="eastAsia" w:ascii="仿宋" w:hAnsi="仿宋" w:eastAsia="仿宋" w:cs="仿宋"/>
          <w:caps w:val="0"/>
          <w:color w:val="auto"/>
          <w:spacing w:val="0"/>
          <w:sz w:val="24"/>
          <w:szCs w:val="24"/>
          <w:highlight w:val="none"/>
          <w:lang w:eastAsia="zh-CN"/>
        </w:rPr>
        <w:t>耗材更换费用、</w:t>
      </w:r>
      <w:r>
        <w:rPr>
          <w:rFonts w:hint="eastAsia" w:ascii="仿宋" w:hAnsi="仿宋" w:eastAsia="仿宋" w:cs="仿宋"/>
          <w:caps w:val="0"/>
          <w:color w:val="auto"/>
          <w:spacing w:val="0"/>
          <w:sz w:val="24"/>
          <w:szCs w:val="24"/>
          <w:highlight w:val="none"/>
        </w:rPr>
        <w:t>药剂费用、实验室化验分析费、在线监测系统维护费(含维修)、污泥处置费、绿化维护费等一切费用及规费、水电费、管理费、税金、合理利润、招标代理服务费等一切成本及费用。</w:t>
      </w:r>
      <w:r>
        <w:rPr>
          <w:rFonts w:hint="eastAsia" w:ascii="仿宋" w:hAnsi="仿宋" w:eastAsia="仿宋" w:cs="仿宋"/>
          <w:caps w:val="0"/>
          <w:color w:val="auto"/>
          <w:spacing w:val="0"/>
          <w:sz w:val="24"/>
          <w:szCs w:val="21"/>
          <w:lang w:val="en-US" w:eastAsia="zh-CN"/>
        </w:rPr>
        <w:t>乙方</w:t>
      </w:r>
      <w:r>
        <w:rPr>
          <w:rFonts w:hint="eastAsia" w:ascii="仿宋" w:hAnsi="仿宋" w:eastAsia="仿宋" w:cs="仿宋"/>
          <w:caps w:val="0"/>
          <w:color w:val="auto"/>
          <w:spacing w:val="0"/>
          <w:sz w:val="24"/>
          <w:szCs w:val="21"/>
        </w:rPr>
        <w:t>应自行增加系统正常、合法运行及使用所必需但招标文件没有包含的所有部件、版权、专利等一切费用，如果</w:t>
      </w:r>
      <w:r>
        <w:rPr>
          <w:rFonts w:hint="eastAsia" w:ascii="仿宋" w:hAnsi="仿宋" w:eastAsia="仿宋" w:cs="仿宋"/>
          <w:caps w:val="0"/>
          <w:color w:val="auto"/>
          <w:spacing w:val="0"/>
          <w:sz w:val="24"/>
          <w:szCs w:val="21"/>
          <w:lang w:val="en-US" w:eastAsia="zh-CN"/>
        </w:rPr>
        <w:t>乙方</w:t>
      </w:r>
      <w:r>
        <w:rPr>
          <w:rFonts w:hint="eastAsia" w:ascii="仿宋" w:hAnsi="仿宋" w:eastAsia="仿宋" w:cs="仿宋"/>
          <w:caps w:val="0"/>
          <w:color w:val="auto"/>
          <w:spacing w:val="0"/>
          <w:sz w:val="24"/>
          <w:szCs w:val="21"/>
        </w:rPr>
        <w:t>在中标并签署合同后，在供货、安装、调试、培训等工作中出现硬件、软件等的任何遗漏，均由</w:t>
      </w:r>
      <w:r>
        <w:rPr>
          <w:rFonts w:hint="eastAsia" w:ascii="仿宋" w:hAnsi="仿宋" w:eastAsia="仿宋" w:cs="仿宋"/>
          <w:caps w:val="0"/>
          <w:color w:val="auto"/>
          <w:spacing w:val="0"/>
          <w:sz w:val="24"/>
          <w:szCs w:val="21"/>
          <w:lang w:val="en-US" w:eastAsia="zh-CN"/>
        </w:rPr>
        <w:t>乙方</w:t>
      </w:r>
      <w:r>
        <w:rPr>
          <w:rFonts w:hint="eastAsia" w:ascii="仿宋" w:hAnsi="仿宋" w:eastAsia="仿宋" w:cs="仿宋"/>
          <w:caps w:val="0"/>
          <w:color w:val="auto"/>
          <w:spacing w:val="0"/>
          <w:sz w:val="24"/>
          <w:szCs w:val="21"/>
        </w:rPr>
        <w:t>免费提供，</w:t>
      </w:r>
      <w:r>
        <w:rPr>
          <w:rFonts w:hint="eastAsia" w:ascii="仿宋" w:hAnsi="仿宋" w:eastAsia="仿宋" w:cs="仿宋"/>
          <w:caps w:val="0"/>
          <w:color w:val="auto"/>
          <w:spacing w:val="0"/>
          <w:sz w:val="24"/>
          <w:szCs w:val="21"/>
          <w:lang w:val="en-US" w:eastAsia="zh-CN"/>
        </w:rPr>
        <w:t>甲方</w:t>
      </w:r>
      <w:r>
        <w:rPr>
          <w:rFonts w:hint="eastAsia" w:ascii="仿宋" w:hAnsi="仿宋" w:eastAsia="仿宋" w:cs="仿宋"/>
          <w:caps w:val="0"/>
          <w:color w:val="auto"/>
          <w:spacing w:val="0"/>
          <w:sz w:val="24"/>
          <w:szCs w:val="21"/>
        </w:rPr>
        <w:t>将不再支付任何费用。投标报价为履行合同的最终价格，</w:t>
      </w:r>
      <w:r>
        <w:rPr>
          <w:rFonts w:hint="eastAsia" w:ascii="仿宋" w:hAnsi="仿宋" w:eastAsia="仿宋" w:cs="仿宋"/>
          <w:caps w:val="0"/>
          <w:color w:val="auto"/>
          <w:spacing w:val="0"/>
          <w:sz w:val="24"/>
          <w:szCs w:val="21"/>
          <w:lang w:val="en-US" w:eastAsia="zh-CN"/>
        </w:rPr>
        <w:t>乙方</w:t>
      </w:r>
      <w:r>
        <w:rPr>
          <w:rFonts w:hint="eastAsia" w:ascii="仿宋" w:hAnsi="仿宋" w:eastAsia="仿宋" w:cs="仿宋"/>
          <w:caps w:val="0"/>
          <w:color w:val="auto"/>
          <w:spacing w:val="0"/>
          <w:sz w:val="24"/>
          <w:szCs w:val="21"/>
        </w:rPr>
        <w:t>不得再要求追加任何费用。</w:t>
      </w:r>
    </w:p>
    <w:p w14:paraId="335E94BB">
      <w:pPr>
        <w:pStyle w:val="2"/>
        <w:keepNext w:val="0"/>
        <w:keepLines w:val="0"/>
        <w:pageBreakBefore w:val="0"/>
        <w:widowControl w:val="0"/>
        <w:kinsoku/>
        <w:wordWrap/>
        <w:overflowPunct/>
        <w:topLinePunct w:val="0"/>
        <w:autoSpaceDE/>
        <w:autoSpaceDN/>
        <w:bidi w:val="0"/>
        <w:snapToGrid/>
        <w:spacing w:after="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3.4</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highlight w:val="none"/>
        </w:rPr>
        <w:t>本项目出水监测设备运维和进水监测设备运维须委托有资质的第三方，但此项费用已包含在本次招标范围内，</w:t>
      </w:r>
      <w:r>
        <w:rPr>
          <w:rFonts w:hint="eastAsia" w:ascii="仿宋" w:hAnsi="仿宋" w:eastAsia="仿宋" w:cs="仿宋"/>
          <w:color w:val="auto"/>
          <w:sz w:val="24"/>
          <w:highlight w:val="none"/>
          <w:lang w:val="en-US" w:eastAsia="zh-CN"/>
        </w:rPr>
        <w:t>甲方</w:t>
      </w:r>
      <w:r>
        <w:rPr>
          <w:rFonts w:hint="eastAsia" w:ascii="仿宋" w:hAnsi="仿宋" w:eastAsia="仿宋" w:cs="仿宋"/>
          <w:color w:val="auto"/>
          <w:sz w:val="24"/>
          <w:highlight w:val="none"/>
        </w:rPr>
        <w:t>不再另行支付其他费用。</w:t>
      </w:r>
    </w:p>
    <w:p w14:paraId="1E21F8B9">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rPr>
      </w:pPr>
      <w:r>
        <w:rPr>
          <w:rFonts w:hint="eastAsia" w:ascii="仿宋" w:hAnsi="仿宋" w:eastAsia="仿宋" w:cs="仿宋"/>
          <w:b/>
          <w:color w:val="auto"/>
          <w:sz w:val="24"/>
          <w:szCs w:val="24"/>
          <w:lang w:val="en-US" w:eastAsia="zh-CN"/>
        </w:rPr>
        <w:t>付款方式</w:t>
      </w:r>
    </w:p>
    <w:p w14:paraId="67242204">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highlight w:val="none"/>
        </w:rPr>
      </w:pPr>
      <w:r>
        <w:rPr>
          <w:rFonts w:hint="eastAsia" w:ascii="仿宋" w:hAnsi="仿宋" w:eastAsia="仿宋" w:cs="仿宋"/>
          <w:caps w:val="0"/>
          <w:color w:val="auto"/>
          <w:spacing w:val="0"/>
          <w:position w:val="0"/>
          <w:sz w:val="24"/>
          <w:szCs w:val="24"/>
          <w:highlight w:val="none"/>
          <w:lang w:val="en-US" w:eastAsia="zh-CN"/>
        </w:rPr>
        <w:t>4</w:t>
      </w:r>
      <w:r>
        <w:rPr>
          <w:rFonts w:hint="eastAsia" w:ascii="仿宋" w:hAnsi="仿宋" w:eastAsia="仿宋" w:cs="仿宋"/>
          <w:caps w:val="0"/>
          <w:color w:val="auto"/>
          <w:spacing w:val="0"/>
          <w:position w:val="0"/>
          <w:sz w:val="24"/>
          <w:szCs w:val="24"/>
          <w:highlight w:val="none"/>
        </w:rPr>
        <w:t>.1</w:t>
      </w:r>
      <w:r>
        <w:rPr>
          <w:rFonts w:hint="eastAsia" w:ascii="仿宋" w:hAnsi="仿宋" w:eastAsia="仿宋" w:cs="仿宋"/>
          <w:color w:val="auto"/>
          <w:sz w:val="24"/>
          <w:szCs w:val="24"/>
          <w:highlight w:val="none"/>
        </w:rPr>
        <w:t xml:space="preserve"> </w:t>
      </w:r>
      <w:r>
        <w:rPr>
          <w:rFonts w:hint="eastAsia" w:ascii="仿宋" w:hAnsi="仿宋" w:eastAsia="仿宋" w:cs="仿宋"/>
          <w:caps w:val="0"/>
          <w:color w:val="auto"/>
          <w:spacing w:val="0"/>
          <w:position w:val="0"/>
          <w:sz w:val="24"/>
          <w:szCs w:val="24"/>
          <w:highlight w:val="none"/>
        </w:rPr>
        <w:t>本合同项下所有款项均以人民币支付。</w:t>
      </w:r>
    </w:p>
    <w:p w14:paraId="54E891C2">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highlight w:val="none"/>
        </w:rPr>
      </w:pPr>
      <w:r>
        <w:rPr>
          <w:rFonts w:hint="eastAsia" w:ascii="仿宋" w:hAnsi="仿宋" w:eastAsia="仿宋" w:cs="仿宋"/>
          <w:caps w:val="0"/>
          <w:color w:val="auto"/>
          <w:spacing w:val="0"/>
          <w:position w:val="0"/>
          <w:sz w:val="24"/>
          <w:szCs w:val="24"/>
          <w:highlight w:val="none"/>
          <w:lang w:val="en-US" w:eastAsia="zh-CN"/>
        </w:rPr>
        <w:t>4</w:t>
      </w:r>
      <w:r>
        <w:rPr>
          <w:rFonts w:hint="eastAsia" w:ascii="仿宋" w:hAnsi="仿宋" w:eastAsia="仿宋" w:cs="仿宋"/>
          <w:caps w:val="0"/>
          <w:color w:val="auto"/>
          <w:spacing w:val="0"/>
          <w:position w:val="0"/>
          <w:sz w:val="24"/>
          <w:szCs w:val="24"/>
          <w:highlight w:val="none"/>
        </w:rPr>
        <w:t>.2</w:t>
      </w:r>
      <w:r>
        <w:rPr>
          <w:rFonts w:hint="eastAsia" w:ascii="仿宋" w:hAnsi="仿宋" w:eastAsia="仿宋" w:cs="仿宋"/>
          <w:color w:val="auto"/>
          <w:sz w:val="24"/>
          <w:szCs w:val="24"/>
          <w:highlight w:val="none"/>
        </w:rPr>
        <w:t xml:space="preserve"> </w:t>
      </w:r>
      <w:r>
        <w:rPr>
          <w:rFonts w:hint="eastAsia" w:ascii="仿宋" w:hAnsi="仿宋" w:eastAsia="仿宋" w:cs="仿宋"/>
          <w:caps w:val="0"/>
          <w:color w:val="auto"/>
          <w:spacing w:val="0"/>
          <w:position w:val="0"/>
          <w:sz w:val="24"/>
          <w:szCs w:val="24"/>
          <w:highlight w:val="none"/>
        </w:rPr>
        <w:t>付款方式：</w:t>
      </w:r>
    </w:p>
    <w:p w14:paraId="70C89FEF">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highlight w:val="none"/>
          <w:u w:val="single"/>
          <w:lang w:val="en-US" w:eastAsia="zh-CN"/>
        </w:rPr>
      </w:pPr>
      <w:r>
        <w:rPr>
          <w:rFonts w:hint="eastAsia" w:ascii="仿宋" w:hAnsi="仿宋" w:eastAsia="仿宋" w:cs="仿宋"/>
          <w:caps w:val="0"/>
          <w:color w:val="auto"/>
          <w:spacing w:val="0"/>
          <w:position w:val="0"/>
          <w:sz w:val="24"/>
          <w:szCs w:val="24"/>
          <w:highlight w:val="none"/>
          <w:lang w:val="en-US" w:eastAsia="zh-CN"/>
        </w:rPr>
        <w:t xml:space="preserve">4.2.1 </w:t>
      </w:r>
      <w:r>
        <w:rPr>
          <w:rFonts w:hint="eastAsia" w:ascii="仿宋" w:hAnsi="仿宋" w:eastAsia="仿宋" w:cs="仿宋"/>
          <w:caps w:val="0"/>
          <w:color w:val="auto"/>
          <w:spacing w:val="0"/>
          <w:position w:val="0"/>
          <w:sz w:val="24"/>
          <w:szCs w:val="24"/>
          <w:highlight w:val="none"/>
          <w:u w:val="single"/>
          <w:lang w:val="en-US" w:eastAsia="zh-CN"/>
        </w:rPr>
        <w:t>本项目分六次进行付款，项目合同生效以及具备实施条件后7个工作日内支付合同总价的40%作为预付款；剩余款项按季度分五次进行结算，即每季度开始第一月，结算上一季度运维管理费（扣除合同总额8%的预付款）。</w:t>
      </w:r>
    </w:p>
    <w:p w14:paraId="009DD41E">
      <w:pPr>
        <w:keepNext w:val="0"/>
        <w:keepLines w:val="0"/>
        <w:pageBreakBefore w:val="0"/>
        <w:widowControl w:val="0"/>
        <w:kinsoku/>
        <w:wordWrap/>
        <w:overflowPunct/>
        <w:topLinePunct w:val="0"/>
        <w:bidi w:val="0"/>
        <w:snapToGrid/>
        <w:spacing w:line="360" w:lineRule="auto"/>
        <w:ind w:firstLine="482" w:firstLineChars="200"/>
        <w:jc w:val="left"/>
        <w:rPr>
          <w:rFonts w:hint="eastAsia" w:ascii="仿宋" w:hAnsi="仿宋" w:eastAsia="仿宋" w:cs="仿宋"/>
          <w:b/>
          <w:bCs/>
          <w:color w:val="auto"/>
          <w:sz w:val="24"/>
          <w:szCs w:val="24"/>
          <w:highlight w:val="none"/>
          <w:u w:val="single"/>
          <w:lang w:eastAsia="zh-CN"/>
        </w:rPr>
      </w:pPr>
      <w:r>
        <w:rPr>
          <w:rFonts w:hint="eastAsia" w:ascii="仿宋" w:hAnsi="仿宋" w:eastAsia="仿宋" w:cs="仿宋"/>
          <w:b/>
          <w:bCs/>
          <w:color w:val="auto"/>
          <w:sz w:val="24"/>
          <w:szCs w:val="24"/>
          <w:highlight w:val="none"/>
          <w:u w:val="single"/>
          <w:lang w:val="en-US" w:eastAsia="zh-CN"/>
        </w:rPr>
        <w:t>乙方</w:t>
      </w:r>
      <w:r>
        <w:rPr>
          <w:rFonts w:hint="eastAsia" w:ascii="仿宋" w:hAnsi="仿宋" w:eastAsia="仿宋" w:cs="仿宋"/>
          <w:b/>
          <w:bCs/>
          <w:color w:val="auto"/>
          <w:sz w:val="24"/>
          <w:szCs w:val="24"/>
          <w:highlight w:val="none"/>
          <w:u w:val="single"/>
        </w:rPr>
        <w:t>确表示无需预付款或者主动要求降低预付款比例的，采购合同可不适用前述规定。</w:t>
      </w:r>
    </w:p>
    <w:p w14:paraId="1D7AC96B">
      <w:pPr>
        <w:keepNext w:val="0"/>
        <w:keepLines w:val="0"/>
        <w:pageBreakBefore w:val="0"/>
        <w:widowControl w:val="0"/>
        <w:kinsoku/>
        <w:wordWrap/>
        <w:overflowPunct/>
        <w:topLinePunct w:val="0"/>
        <w:bidi w:val="0"/>
        <w:snapToGrid/>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sz w:val="24"/>
          <w:szCs w:val="24"/>
          <w:highlight w:val="none"/>
          <w:lang w:val="en-US" w:eastAsia="zh-CN"/>
        </w:rPr>
        <w:t>甲方</w:t>
      </w:r>
      <w:r>
        <w:rPr>
          <w:rFonts w:hint="eastAsia" w:ascii="仿宋" w:hAnsi="仿宋" w:eastAsia="仿宋" w:cs="仿宋"/>
          <w:color w:val="auto"/>
          <w:sz w:val="24"/>
          <w:szCs w:val="24"/>
          <w:highlight w:val="none"/>
        </w:rPr>
        <w:t>在向</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支付预付款之前，有权要求</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提供与预付款金额相对应的担保措施，担保措施可以是银行、保险公司等金融机构出具的预付款保函或其他担保措施。</w:t>
      </w:r>
    </w:p>
    <w:p w14:paraId="1E432834">
      <w:pPr>
        <w:pStyle w:val="3"/>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仿宋" w:hAnsi="仿宋" w:eastAsia="仿宋" w:cs="仿宋"/>
          <w:caps w:val="0"/>
          <w:color w:val="auto"/>
          <w:spacing w:val="0"/>
          <w:sz w:val="24"/>
          <w:szCs w:val="21"/>
          <w:highlight w:val="none"/>
          <w:lang w:val="en-US" w:eastAsia="zh-CN"/>
        </w:rPr>
      </w:pPr>
      <w:r>
        <w:rPr>
          <w:rFonts w:hint="eastAsia" w:ascii="仿宋" w:hAnsi="仿宋" w:eastAsia="仿宋" w:cs="仿宋"/>
          <w:caps w:val="0"/>
          <w:color w:val="auto"/>
          <w:spacing w:val="0"/>
          <w:sz w:val="24"/>
          <w:szCs w:val="21"/>
          <w:highlight w:val="none"/>
          <w:lang w:val="en-US" w:eastAsia="zh-CN"/>
        </w:rPr>
        <w:t>4.2.2 需丽水市环境生态局遂昌分局对污水厂运行相关指标进行确认，合格后支付。如出现日均值超标的，扣除当日运营费用的2倍。</w:t>
      </w:r>
    </w:p>
    <w:p w14:paraId="7011A2F8">
      <w:pPr>
        <w:pStyle w:val="3"/>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仿宋" w:hAnsi="仿宋" w:eastAsia="仿宋" w:cs="仿宋"/>
          <w:color w:val="auto"/>
          <w:lang w:val="en-US"/>
        </w:rPr>
      </w:pPr>
      <w:r>
        <w:rPr>
          <w:rFonts w:hint="eastAsia" w:ascii="仿宋" w:hAnsi="仿宋" w:eastAsia="仿宋" w:cs="仿宋"/>
          <w:caps w:val="0"/>
          <w:color w:val="auto"/>
          <w:spacing w:val="0"/>
          <w:sz w:val="24"/>
          <w:szCs w:val="21"/>
          <w:highlight w:val="none"/>
          <w:lang w:val="en-US" w:eastAsia="zh-CN"/>
        </w:rPr>
        <w:t>4.2.3 合同款支付须成交供应商开具正式发票，采购人在成交供应商开具发票后7个工作日内支付。</w:t>
      </w:r>
    </w:p>
    <w:p w14:paraId="0A8FC12E">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服务期限</w:t>
      </w:r>
    </w:p>
    <w:p w14:paraId="1153E9D5">
      <w:pPr>
        <w:pStyle w:val="50"/>
        <w:keepNext w:val="0"/>
        <w:keepLines w:val="0"/>
        <w:pageBreakBefore w:val="0"/>
        <w:widowControl w:val="0"/>
        <w:kinsoku/>
        <w:wordWrap/>
        <w:overflowPunct/>
        <w:topLinePunct w:val="0"/>
        <w:autoSpaceDE w:val="0"/>
        <w:autoSpaceDN w:val="0"/>
        <w:bidi w:val="0"/>
        <w:adjustRightInd w:val="0"/>
        <w:snapToGrid/>
        <w:spacing w:after="0" w:line="360" w:lineRule="auto"/>
        <w:ind w:left="0" w:leftChars="0" w:firstLine="464"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15个月，</w:t>
      </w:r>
      <w:r>
        <w:rPr>
          <w:rFonts w:hint="eastAsia" w:ascii="仿宋" w:hAnsi="仿宋" w:eastAsia="仿宋" w:cs="仿宋"/>
          <w:color w:val="auto"/>
          <w:kern w:val="2"/>
          <w:sz w:val="24"/>
          <w:szCs w:val="24"/>
          <w:u w:val="single"/>
          <w:lang w:val="en-US" w:eastAsia="zh-CN" w:bidi="ar-SA"/>
        </w:rPr>
        <w:t xml:space="preserve">2025 </w:t>
      </w:r>
      <w:r>
        <w:rPr>
          <w:rFonts w:hint="eastAsia" w:ascii="仿宋" w:hAnsi="仿宋" w:eastAsia="仿宋" w:cs="仿宋"/>
          <w:color w:val="auto"/>
          <w:kern w:val="2"/>
          <w:sz w:val="24"/>
          <w:szCs w:val="24"/>
          <w:lang w:val="en-US" w:eastAsia="zh-CN" w:bidi="ar-SA"/>
        </w:rPr>
        <w:t>年</w:t>
      </w:r>
      <w:r>
        <w:rPr>
          <w:rFonts w:hint="eastAsia" w:ascii="仿宋" w:hAnsi="仿宋" w:eastAsia="仿宋" w:cs="仿宋"/>
          <w:color w:val="auto"/>
          <w:kern w:val="2"/>
          <w:sz w:val="24"/>
          <w:szCs w:val="24"/>
          <w:u w:val="single"/>
          <w:lang w:val="en-US" w:eastAsia="zh-CN" w:bidi="ar-SA"/>
        </w:rPr>
        <w:t xml:space="preserve"> 4 </w:t>
      </w:r>
      <w:r>
        <w:rPr>
          <w:rFonts w:hint="eastAsia" w:ascii="仿宋" w:hAnsi="仿宋" w:eastAsia="仿宋" w:cs="仿宋"/>
          <w:color w:val="auto"/>
          <w:kern w:val="2"/>
          <w:sz w:val="24"/>
          <w:szCs w:val="24"/>
          <w:lang w:val="en-US" w:eastAsia="zh-CN" w:bidi="ar-SA"/>
        </w:rPr>
        <w:t>月</w:t>
      </w:r>
      <w:r>
        <w:rPr>
          <w:rFonts w:hint="eastAsia" w:ascii="仿宋" w:hAnsi="仿宋" w:eastAsia="仿宋" w:cs="仿宋"/>
          <w:color w:val="auto"/>
          <w:kern w:val="2"/>
          <w:sz w:val="24"/>
          <w:szCs w:val="24"/>
          <w:u w:val="single"/>
          <w:lang w:val="en-US" w:eastAsia="zh-CN" w:bidi="ar-SA"/>
        </w:rPr>
        <w:t xml:space="preserve"> 1 </w:t>
      </w:r>
      <w:r>
        <w:rPr>
          <w:rFonts w:hint="eastAsia" w:ascii="仿宋" w:hAnsi="仿宋" w:eastAsia="仿宋" w:cs="仿宋"/>
          <w:color w:val="auto"/>
          <w:kern w:val="2"/>
          <w:sz w:val="24"/>
          <w:szCs w:val="24"/>
          <w:lang w:val="en-US" w:eastAsia="zh-CN" w:bidi="ar-SA"/>
        </w:rPr>
        <w:t>日至</w:t>
      </w:r>
      <w:r>
        <w:rPr>
          <w:rFonts w:hint="eastAsia" w:ascii="仿宋" w:hAnsi="仿宋" w:eastAsia="仿宋" w:cs="仿宋"/>
          <w:color w:val="auto"/>
          <w:kern w:val="2"/>
          <w:sz w:val="24"/>
          <w:szCs w:val="24"/>
          <w:u w:val="single"/>
          <w:lang w:val="en-US" w:eastAsia="zh-CN" w:bidi="ar-SA"/>
        </w:rPr>
        <w:t xml:space="preserve">2026 </w:t>
      </w:r>
      <w:r>
        <w:rPr>
          <w:rFonts w:hint="eastAsia" w:ascii="仿宋" w:hAnsi="仿宋" w:eastAsia="仿宋" w:cs="仿宋"/>
          <w:color w:val="auto"/>
          <w:kern w:val="2"/>
          <w:sz w:val="24"/>
          <w:szCs w:val="24"/>
          <w:lang w:val="en-US" w:eastAsia="zh-CN" w:bidi="ar-SA"/>
        </w:rPr>
        <w:t>年</w:t>
      </w:r>
      <w:r>
        <w:rPr>
          <w:rFonts w:hint="eastAsia" w:ascii="仿宋" w:hAnsi="仿宋" w:eastAsia="仿宋" w:cs="仿宋"/>
          <w:color w:val="auto"/>
          <w:kern w:val="2"/>
          <w:sz w:val="24"/>
          <w:szCs w:val="24"/>
          <w:u w:val="single"/>
          <w:lang w:val="en-US" w:eastAsia="zh-CN" w:bidi="ar-SA"/>
        </w:rPr>
        <w:t xml:space="preserve"> 6 </w:t>
      </w:r>
      <w:r>
        <w:rPr>
          <w:rFonts w:hint="eastAsia" w:ascii="仿宋" w:hAnsi="仿宋" w:eastAsia="仿宋" w:cs="仿宋"/>
          <w:color w:val="auto"/>
          <w:kern w:val="2"/>
          <w:sz w:val="24"/>
          <w:szCs w:val="24"/>
          <w:lang w:val="en-US" w:eastAsia="zh-CN" w:bidi="ar-SA"/>
        </w:rPr>
        <w:t>月</w:t>
      </w:r>
      <w:r>
        <w:rPr>
          <w:rFonts w:hint="eastAsia" w:ascii="仿宋" w:hAnsi="仿宋" w:eastAsia="仿宋" w:cs="仿宋"/>
          <w:color w:val="auto"/>
          <w:kern w:val="2"/>
          <w:sz w:val="24"/>
          <w:szCs w:val="24"/>
          <w:u w:val="single"/>
          <w:lang w:val="en-US" w:eastAsia="zh-CN" w:bidi="ar-SA"/>
        </w:rPr>
        <w:t xml:space="preserve"> 31 </w:t>
      </w:r>
      <w:r>
        <w:rPr>
          <w:rFonts w:hint="eastAsia" w:ascii="仿宋" w:hAnsi="仿宋" w:eastAsia="仿宋" w:cs="仿宋"/>
          <w:color w:val="auto"/>
          <w:kern w:val="2"/>
          <w:sz w:val="24"/>
          <w:szCs w:val="24"/>
          <w:lang w:val="en-US" w:eastAsia="zh-CN" w:bidi="ar-SA"/>
        </w:rPr>
        <w:t>日止。</w:t>
      </w:r>
    </w:p>
    <w:p w14:paraId="0C256772">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甲乙双方的权利和义务</w:t>
      </w:r>
    </w:p>
    <w:p w14:paraId="7F05E90F">
      <w:pPr>
        <w:pStyle w:val="25"/>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6.1</w:t>
      </w:r>
      <w:r>
        <w:rPr>
          <w:rFonts w:hint="eastAsia" w:ascii="仿宋" w:hAnsi="仿宋" w:eastAsia="仿宋" w:cs="仿宋"/>
          <w:color w:val="auto"/>
          <w:sz w:val="24"/>
          <w:szCs w:val="24"/>
        </w:rPr>
        <w:t xml:space="preserve"> </w:t>
      </w:r>
      <w:r>
        <w:rPr>
          <w:rFonts w:hint="eastAsia" w:ascii="仿宋" w:hAnsi="仿宋" w:eastAsia="仿宋" w:cs="仿宋"/>
          <w:color w:val="auto"/>
          <w:kern w:val="2"/>
          <w:sz w:val="24"/>
          <w:szCs w:val="24"/>
          <w:highlight w:val="none"/>
          <w:lang w:val="en-US" w:eastAsia="zh-CN" w:bidi="ar-SA"/>
        </w:rPr>
        <w:t>本项目污泥处理事宜由甲方负责协调，乙方应积极配合并承担费用。</w:t>
      </w:r>
    </w:p>
    <w:p w14:paraId="6ECE9460">
      <w:pPr>
        <w:keepNext w:val="0"/>
        <w:keepLines w:val="0"/>
        <w:pageBreakBefore w:val="0"/>
        <w:widowControl w:val="0"/>
        <w:numPr>
          <w:ilvl w:val="0"/>
          <w:numId w:val="0"/>
        </w:numPr>
        <w:tabs>
          <w:tab w:val="left" w:pos="434"/>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6.2</w:t>
      </w:r>
      <w:r>
        <w:rPr>
          <w:rFonts w:hint="eastAsia" w:ascii="仿宋" w:hAnsi="仿宋" w:eastAsia="仿宋" w:cs="仿宋"/>
          <w:color w:val="auto"/>
          <w:sz w:val="24"/>
          <w:szCs w:val="24"/>
        </w:rPr>
        <w:t xml:space="preserve"> </w:t>
      </w:r>
      <w:r>
        <w:rPr>
          <w:rFonts w:hint="eastAsia" w:ascii="仿宋" w:hAnsi="仿宋" w:eastAsia="仿宋" w:cs="仿宋"/>
          <w:color w:val="auto"/>
          <w:kern w:val="0"/>
          <w:sz w:val="24"/>
          <w:szCs w:val="24"/>
          <w:highlight w:val="none"/>
          <w:lang w:val="en-US" w:eastAsia="zh-CN"/>
        </w:rPr>
        <w:t>合同期结束时，甲方委托第三方进行项目的绩效评估，乙方应无条件配合。</w:t>
      </w:r>
    </w:p>
    <w:p w14:paraId="7B53E106">
      <w:pPr>
        <w:pStyle w:val="25"/>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6.3</w:t>
      </w:r>
      <w:r>
        <w:rPr>
          <w:rFonts w:hint="eastAsia" w:ascii="仿宋" w:hAnsi="仿宋" w:eastAsia="仿宋" w:cs="仿宋"/>
          <w:color w:val="auto"/>
          <w:sz w:val="24"/>
          <w:szCs w:val="24"/>
        </w:rPr>
        <w:t xml:space="preserve"> </w:t>
      </w:r>
      <w:r>
        <w:rPr>
          <w:rFonts w:hint="eastAsia" w:ascii="仿宋" w:hAnsi="仿宋" w:eastAsia="仿宋" w:cs="仿宋"/>
          <w:color w:val="auto"/>
          <w:kern w:val="2"/>
          <w:sz w:val="24"/>
          <w:szCs w:val="24"/>
          <w:highlight w:val="none"/>
          <w:lang w:val="en-US" w:eastAsia="zh-CN" w:bidi="ar-SA"/>
        </w:rPr>
        <w:t>乙方应按照本项目采购要求执行。</w:t>
      </w:r>
    </w:p>
    <w:p w14:paraId="4B87B959">
      <w:pPr>
        <w:pStyle w:val="25"/>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6.4</w:t>
      </w:r>
      <w:r>
        <w:rPr>
          <w:rFonts w:hint="eastAsia" w:ascii="仿宋" w:hAnsi="仿宋" w:eastAsia="仿宋" w:cs="仿宋"/>
          <w:color w:val="auto"/>
          <w:sz w:val="24"/>
          <w:szCs w:val="24"/>
        </w:rPr>
        <w:t xml:space="preserve"> </w:t>
      </w:r>
      <w:r>
        <w:rPr>
          <w:rFonts w:hint="eastAsia" w:ascii="仿宋" w:hAnsi="仿宋" w:eastAsia="仿宋" w:cs="仿宋"/>
          <w:color w:val="auto"/>
          <w:kern w:val="2"/>
          <w:sz w:val="24"/>
          <w:szCs w:val="24"/>
          <w:highlight w:val="none"/>
          <w:lang w:val="en-US" w:eastAsia="zh-CN" w:bidi="ar-SA"/>
        </w:rPr>
        <w:t>在乙方正式运行前，甲方应按照本合同条款组织污水处理厂移交，在移交过程中相关事宜由甲方负贵协调，乙方积极配合。</w:t>
      </w:r>
    </w:p>
    <w:p w14:paraId="2829599B">
      <w:pPr>
        <w:pStyle w:val="25"/>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6.5</w:t>
      </w:r>
      <w:r>
        <w:rPr>
          <w:rFonts w:hint="eastAsia" w:ascii="仿宋" w:hAnsi="仿宋" w:eastAsia="仿宋" w:cs="仿宋"/>
          <w:color w:val="auto"/>
          <w:sz w:val="24"/>
          <w:szCs w:val="24"/>
        </w:rPr>
        <w:t xml:space="preserve"> </w:t>
      </w:r>
      <w:r>
        <w:rPr>
          <w:rFonts w:hint="eastAsia" w:ascii="仿宋" w:hAnsi="仿宋" w:eastAsia="仿宋" w:cs="仿宋"/>
          <w:color w:val="auto"/>
          <w:kern w:val="2"/>
          <w:sz w:val="24"/>
          <w:szCs w:val="24"/>
          <w:highlight w:val="none"/>
          <w:lang w:val="en-US" w:eastAsia="zh-CN" w:bidi="ar-SA"/>
        </w:rPr>
        <w:t>如果进入污水处理厂的废水水量、水质超过本项目设计规定范围，乙方及时查找原因，甲方积极配合，并进行有效的控制。</w:t>
      </w:r>
    </w:p>
    <w:p w14:paraId="1C9971E7">
      <w:pPr>
        <w:pStyle w:val="25"/>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6.6</w:t>
      </w:r>
      <w:r>
        <w:rPr>
          <w:rFonts w:hint="eastAsia" w:ascii="仿宋" w:hAnsi="仿宋" w:eastAsia="仿宋" w:cs="仿宋"/>
          <w:color w:val="auto"/>
          <w:sz w:val="24"/>
          <w:szCs w:val="24"/>
        </w:rPr>
        <w:t xml:space="preserve"> </w:t>
      </w:r>
      <w:r>
        <w:rPr>
          <w:rFonts w:hint="eastAsia" w:ascii="仿宋" w:hAnsi="仿宋" w:eastAsia="仿宋" w:cs="仿宋"/>
          <w:color w:val="auto"/>
          <w:kern w:val="2"/>
          <w:sz w:val="24"/>
          <w:szCs w:val="24"/>
          <w:highlight w:val="none"/>
          <w:lang w:val="en-US" w:eastAsia="zh-CN" w:bidi="ar-SA"/>
        </w:rPr>
        <w:t>乙方应积极配合处理经甲方协调同意的特殊项目的废水，产生的处理费用，由乙方与纳入方另行合同约定。</w:t>
      </w:r>
    </w:p>
    <w:p w14:paraId="5C8ECAB1">
      <w:pPr>
        <w:pStyle w:val="3"/>
        <w:keepNext w:val="0"/>
        <w:keepLines w:val="0"/>
        <w:pageBreakBefore w:val="0"/>
        <w:widowControl w:val="0"/>
        <w:kinsoku/>
        <w:wordWrap/>
        <w:overflowPunct/>
        <w:topLinePunct w:val="0"/>
        <w:bidi w:val="0"/>
        <w:snapToGrid/>
        <w:spacing w:line="360" w:lineRule="auto"/>
        <w:ind w:firstLine="480" w:firstLineChars="200"/>
        <w:rPr>
          <w:rFonts w:hint="default"/>
          <w:lang w:val="en-US" w:eastAsia="zh-CN"/>
        </w:rPr>
      </w:pPr>
      <w:r>
        <w:rPr>
          <w:rFonts w:hint="eastAsia" w:ascii="仿宋" w:hAnsi="仿宋" w:eastAsia="仿宋" w:cs="仿宋"/>
          <w:color w:val="auto"/>
          <w:kern w:val="2"/>
          <w:sz w:val="24"/>
          <w:szCs w:val="24"/>
          <w:highlight w:val="none"/>
          <w:lang w:val="en-US" w:eastAsia="zh-CN" w:bidi="ar-SA"/>
        </w:rPr>
        <w:t>6.7如有其他规定区域废水纳入，需确保达到国家标准与地方环境保护主管部门要求，除提升泵站电费及维护外，废水处理费用暂定按遂昌县富春紫光污水处理厂处理达到一级A标时的处理费1.65 元/吨支付给乙方，如有必要，根据运行情况，经双方协商后另行补充协议支付。</w:t>
      </w:r>
    </w:p>
    <w:p w14:paraId="71C6F177">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信息和保密</w:t>
      </w:r>
    </w:p>
    <w:p w14:paraId="4AF70FA8">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7.1 乙方应准确系统地建立项目和服务过程中的文档和记录，其形式和详细程度应符合其专业水平，并允许甲方在项目执行过程中进行检查和复印。</w:t>
      </w:r>
    </w:p>
    <w:p w14:paraId="40172D48">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7.2 对于一方向另一方提供的信息和资料。另一方须以合理和合适的方式或按照适用的专业标准保密这些资料。未经提供书面同意，另一方不得将这些资料通过任何方式透露给第三方。但甲方合理使用获得的本项目成果则不在此列。</w:t>
      </w:r>
    </w:p>
    <w:p w14:paraId="59B98E56">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7.3 甲方向乙方提供的报告、图纸、资料室、档案均属于甲方的财产，当项目完成或终止后，应甲方要求，乙方须归还这些报告、图纸、资料和档案</w:t>
      </w:r>
      <w:r>
        <w:rPr>
          <w:rFonts w:hint="eastAsia" w:ascii="仿宋" w:hAnsi="仿宋" w:eastAsia="仿宋" w:cs="仿宋"/>
          <w:caps w:val="0"/>
          <w:color w:val="auto"/>
          <w:spacing w:val="0"/>
          <w:position w:val="0"/>
          <w:sz w:val="24"/>
          <w:szCs w:val="24"/>
          <w:lang w:eastAsia="zh-CN"/>
        </w:rPr>
        <w:t>（</w:t>
      </w:r>
      <w:r>
        <w:rPr>
          <w:rFonts w:hint="eastAsia" w:ascii="仿宋" w:hAnsi="仿宋" w:eastAsia="仿宋" w:cs="仿宋"/>
          <w:caps w:val="0"/>
          <w:color w:val="auto"/>
          <w:spacing w:val="0"/>
          <w:position w:val="0"/>
          <w:sz w:val="24"/>
          <w:szCs w:val="24"/>
        </w:rPr>
        <w:t>包括拷贝</w:t>
      </w:r>
      <w:r>
        <w:rPr>
          <w:rFonts w:hint="eastAsia" w:ascii="仿宋" w:hAnsi="仿宋" w:eastAsia="仿宋" w:cs="仿宋"/>
          <w:caps w:val="0"/>
          <w:color w:val="auto"/>
          <w:spacing w:val="0"/>
          <w:position w:val="0"/>
          <w:sz w:val="24"/>
          <w:szCs w:val="24"/>
          <w:lang w:eastAsia="zh-CN"/>
        </w:rPr>
        <w:t>）</w:t>
      </w:r>
      <w:r>
        <w:rPr>
          <w:rFonts w:hint="eastAsia" w:ascii="仿宋" w:hAnsi="仿宋" w:eastAsia="仿宋" w:cs="仿宋"/>
          <w:caps w:val="0"/>
          <w:color w:val="auto"/>
          <w:spacing w:val="0"/>
          <w:position w:val="0"/>
          <w:sz w:val="24"/>
          <w:szCs w:val="24"/>
        </w:rPr>
        <w:t xml:space="preserve"> 。</w:t>
      </w:r>
    </w:p>
    <w:p w14:paraId="3C26372B">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7.4 本项目形成的资料(包括知识产权)归甲方所有，乙方不得用于本合同之外的用途，不得通过任何方式透露给第三方。</w:t>
      </w:r>
    </w:p>
    <w:p w14:paraId="6A6D1C65">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知识产权</w:t>
      </w:r>
    </w:p>
    <w:p w14:paraId="50855F4E">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乙方应保证所提供的服务数据或其任何一部分均不会侵犯任何第三方的知识产权。</w:t>
      </w:r>
    </w:p>
    <w:p w14:paraId="0CA620C2">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技术服务</w:t>
      </w:r>
    </w:p>
    <w:p w14:paraId="2C4A25D1">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技术服务要求：出水执行标准为一级A排放标准。</w:t>
      </w:r>
    </w:p>
    <w:p w14:paraId="33AAD2DA">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质量保证及后续服务</w:t>
      </w:r>
    </w:p>
    <w:p w14:paraId="0B2595E9">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10.1 乙方应按采购文件规定向甲方提供服务。</w:t>
      </w:r>
    </w:p>
    <w:p w14:paraId="50725DE9">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10.2 乙方提供的服务成果在服务质量保证期内发生故障，乙方应负责免费提供后续服务。对达不到要求的，根据实际情况，经双方协商，可按以下办法处理 ：</w:t>
      </w:r>
    </w:p>
    <w:p w14:paraId="56F79AAB">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(1)重做：由乙方承担所发生的全部费用。</w:t>
      </w:r>
    </w:p>
    <w:p w14:paraId="6C90A148">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(2)贬值处理：由甲乙双方合议定价。</w:t>
      </w:r>
    </w:p>
    <w:p w14:paraId="1D0AA83E">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(3)解除合同。</w:t>
      </w:r>
    </w:p>
    <w:p w14:paraId="400005C1">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10.3 委托运维期间，乙方应提供7×24小时全天候服务。</w:t>
      </w:r>
    </w:p>
    <w:p w14:paraId="74DE4B7A">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1"/>
        </w:rPr>
      </w:pPr>
      <w:r>
        <w:rPr>
          <w:rFonts w:hint="eastAsia" w:ascii="仿宋" w:hAnsi="仿宋" w:eastAsia="仿宋" w:cs="仿宋"/>
          <w:caps w:val="0"/>
          <w:color w:val="auto"/>
          <w:spacing w:val="0"/>
          <w:position w:val="0"/>
          <w:sz w:val="24"/>
          <w:szCs w:val="24"/>
        </w:rPr>
        <w:t>10.4 在服务质量保证期内，乙方应对出现的质量及安全问题负责处理解决并承担一切费用。</w:t>
      </w:r>
    </w:p>
    <w:p w14:paraId="7A289CE8">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违约处理</w:t>
      </w:r>
    </w:p>
    <w:p w14:paraId="4CDDC30D">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11.1 甲乙双方应当履行合同约定的义务，如有违反，须承担相应的违约责任。</w:t>
      </w:r>
    </w:p>
    <w:p w14:paraId="7BE8757F">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11.2 未经甲方同意，乙方不得在任何时期擅自更换投标文件中规定的项目负责人和技术负责人，同时必须确保项目技术人员的数量和水平与投标文件一致，否则甲方有权放弃或终止合同。</w:t>
      </w:r>
    </w:p>
    <w:p w14:paraId="63AD4EA5">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11.3 若乙方违反保密协议的约定，将保密资料用于其它用途，或以任何方式泄露给第三方，则乙方按保密协议的相关规定向甲方支付违约金，并赔偿甲方的全部损失。</w:t>
      </w:r>
    </w:p>
    <w:p w14:paraId="0F2B32E7">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11.4 如一方认为另一方无正当理由而未正确或未完全履行义务时，可向对方发出书面违约通知。若发出通知的一方在10天内没有收到对方实质性改进意见和实施措施，则有权解除合同。</w:t>
      </w:r>
    </w:p>
    <w:p w14:paraId="354C772A">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11.5 因甲方原因造成设施停运或水质不达标的，由甲方承担相应责任。因乙方原因造成水质不达标的由乙方承担相应责任；若污水厂进水水质、水量不符合设计进水要求造成的水质不达标，则免除乙方责任，但乙方有义务做好应急措施，应尽量避免出水不达标的风险。</w:t>
      </w:r>
    </w:p>
    <w:p w14:paraId="6F0D6A34">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不可抗力</w:t>
      </w:r>
    </w:p>
    <w:p w14:paraId="5326A2CE">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12.1 不可抗力事故系指甲乙双方在缔结合同时所不能预见的，并且它的发生及其后果无法避免和无法克服的事故。</w:t>
      </w:r>
    </w:p>
    <w:p w14:paraId="79C98B04">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12.2 签约双方任一方由于不可抗力事故的影响而不能执行合同时，当事方应尽快以书面形式将不可抗力的情况和原因通知对方。合同各方应尽可能继续履行合同义务，并积极寻求采取合理的措施履行不受不可抗力影响的其他事项。合同各方应通过友好协商在合理的时间内达成进一步履行合同。</w:t>
      </w:r>
    </w:p>
    <w:p w14:paraId="7599D9C7">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争议及仲裁</w:t>
      </w:r>
    </w:p>
    <w:p w14:paraId="0E10640E">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lang w:val="en-US" w:eastAsia="zh-CN"/>
        </w:rPr>
      </w:pPr>
      <w:r>
        <w:rPr>
          <w:rFonts w:hint="eastAsia" w:ascii="仿宋" w:hAnsi="仿宋" w:eastAsia="仿宋" w:cs="仿宋"/>
          <w:caps w:val="0"/>
          <w:color w:val="auto"/>
          <w:spacing w:val="0"/>
          <w:position w:val="0"/>
          <w:sz w:val="24"/>
          <w:szCs w:val="24"/>
        </w:rPr>
        <w:t>13.1 在本合同履行过程中发生争议，双方应当协商解决。双方不愿协商、调解解决或者协商、调解不成的通过以下</w:t>
      </w:r>
      <w:r>
        <w:rPr>
          <w:rFonts w:hint="eastAsia" w:ascii="仿宋" w:hAnsi="仿宋" w:eastAsia="仿宋" w:cs="仿宋"/>
          <w:caps w:val="0"/>
          <w:color w:val="auto"/>
          <w:spacing w:val="0"/>
          <w:position w:val="0"/>
          <w:sz w:val="24"/>
          <w:szCs w:val="24"/>
          <w:u w:val="single"/>
          <w:lang w:val="en-US" w:eastAsia="zh-CN"/>
        </w:rPr>
        <w:t xml:space="preserve"> ⑴ </w:t>
      </w:r>
      <w:r>
        <w:rPr>
          <w:rFonts w:hint="eastAsia" w:ascii="仿宋" w:hAnsi="仿宋" w:eastAsia="仿宋" w:cs="仿宋"/>
          <w:caps w:val="0"/>
          <w:color w:val="auto"/>
          <w:spacing w:val="0"/>
          <w:position w:val="0"/>
          <w:sz w:val="24"/>
          <w:szCs w:val="24"/>
        </w:rPr>
        <w:t>途径解决</w:t>
      </w:r>
      <w:r>
        <w:rPr>
          <w:rFonts w:hint="eastAsia" w:ascii="仿宋" w:hAnsi="仿宋" w:eastAsia="仿宋" w:cs="仿宋"/>
          <w:caps w:val="0"/>
          <w:color w:val="auto"/>
          <w:spacing w:val="0"/>
          <w:position w:val="0"/>
          <w:sz w:val="24"/>
          <w:szCs w:val="24"/>
          <w:u w:val="none"/>
          <w:lang w:val="en-US" w:eastAsia="zh-CN"/>
        </w:rPr>
        <w:t>：</w:t>
      </w:r>
    </w:p>
    <w:p w14:paraId="0A7E167F">
      <w:pPr>
        <w:keepNext w:val="0"/>
        <w:keepLines w:val="0"/>
        <w:pageBreakBefore w:val="0"/>
        <w:widowControl w:val="0"/>
        <w:kinsoku/>
        <w:wordWrap/>
        <w:overflowPunct/>
        <w:topLinePunct w:val="0"/>
        <w:bidi w:val="0"/>
        <w:snapToGrid/>
        <w:spacing w:line="360" w:lineRule="auto"/>
        <w:ind w:firstLine="48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⑴向甲方所在地有管辖权的人民法院提起诉讼；</w:t>
      </w:r>
    </w:p>
    <w:p w14:paraId="27B707B1">
      <w:pPr>
        <w:keepNext w:val="0"/>
        <w:keepLines w:val="0"/>
        <w:pageBreakBefore w:val="0"/>
        <w:widowControl w:val="0"/>
        <w:kinsoku/>
        <w:wordWrap/>
        <w:overflowPunct/>
        <w:topLinePunct w:val="0"/>
        <w:bidi w:val="0"/>
        <w:snapToGrid/>
        <w:spacing w:line="360" w:lineRule="auto"/>
        <w:ind w:firstLine="48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⑵向</w:t>
      </w:r>
      <w:r>
        <w:rPr>
          <w:rFonts w:hint="eastAsia" w:ascii="仿宋" w:hAnsi="仿宋" w:eastAsia="仿宋" w:cs="仿宋"/>
          <w:color w:val="auto"/>
          <w:sz w:val="24"/>
          <w:szCs w:val="21"/>
          <w:highlight w:val="none"/>
          <w:u w:val="single"/>
        </w:rPr>
        <w:t xml:space="preserve"> 丽水 </w:t>
      </w:r>
      <w:r>
        <w:rPr>
          <w:rFonts w:hint="eastAsia" w:ascii="仿宋" w:hAnsi="仿宋" w:eastAsia="仿宋" w:cs="仿宋"/>
          <w:color w:val="auto"/>
          <w:sz w:val="24"/>
          <w:szCs w:val="21"/>
          <w:highlight w:val="none"/>
        </w:rPr>
        <w:t>仲裁委员会按其仲裁规则申请仲裁。</w:t>
      </w:r>
    </w:p>
    <w:p w14:paraId="2C721317">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13.2在诉讼</w:t>
      </w:r>
      <w:r>
        <w:rPr>
          <w:rFonts w:hint="eastAsia" w:ascii="仿宋" w:hAnsi="仿宋" w:eastAsia="仿宋" w:cs="仿宋"/>
          <w:caps w:val="0"/>
          <w:color w:val="auto"/>
          <w:spacing w:val="0"/>
          <w:position w:val="0"/>
          <w:sz w:val="24"/>
          <w:szCs w:val="24"/>
          <w:lang w:val="en-US" w:eastAsia="zh-CN"/>
        </w:rPr>
        <w:t>或仲裁</w:t>
      </w:r>
      <w:r>
        <w:rPr>
          <w:rFonts w:hint="eastAsia" w:ascii="仿宋" w:hAnsi="仿宋" w:eastAsia="仿宋" w:cs="仿宋"/>
          <w:caps w:val="0"/>
          <w:color w:val="auto"/>
          <w:spacing w:val="0"/>
          <w:position w:val="0"/>
          <w:sz w:val="24"/>
          <w:szCs w:val="24"/>
        </w:rPr>
        <w:t>期间，除正在进行仲裁或诉讼的部分外，本合同其他部分应继续执行。</w:t>
      </w:r>
    </w:p>
    <w:p w14:paraId="4FCC4110">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合同生效</w:t>
      </w:r>
    </w:p>
    <w:p w14:paraId="34691C86">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14.1 本合同一式</w:t>
      </w:r>
      <w:r>
        <w:rPr>
          <w:rFonts w:hint="eastAsia" w:ascii="仿宋" w:hAnsi="仿宋" w:eastAsia="仿宋" w:cs="仿宋"/>
          <w:caps w:val="0"/>
          <w:color w:val="auto"/>
          <w:spacing w:val="0"/>
          <w:position w:val="0"/>
          <w:sz w:val="24"/>
          <w:szCs w:val="24"/>
          <w:u w:val="single"/>
          <w:lang w:val="en-US" w:eastAsia="zh-CN"/>
        </w:rPr>
        <w:t xml:space="preserve"> </w:t>
      </w:r>
      <w:r>
        <w:rPr>
          <w:rFonts w:hint="eastAsia" w:ascii="仿宋" w:hAnsi="仿宋" w:eastAsia="仿宋" w:cs="仿宋"/>
          <w:b/>
          <w:bCs/>
          <w:caps w:val="0"/>
          <w:color w:val="auto"/>
          <w:spacing w:val="0"/>
          <w:position w:val="0"/>
          <w:sz w:val="24"/>
          <w:szCs w:val="24"/>
          <w:u w:val="single"/>
        </w:rPr>
        <w:t>陆</w:t>
      </w:r>
      <w:r>
        <w:rPr>
          <w:rFonts w:hint="eastAsia" w:ascii="仿宋" w:hAnsi="仿宋" w:eastAsia="仿宋" w:cs="仿宋"/>
          <w:b/>
          <w:bCs/>
          <w:caps w:val="0"/>
          <w:color w:val="auto"/>
          <w:spacing w:val="0"/>
          <w:position w:val="0"/>
          <w:sz w:val="24"/>
          <w:szCs w:val="24"/>
          <w:u w:val="single"/>
          <w:lang w:val="en-US" w:eastAsia="zh-CN"/>
        </w:rPr>
        <w:t xml:space="preserve"> </w:t>
      </w:r>
      <w:r>
        <w:rPr>
          <w:rFonts w:hint="eastAsia" w:ascii="仿宋" w:hAnsi="仿宋" w:eastAsia="仿宋" w:cs="仿宋"/>
          <w:caps w:val="0"/>
          <w:color w:val="auto"/>
          <w:spacing w:val="0"/>
          <w:position w:val="0"/>
          <w:sz w:val="24"/>
          <w:szCs w:val="24"/>
        </w:rPr>
        <w:t>份，甲、乙双方各执贰份，监督机构和主管部门备案各一份。</w:t>
      </w:r>
    </w:p>
    <w:p w14:paraId="09B784C6">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14.2 本合同经双方法定代表人或委托代理人签字盖章后立即生效。</w:t>
      </w:r>
    </w:p>
    <w:p w14:paraId="5185E1B7">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合同修改</w:t>
      </w:r>
    </w:p>
    <w:p w14:paraId="5C75EED6">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position w:val="0"/>
          <w:sz w:val="24"/>
          <w:szCs w:val="24"/>
        </w:rPr>
      </w:pPr>
      <w:r>
        <w:rPr>
          <w:rFonts w:hint="eastAsia" w:ascii="仿宋" w:hAnsi="仿宋" w:eastAsia="仿宋" w:cs="仿宋"/>
          <w:caps w:val="0"/>
          <w:color w:val="auto"/>
          <w:spacing w:val="0"/>
          <w:position w:val="0"/>
          <w:sz w:val="24"/>
          <w:szCs w:val="24"/>
        </w:rPr>
        <w:t>15.1 合同履行期内甲乙双方均不得随意变更或解除合同。合同若有未尽事宜，需经双方共同协商，订立补充协议，补充协议与本合同有同等法律效力。</w:t>
      </w:r>
    </w:p>
    <w:p w14:paraId="2179A45D">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1"/>
        </w:rPr>
      </w:pPr>
      <w:r>
        <w:rPr>
          <w:rFonts w:hint="eastAsia" w:ascii="仿宋" w:hAnsi="仿宋" w:eastAsia="仿宋" w:cs="仿宋"/>
          <w:caps w:val="0"/>
          <w:color w:val="auto"/>
          <w:spacing w:val="0"/>
          <w:position w:val="0"/>
          <w:sz w:val="24"/>
          <w:szCs w:val="24"/>
        </w:rPr>
        <w:t>15.2 当事人一方要求变更或解除合同时，应当提前30天通知对方，因变更或解除合同使一方遭受损失的，除依法可以免除责任的外，应由责任方负责赔偿。变更或解除合同的通知或协议应当采取书面形式，协议未达成之前，原合同仍然有效。</w:t>
      </w:r>
    </w:p>
    <w:p w14:paraId="1CB02884">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0" w:leftChars="0" w:firstLine="482" w:firstLineChars="200"/>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其他</w:t>
      </w:r>
    </w:p>
    <w:p w14:paraId="785696C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本项目接入光伏发电系统，光伏电费由</w:t>
      </w:r>
      <w:r>
        <w:rPr>
          <w:rFonts w:hint="eastAsia" w:ascii="仿宋" w:hAnsi="仿宋" w:eastAsia="仿宋" w:cs="仿宋"/>
          <w:color w:val="auto"/>
          <w:kern w:val="0"/>
          <w:sz w:val="24"/>
          <w:szCs w:val="24"/>
          <w:highlight w:val="none"/>
          <w:lang w:val="en-US" w:eastAsia="zh-CN"/>
        </w:rPr>
        <w:t>乙方</w:t>
      </w:r>
      <w:r>
        <w:rPr>
          <w:rFonts w:hint="eastAsia" w:ascii="仿宋" w:hAnsi="仿宋" w:eastAsia="仿宋" w:cs="仿宋"/>
          <w:color w:val="auto"/>
          <w:kern w:val="0"/>
          <w:sz w:val="24"/>
          <w:szCs w:val="24"/>
          <w:highlight w:val="none"/>
        </w:rPr>
        <w:t>按浙江省供电公司拟定的电费价格支</w:t>
      </w:r>
      <w:r>
        <w:rPr>
          <w:rFonts w:hint="eastAsia" w:ascii="仿宋" w:hAnsi="仿宋" w:eastAsia="仿宋" w:cs="仿宋"/>
          <w:b w:val="0"/>
          <w:bCs w:val="0"/>
          <w:color w:val="auto"/>
          <w:kern w:val="0"/>
          <w:sz w:val="24"/>
          <w:szCs w:val="24"/>
          <w:highlight w:val="none"/>
        </w:rPr>
        <w:t>付</w:t>
      </w:r>
      <w:r>
        <w:rPr>
          <w:rFonts w:hint="eastAsia" w:ascii="仿宋" w:hAnsi="仿宋" w:eastAsia="仿宋" w:cs="仿宋"/>
          <w:b w:val="0"/>
          <w:bCs w:val="0"/>
          <w:caps w:val="0"/>
          <w:color w:val="auto"/>
          <w:spacing w:val="0"/>
          <w:sz w:val="24"/>
          <w:szCs w:val="21"/>
          <w:highlight w:val="none"/>
          <w:lang w:val="en-US" w:eastAsia="zh-CN"/>
        </w:rPr>
        <w:t>给光伏产权所有人</w:t>
      </w:r>
      <w:r>
        <w:rPr>
          <w:rFonts w:hint="eastAsia" w:ascii="仿宋" w:hAnsi="仿宋" w:eastAsia="仿宋" w:cs="仿宋"/>
          <w:b w:val="0"/>
          <w:bCs w:val="0"/>
          <w:color w:val="auto"/>
          <w:kern w:val="0"/>
          <w:sz w:val="24"/>
          <w:szCs w:val="24"/>
          <w:highlight w:val="none"/>
        </w:rPr>
        <w:t>。</w:t>
      </w:r>
    </w:p>
    <w:p w14:paraId="4BEFDB34">
      <w:pPr>
        <w:pStyle w:val="10"/>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rPr>
        <w:t xml:space="preserve">    16.2 运维单位与国网（丽水）综合能源有限公司签订的风机节能改造合同，乙方须继续履行该合同条约，根据合同约定每月向国网（丽水）综合能源有限公司支付节能服务费7365元。合同截止时间为2025年4月底。</w:t>
      </w:r>
    </w:p>
    <w:p w14:paraId="2EE9C29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16.3 毛田区块的污水加压泵的运行维护包含在本次招标范围内，乙方须包含该运行维护项的内容，甲方不在另行支付其他费用。经开区污水调度工程的二级泵站运行费用，根据投运情况另行补充协议约定。</w:t>
      </w:r>
    </w:p>
    <w:p w14:paraId="16E8DF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 xml:space="preserve">16.4 </w:t>
      </w:r>
      <w:r>
        <w:rPr>
          <w:rFonts w:hint="eastAsia" w:ascii="仿宋" w:hAnsi="仿宋" w:eastAsia="仿宋" w:cs="仿宋"/>
          <w:color w:val="auto"/>
          <w:kern w:val="0"/>
          <w:sz w:val="24"/>
          <w:szCs w:val="24"/>
        </w:rPr>
        <w:t>未经过甲方的书面同意，乙方不得转让其应履行的合同项下的义务，和将部分合同项下的义务分包给其他单位完成。</w:t>
      </w:r>
    </w:p>
    <w:p w14:paraId="36C0E11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乙方不得参与可能与合同规定的与甲方的利益相冲突的任何活动。</w:t>
      </w:r>
    </w:p>
    <w:p w14:paraId="086EB25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 xml:space="preserve">6 </w:t>
      </w:r>
      <w:r>
        <w:rPr>
          <w:rFonts w:hint="eastAsia" w:ascii="仿宋" w:hAnsi="仿宋" w:eastAsia="仿宋" w:cs="仿宋"/>
          <w:color w:val="auto"/>
          <w:kern w:val="0"/>
          <w:sz w:val="24"/>
          <w:szCs w:val="24"/>
        </w:rPr>
        <w:t>乙方人员在甲方场地工作时，应遵守甲方相关规章、制度。</w:t>
      </w:r>
    </w:p>
    <w:p w14:paraId="34B73A2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 xml:space="preserve">7 </w:t>
      </w:r>
      <w:r>
        <w:rPr>
          <w:rFonts w:hint="eastAsia" w:ascii="仿宋" w:hAnsi="仿宋" w:eastAsia="仿宋" w:cs="仿宋"/>
          <w:color w:val="auto"/>
          <w:kern w:val="0"/>
          <w:sz w:val="24"/>
          <w:szCs w:val="24"/>
        </w:rPr>
        <w:t>本合同任何一方给另一方的通知，都应以书面或传真的形式发送，而另一方应以书面形式确认并发送到对方明确的地址。</w:t>
      </w:r>
    </w:p>
    <w:p w14:paraId="29FDDAA0">
      <w:pPr>
        <w:keepNext w:val="0"/>
        <w:keepLines w:val="0"/>
        <w:pageBreakBefore w:val="0"/>
        <w:widowControl w:val="0"/>
        <w:kinsoku/>
        <w:wordWrap/>
        <w:overflowPunct/>
        <w:topLinePunct w:val="0"/>
        <w:bidi w:val="0"/>
        <w:adjustRightInd/>
        <w:snapToGrid/>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 xml:space="preserve">8 </w:t>
      </w:r>
      <w:r>
        <w:rPr>
          <w:rFonts w:hint="eastAsia" w:ascii="仿宋" w:hAnsi="仿宋" w:eastAsia="仿宋" w:cs="仿宋"/>
          <w:color w:val="auto"/>
          <w:kern w:val="0"/>
          <w:sz w:val="24"/>
          <w:szCs w:val="24"/>
        </w:rPr>
        <w:t>本合同未尽事宜，遵照《中华人民共和国民法典》有关条文执行。</w:t>
      </w:r>
    </w:p>
    <w:p w14:paraId="2DC1CE68">
      <w:pPr>
        <w:pStyle w:val="2"/>
        <w:rPr>
          <w:rFonts w:hint="eastAsia"/>
        </w:rPr>
      </w:pPr>
    </w:p>
    <w:p w14:paraId="7A508BBD">
      <w:pPr>
        <w:pStyle w:val="4"/>
        <w:rPr>
          <w:rFonts w:hint="eastAsia" w:ascii="仿宋" w:hAnsi="仿宋" w:eastAsia="仿宋" w:cs="仿宋"/>
          <w:color w:val="auto"/>
          <w:lang w:val="zh-CN"/>
        </w:rPr>
      </w:pPr>
    </w:p>
    <w:tbl>
      <w:tblPr>
        <w:tblStyle w:val="20"/>
        <w:tblW w:w="9579" w:type="dxa"/>
        <w:jc w:val="center"/>
        <w:tblLayout w:type="fixed"/>
        <w:tblCellMar>
          <w:top w:w="0" w:type="dxa"/>
          <w:left w:w="108" w:type="dxa"/>
          <w:bottom w:w="0" w:type="dxa"/>
          <w:right w:w="108" w:type="dxa"/>
        </w:tblCellMar>
      </w:tblPr>
      <w:tblGrid>
        <w:gridCol w:w="4790"/>
        <w:gridCol w:w="4789"/>
      </w:tblGrid>
      <w:tr w14:paraId="52B33D09">
        <w:tblPrEx>
          <w:tblCellMar>
            <w:top w:w="0" w:type="dxa"/>
            <w:left w:w="108" w:type="dxa"/>
            <w:bottom w:w="0" w:type="dxa"/>
            <w:right w:w="108" w:type="dxa"/>
          </w:tblCellMar>
        </w:tblPrEx>
        <w:trPr>
          <w:trHeight w:val="582" w:hRule="atLeast"/>
          <w:jc w:val="center"/>
        </w:trPr>
        <w:tc>
          <w:tcPr>
            <w:tcW w:w="4790" w:type="dxa"/>
            <w:noWrap w:val="0"/>
            <w:vAlign w:val="center"/>
          </w:tcPr>
          <w:p w14:paraId="1E8FA193">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甲方（盖单位章）：</w:t>
            </w:r>
            <w:r>
              <w:rPr>
                <w:rFonts w:hint="eastAsia" w:ascii="仿宋" w:hAnsi="仿宋" w:eastAsia="仿宋" w:cs="仿宋"/>
                <w:color w:val="auto"/>
                <w:sz w:val="24"/>
                <w:highlight w:val="none"/>
                <w:u w:val="single"/>
              </w:rPr>
              <w:t xml:space="preserve">                    </w:t>
            </w:r>
          </w:p>
        </w:tc>
        <w:tc>
          <w:tcPr>
            <w:tcW w:w="4789" w:type="dxa"/>
            <w:noWrap w:val="0"/>
            <w:vAlign w:val="center"/>
          </w:tcPr>
          <w:p w14:paraId="34EB781B">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乙方（盖单位章）：</w:t>
            </w:r>
            <w:r>
              <w:rPr>
                <w:rFonts w:hint="eastAsia" w:ascii="仿宋" w:hAnsi="仿宋" w:eastAsia="仿宋" w:cs="仿宋"/>
                <w:color w:val="auto"/>
                <w:sz w:val="24"/>
                <w:highlight w:val="none"/>
                <w:u w:val="single"/>
              </w:rPr>
              <w:t xml:space="preserve">                     </w:t>
            </w:r>
          </w:p>
        </w:tc>
      </w:tr>
      <w:tr w14:paraId="47024373">
        <w:tblPrEx>
          <w:tblCellMar>
            <w:top w:w="0" w:type="dxa"/>
            <w:left w:w="108" w:type="dxa"/>
            <w:bottom w:w="0" w:type="dxa"/>
            <w:right w:w="108" w:type="dxa"/>
          </w:tblCellMar>
        </w:tblPrEx>
        <w:trPr>
          <w:trHeight w:val="582" w:hRule="atLeast"/>
          <w:jc w:val="center"/>
        </w:trPr>
        <w:tc>
          <w:tcPr>
            <w:tcW w:w="4790" w:type="dxa"/>
            <w:noWrap w:val="0"/>
            <w:vAlign w:val="center"/>
          </w:tcPr>
          <w:p w14:paraId="1980AFFB">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法定代表人（签字或盖章）：</w:t>
            </w:r>
            <w:r>
              <w:rPr>
                <w:rFonts w:hint="eastAsia" w:ascii="仿宋" w:hAnsi="仿宋" w:eastAsia="仿宋" w:cs="仿宋"/>
                <w:color w:val="auto"/>
                <w:sz w:val="24"/>
                <w:highlight w:val="none"/>
                <w:u w:val="single"/>
              </w:rPr>
              <w:t xml:space="preserve">            </w:t>
            </w:r>
          </w:p>
        </w:tc>
        <w:tc>
          <w:tcPr>
            <w:tcW w:w="4789" w:type="dxa"/>
            <w:noWrap w:val="0"/>
            <w:vAlign w:val="center"/>
          </w:tcPr>
          <w:p w14:paraId="7D4B108B">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法定代表人（签字或盖章）：</w:t>
            </w:r>
            <w:r>
              <w:rPr>
                <w:rFonts w:hint="eastAsia" w:ascii="仿宋" w:hAnsi="仿宋" w:eastAsia="仿宋" w:cs="仿宋"/>
                <w:color w:val="auto"/>
                <w:sz w:val="24"/>
                <w:highlight w:val="none"/>
                <w:u w:val="single"/>
              </w:rPr>
              <w:t xml:space="preserve">             </w:t>
            </w:r>
          </w:p>
        </w:tc>
      </w:tr>
      <w:tr w14:paraId="04CF3E96">
        <w:tblPrEx>
          <w:tblCellMar>
            <w:top w:w="0" w:type="dxa"/>
            <w:left w:w="108" w:type="dxa"/>
            <w:bottom w:w="0" w:type="dxa"/>
            <w:right w:w="108" w:type="dxa"/>
          </w:tblCellMar>
        </w:tblPrEx>
        <w:trPr>
          <w:trHeight w:val="582" w:hRule="atLeast"/>
          <w:jc w:val="center"/>
        </w:trPr>
        <w:tc>
          <w:tcPr>
            <w:tcW w:w="4790" w:type="dxa"/>
            <w:noWrap w:val="0"/>
            <w:vAlign w:val="center"/>
          </w:tcPr>
          <w:p w14:paraId="471264C0">
            <w:pPr>
              <w:widowControl/>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授权代表（签字或盖章）：</w:t>
            </w:r>
            <w:r>
              <w:rPr>
                <w:rFonts w:hint="eastAsia" w:ascii="仿宋" w:hAnsi="仿宋" w:eastAsia="仿宋" w:cs="仿宋"/>
                <w:color w:val="auto"/>
                <w:sz w:val="24"/>
                <w:highlight w:val="none"/>
                <w:u w:val="single"/>
              </w:rPr>
              <w:t xml:space="preserve">              </w:t>
            </w:r>
          </w:p>
        </w:tc>
        <w:tc>
          <w:tcPr>
            <w:tcW w:w="4789" w:type="dxa"/>
            <w:noWrap w:val="0"/>
            <w:vAlign w:val="center"/>
          </w:tcPr>
          <w:p w14:paraId="70F3A421">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授权代表（签字或盖章）：</w:t>
            </w:r>
            <w:r>
              <w:rPr>
                <w:rFonts w:hint="eastAsia" w:ascii="仿宋" w:hAnsi="仿宋" w:eastAsia="仿宋" w:cs="仿宋"/>
                <w:color w:val="auto"/>
                <w:sz w:val="24"/>
                <w:highlight w:val="none"/>
                <w:u w:val="single"/>
              </w:rPr>
              <w:t xml:space="preserve">               </w:t>
            </w:r>
          </w:p>
        </w:tc>
      </w:tr>
      <w:tr w14:paraId="7115DA5E">
        <w:tblPrEx>
          <w:tblCellMar>
            <w:top w:w="0" w:type="dxa"/>
            <w:left w:w="108" w:type="dxa"/>
            <w:bottom w:w="0" w:type="dxa"/>
            <w:right w:w="108" w:type="dxa"/>
          </w:tblCellMar>
        </w:tblPrEx>
        <w:trPr>
          <w:trHeight w:val="582" w:hRule="atLeast"/>
          <w:jc w:val="center"/>
        </w:trPr>
        <w:tc>
          <w:tcPr>
            <w:tcW w:w="4790" w:type="dxa"/>
            <w:noWrap w:val="0"/>
            <w:vAlign w:val="center"/>
          </w:tcPr>
          <w:p w14:paraId="4686DE8A">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tc>
        <w:tc>
          <w:tcPr>
            <w:tcW w:w="4789" w:type="dxa"/>
            <w:noWrap w:val="0"/>
            <w:vAlign w:val="center"/>
          </w:tcPr>
          <w:p w14:paraId="725083BF">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tc>
      </w:tr>
      <w:tr w14:paraId="5E874F3D">
        <w:tblPrEx>
          <w:tblCellMar>
            <w:top w:w="0" w:type="dxa"/>
            <w:left w:w="108" w:type="dxa"/>
            <w:bottom w:w="0" w:type="dxa"/>
            <w:right w:w="108" w:type="dxa"/>
          </w:tblCellMar>
        </w:tblPrEx>
        <w:trPr>
          <w:trHeight w:val="582" w:hRule="atLeast"/>
          <w:jc w:val="center"/>
        </w:trPr>
        <w:tc>
          <w:tcPr>
            <w:tcW w:w="4790" w:type="dxa"/>
            <w:noWrap w:val="0"/>
            <w:vAlign w:val="center"/>
          </w:tcPr>
          <w:p w14:paraId="40B794D8">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邮政编码：</w:t>
            </w:r>
            <w:r>
              <w:rPr>
                <w:rFonts w:hint="eastAsia" w:ascii="仿宋" w:hAnsi="仿宋" w:eastAsia="仿宋" w:cs="仿宋"/>
                <w:color w:val="auto"/>
                <w:sz w:val="24"/>
                <w:highlight w:val="none"/>
                <w:u w:val="single"/>
              </w:rPr>
              <w:t xml:space="preserve">                           </w:t>
            </w:r>
          </w:p>
        </w:tc>
        <w:tc>
          <w:tcPr>
            <w:tcW w:w="4789" w:type="dxa"/>
            <w:noWrap w:val="0"/>
            <w:vAlign w:val="center"/>
          </w:tcPr>
          <w:p w14:paraId="42099295">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邮政编码：</w:t>
            </w:r>
            <w:r>
              <w:rPr>
                <w:rFonts w:hint="eastAsia" w:ascii="仿宋" w:hAnsi="仿宋" w:eastAsia="仿宋" w:cs="仿宋"/>
                <w:color w:val="auto"/>
                <w:sz w:val="24"/>
                <w:highlight w:val="none"/>
                <w:u w:val="single"/>
              </w:rPr>
              <w:t xml:space="preserve">                            </w:t>
            </w:r>
          </w:p>
        </w:tc>
      </w:tr>
      <w:tr w14:paraId="54BD6F46">
        <w:tblPrEx>
          <w:tblCellMar>
            <w:top w:w="0" w:type="dxa"/>
            <w:left w:w="108" w:type="dxa"/>
            <w:bottom w:w="0" w:type="dxa"/>
            <w:right w:w="108" w:type="dxa"/>
          </w:tblCellMar>
        </w:tblPrEx>
        <w:trPr>
          <w:trHeight w:val="582" w:hRule="atLeast"/>
          <w:jc w:val="center"/>
        </w:trPr>
        <w:tc>
          <w:tcPr>
            <w:tcW w:w="4790" w:type="dxa"/>
            <w:noWrap w:val="0"/>
            <w:vAlign w:val="center"/>
          </w:tcPr>
          <w:p w14:paraId="34E158EE">
            <w:pPr>
              <w:widowControl/>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电　　话：</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p>
        </w:tc>
        <w:tc>
          <w:tcPr>
            <w:tcW w:w="4789" w:type="dxa"/>
            <w:noWrap w:val="0"/>
            <w:vAlign w:val="center"/>
          </w:tcPr>
          <w:p w14:paraId="347ADC92">
            <w:pPr>
              <w:widowControl/>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电　　话：</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p>
        </w:tc>
      </w:tr>
      <w:tr w14:paraId="6BFEFC66">
        <w:tblPrEx>
          <w:tblCellMar>
            <w:top w:w="0" w:type="dxa"/>
            <w:left w:w="108" w:type="dxa"/>
            <w:bottom w:w="0" w:type="dxa"/>
            <w:right w:w="108" w:type="dxa"/>
          </w:tblCellMar>
        </w:tblPrEx>
        <w:trPr>
          <w:trHeight w:val="582" w:hRule="atLeast"/>
          <w:jc w:val="center"/>
        </w:trPr>
        <w:tc>
          <w:tcPr>
            <w:tcW w:w="4790" w:type="dxa"/>
            <w:noWrap w:val="0"/>
            <w:vAlign w:val="center"/>
          </w:tcPr>
          <w:p w14:paraId="37F26ED8">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开户银行：</w:t>
            </w:r>
            <w:r>
              <w:rPr>
                <w:rFonts w:hint="eastAsia" w:ascii="仿宋" w:hAnsi="仿宋" w:eastAsia="仿宋" w:cs="仿宋"/>
                <w:color w:val="auto"/>
                <w:sz w:val="24"/>
                <w:highlight w:val="none"/>
                <w:u w:val="single"/>
              </w:rPr>
              <w:t xml:space="preserve">                           </w:t>
            </w:r>
          </w:p>
        </w:tc>
        <w:tc>
          <w:tcPr>
            <w:tcW w:w="4789" w:type="dxa"/>
            <w:noWrap w:val="0"/>
            <w:vAlign w:val="center"/>
          </w:tcPr>
          <w:p w14:paraId="1E7DB744">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开户银行：</w:t>
            </w:r>
            <w:r>
              <w:rPr>
                <w:rFonts w:hint="eastAsia" w:ascii="仿宋" w:hAnsi="仿宋" w:eastAsia="仿宋" w:cs="仿宋"/>
                <w:color w:val="auto"/>
                <w:sz w:val="24"/>
                <w:highlight w:val="none"/>
                <w:u w:val="single"/>
              </w:rPr>
              <w:t xml:space="preserve">                            </w:t>
            </w:r>
          </w:p>
        </w:tc>
      </w:tr>
      <w:tr w14:paraId="4073BEFC">
        <w:tblPrEx>
          <w:tblCellMar>
            <w:top w:w="0" w:type="dxa"/>
            <w:left w:w="108" w:type="dxa"/>
            <w:bottom w:w="0" w:type="dxa"/>
            <w:right w:w="108" w:type="dxa"/>
          </w:tblCellMar>
        </w:tblPrEx>
        <w:trPr>
          <w:trHeight w:val="582" w:hRule="atLeast"/>
          <w:jc w:val="center"/>
        </w:trPr>
        <w:tc>
          <w:tcPr>
            <w:tcW w:w="4790" w:type="dxa"/>
            <w:noWrap w:val="0"/>
            <w:vAlign w:val="center"/>
          </w:tcPr>
          <w:p w14:paraId="771CA69A">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账　　号：</w:t>
            </w:r>
            <w:r>
              <w:rPr>
                <w:rFonts w:hint="eastAsia" w:ascii="仿宋" w:hAnsi="仿宋" w:eastAsia="仿宋" w:cs="仿宋"/>
                <w:color w:val="auto"/>
                <w:sz w:val="24"/>
                <w:highlight w:val="none"/>
                <w:u w:val="single"/>
              </w:rPr>
              <w:t xml:space="preserve">                           </w:t>
            </w:r>
          </w:p>
        </w:tc>
        <w:tc>
          <w:tcPr>
            <w:tcW w:w="4789" w:type="dxa"/>
            <w:noWrap w:val="0"/>
            <w:vAlign w:val="center"/>
          </w:tcPr>
          <w:p w14:paraId="54F27F00">
            <w:pPr>
              <w:widowControl/>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账　　号：</w:t>
            </w:r>
            <w:r>
              <w:rPr>
                <w:rFonts w:hint="eastAsia" w:ascii="仿宋" w:hAnsi="仿宋" w:eastAsia="仿宋" w:cs="仿宋"/>
                <w:color w:val="auto"/>
                <w:sz w:val="24"/>
                <w:highlight w:val="none"/>
                <w:u w:val="single"/>
              </w:rPr>
              <w:t xml:space="preserve">                            </w:t>
            </w:r>
          </w:p>
        </w:tc>
      </w:tr>
      <w:tr w14:paraId="0791C57A">
        <w:tblPrEx>
          <w:tblCellMar>
            <w:top w:w="0" w:type="dxa"/>
            <w:left w:w="108" w:type="dxa"/>
            <w:bottom w:w="0" w:type="dxa"/>
            <w:right w:w="108" w:type="dxa"/>
          </w:tblCellMar>
        </w:tblPrEx>
        <w:trPr>
          <w:trHeight w:val="582" w:hRule="atLeast"/>
          <w:jc w:val="center"/>
        </w:trPr>
        <w:tc>
          <w:tcPr>
            <w:tcW w:w="4790" w:type="dxa"/>
            <w:noWrap w:val="0"/>
            <w:vAlign w:val="center"/>
          </w:tcPr>
          <w:p w14:paraId="562F64BD">
            <w:pPr>
              <w:widowControl/>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签订时间：      年　 月　 日</w:t>
            </w:r>
          </w:p>
        </w:tc>
        <w:tc>
          <w:tcPr>
            <w:tcW w:w="4789" w:type="dxa"/>
            <w:noWrap w:val="0"/>
            <w:vAlign w:val="center"/>
          </w:tcPr>
          <w:p w14:paraId="7ABAB79A">
            <w:pPr>
              <w:widowControl/>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签订时间：      年 　 月　 日</w:t>
            </w:r>
          </w:p>
        </w:tc>
      </w:tr>
    </w:tbl>
    <w:p w14:paraId="094B0ACD">
      <w:pPr>
        <w:widowControl/>
        <w:spacing w:line="341" w:lineRule="auto"/>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注：本合同仅作示范文本，具体以双方签定的正式合同为准，合同内容不得违背本招标文件实质性要求。</w:t>
      </w:r>
    </w:p>
    <w:p w14:paraId="1378642F">
      <w:pPr>
        <w:numPr>
          <w:ilvl w:val="0"/>
          <w:numId w:val="7"/>
        </w:numPr>
        <w:wordWrap w:val="0"/>
        <w:adjustRightInd/>
        <w:spacing w:line="360" w:lineRule="auto"/>
        <w:jc w:val="center"/>
        <w:outlineLvl w:val="0"/>
        <w:rPr>
          <w:rFonts w:hint="eastAsia" w:ascii="仿宋" w:hAnsi="仿宋" w:eastAsia="仿宋" w:cs="仿宋"/>
          <w:b/>
          <w:color w:val="auto"/>
          <w:sz w:val="36"/>
          <w:szCs w:val="20"/>
          <w:highlight w:val="none"/>
          <w:lang w:val="en-US" w:eastAsia="zh-CN"/>
        </w:rPr>
      </w:pPr>
      <w:r>
        <w:rPr>
          <w:rFonts w:hint="eastAsia" w:ascii="仿宋" w:hAnsi="仿宋" w:eastAsia="仿宋" w:cs="仿宋"/>
          <w:b/>
          <w:color w:val="auto"/>
          <w:sz w:val="36"/>
          <w:szCs w:val="20"/>
          <w:highlight w:val="none"/>
          <w:lang w:val="en-US" w:eastAsia="zh-CN"/>
        </w:rPr>
        <w:t>应提交的有关格式范例</w:t>
      </w:r>
    </w:p>
    <w:p w14:paraId="1C78E1E8">
      <w:pPr>
        <w:pStyle w:val="18"/>
        <w:spacing w:beforeLines="100" w:after="240" w:afterLines="100"/>
        <w:outlineLvl w:val="1"/>
        <w:rPr>
          <w:rFonts w:hint="eastAsia" w:ascii="仿宋" w:hAnsi="仿宋" w:eastAsia="仿宋" w:cs="仿宋"/>
          <w:color w:val="auto"/>
          <w:sz w:val="36"/>
          <w:szCs w:val="36"/>
          <w:highlight w:val="none"/>
        </w:rPr>
      </w:pPr>
      <w:bookmarkStart w:id="396" w:name="_Toc511390556"/>
      <w:bookmarkStart w:id="397" w:name="_Toc493955975"/>
      <w:bookmarkStart w:id="398" w:name="_Toc19043"/>
      <w:bookmarkStart w:id="399" w:name="_Toc494558370"/>
      <w:r>
        <w:rPr>
          <w:rFonts w:hint="eastAsia" w:ascii="仿宋" w:hAnsi="仿宋" w:eastAsia="仿宋" w:cs="仿宋"/>
          <w:color w:val="auto"/>
          <w:sz w:val="36"/>
          <w:szCs w:val="36"/>
          <w:highlight w:val="none"/>
        </w:rPr>
        <w:t>一  资格审查文件格式</w:t>
      </w:r>
      <w:bookmarkEnd w:id="396"/>
      <w:bookmarkEnd w:id="397"/>
      <w:bookmarkEnd w:id="398"/>
      <w:bookmarkEnd w:id="399"/>
    </w:p>
    <w:p w14:paraId="0930E93E">
      <w:pPr>
        <w:rPr>
          <w:rFonts w:hint="eastAsia" w:ascii="仿宋" w:hAnsi="仿宋" w:eastAsia="仿宋" w:cs="仿宋"/>
          <w:color w:val="auto"/>
          <w:highlight w:val="none"/>
        </w:rPr>
      </w:pPr>
    </w:p>
    <w:p w14:paraId="0B303313">
      <w:pPr>
        <w:spacing w:line="360" w:lineRule="auto"/>
        <w:rPr>
          <w:rFonts w:hint="eastAsia" w:ascii="仿宋" w:hAnsi="仿宋" w:eastAsia="仿宋" w:cs="仿宋"/>
          <w:b/>
          <w:color w:val="auto"/>
          <w:kern w:val="0"/>
          <w:sz w:val="28"/>
          <w:szCs w:val="28"/>
          <w:highlight w:val="none"/>
        </w:rPr>
      </w:pPr>
      <w:bookmarkStart w:id="400" w:name="_Toc531359039"/>
      <w:bookmarkStart w:id="401" w:name="_Toc34895586"/>
      <w:r>
        <w:rPr>
          <w:rFonts w:hint="eastAsia" w:ascii="仿宋" w:hAnsi="仿宋" w:eastAsia="仿宋" w:cs="仿宋"/>
          <w:b/>
          <w:color w:val="auto"/>
          <w:kern w:val="0"/>
          <w:sz w:val="28"/>
          <w:szCs w:val="28"/>
          <w:highlight w:val="none"/>
        </w:rPr>
        <w:t>1.</w:t>
      </w:r>
      <w:bookmarkEnd w:id="400"/>
      <w:bookmarkStart w:id="402" w:name="_Toc531359040"/>
      <w:r>
        <w:rPr>
          <w:rFonts w:hint="eastAsia" w:ascii="仿宋" w:hAnsi="仿宋" w:eastAsia="仿宋" w:cs="仿宋"/>
          <w:b/>
          <w:color w:val="auto"/>
          <w:kern w:val="0"/>
          <w:sz w:val="28"/>
          <w:szCs w:val="28"/>
          <w:highlight w:val="none"/>
        </w:rPr>
        <w:t>资格审查文件封面</w:t>
      </w:r>
      <w:bookmarkEnd w:id="402"/>
      <w:r>
        <w:rPr>
          <w:rFonts w:hint="eastAsia" w:ascii="仿宋" w:hAnsi="仿宋" w:eastAsia="仿宋" w:cs="仿宋"/>
          <w:b/>
          <w:color w:val="auto"/>
          <w:kern w:val="0"/>
          <w:sz w:val="28"/>
          <w:szCs w:val="28"/>
          <w:highlight w:val="none"/>
        </w:rPr>
        <w:t>格式</w:t>
      </w:r>
      <w:bookmarkEnd w:id="401"/>
    </w:p>
    <w:p w14:paraId="59C7EF03">
      <w:pPr>
        <w:pStyle w:val="7"/>
        <w:spacing w:line="360" w:lineRule="auto"/>
        <w:ind w:firstLine="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响应文件</w:t>
      </w:r>
    </w:p>
    <w:tbl>
      <w:tblPr>
        <w:tblStyle w:val="20"/>
        <w:tblW w:w="0" w:type="auto"/>
        <w:jc w:val="center"/>
        <w:tblLayout w:type="fixed"/>
        <w:tblCellMar>
          <w:top w:w="0" w:type="dxa"/>
          <w:left w:w="108" w:type="dxa"/>
          <w:bottom w:w="0" w:type="dxa"/>
          <w:right w:w="108" w:type="dxa"/>
        </w:tblCellMar>
      </w:tblPr>
      <w:tblGrid>
        <w:gridCol w:w="2518"/>
        <w:gridCol w:w="4536"/>
      </w:tblGrid>
      <w:tr w14:paraId="413E0FB5">
        <w:tblPrEx>
          <w:tblCellMar>
            <w:top w:w="0" w:type="dxa"/>
            <w:left w:w="108" w:type="dxa"/>
            <w:bottom w:w="0" w:type="dxa"/>
            <w:right w:w="108" w:type="dxa"/>
          </w:tblCellMar>
        </w:tblPrEx>
        <w:trPr>
          <w:trHeight w:val="397" w:hRule="atLeast"/>
          <w:jc w:val="center"/>
        </w:trPr>
        <w:tc>
          <w:tcPr>
            <w:tcW w:w="2518" w:type="dxa"/>
            <w:noWrap w:val="0"/>
            <w:vAlign w:val="center"/>
          </w:tcPr>
          <w:p w14:paraId="34EF9C5B">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响应文件名称：</w:t>
            </w:r>
          </w:p>
        </w:tc>
        <w:tc>
          <w:tcPr>
            <w:tcW w:w="4536" w:type="dxa"/>
            <w:noWrap w:val="0"/>
            <w:vAlign w:val="center"/>
          </w:tcPr>
          <w:p w14:paraId="36F09CF8">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资格审查文件                      </w:t>
            </w:r>
          </w:p>
        </w:tc>
      </w:tr>
      <w:tr w14:paraId="600B7466">
        <w:tblPrEx>
          <w:tblCellMar>
            <w:top w:w="0" w:type="dxa"/>
            <w:left w:w="108" w:type="dxa"/>
            <w:bottom w:w="0" w:type="dxa"/>
            <w:right w:w="108" w:type="dxa"/>
          </w:tblCellMar>
        </w:tblPrEx>
        <w:trPr>
          <w:trHeight w:val="397" w:hRule="atLeast"/>
          <w:jc w:val="center"/>
        </w:trPr>
        <w:tc>
          <w:tcPr>
            <w:tcW w:w="2518" w:type="dxa"/>
            <w:noWrap w:val="0"/>
            <w:vAlign w:val="center"/>
          </w:tcPr>
          <w:p w14:paraId="4B378B31">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项</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目</w:t>
            </w:r>
            <w:r>
              <w:rPr>
                <w:rFonts w:hint="eastAsia" w:ascii="仿宋" w:hAnsi="仿宋" w:eastAsia="仿宋" w:cs="仿宋"/>
                <w:color w:val="auto"/>
                <w:sz w:val="24"/>
                <w:highlight w:val="none"/>
              </w:rPr>
              <w:t xml:space="preserve"> 编 号：</w:t>
            </w:r>
          </w:p>
        </w:tc>
        <w:tc>
          <w:tcPr>
            <w:tcW w:w="4536" w:type="dxa"/>
            <w:noWrap w:val="0"/>
            <w:vAlign w:val="center"/>
          </w:tcPr>
          <w:p w14:paraId="59456B0F">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11742C52">
        <w:tblPrEx>
          <w:tblCellMar>
            <w:top w:w="0" w:type="dxa"/>
            <w:left w:w="108" w:type="dxa"/>
            <w:bottom w:w="0" w:type="dxa"/>
            <w:right w:w="108" w:type="dxa"/>
          </w:tblCellMar>
        </w:tblPrEx>
        <w:trPr>
          <w:trHeight w:val="397" w:hRule="atLeast"/>
          <w:jc w:val="center"/>
        </w:trPr>
        <w:tc>
          <w:tcPr>
            <w:tcW w:w="2518" w:type="dxa"/>
            <w:noWrap w:val="0"/>
            <w:vAlign w:val="center"/>
          </w:tcPr>
          <w:p w14:paraId="3C6B05AC">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项 目 名 称：</w:t>
            </w:r>
          </w:p>
        </w:tc>
        <w:tc>
          <w:tcPr>
            <w:tcW w:w="4536" w:type="dxa"/>
            <w:noWrap w:val="0"/>
            <w:vAlign w:val="center"/>
          </w:tcPr>
          <w:p w14:paraId="751529D1">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416DF3A8">
        <w:tblPrEx>
          <w:tblCellMar>
            <w:top w:w="0" w:type="dxa"/>
            <w:left w:w="108" w:type="dxa"/>
            <w:bottom w:w="0" w:type="dxa"/>
            <w:right w:w="108" w:type="dxa"/>
          </w:tblCellMar>
        </w:tblPrEx>
        <w:trPr>
          <w:trHeight w:val="397" w:hRule="atLeast"/>
          <w:jc w:val="center"/>
        </w:trPr>
        <w:tc>
          <w:tcPr>
            <w:tcW w:w="2518" w:type="dxa"/>
            <w:noWrap w:val="0"/>
            <w:vAlign w:val="center"/>
          </w:tcPr>
          <w:p w14:paraId="7F14A753">
            <w:pPr>
              <w:jc w:val="distribute"/>
              <w:rPr>
                <w:rFonts w:hint="eastAsia" w:ascii="仿宋" w:hAnsi="仿宋" w:eastAsia="仿宋" w:cs="仿宋"/>
                <w:color w:val="auto"/>
                <w:highlight w:val="none"/>
              </w:rPr>
            </w:pPr>
          </w:p>
          <w:p w14:paraId="1F4A488E">
            <w:pPr>
              <w:pStyle w:val="7"/>
              <w:rPr>
                <w:rFonts w:hint="eastAsia" w:ascii="仿宋" w:hAnsi="仿宋" w:eastAsia="仿宋" w:cs="仿宋"/>
                <w:color w:val="auto"/>
                <w:sz w:val="24"/>
                <w:highlight w:val="none"/>
              </w:rPr>
            </w:pPr>
          </w:p>
          <w:p w14:paraId="6EA17E36">
            <w:pPr>
              <w:pStyle w:val="7"/>
              <w:rPr>
                <w:rFonts w:hint="eastAsia" w:ascii="仿宋" w:hAnsi="仿宋" w:eastAsia="仿宋" w:cs="仿宋"/>
                <w:color w:val="auto"/>
                <w:sz w:val="24"/>
                <w:highlight w:val="none"/>
              </w:rPr>
            </w:pPr>
          </w:p>
        </w:tc>
        <w:tc>
          <w:tcPr>
            <w:tcW w:w="4536" w:type="dxa"/>
            <w:noWrap w:val="0"/>
            <w:vAlign w:val="center"/>
          </w:tcPr>
          <w:p w14:paraId="0040F5F7">
            <w:pPr>
              <w:jc w:val="left"/>
              <w:rPr>
                <w:rFonts w:hint="eastAsia" w:ascii="仿宋" w:hAnsi="仿宋" w:eastAsia="仿宋" w:cs="仿宋"/>
                <w:color w:val="auto"/>
                <w:sz w:val="24"/>
                <w:highlight w:val="none"/>
              </w:rPr>
            </w:pPr>
          </w:p>
        </w:tc>
      </w:tr>
      <w:tr w14:paraId="17332A0E">
        <w:tblPrEx>
          <w:tblCellMar>
            <w:top w:w="0" w:type="dxa"/>
            <w:left w:w="108" w:type="dxa"/>
            <w:bottom w:w="0" w:type="dxa"/>
            <w:right w:w="108" w:type="dxa"/>
          </w:tblCellMar>
        </w:tblPrEx>
        <w:trPr>
          <w:trHeight w:val="397" w:hRule="atLeast"/>
          <w:jc w:val="center"/>
        </w:trPr>
        <w:tc>
          <w:tcPr>
            <w:tcW w:w="2518" w:type="dxa"/>
            <w:noWrap w:val="0"/>
            <w:vAlign w:val="center"/>
          </w:tcPr>
          <w:p w14:paraId="371E9CF9">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供应商全称（盖章）：</w:t>
            </w:r>
          </w:p>
        </w:tc>
        <w:tc>
          <w:tcPr>
            <w:tcW w:w="4536" w:type="dxa"/>
            <w:noWrap w:val="0"/>
            <w:vAlign w:val="center"/>
          </w:tcPr>
          <w:p w14:paraId="7F2DD6DB">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3519C145">
        <w:tblPrEx>
          <w:tblCellMar>
            <w:top w:w="0" w:type="dxa"/>
            <w:left w:w="108" w:type="dxa"/>
            <w:bottom w:w="0" w:type="dxa"/>
            <w:right w:w="108" w:type="dxa"/>
          </w:tblCellMar>
        </w:tblPrEx>
        <w:trPr>
          <w:trHeight w:val="397" w:hRule="atLeast"/>
          <w:jc w:val="center"/>
        </w:trPr>
        <w:tc>
          <w:tcPr>
            <w:tcW w:w="2518" w:type="dxa"/>
            <w:noWrap w:val="0"/>
            <w:vAlign w:val="center"/>
          </w:tcPr>
          <w:p w14:paraId="16B963DB">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供应商地址：</w:t>
            </w:r>
          </w:p>
        </w:tc>
        <w:tc>
          <w:tcPr>
            <w:tcW w:w="4536" w:type="dxa"/>
            <w:noWrap w:val="0"/>
            <w:vAlign w:val="center"/>
          </w:tcPr>
          <w:p w14:paraId="456580A7">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7883E6C4">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312848F1">
            <w:pPr>
              <w:jc w:val="left"/>
              <w:rPr>
                <w:rFonts w:hint="eastAsia" w:ascii="仿宋" w:hAnsi="仿宋" w:eastAsia="仿宋" w:cs="仿宋"/>
                <w:color w:val="auto"/>
                <w:sz w:val="24"/>
                <w:highlight w:val="none"/>
                <w:u w:val="single"/>
              </w:rPr>
            </w:pPr>
          </w:p>
        </w:tc>
      </w:tr>
      <w:tr w14:paraId="42C9A1FE">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1616BA82">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tc>
      </w:tr>
    </w:tbl>
    <w:p w14:paraId="312F93FB">
      <w:pPr>
        <w:spacing w:line="360" w:lineRule="auto"/>
        <w:rPr>
          <w:rFonts w:hint="eastAsia" w:ascii="仿宋" w:hAnsi="仿宋" w:eastAsia="仿宋" w:cs="仿宋"/>
          <w:b/>
          <w:color w:val="auto"/>
          <w:kern w:val="0"/>
          <w:sz w:val="24"/>
          <w:highlight w:val="none"/>
        </w:rPr>
      </w:pPr>
      <w:bookmarkStart w:id="403" w:name="_Toc34985799"/>
      <w:bookmarkStart w:id="404" w:name="_Toc531359041"/>
      <w:bookmarkStart w:id="405" w:name="_Toc523398524"/>
      <w:bookmarkStart w:id="406" w:name="_Toc493956052"/>
      <w:bookmarkStart w:id="407" w:name="_Toc493956053"/>
      <w:bookmarkStart w:id="408" w:name="_Toc530551878"/>
    </w:p>
    <w:p w14:paraId="5BBB3389">
      <w:pPr>
        <w:spacing w:line="360" w:lineRule="auto"/>
        <w:rPr>
          <w:rFonts w:hint="eastAsia" w:ascii="仿宋" w:hAnsi="仿宋" w:eastAsia="仿宋" w:cs="仿宋"/>
          <w:b/>
          <w:color w:val="auto"/>
          <w:kern w:val="0"/>
          <w:sz w:val="24"/>
          <w:highlight w:val="none"/>
        </w:rPr>
      </w:pPr>
    </w:p>
    <w:p w14:paraId="2F844EBA">
      <w:pPr>
        <w:pStyle w:val="3"/>
        <w:rPr>
          <w:rFonts w:hint="eastAsia" w:ascii="仿宋" w:hAnsi="仿宋" w:eastAsia="仿宋" w:cs="仿宋"/>
          <w:b/>
          <w:color w:val="auto"/>
          <w:kern w:val="0"/>
          <w:sz w:val="24"/>
          <w:highlight w:val="none"/>
        </w:rPr>
      </w:pPr>
    </w:p>
    <w:p w14:paraId="30A1A58D">
      <w:pPr>
        <w:rPr>
          <w:rFonts w:hint="eastAsia" w:ascii="仿宋" w:hAnsi="仿宋" w:eastAsia="仿宋" w:cs="仿宋"/>
          <w:color w:val="auto"/>
        </w:rPr>
      </w:pPr>
    </w:p>
    <w:p w14:paraId="4E5B17FC">
      <w:pPr>
        <w:pStyle w:val="2"/>
        <w:ind w:firstLine="210"/>
        <w:rPr>
          <w:rFonts w:hint="eastAsia" w:ascii="仿宋" w:hAnsi="仿宋" w:eastAsia="仿宋" w:cs="仿宋"/>
          <w:color w:val="auto"/>
          <w:highlight w:val="none"/>
        </w:rPr>
      </w:pPr>
    </w:p>
    <w:p w14:paraId="0DF44DDD">
      <w:pPr>
        <w:spacing w:line="360" w:lineRule="auto"/>
        <w:rPr>
          <w:rFonts w:hint="eastAsia" w:ascii="仿宋" w:hAnsi="仿宋" w:eastAsia="仿宋" w:cs="仿宋"/>
          <w:b/>
          <w:color w:val="auto"/>
          <w:kern w:val="0"/>
          <w:sz w:val="24"/>
          <w:highlight w:val="none"/>
        </w:rPr>
      </w:pPr>
    </w:p>
    <w:p w14:paraId="7B10DB65">
      <w:pPr>
        <w:spacing w:line="360" w:lineRule="auto"/>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2.资格审查文件目录</w:t>
      </w:r>
      <w:bookmarkEnd w:id="403"/>
      <w:bookmarkEnd w:id="404"/>
    </w:p>
    <w:p w14:paraId="3D79AD2A">
      <w:pPr>
        <w:pStyle w:val="7"/>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r>
        <w:rPr>
          <w:rFonts w:hint="eastAsia" w:ascii="仿宋" w:hAnsi="仿宋" w:eastAsia="仿宋" w:cs="仿宋"/>
          <w:color w:val="auto"/>
          <w:sz w:val="24"/>
          <w:szCs w:val="24"/>
          <w:highlight w:val="none"/>
        </w:rPr>
        <w:t>）</w:t>
      </w:r>
    </w:p>
    <w:p w14:paraId="537A1B3F">
      <w:pPr>
        <w:pStyle w:val="7"/>
        <w:spacing w:line="360" w:lineRule="auto"/>
        <w:rPr>
          <w:rFonts w:hint="eastAsia" w:ascii="仿宋" w:hAnsi="仿宋" w:eastAsia="仿宋" w:cs="仿宋"/>
          <w:color w:val="auto"/>
          <w:sz w:val="24"/>
          <w:szCs w:val="24"/>
          <w:highlight w:val="none"/>
        </w:rPr>
      </w:pPr>
    </w:p>
    <w:p w14:paraId="7A5B9677">
      <w:pPr>
        <w:pStyle w:val="7"/>
        <w:spacing w:line="360" w:lineRule="auto"/>
        <w:rPr>
          <w:rFonts w:hint="eastAsia" w:ascii="仿宋" w:hAnsi="仿宋" w:eastAsia="仿宋" w:cs="仿宋"/>
          <w:color w:val="auto"/>
          <w:sz w:val="24"/>
          <w:szCs w:val="24"/>
          <w:highlight w:val="none"/>
        </w:rPr>
      </w:pPr>
    </w:p>
    <w:p w14:paraId="6C05D107">
      <w:pPr>
        <w:pStyle w:val="7"/>
        <w:spacing w:line="360" w:lineRule="auto"/>
        <w:rPr>
          <w:rFonts w:hint="eastAsia" w:ascii="仿宋" w:hAnsi="仿宋" w:eastAsia="仿宋" w:cs="仿宋"/>
          <w:color w:val="auto"/>
          <w:sz w:val="24"/>
          <w:szCs w:val="24"/>
          <w:highlight w:val="none"/>
        </w:rPr>
      </w:pPr>
    </w:p>
    <w:p w14:paraId="762C6DB1">
      <w:pPr>
        <w:rPr>
          <w:rFonts w:hint="eastAsia" w:ascii="仿宋" w:hAnsi="仿宋" w:eastAsia="仿宋" w:cs="仿宋"/>
          <w:color w:val="auto"/>
        </w:rPr>
      </w:pPr>
    </w:p>
    <w:p w14:paraId="3C7136C9">
      <w:pPr>
        <w:pStyle w:val="7"/>
        <w:spacing w:line="360" w:lineRule="auto"/>
        <w:rPr>
          <w:rFonts w:hint="eastAsia" w:ascii="仿宋" w:hAnsi="仿宋" w:eastAsia="仿宋" w:cs="仿宋"/>
          <w:color w:val="auto"/>
          <w:sz w:val="24"/>
          <w:szCs w:val="24"/>
          <w:highlight w:val="none"/>
        </w:rPr>
      </w:pPr>
    </w:p>
    <w:p w14:paraId="0175FB34">
      <w:pPr>
        <w:pStyle w:val="7"/>
        <w:spacing w:line="360" w:lineRule="auto"/>
        <w:rPr>
          <w:rFonts w:hint="eastAsia" w:ascii="仿宋" w:hAnsi="仿宋" w:eastAsia="仿宋" w:cs="仿宋"/>
          <w:color w:val="auto"/>
          <w:sz w:val="24"/>
          <w:szCs w:val="24"/>
          <w:highlight w:val="none"/>
        </w:rPr>
      </w:pPr>
    </w:p>
    <w:p w14:paraId="0120DAD5">
      <w:pPr>
        <w:pStyle w:val="7"/>
        <w:spacing w:line="360" w:lineRule="auto"/>
        <w:rPr>
          <w:rFonts w:hint="eastAsia" w:ascii="仿宋" w:hAnsi="仿宋" w:eastAsia="仿宋" w:cs="仿宋"/>
          <w:color w:val="auto"/>
          <w:sz w:val="24"/>
          <w:szCs w:val="24"/>
          <w:highlight w:val="none"/>
        </w:rPr>
      </w:pPr>
    </w:p>
    <w:bookmarkEnd w:id="405"/>
    <w:bookmarkEnd w:id="406"/>
    <w:bookmarkEnd w:id="407"/>
    <w:bookmarkEnd w:id="408"/>
    <w:p w14:paraId="03218CC3">
      <w:pPr>
        <w:pStyle w:val="9"/>
        <w:spacing w:before="0" w:after="0"/>
        <w:ind w:firstLine="0" w:firstLineChars="0"/>
        <w:jc w:val="left"/>
        <w:rPr>
          <w:rFonts w:hint="eastAsia" w:ascii="仿宋" w:hAnsi="仿宋" w:eastAsia="仿宋" w:cs="仿宋"/>
          <w:color w:val="auto"/>
          <w:sz w:val="28"/>
          <w:szCs w:val="28"/>
          <w:highlight w:val="none"/>
        </w:rPr>
      </w:pPr>
      <w:bookmarkStart w:id="409" w:name="_Toc2732"/>
      <w:bookmarkStart w:id="410" w:name="_Toc14536"/>
      <w:bookmarkStart w:id="411" w:name="_Toc2575"/>
      <w:bookmarkStart w:id="412" w:name="_Toc531359042"/>
      <w:bookmarkStart w:id="413" w:name="_Toc12917"/>
      <w:bookmarkStart w:id="414" w:name="_Toc34985808"/>
      <w:bookmarkStart w:id="415" w:name="_Toc531359053"/>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lang w:eastAsia="zh-CN"/>
        </w:rPr>
        <w:t>公司</w:t>
      </w:r>
      <w:r>
        <w:rPr>
          <w:rFonts w:hint="eastAsia" w:ascii="仿宋" w:hAnsi="仿宋" w:eastAsia="仿宋" w:cs="仿宋"/>
          <w:color w:val="auto"/>
          <w:sz w:val="28"/>
          <w:szCs w:val="28"/>
          <w:highlight w:val="none"/>
        </w:rPr>
        <w:t>有效营业执照电子文档</w:t>
      </w:r>
      <w:bookmarkEnd w:id="409"/>
      <w:bookmarkEnd w:id="410"/>
      <w:bookmarkEnd w:id="411"/>
      <w:bookmarkEnd w:id="412"/>
      <w:bookmarkEnd w:id="413"/>
    </w:p>
    <w:p w14:paraId="12BCC344">
      <w:pPr>
        <w:pStyle w:val="7"/>
        <w:ind w:firstLine="0"/>
        <w:rPr>
          <w:rFonts w:hint="eastAsia" w:ascii="仿宋" w:hAnsi="仿宋" w:eastAsia="仿宋" w:cs="仿宋"/>
          <w:color w:val="auto"/>
          <w:highlight w:val="none"/>
        </w:rPr>
      </w:pPr>
    </w:p>
    <w:p w14:paraId="6128B53C">
      <w:pPr>
        <w:spacing w:line="360" w:lineRule="auto"/>
        <w:ind w:right="-187" w:rightChars="-89"/>
        <w:rPr>
          <w:rFonts w:hint="eastAsia" w:ascii="仿宋" w:hAnsi="仿宋" w:eastAsia="仿宋" w:cs="仿宋"/>
          <w:color w:val="auto"/>
          <w:sz w:val="24"/>
          <w:highlight w:val="none"/>
        </w:rPr>
      </w:pPr>
      <w:r>
        <w:rPr>
          <w:rFonts w:hint="eastAsia" w:ascii="仿宋" w:hAnsi="仿宋" w:eastAsia="仿宋" w:cs="仿宋"/>
          <w:color w:val="auto"/>
          <w:sz w:val="24"/>
          <w:highlight w:val="none"/>
        </w:rPr>
        <w:t>内容要求：</w:t>
      </w:r>
    </w:p>
    <w:p w14:paraId="3CCCCC0A">
      <w:pPr>
        <w:spacing w:line="360" w:lineRule="auto"/>
        <w:ind w:right="-187" w:rightChars="-89"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提供有效的营业执照电子文档并加盖电子公章。</w:t>
      </w:r>
    </w:p>
    <w:p w14:paraId="51609062">
      <w:pPr>
        <w:spacing w:line="360" w:lineRule="auto"/>
        <w:ind w:firstLine="480" w:firstLineChars="200"/>
        <w:rPr>
          <w:rFonts w:hint="eastAsia" w:ascii="仿宋" w:hAnsi="仿宋" w:eastAsia="仿宋" w:cs="仿宋"/>
          <w:color w:val="auto"/>
          <w:sz w:val="24"/>
          <w:highlight w:val="none"/>
        </w:rPr>
      </w:pPr>
    </w:p>
    <w:p w14:paraId="64E5462A">
      <w:pPr>
        <w:spacing w:line="360" w:lineRule="auto"/>
        <w:rPr>
          <w:rFonts w:hint="eastAsia" w:ascii="仿宋" w:hAnsi="仿宋" w:eastAsia="仿宋" w:cs="仿宋"/>
          <w:color w:val="auto"/>
          <w:sz w:val="24"/>
          <w:highlight w:val="none"/>
        </w:rPr>
      </w:pPr>
    </w:p>
    <w:p w14:paraId="3382D1C1">
      <w:pPr>
        <w:spacing w:line="360" w:lineRule="auto"/>
        <w:rPr>
          <w:rFonts w:hint="eastAsia" w:ascii="仿宋" w:hAnsi="仿宋" w:eastAsia="仿宋" w:cs="仿宋"/>
          <w:color w:val="auto"/>
          <w:sz w:val="24"/>
          <w:highlight w:val="none"/>
        </w:rPr>
      </w:pPr>
    </w:p>
    <w:p w14:paraId="1AC6AAA8">
      <w:pPr>
        <w:spacing w:line="360" w:lineRule="auto"/>
        <w:ind w:firstLine="480" w:firstLineChars="200"/>
        <w:rPr>
          <w:rFonts w:hint="eastAsia" w:ascii="仿宋" w:hAnsi="仿宋" w:eastAsia="仿宋" w:cs="仿宋"/>
          <w:color w:val="auto"/>
          <w:sz w:val="24"/>
          <w:highlight w:val="none"/>
        </w:rPr>
      </w:pPr>
    </w:p>
    <w:p w14:paraId="564381F0">
      <w:pPr>
        <w:pStyle w:val="7"/>
        <w:rPr>
          <w:rFonts w:hint="eastAsia" w:ascii="仿宋" w:hAnsi="仿宋" w:eastAsia="仿宋" w:cs="仿宋"/>
          <w:color w:val="auto"/>
          <w:highlight w:val="none"/>
        </w:rPr>
        <w:sectPr>
          <w:pgSz w:w="11906" w:h="16838"/>
          <w:pgMar w:top="1418" w:right="1418" w:bottom="1418" w:left="1418" w:header="851" w:footer="851" w:gutter="0"/>
          <w:pgBorders>
            <w:top w:val="none" w:sz="0" w:space="0"/>
            <w:left w:val="none" w:sz="0" w:space="0"/>
            <w:bottom w:val="none" w:sz="0" w:space="0"/>
            <w:right w:val="none" w:sz="0" w:space="0"/>
          </w:pgBorders>
          <w:pgNumType w:fmt="decimal"/>
          <w:cols w:space="720" w:num="1"/>
          <w:docGrid w:linePitch="312" w:charSpace="0"/>
        </w:sectPr>
      </w:pPr>
    </w:p>
    <w:p w14:paraId="75DC0F6E">
      <w:pPr>
        <w:pStyle w:val="9"/>
        <w:spacing w:before="0" w:after="0"/>
        <w:ind w:firstLine="0" w:firstLineChars="0"/>
        <w:jc w:val="left"/>
        <w:rPr>
          <w:rFonts w:hint="eastAsia" w:ascii="仿宋" w:hAnsi="仿宋" w:eastAsia="仿宋" w:cs="仿宋"/>
          <w:color w:val="auto"/>
          <w:sz w:val="28"/>
          <w:szCs w:val="28"/>
          <w:highlight w:val="none"/>
        </w:rPr>
      </w:pPr>
      <w:bookmarkStart w:id="416" w:name="_Toc531359044"/>
      <w:bookmarkStart w:id="417" w:name="_Toc27764"/>
      <w:bookmarkStart w:id="418" w:name="_Toc24827"/>
      <w:bookmarkStart w:id="419" w:name="_Toc25310"/>
      <w:bookmarkStart w:id="420" w:name="_Toc14437"/>
      <w:r>
        <w:rPr>
          <w:rFonts w:hint="eastAsia" w:ascii="仿宋" w:hAnsi="仿宋" w:eastAsia="仿宋" w:cs="仿宋"/>
          <w:color w:val="auto"/>
          <w:sz w:val="28"/>
          <w:szCs w:val="28"/>
          <w:highlight w:val="none"/>
        </w:rPr>
        <w:t>▲4.</w:t>
      </w:r>
      <w:bookmarkEnd w:id="416"/>
      <w:bookmarkEnd w:id="417"/>
      <w:bookmarkEnd w:id="418"/>
      <w:r>
        <w:rPr>
          <w:rFonts w:hint="eastAsia" w:ascii="仿宋" w:hAnsi="仿宋" w:eastAsia="仿宋" w:cs="仿宋"/>
          <w:color w:val="auto"/>
          <w:sz w:val="28"/>
          <w:szCs w:val="28"/>
          <w:highlight w:val="none"/>
        </w:rPr>
        <w:t>法定代表人资格证明书或授权委托书</w:t>
      </w:r>
      <w:bookmarkEnd w:id="419"/>
      <w:bookmarkEnd w:id="420"/>
    </w:p>
    <w:p w14:paraId="50717F57">
      <w:pPr>
        <w:rPr>
          <w:rFonts w:hint="eastAsia" w:ascii="仿宋" w:hAnsi="仿宋" w:eastAsia="仿宋" w:cs="仿宋"/>
          <w:color w:val="auto"/>
          <w:highlight w:val="none"/>
        </w:rPr>
      </w:pPr>
    </w:p>
    <w:p w14:paraId="780CCB5B">
      <w:pPr>
        <w:pStyle w:val="7"/>
        <w:spacing w:line="360" w:lineRule="auto"/>
        <w:ind w:firstLine="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4.1 法定代表人资格证书</w:t>
      </w:r>
    </w:p>
    <w:p w14:paraId="20D7BE0A">
      <w:pPr>
        <w:rPr>
          <w:rFonts w:hint="eastAsia" w:ascii="仿宋" w:hAnsi="仿宋" w:eastAsia="仿宋" w:cs="仿宋"/>
          <w:color w:val="auto"/>
          <w:sz w:val="24"/>
          <w:szCs w:val="24"/>
          <w:highlight w:val="none"/>
        </w:rPr>
      </w:pPr>
    </w:p>
    <w:p w14:paraId="7279738F">
      <w:pPr>
        <w:pStyle w:val="2"/>
        <w:spacing w:line="360" w:lineRule="auto"/>
        <w:ind w:firstLine="2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w:t>
      </w:r>
    </w:p>
    <w:p w14:paraId="3698F9CA">
      <w:pPr>
        <w:pStyle w:val="4"/>
        <w:spacing w:line="360" w:lineRule="auto"/>
        <w:rPr>
          <w:rFonts w:hint="eastAsia" w:ascii="仿宋" w:hAnsi="仿宋" w:eastAsia="仿宋" w:cs="仿宋"/>
          <w:color w:val="auto"/>
          <w:sz w:val="24"/>
          <w:szCs w:val="24"/>
          <w:highlight w:val="none"/>
        </w:rPr>
      </w:pPr>
    </w:p>
    <w:p w14:paraId="21AC32EB">
      <w:pPr>
        <w:pStyle w:val="2"/>
        <w:spacing w:line="360" w:lineRule="auto"/>
        <w:ind w:firstLine="2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p w14:paraId="4BA00C08">
      <w:pPr>
        <w:pStyle w:val="4"/>
        <w:spacing w:line="360" w:lineRule="auto"/>
        <w:rPr>
          <w:rFonts w:hint="eastAsia" w:ascii="仿宋" w:hAnsi="仿宋" w:eastAsia="仿宋" w:cs="仿宋"/>
          <w:color w:val="auto"/>
          <w:sz w:val="24"/>
          <w:szCs w:val="24"/>
          <w:highlight w:val="none"/>
        </w:rPr>
      </w:pPr>
    </w:p>
    <w:p w14:paraId="1C67ED23">
      <w:pPr>
        <w:pStyle w:val="2"/>
        <w:spacing w:line="360" w:lineRule="auto"/>
        <w:ind w:firstLine="2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性别：        </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年龄：           </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职务：</w:t>
      </w:r>
    </w:p>
    <w:p w14:paraId="625A46DE">
      <w:pPr>
        <w:pStyle w:val="4"/>
        <w:spacing w:line="360" w:lineRule="auto"/>
        <w:rPr>
          <w:rFonts w:hint="eastAsia" w:ascii="仿宋" w:hAnsi="仿宋" w:eastAsia="仿宋" w:cs="仿宋"/>
          <w:color w:val="auto"/>
          <w:sz w:val="24"/>
          <w:szCs w:val="24"/>
          <w:highlight w:val="none"/>
        </w:rPr>
      </w:pPr>
    </w:p>
    <w:p w14:paraId="018B04FE">
      <w:pPr>
        <w:pStyle w:val="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 xml:space="preserve">  （供应商名称）     </w:t>
      </w:r>
      <w:r>
        <w:rPr>
          <w:rFonts w:hint="eastAsia" w:ascii="仿宋" w:hAnsi="仿宋" w:eastAsia="仿宋" w:cs="仿宋"/>
          <w:color w:val="auto"/>
          <w:sz w:val="24"/>
          <w:szCs w:val="24"/>
          <w:highlight w:val="none"/>
        </w:rPr>
        <w:t>的法定代表人。为参加就贵方组织的有关</w:t>
      </w:r>
      <w:r>
        <w:rPr>
          <w:rFonts w:hint="eastAsia" w:ascii="仿宋" w:hAnsi="仿宋" w:eastAsia="仿宋" w:cs="仿宋"/>
          <w:color w:val="auto"/>
          <w:sz w:val="24"/>
          <w:szCs w:val="24"/>
          <w:highlight w:val="none"/>
          <w:u w:val="single"/>
        </w:rPr>
        <w:t>（采购项目名称）（</w:t>
      </w:r>
      <w:r>
        <w:rPr>
          <w:rFonts w:hint="eastAsia" w:ascii="仿宋" w:hAnsi="仿宋" w:eastAsia="仿宋" w:cs="仿宋"/>
          <w:color w:val="auto"/>
          <w:sz w:val="24"/>
          <w:szCs w:val="24"/>
          <w:highlight w:val="none"/>
          <w:u w:val="single"/>
          <w:lang w:eastAsia="zh-CN"/>
        </w:rPr>
        <w:t>项目编号</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项目的投标活动，签署并全权办理针对上述项目的投标、开标、评标、签约等具体事务和签署相关文件。</w:t>
      </w:r>
    </w:p>
    <w:p w14:paraId="4D948D4B">
      <w:pPr>
        <w:pStyle w:val="2"/>
        <w:spacing w:line="360" w:lineRule="auto"/>
        <w:ind w:firstLine="2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特此证明。</w:t>
      </w:r>
    </w:p>
    <w:p w14:paraId="6BF5D18F">
      <w:pPr>
        <w:pStyle w:val="36"/>
        <w:wordWrap w:val="0"/>
        <w:spacing w:line="360" w:lineRule="auto"/>
        <w:ind w:firstLine="480"/>
        <w:jc w:val="righ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投标人盖章（电子章）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p>
    <w:p w14:paraId="1F70EAB1">
      <w:pPr>
        <w:pStyle w:val="36"/>
        <w:wordWrap w:val="0"/>
        <w:spacing w:line="360" w:lineRule="auto"/>
        <w:ind w:firstLine="480"/>
        <w:jc w:val="righ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      期：</w:t>
      </w:r>
      <w:r>
        <w:rPr>
          <w:rFonts w:hint="eastAsia" w:ascii="仿宋" w:hAnsi="仿宋" w:eastAsia="仿宋" w:cs="仿宋"/>
          <w:color w:val="auto"/>
          <w:sz w:val="24"/>
          <w:szCs w:val="24"/>
          <w:highlight w:val="none"/>
          <w:u w:val="single"/>
        </w:rPr>
        <w:t xml:space="preserve">               </w:t>
      </w:r>
    </w:p>
    <w:p w14:paraId="667A2081">
      <w:pPr>
        <w:pStyle w:val="36"/>
        <w:spacing w:line="360" w:lineRule="auto"/>
        <w:ind w:firstLine="480"/>
        <w:jc w:val="right"/>
        <w:rPr>
          <w:rFonts w:hint="eastAsia" w:ascii="仿宋" w:hAnsi="仿宋" w:eastAsia="仿宋" w:cs="仿宋"/>
          <w:color w:val="auto"/>
          <w:sz w:val="24"/>
          <w:szCs w:val="24"/>
          <w:highlight w:val="none"/>
          <w:u w:val="single"/>
        </w:rPr>
      </w:pPr>
    </w:p>
    <w:p w14:paraId="6038DA79">
      <w:pPr>
        <w:pStyle w:val="2"/>
        <w:spacing w:line="360" w:lineRule="auto"/>
        <w:ind w:firstLine="2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▲本“法定代表人资格证明书”需附法定代表人身份证件扫描件，如扫描件不清晰或错误的， 后果由供应商承担。</w:t>
      </w:r>
    </w:p>
    <w:p w14:paraId="3A26D0AA">
      <w:pPr>
        <w:pStyle w:val="2"/>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法定代表人</w:t>
      </w:r>
      <w:r>
        <w:rPr>
          <w:rFonts w:hint="eastAsia" w:ascii="仿宋" w:hAnsi="仿宋" w:eastAsia="仿宋" w:cs="仿宋"/>
          <w:bCs/>
          <w:color w:val="auto"/>
          <w:sz w:val="24"/>
          <w:szCs w:val="24"/>
          <w:highlight w:val="none"/>
        </w:rPr>
        <w:t>身份证正、反面电子文档</w:t>
      </w:r>
      <w:r>
        <w:rPr>
          <w:rFonts w:hint="eastAsia" w:ascii="仿宋" w:hAnsi="仿宋" w:eastAsia="仿宋" w:cs="仿宋"/>
          <w:color w:val="auto"/>
          <w:sz w:val="24"/>
          <w:szCs w:val="24"/>
          <w:highlight w:val="none"/>
        </w:rPr>
        <w:t>：</w:t>
      </w:r>
    </w:p>
    <w:p w14:paraId="562C70DE">
      <w:pPr>
        <w:pStyle w:val="4"/>
        <w:rPr>
          <w:rFonts w:hint="eastAsia" w:ascii="仿宋" w:hAnsi="仿宋" w:eastAsia="仿宋" w:cs="仿宋"/>
          <w:color w:val="auto"/>
          <w:sz w:val="24"/>
          <w:szCs w:val="24"/>
          <w:highlight w:val="none"/>
        </w:rPr>
      </w:pPr>
    </w:p>
    <w:tbl>
      <w:tblPr>
        <w:tblStyle w:val="20"/>
        <w:tblW w:w="0" w:type="auto"/>
        <w:tblInd w:w="0" w:type="dxa"/>
        <w:tblLayout w:type="fixed"/>
        <w:tblCellMar>
          <w:top w:w="0" w:type="dxa"/>
          <w:left w:w="108" w:type="dxa"/>
          <w:bottom w:w="0" w:type="dxa"/>
          <w:right w:w="108" w:type="dxa"/>
        </w:tblCellMar>
      </w:tblPr>
      <w:tblGrid>
        <w:gridCol w:w="4621"/>
        <w:gridCol w:w="4621"/>
      </w:tblGrid>
      <w:tr w14:paraId="0C3216AE">
        <w:tblPrEx>
          <w:tblCellMar>
            <w:top w:w="0" w:type="dxa"/>
            <w:left w:w="108" w:type="dxa"/>
            <w:bottom w:w="0" w:type="dxa"/>
            <w:right w:w="108" w:type="dxa"/>
          </w:tblCellMar>
        </w:tblPrEx>
        <w:trPr>
          <w:trHeight w:val="2733" w:hRule="atLeast"/>
        </w:trPr>
        <w:tc>
          <w:tcPr>
            <w:tcW w:w="4621" w:type="dxa"/>
            <w:noWrap w:val="0"/>
            <w:vAlign w:val="top"/>
          </w:tcPr>
          <w:p w14:paraId="607D82C3">
            <w:pPr>
              <w:pStyle w:val="36"/>
              <w:spacing w:line="440" w:lineRule="exact"/>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正面：</w:t>
            </w:r>
          </w:p>
          <w:p w14:paraId="56894CFE">
            <w:pPr>
              <w:pStyle w:val="36"/>
              <w:spacing w:line="440" w:lineRule="exact"/>
              <w:rPr>
                <w:rFonts w:hint="eastAsia" w:ascii="仿宋" w:hAnsi="仿宋" w:eastAsia="仿宋" w:cs="仿宋"/>
                <w:color w:val="auto"/>
                <w:spacing w:val="20"/>
                <w:sz w:val="24"/>
                <w:szCs w:val="24"/>
                <w:highlight w:val="none"/>
              </w:rPr>
            </w:pPr>
          </w:p>
        </w:tc>
        <w:tc>
          <w:tcPr>
            <w:tcW w:w="4621" w:type="dxa"/>
            <w:noWrap w:val="0"/>
            <w:vAlign w:val="top"/>
          </w:tcPr>
          <w:p w14:paraId="6755B59C">
            <w:pPr>
              <w:pStyle w:val="36"/>
              <w:spacing w:line="440" w:lineRule="exact"/>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反面：</w:t>
            </w:r>
          </w:p>
          <w:p w14:paraId="2700BC35">
            <w:pPr>
              <w:pStyle w:val="36"/>
              <w:spacing w:line="440" w:lineRule="exact"/>
              <w:rPr>
                <w:rFonts w:hint="eastAsia" w:ascii="仿宋" w:hAnsi="仿宋" w:eastAsia="仿宋" w:cs="仿宋"/>
                <w:color w:val="auto"/>
                <w:spacing w:val="20"/>
                <w:sz w:val="24"/>
                <w:szCs w:val="24"/>
                <w:highlight w:val="none"/>
                <w:u w:val="single"/>
              </w:rPr>
            </w:pPr>
          </w:p>
        </w:tc>
      </w:tr>
    </w:tbl>
    <w:p w14:paraId="7316DEC3">
      <w:pPr>
        <w:rPr>
          <w:rFonts w:hint="eastAsia" w:ascii="仿宋" w:hAnsi="仿宋" w:eastAsia="仿宋" w:cs="仿宋"/>
          <w:color w:val="auto"/>
          <w:sz w:val="24"/>
          <w:szCs w:val="24"/>
          <w:highlight w:val="none"/>
        </w:rPr>
      </w:pPr>
    </w:p>
    <w:p w14:paraId="3B8FA410">
      <w:pPr>
        <w:pStyle w:val="7"/>
        <w:spacing w:line="360" w:lineRule="auto"/>
        <w:ind w:firstLine="0"/>
        <w:jc w:val="center"/>
        <w:rPr>
          <w:rFonts w:hint="eastAsia" w:ascii="仿宋" w:hAnsi="仿宋" w:eastAsia="仿宋" w:cs="仿宋"/>
          <w:color w:val="auto"/>
          <w:sz w:val="24"/>
          <w:szCs w:val="24"/>
          <w:highlight w:val="none"/>
        </w:rPr>
      </w:pPr>
    </w:p>
    <w:p w14:paraId="36CEBF30">
      <w:pPr>
        <w:pStyle w:val="7"/>
        <w:spacing w:line="360" w:lineRule="auto"/>
        <w:ind w:firstLine="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4.2 授权委托书</w:t>
      </w:r>
    </w:p>
    <w:p w14:paraId="602BE234">
      <w:pPr>
        <w:rPr>
          <w:rFonts w:hint="eastAsia" w:ascii="仿宋" w:hAnsi="仿宋" w:eastAsia="仿宋" w:cs="仿宋"/>
          <w:color w:val="auto"/>
          <w:sz w:val="24"/>
          <w:szCs w:val="24"/>
          <w:highlight w:val="none"/>
        </w:rPr>
      </w:pPr>
    </w:p>
    <w:p w14:paraId="45C7A346">
      <w:pPr>
        <w:pStyle w:val="36"/>
        <w:autoSpaceDE w:val="0"/>
        <w:autoSpaceDN w:val="0"/>
        <w:spacing w:line="360" w:lineRule="auto"/>
        <w:textAlignment w:val="bottom"/>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浙江遂昌经济开发区管理委员会</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代理公司名称</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w:t>
      </w:r>
    </w:p>
    <w:p w14:paraId="0D9E0381">
      <w:pPr>
        <w:pStyle w:val="36"/>
        <w:autoSpaceDE w:val="0"/>
        <w:autoSpaceDN w:val="0"/>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我</w:t>
      </w:r>
      <w:r>
        <w:rPr>
          <w:rFonts w:hint="eastAsia" w:ascii="仿宋" w:hAnsi="仿宋" w:eastAsia="仿宋" w:cs="仿宋"/>
          <w:color w:val="auto"/>
          <w:sz w:val="24"/>
          <w:szCs w:val="24"/>
          <w:highlight w:val="none"/>
          <w:u w:val="single"/>
        </w:rPr>
        <w:t xml:space="preserve"> 法定代表人（负责人）</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 xml:space="preserve"> （供应商全称） </w:t>
      </w:r>
      <w:r>
        <w:rPr>
          <w:rFonts w:hint="eastAsia" w:ascii="仿宋" w:hAnsi="仿宋" w:eastAsia="仿宋" w:cs="仿宋"/>
          <w:color w:val="auto"/>
          <w:sz w:val="24"/>
          <w:szCs w:val="24"/>
          <w:highlight w:val="none"/>
        </w:rPr>
        <w:t>的法定代表人（或负责人），现授权委托本单位在职职工</w:t>
      </w:r>
      <w:r>
        <w:rPr>
          <w:rFonts w:hint="eastAsia" w:ascii="仿宋" w:hAnsi="仿宋" w:eastAsia="仿宋" w:cs="仿宋"/>
          <w:color w:val="auto"/>
          <w:sz w:val="24"/>
          <w:szCs w:val="24"/>
          <w:highlight w:val="none"/>
          <w:u w:val="single"/>
        </w:rPr>
        <w:t xml:space="preserve">   （姓名）  </w:t>
      </w:r>
      <w:r>
        <w:rPr>
          <w:rFonts w:hint="eastAsia" w:ascii="仿宋" w:hAnsi="仿宋" w:eastAsia="仿宋" w:cs="仿宋"/>
          <w:color w:val="auto"/>
          <w:sz w:val="24"/>
          <w:szCs w:val="24"/>
          <w:highlight w:val="none"/>
        </w:rPr>
        <w:t>以我方的名义参加就贵方组织的</w:t>
      </w:r>
      <w:r>
        <w:rPr>
          <w:rFonts w:hint="eastAsia" w:ascii="仿宋" w:hAnsi="仿宋" w:eastAsia="仿宋" w:cs="仿宋"/>
          <w:color w:val="auto"/>
          <w:sz w:val="24"/>
          <w:szCs w:val="24"/>
          <w:highlight w:val="none"/>
          <w:u w:val="single"/>
        </w:rPr>
        <w:t xml:space="preserve">   （项目名称）（项目编号） </w:t>
      </w:r>
      <w:r>
        <w:rPr>
          <w:rFonts w:hint="eastAsia" w:ascii="仿宋" w:hAnsi="仿宋" w:eastAsia="仿宋" w:cs="仿宋"/>
          <w:color w:val="auto"/>
          <w:sz w:val="24"/>
          <w:szCs w:val="24"/>
          <w:highlight w:val="none"/>
        </w:rPr>
        <w:t>的招标活动，并代表我方全权办理针对上述项目的招标、开标、评审、签约等具体事务和签署相关文件。</w:t>
      </w:r>
    </w:p>
    <w:p w14:paraId="4FB992FE">
      <w:pPr>
        <w:pStyle w:val="36"/>
        <w:autoSpaceDE w:val="0"/>
        <w:autoSpaceDN w:val="0"/>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我方对委托代理人的签字或盖章事项负全部责任。</w:t>
      </w:r>
    </w:p>
    <w:p w14:paraId="4D5671D0">
      <w:pPr>
        <w:pStyle w:val="36"/>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本授权书自签署之日起生效，在撤销授权的书面通知送达贵方以前，本授权委托书一直有效。委托代理人在授权书有效期内签署的所有文件不因授权的撤销而失效。</w:t>
      </w:r>
    </w:p>
    <w:p w14:paraId="605EDF24">
      <w:pPr>
        <w:pStyle w:val="36"/>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委托代理人无转委托权，特此声明。</w:t>
      </w:r>
    </w:p>
    <w:p w14:paraId="405743DA">
      <w:pPr>
        <w:pStyle w:val="36"/>
        <w:spacing w:line="360" w:lineRule="auto"/>
        <w:ind w:firstLine="480"/>
        <w:rPr>
          <w:rFonts w:hint="eastAsia" w:ascii="仿宋" w:hAnsi="仿宋" w:eastAsia="仿宋" w:cs="仿宋"/>
          <w:color w:val="auto"/>
          <w:sz w:val="24"/>
          <w:szCs w:val="24"/>
          <w:highlight w:val="none"/>
        </w:rPr>
      </w:pPr>
    </w:p>
    <w:p w14:paraId="278EA82B">
      <w:pPr>
        <w:spacing w:line="360" w:lineRule="auto"/>
        <w:ind w:firstLine="5040" w:firstLineChars="2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r>
        <w:rPr>
          <w:rFonts w:hint="eastAsia" w:ascii="仿宋" w:hAnsi="仿宋" w:eastAsia="仿宋" w:cs="仿宋"/>
          <w:color w:val="auto"/>
          <w:sz w:val="24"/>
          <w:szCs w:val="24"/>
          <w:highlight w:val="none"/>
          <w:u w:val="single"/>
        </w:rPr>
        <w:t xml:space="preserve">                </w:t>
      </w:r>
    </w:p>
    <w:p w14:paraId="68B7553B">
      <w:pPr>
        <w:pStyle w:val="36"/>
        <w:wordWrap w:val="0"/>
        <w:spacing w:line="360" w:lineRule="auto"/>
        <w:ind w:firstLine="480"/>
        <w:jc w:val="righ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投标人盖章（电子章）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p>
    <w:p w14:paraId="67719417">
      <w:pPr>
        <w:pStyle w:val="36"/>
        <w:wordWrap w:val="0"/>
        <w:spacing w:line="360" w:lineRule="auto"/>
        <w:ind w:firstLine="480"/>
        <w:jc w:val="righ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      期：</w:t>
      </w:r>
      <w:r>
        <w:rPr>
          <w:rFonts w:hint="eastAsia" w:ascii="仿宋" w:hAnsi="仿宋" w:eastAsia="仿宋" w:cs="仿宋"/>
          <w:color w:val="auto"/>
          <w:sz w:val="24"/>
          <w:szCs w:val="24"/>
          <w:highlight w:val="none"/>
          <w:u w:val="single"/>
        </w:rPr>
        <w:t xml:space="preserve">               </w:t>
      </w:r>
    </w:p>
    <w:p w14:paraId="28ABF7C1">
      <w:pPr>
        <w:pStyle w:val="36"/>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4445" r="0" b="5080"/>
                <wp:wrapNone/>
                <wp:docPr id="2" name="直接箭头连接符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_x0000_s1026"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QQwsg2AAAAAkBAAAPAAAAAAAAAAEAIAAAACIAAABkcnMvZG93bnJl&#10;di54bWxQSwECFAAUAAAACACHTuJAg6Fsy/0BAADtAwAADgAAAAAAAAABACAAAAAnAQAAZHJzL2Uy&#10;b0RvYy54bWxQSwUGAAAAAAYABgBZAQAAlgUAAAAA&#10;">
                <v:fill on="f" focussize="0,0"/>
                <v:stroke color="#000000" joinstyle="round" dashstyle="longDash"/>
                <v:imagedata o:title=""/>
                <o:lock v:ext="edit" aspectratio="f"/>
              </v:shape>
            </w:pict>
          </mc:Fallback>
        </mc:AlternateContent>
      </w:r>
    </w:p>
    <w:p w14:paraId="3C8E403C">
      <w:pPr>
        <w:pStyle w:val="36"/>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1.供应商为法人企业的，其负责人为其法定代表人；供应商为其他组织的，其负责人为法律、行政法规规定代表单位行使职权的主要负责人。</w:t>
      </w:r>
    </w:p>
    <w:p w14:paraId="55B533CD">
      <w:pPr>
        <w:pStyle w:val="36"/>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2.委托人为上述条款中的负责人；若是负责人参会的，不需要提供此授权委托书。</w:t>
      </w:r>
    </w:p>
    <w:p w14:paraId="22EA6E14">
      <w:pPr>
        <w:pStyle w:val="36"/>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3.本“授权委托书”需附负责人</w:t>
      </w:r>
      <w:r>
        <w:rPr>
          <w:rFonts w:hint="eastAsia" w:ascii="仿宋" w:hAnsi="仿宋" w:eastAsia="仿宋" w:cs="仿宋"/>
          <w:b/>
          <w:color w:val="auto"/>
          <w:sz w:val="24"/>
          <w:szCs w:val="24"/>
          <w:highlight w:val="none"/>
        </w:rPr>
        <w:t>和</w:t>
      </w:r>
      <w:r>
        <w:rPr>
          <w:rFonts w:hint="eastAsia" w:ascii="仿宋" w:hAnsi="仿宋" w:eastAsia="仿宋" w:cs="仿宋"/>
          <w:color w:val="auto"/>
          <w:sz w:val="24"/>
          <w:szCs w:val="24"/>
          <w:highlight w:val="none"/>
        </w:rPr>
        <w:t>委托代理人身份证扫描件，如扫描件不清晰或错误的，后果由供应商自行承担。</w:t>
      </w:r>
    </w:p>
    <w:p w14:paraId="6F0501ED">
      <w:pPr>
        <w:pStyle w:val="36"/>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4.上述格式中的“法定代表人签字或盖章”，供应商无法通过电子签章实现的，可以采用下载纸质签字完成后再扫描上传政采云平台电子投标工具。</w:t>
      </w:r>
    </w:p>
    <w:p w14:paraId="446DBF84">
      <w:pPr>
        <w:pStyle w:val="36"/>
        <w:spacing w:line="360" w:lineRule="auto"/>
        <w:rPr>
          <w:rFonts w:hint="eastAsia" w:ascii="仿宋" w:hAnsi="仿宋" w:eastAsia="仿宋" w:cs="仿宋"/>
          <w:bCs/>
          <w:color w:val="auto"/>
          <w:sz w:val="24"/>
          <w:szCs w:val="24"/>
          <w:highlight w:val="none"/>
        </w:rPr>
      </w:pPr>
    </w:p>
    <w:p w14:paraId="78CF5B19">
      <w:pPr>
        <w:pStyle w:val="36"/>
        <w:spacing w:line="360" w:lineRule="auto"/>
        <w:rPr>
          <w:rFonts w:hint="eastAsia" w:ascii="仿宋" w:hAnsi="仿宋" w:eastAsia="仿宋" w:cs="仿宋"/>
          <w:bCs/>
          <w:color w:val="auto"/>
          <w:sz w:val="24"/>
          <w:szCs w:val="24"/>
          <w:highlight w:val="none"/>
        </w:rPr>
      </w:pPr>
    </w:p>
    <w:p w14:paraId="12CF4D89">
      <w:pPr>
        <w:pStyle w:val="36"/>
        <w:spacing w:line="360" w:lineRule="auto"/>
        <w:rPr>
          <w:rFonts w:hint="eastAsia" w:ascii="仿宋" w:hAnsi="仿宋" w:eastAsia="仿宋" w:cs="仿宋"/>
          <w:bCs/>
          <w:color w:val="auto"/>
          <w:sz w:val="24"/>
          <w:szCs w:val="24"/>
          <w:highlight w:val="none"/>
        </w:rPr>
      </w:pPr>
    </w:p>
    <w:p w14:paraId="2A37EC8D">
      <w:pPr>
        <w:pStyle w:val="36"/>
        <w:spacing w:line="360" w:lineRule="auto"/>
        <w:rPr>
          <w:rFonts w:hint="eastAsia" w:ascii="仿宋" w:hAnsi="仿宋" w:eastAsia="仿宋" w:cs="仿宋"/>
          <w:bCs/>
          <w:color w:val="auto"/>
          <w:sz w:val="24"/>
          <w:szCs w:val="24"/>
          <w:highlight w:val="none"/>
        </w:rPr>
      </w:pPr>
    </w:p>
    <w:p w14:paraId="71D10A37">
      <w:pPr>
        <w:pStyle w:val="36"/>
        <w:spacing w:line="360" w:lineRule="auto"/>
        <w:rPr>
          <w:rFonts w:hint="eastAsia" w:ascii="仿宋" w:hAnsi="仿宋" w:eastAsia="仿宋" w:cs="仿宋"/>
          <w:bCs/>
          <w:color w:val="auto"/>
          <w:sz w:val="24"/>
          <w:szCs w:val="24"/>
          <w:highlight w:val="none"/>
        </w:rPr>
      </w:pPr>
    </w:p>
    <w:p w14:paraId="3ADAEE3C">
      <w:pPr>
        <w:pStyle w:val="36"/>
        <w:spacing w:line="360" w:lineRule="auto"/>
        <w:rPr>
          <w:rFonts w:hint="eastAsia" w:ascii="仿宋" w:hAnsi="仿宋" w:eastAsia="仿宋" w:cs="仿宋"/>
          <w:bCs/>
          <w:color w:val="auto"/>
          <w:sz w:val="24"/>
          <w:szCs w:val="24"/>
          <w:highlight w:val="none"/>
        </w:rPr>
      </w:pPr>
    </w:p>
    <w:p w14:paraId="2788858F">
      <w:pPr>
        <w:pStyle w:val="36"/>
        <w:spacing w:line="360" w:lineRule="auto"/>
        <w:rPr>
          <w:rFonts w:hint="eastAsia" w:ascii="仿宋" w:hAnsi="仿宋" w:eastAsia="仿宋" w:cs="仿宋"/>
          <w:bCs/>
          <w:color w:val="auto"/>
          <w:sz w:val="24"/>
          <w:szCs w:val="24"/>
          <w:highlight w:val="none"/>
        </w:rPr>
      </w:pPr>
    </w:p>
    <w:p w14:paraId="3780AE3E">
      <w:pPr>
        <w:pStyle w:val="36"/>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法定代表人身份证正、反面电子文档：</w:t>
      </w:r>
    </w:p>
    <w:tbl>
      <w:tblPr>
        <w:tblStyle w:val="20"/>
        <w:tblW w:w="0" w:type="auto"/>
        <w:tblInd w:w="0" w:type="dxa"/>
        <w:tblLayout w:type="fixed"/>
        <w:tblCellMar>
          <w:top w:w="0" w:type="dxa"/>
          <w:left w:w="108" w:type="dxa"/>
          <w:bottom w:w="0" w:type="dxa"/>
          <w:right w:w="108" w:type="dxa"/>
        </w:tblCellMar>
      </w:tblPr>
      <w:tblGrid>
        <w:gridCol w:w="4621"/>
        <w:gridCol w:w="4621"/>
      </w:tblGrid>
      <w:tr w14:paraId="3B49E301">
        <w:tblPrEx>
          <w:tblCellMar>
            <w:top w:w="0" w:type="dxa"/>
            <w:left w:w="108" w:type="dxa"/>
            <w:bottom w:w="0" w:type="dxa"/>
            <w:right w:w="108" w:type="dxa"/>
          </w:tblCellMar>
        </w:tblPrEx>
        <w:trPr>
          <w:trHeight w:val="2733" w:hRule="atLeast"/>
        </w:trPr>
        <w:tc>
          <w:tcPr>
            <w:tcW w:w="4621" w:type="dxa"/>
            <w:noWrap w:val="0"/>
            <w:vAlign w:val="top"/>
          </w:tcPr>
          <w:p w14:paraId="5000FDAC">
            <w:pPr>
              <w:pStyle w:val="36"/>
              <w:spacing w:line="440" w:lineRule="exact"/>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正面：</w:t>
            </w:r>
          </w:p>
          <w:p w14:paraId="38D8D5AB">
            <w:pPr>
              <w:pStyle w:val="36"/>
              <w:spacing w:line="440" w:lineRule="exact"/>
              <w:rPr>
                <w:rFonts w:hint="eastAsia" w:ascii="仿宋" w:hAnsi="仿宋" w:eastAsia="仿宋" w:cs="仿宋"/>
                <w:color w:val="auto"/>
                <w:spacing w:val="20"/>
                <w:sz w:val="24"/>
                <w:highlight w:val="none"/>
              </w:rPr>
            </w:pPr>
          </w:p>
        </w:tc>
        <w:tc>
          <w:tcPr>
            <w:tcW w:w="4621" w:type="dxa"/>
            <w:noWrap w:val="0"/>
            <w:vAlign w:val="top"/>
          </w:tcPr>
          <w:p w14:paraId="13F0A77F">
            <w:pPr>
              <w:pStyle w:val="36"/>
              <w:spacing w:line="440" w:lineRule="exact"/>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反面：</w:t>
            </w:r>
          </w:p>
          <w:p w14:paraId="335A026C">
            <w:pPr>
              <w:pStyle w:val="36"/>
              <w:spacing w:line="440" w:lineRule="exact"/>
              <w:rPr>
                <w:rFonts w:hint="eastAsia" w:ascii="仿宋" w:hAnsi="仿宋" w:eastAsia="仿宋" w:cs="仿宋"/>
                <w:color w:val="auto"/>
                <w:spacing w:val="20"/>
                <w:sz w:val="24"/>
                <w:highlight w:val="none"/>
                <w:u w:val="single"/>
              </w:rPr>
            </w:pPr>
          </w:p>
        </w:tc>
      </w:tr>
    </w:tbl>
    <w:p w14:paraId="6C18D81D">
      <w:pPr>
        <w:pStyle w:val="36"/>
        <w:spacing w:line="360" w:lineRule="auto"/>
        <w:ind w:firstLine="900" w:firstLineChars="375"/>
        <w:rPr>
          <w:rFonts w:hint="eastAsia" w:ascii="仿宋" w:hAnsi="仿宋" w:eastAsia="仿宋" w:cs="仿宋"/>
          <w:bCs/>
          <w:color w:val="auto"/>
          <w:sz w:val="24"/>
          <w:highlight w:val="none"/>
        </w:rPr>
      </w:pPr>
    </w:p>
    <w:p w14:paraId="6220901B">
      <w:pPr>
        <w:rPr>
          <w:rFonts w:hint="eastAsia" w:ascii="仿宋" w:hAnsi="仿宋" w:eastAsia="仿宋" w:cs="仿宋"/>
          <w:color w:val="auto"/>
          <w:highlight w:val="none"/>
        </w:rPr>
      </w:pPr>
    </w:p>
    <w:p w14:paraId="7D0E4B44">
      <w:pPr>
        <w:pStyle w:val="36"/>
        <w:spacing w:line="440" w:lineRule="exact"/>
        <w:ind w:firstLine="480"/>
        <w:rPr>
          <w:rFonts w:hint="eastAsia" w:ascii="仿宋" w:hAnsi="仿宋" w:eastAsia="仿宋" w:cs="仿宋"/>
          <w:color w:val="auto"/>
          <w:spacing w:val="20"/>
          <w:sz w:val="24"/>
          <w:highlight w:val="none"/>
          <w:u w:val="single"/>
        </w:rPr>
      </w:pPr>
      <w:r>
        <w:rPr>
          <w:rFonts w:hint="eastAsia" w:ascii="仿宋" w:hAnsi="仿宋" w:eastAsia="仿宋" w:cs="仿宋"/>
          <w:bCs/>
          <w:color w:val="auto"/>
          <w:sz w:val="24"/>
          <w:highlight w:val="none"/>
        </w:rPr>
        <w:t>委托代理人身份证正、反面电子文档：</w:t>
      </w:r>
    </w:p>
    <w:tbl>
      <w:tblPr>
        <w:tblStyle w:val="20"/>
        <w:tblW w:w="0" w:type="auto"/>
        <w:tblInd w:w="0" w:type="dxa"/>
        <w:tblLayout w:type="fixed"/>
        <w:tblCellMar>
          <w:top w:w="0" w:type="dxa"/>
          <w:left w:w="108" w:type="dxa"/>
          <w:bottom w:w="0" w:type="dxa"/>
          <w:right w:w="108" w:type="dxa"/>
        </w:tblCellMar>
      </w:tblPr>
      <w:tblGrid>
        <w:gridCol w:w="4621"/>
        <w:gridCol w:w="4621"/>
      </w:tblGrid>
      <w:tr w14:paraId="0331BC5D">
        <w:tblPrEx>
          <w:tblCellMar>
            <w:top w:w="0" w:type="dxa"/>
            <w:left w:w="108" w:type="dxa"/>
            <w:bottom w:w="0" w:type="dxa"/>
            <w:right w:w="108" w:type="dxa"/>
          </w:tblCellMar>
        </w:tblPrEx>
        <w:trPr>
          <w:trHeight w:val="2733" w:hRule="atLeast"/>
        </w:trPr>
        <w:tc>
          <w:tcPr>
            <w:tcW w:w="4621" w:type="dxa"/>
            <w:noWrap w:val="0"/>
            <w:vAlign w:val="top"/>
          </w:tcPr>
          <w:p w14:paraId="183E41C4">
            <w:pPr>
              <w:pStyle w:val="36"/>
              <w:spacing w:line="440" w:lineRule="exact"/>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正面：</w:t>
            </w:r>
          </w:p>
          <w:p w14:paraId="68103621">
            <w:pPr>
              <w:pStyle w:val="36"/>
              <w:spacing w:line="440" w:lineRule="exact"/>
              <w:rPr>
                <w:rFonts w:hint="eastAsia" w:ascii="仿宋" w:hAnsi="仿宋" w:eastAsia="仿宋" w:cs="仿宋"/>
                <w:color w:val="auto"/>
                <w:spacing w:val="20"/>
                <w:sz w:val="24"/>
                <w:highlight w:val="none"/>
              </w:rPr>
            </w:pPr>
          </w:p>
        </w:tc>
        <w:tc>
          <w:tcPr>
            <w:tcW w:w="4621" w:type="dxa"/>
            <w:noWrap w:val="0"/>
            <w:vAlign w:val="top"/>
          </w:tcPr>
          <w:p w14:paraId="3C4BBF41">
            <w:pPr>
              <w:pStyle w:val="36"/>
              <w:spacing w:line="440" w:lineRule="exact"/>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反面：</w:t>
            </w:r>
          </w:p>
          <w:p w14:paraId="073376AC">
            <w:pPr>
              <w:pStyle w:val="36"/>
              <w:spacing w:line="440" w:lineRule="exact"/>
              <w:rPr>
                <w:rFonts w:hint="eastAsia" w:ascii="仿宋" w:hAnsi="仿宋" w:eastAsia="仿宋" w:cs="仿宋"/>
                <w:color w:val="auto"/>
                <w:spacing w:val="20"/>
                <w:sz w:val="24"/>
                <w:highlight w:val="none"/>
                <w:u w:val="single"/>
              </w:rPr>
            </w:pPr>
          </w:p>
        </w:tc>
      </w:tr>
    </w:tbl>
    <w:p w14:paraId="4214D6F4">
      <w:pPr>
        <w:pStyle w:val="36"/>
        <w:ind w:left="525" w:leftChars="50" w:hanging="420" w:hangingChars="200"/>
        <w:rPr>
          <w:rFonts w:hint="eastAsia" w:ascii="仿宋" w:hAnsi="仿宋" w:eastAsia="仿宋" w:cs="仿宋"/>
          <w:color w:val="auto"/>
          <w:highlight w:val="none"/>
        </w:rPr>
      </w:pPr>
    </w:p>
    <w:p w14:paraId="14599D97">
      <w:pPr>
        <w:rPr>
          <w:rFonts w:hint="eastAsia" w:ascii="仿宋" w:hAnsi="仿宋" w:eastAsia="仿宋" w:cs="仿宋"/>
          <w:color w:val="auto"/>
          <w:highlight w:val="none"/>
        </w:rPr>
      </w:pPr>
    </w:p>
    <w:p w14:paraId="78CC989B">
      <w:pPr>
        <w:rPr>
          <w:rFonts w:hint="eastAsia" w:ascii="仿宋" w:hAnsi="仿宋" w:eastAsia="仿宋" w:cs="仿宋"/>
          <w:color w:val="auto"/>
          <w:highlight w:val="none"/>
        </w:rPr>
      </w:pPr>
    </w:p>
    <w:p w14:paraId="75F40026">
      <w:pPr>
        <w:rPr>
          <w:rFonts w:hint="eastAsia" w:ascii="仿宋" w:hAnsi="仿宋" w:eastAsia="仿宋" w:cs="仿宋"/>
          <w:color w:val="auto"/>
          <w:highlight w:val="none"/>
        </w:rPr>
      </w:pPr>
    </w:p>
    <w:p w14:paraId="242AE6C6">
      <w:pPr>
        <w:rPr>
          <w:rFonts w:hint="eastAsia" w:ascii="仿宋" w:hAnsi="仿宋" w:eastAsia="仿宋" w:cs="仿宋"/>
          <w:color w:val="auto"/>
          <w:highlight w:val="none"/>
        </w:rPr>
      </w:pPr>
    </w:p>
    <w:p w14:paraId="531D0953">
      <w:pPr>
        <w:rPr>
          <w:rFonts w:hint="eastAsia" w:ascii="仿宋" w:hAnsi="仿宋" w:eastAsia="仿宋" w:cs="仿宋"/>
          <w:color w:val="auto"/>
          <w:highlight w:val="none"/>
        </w:rPr>
      </w:pPr>
    </w:p>
    <w:p w14:paraId="45C15296">
      <w:pPr>
        <w:rPr>
          <w:rFonts w:hint="eastAsia" w:ascii="仿宋" w:hAnsi="仿宋" w:eastAsia="仿宋" w:cs="仿宋"/>
          <w:color w:val="auto"/>
          <w:highlight w:val="none"/>
        </w:rPr>
      </w:pPr>
    </w:p>
    <w:p w14:paraId="2C48194C">
      <w:pPr>
        <w:rPr>
          <w:rFonts w:hint="eastAsia" w:ascii="仿宋" w:hAnsi="仿宋" w:eastAsia="仿宋" w:cs="仿宋"/>
          <w:color w:val="auto"/>
          <w:highlight w:val="none"/>
        </w:rPr>
      </w:pPr>
    </w:p>
    <w:p w14:paraId="156818F2">
      <w:pPr>
        <w:rPr>
          <w:rFonts w:hint="eastAsia" w:ascii="仿宋" w:hAnsi="仿宋" w:eastAsia="仿宋" w:cs="仿宋"/>
          <w:color w:val="auto"/>
          <w:highlight w:val="none"/>
        </w:rPr>
      </w:pPr>
    </w:p>
    <w:p w14:paraId="58BCA0F6">
      <w:pPr>
        <w:rPr>
          <w:rFonts w:hint="eastAsia" w:ascii="仿宋" w:hAnsi="仿宋" w:eastAsia="仿宋" w:cs="仿宋"/>
          <w:color w:val="auto"/>
          <w:highlight w:val="none"/>
        </w:rPr>
      </w:pPr>
    </w:p>
    <w:p w14:paraId="0A5A1F05">
      <w:pPr>
        <w:rPr>
          <w:rFonts w:hint="eastAsia" w:ascii="仿宋" w:hAnsi="仿宋" w:eastAsia="仿宋" w:cs="仿宋"/>
          <w:color w:val="auto"/>
          <w:highlight w:val="none"/>
        </w:rPr>
      </w:pPr>
    </w:p>
    <w:p w14:paraId="49E20EAC">
      <w:pPr>
        <w:rPr>
          <w:rFonts w:hint="eastAsia" w:ascii="仿宋" w:hAnsi="仿宋" w:eastAsia="仿宋" w:cs="仿宋"/>
          <w:color w:val="auto"/>
          <w:highlight w:val="none"/>
        </w:rPr>
      </w:pPr>
    </w:p>
    <w:p w14:paraId="5D8D72BA">
      <w:pPr>
        <w:rPr>
          <w:rFonts w:hint="eastAsia" w:ascii="仿宋" w:hAnsi="仿宋" w:eastAsia="仿宋" w:cs="仿宋"/>
          <w:color w:val="auto"/>
          <w:highlight w:val="none"/>
        </w:rPr>
      </w:pPr>
    </w:p>
    <w:p w14:paraId="5BE3EF88">
      <w:pPr>
        <w:rPr>
          <w:rFonts w:hint="eastAsia" w:ascii="仿宋" w:hAnsi="仿宋" w:eastAsia="仿宋" w:cs="仿宋"/>
          <w:color w:val="auto"/>
          <w:highlight w:val="none"/>
        </w:rPr>
      </w:pPr>
    </w:p>
    <w:p w14:paraId="56EEB7FA">
      <w:pPr>
        <w:rPr>
          <w:rFonts w:hint="eastAsia" w:ascii="仿宋" w:hAnsi="仿宋" w:eastAsia="仿宋" w:cs="仿宋"/>
          <w:color w:val="auto"/>
          <w:highlight w:val="none"/>
        </w:rPr>
      </w:pPr>
    </w:p>
    <w:p w14:paraId="5FC9FAD4">
      <w:pPr>
        <w:rPr>
          <w:rFonts w:hint="eastAsia" w:ascii="仿宋" w:hAnsi="仿宋" w:eastAsia="仿宋" w:cs="仿宋"/>
          <w:color w:val="auto"/>
          <w:highlight w:val="none"/>
        </w:rPr>
      </w:pPr>
    </w:p>
    <w:p w14:paraId="1448375B">
      <w:pPr>
        <w:rPr>
          <w:rFonts w:hint="eastAsia" w:ascii="仿宋" w:hAnsi="仿宋" w:eastAsia="仿宋" w:cs="仿宋"/>
          <w:color w:val="auto"/>
          <w:highlight w:val="none"/>
        </w:rPr>
      </w:pPr>
    </w:p>
    <w:p w14:paraId="39B03205">
      <w:pPr>
        <w:rPr>
          <w:rFonts w:hint="eastAsia" w:ascii="仿宋" w:hAnsi="仿宋" w:eastAsia="仿宋" w:cs="仿宋"/>
          <w:color w:val="auto"/>
          <w:highlight w:val="none"/>
        </w:rPr>
      </w:pPr>
    </w:p>
    <w:p w14:paraId="66CB2D47">
      <w:pPr>
        <w:rPr>
          <w:rFonts w:hint="eastAsia" w:ascii="仿宋" w:hAnsi="仿宋" w:eastAsia="仿宋" w:cs="仿宋"/>
          <w:color w:val="auto"/>
          <w:highlight w:val="none"/>
        </w:rPr>
      </w:pPr>
    </w:p>
    <w:p w14:paraId="604C5F59">
      <w:pPr>
        <w:rPr>
          <w:rFonts w:hint="eastAsia" w:ascii="仿宋" w:hAnsi="仿宋" w:eastAsia="仿宋" w:cs="仿宋"/>
          <w:color w:val="auto"/>
          <w:highlight w:val="none"/>
        </w:rPr>
      </w:pPr>
    </w:p>
    <w:p w14:paraId="512465DD">
      <w:pPr>
        <w:rPr>
          <w:rFonts w:hint="eastAsia" w:ascii="仿宋" w:hAnsi="仿宋" w:eastAsia="仿宋" w:cs="仿宋"/>
          <w:color w:val="auto"/>
          <w:highlight w:val="none"/>
        </w:rPr>
      </w:pPr>
    </w:p>
    <w:p w14:paraId="2C09383C">
      <w:pPr>
        <w:rPr>
          <w:rFonts w:hint="eastAsia" w:ascii="仿宋" w:hAnsi="仿宋" w:eastAsia="仿宋" w:cs="仿宋"/>
          <w:color w:val="auto"/>
          <w:highlight w:val="none"/>
        </w:rPr>
      </w:pPr>
    </w:p>
    <w:p w14:paraId="02D11979">
      <w:pPr>
        <w:rPr>
          <w:rFonts w:hint="eastAsia" w:ascii="仿宋" w:hAnsi="仿宋" w:eastAsia="仿宋" w:cs="仿宋"/>
          <w:color w:val="auto"/>
          <w:highlight w:val="none"/>
        </w:rPr>
      </w:pPr>
    </w:p>
    <w:p w14:paraId="209B4C00">
      <w:pPr>
        <w:rPr>
          <w:rFonts w:hint="eastAsia" w:ascii="仿宋" w:hAnsi="仿宋" w:eastAsia="仿宋" w:cs="仿宋"/>
          <w:color w:val="auto"/>
          <w:highlight w:val="none"/>
        </w:rPr>
      </w:pPr>
    </w:p>
    <w:p w14:paraId="3602DF59">
      <w:pPr>
        <w:pStyle w:val="9"/>
        <w:spacing w:before="0" w:after="0"/>
        <w:ind w:firstLine="0" w:firstLineChars="0"/>
        <w:jc w:val="left"/>
        <w:rPr>
          <w:rFonts w:hint="eastAsia" w:ascii="仿宋" w:hAnsi="仿宋" w:eastAsia="仿宋" w:cs="仿宋"/>
          <w:color w:val="auto"/>
          <w:sz w:val="28"/>
          <w:szCs w:val="28"/>
          <w:highlight w:val="none"/>
        </w:rPr>
      </w:pPr>
      <w:bookmarkStart w:id="421" w:name="_Toc20957"/>
      <w:bookmarkStart w:id="422" w:name="_Toc5617"/>
      <w:bookmarkStart w:id="423" w:name="_Toc29229"/>
      <w:r>
        <w:rPr>
          <w:rFonts w:hint="eastAsia" w:ascii="仿宋" w:hAnsi="仿宋" w:eastAsia="仿宋" w:cs="仿宋"/>
          <w:color w:val="auto"/>
          <w:sz w:val="28"/>
          <w:szCs w:val="28"/>
          <w:highlight w:val="none"/>
        </w:rPr>
        <w:t>▲5.</w:t>
      </w:r>
      <w:bookmarkEnd w:id="421"/>
      <w:bookmarkEnd w:id="422"/>
      <w:bookmarkEnd w:id="423"/>
      <w:r>
        <w:rPr>
          <w:rFonts w:hint="eastAsia" w:ascii="仿宋" w:hAnsi="仿宋" w:eastAsia="仿宋" w:cs="仿宋"/>
          <w:color w:val="auto"/>
          <w:sz w:val="28"/>
          <w:szCs w:val="28"/>
          <w:highlight w:val="none"/>
        </w:rPr>
        <w:t>符合参加政府采购活动应当具备的一般条件的承诺函</w:t>
      </w:r>
    </w:p>
    <w:p w14:paraId="0C5C5EA7">
      <w:pPr>
        <w:rPr>
          <w:rFonts w:hint="eastAsia" w:ascii="仿宋" w:hAnsi="仿宋" w:eastAsia="仿宋" w:cs="仿宋"/>
          <w:color w:val="auto"/>
        </w:rPr>
      </w:pPr>
    </w:p>
    <w:p w14:paraId="7C960192">
      <w:pPr>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符合参加政府采购活动应当具备的一般条件的承诺函</w:t>
      </w:r>
    </w:p>
    <w:p w14:paraId="48A7CEFC">
      <w:pPr>
        <w:jc w:val="center"/>
        <w:rPr>
          <w:rFonts w:hint="eastAsia" w:ascii="仿宋" w:hAnsi="仿宋" w:eastAsia="仿宋" w:cs="仿宋"/>
          <w:b/>
          <w:bCs/>
          <w:color w:val="auto"/>
          <w:sz w:val="28"/>
          <w:szCs w:val="28"/>
          <w:highlight w:val="none"/>
        </w:rPr>
      </w:pPr>
    </w:p>
    <w:p w14:paraId="5300DB77">
      <w:pPr>
        <w:rPr>
          <w:rFonts w:hint="eastAsia" w:ascii="仿宋" w:hAnsi="仿宋" w:eastAsia="仿宋" w:cs="仿宋"/>
          <w:color w:val="auto"/>
        </w:rPr>
      </w:pPr>
    </w:p>
    <w:p w14:paraId="22AE6F5F">
      <w:pPr>
        <w:pStyle w:val="36"/>
        <w:autoSpaceDE w:val="0"/>
        <w:autoSpaceDN w:val="0"/>
        <w:spacing w:line="360" w:lineRule="auto"/>
        <w:textAlignment w:val="bottom"/>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浙江遂昌经济开发区管理委员会</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代理公司名称</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w:t>
      </w:r>
    </w:p>
    <w:p w14:paraId="6489C15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lang w:eastAsia="zh-CN"/>
        </w:rPr>
        <w:t>遂昌县第二污水处理厂2025-2026年度代管运维服务项目（</w:t>
      </w:r>
      <w:r>
        <w:rPr>
          <w:rFonts w:hint="eastAsia" w:ascii="仿宋" w:hAnsi="仿宋" w:eastAsia="仿宋" w:cs="仿宋"/>
          <w:color w:val="auto"/>
          <w:sz w:val="24"/>
          <w:highlight w:val="none"/>
          <w:u w:val="single"/>
          <w:lang w:val="en-US" w:eastAsia="zh-CN"/>
        </w:rPr>
        <w:t>项目</w:t>
      </w:r>
      <w:r>
        <w:rPr>
          <w:rFonts w:hint="eastAsia" w:ascii="仿宋" w:hAnsi="仿宋" w:eastAsia="仿宋" w:cs="仿宋"/>
          <w:color w:val="auto"/>
          <w:sz w:val="24"/>
          <w:highlight w:val="none"/>
          <w:u w:val="single"/>
        </w:rPr>
        <w:t>编号：</w:t>
      </w:r>
      <w:r>
        <w:rPr>
          <w:rFonts w:hint="eastAsia" w:ascii="仿宋" w:hAnsi="仿宋" w:eastAsia="仿宋" w:cs="仿宋"/>
          <w:color w:val="auto"/>
          <w:sz w:val="24"/>
          <w:highlight w:val="none"/>
          <w:u w:val="single"/>
          <w:lang w:val="en-US" w:eastAsia="zh-CN"/>
        </w:rPr>
        <w:t>SCYH【2025】020-公07</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rPr>
        <w:t>政府采购活动，郑重承诺：</w:t>
      </w:r>
    </w:p>
    <w:p w14:paraId="7955DC84">
      <w:pPr>
        <w:keepNext w:val="0"/>
        <w:keepLines w:val="0"/>
        <w:pageBreakBefore w:val="0"/>
        <w:widowControl w:val="0"/>
        <w:kinsoku/>
        <w:wordWrap/>
        <w:overflowPunct/>
        <w:topLinePunct w:val="0"/>
        <w:autoSpaceDE/>
        <w:autoSpaceDN/>
        <w:bidi w:val="0"/>
        <w:adjustRightInd w:val="0"/>
        <w:snapToGrid/>
        <w:spacing w:line="360" w:lineRule="auto"/>
        <w:ind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1122045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4E6A2B6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75936C6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10A5DE1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5AF81A2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695E36C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7D0B862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、中国政府采购网（www.ccgp.gov.cn）列入失信被执行人、</w:t>
      </w:r>
      <w:r>
        <w:rPr>
          <w:rFonts w:hint="eastAsia" w:ascii="仿宋" w:hAnsi="仿宋" w:eastAsia="仿宋" w:cs="仿宋"/>
          <w:color w:val="auto"/>
          <w:sz w:val="24"/>
          <w:highlight w:val="none"/>
          <w:lang w:eastAsia="zh-CN"/>
        </w:rPr>
        <w:t>重大税收违法失信主体</w:t>
      </w:r>
      <w:r>
        <w:rPr>
          <w:rFonts w:hint="eastAsia" w:ascii="仿宋" w:hAnsi="仿宋" w:eastAsia="仿宋" w:cs="仿宋"/>
          <w:color w:val="auto"/>
          <w:sz w:val="24"/>
          <w:highlight w:val="none"/>
        </w:rPr>
        <w:t>、政府采购严重违法失信行为记录名单。</w:t>
      </w:r>
    </w:p>
    <w:p w14:paraId="44DF3F4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2A8546B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01B874B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725358DA">
      <w:pPr>
        <w:pStyle w:val="7"/>
        <w:rPr>
          <w:rFonts w:hint="eastAsia" w:ascii="仿宋" w:hAnsi="仿宋" w:eastAsia="仿宋" w:cs="仿宋"/>
          <w:color w:val="auto"/>
          <w:highlight w:val="none"/>
        </w:rPr>
      </w:pPr>
    </w:p>
    <w:p w14:paraId="4D37FF29">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18C75AE3">
      <w:pPr>
        <w:pStyle w:val="8"/>
        <w:ind w:firstLine="5280" w:firstLineChars="2200"/>
        <w:rPr>
          <w:rFonts w:hint="eastAsia" w:ascii="仿宋" w:hAnsi="仿宋" w:eastAsia="仿宋" w:cs="仿宋"/>
          <w:color w:val="auto"/>
          <w:highlight w:val="none"/>
        </w:rPr>
        <w:sectPr>
          <w:pgSz w:w="11906" w:h="16838"/>
          <w:pgMar w:top="1418" w:right="1418" w:bottom="1418" w:left="1418" w:header="851" w:footer="851" w:gutter="0"/>
          <w:pgBorders>
            <w:top w:val="none" w:sz="0" w:space="0"/>
            <w:left w:val="none" w:sz="0" w:space="0"/>
            <w:bottom w:val="none" w:sz="0" w:space="0"/>
            <w:right w:val="none" w:sz="0" w:space="0"/>
          </w:pgBorders>
          <w:pgNumType w:fmt="decimal"/>
          <w:cols w:space="720" w:num="1"/>
          <w:docGrid w:linePitch="312" w:charSpace="0"/>
        </w:sect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2C61F420">
      <w:pPr>
        <w:pStyle w:val="9"/>
        <w:spacing w:before="0" w:after="0" w:line="240" w:lineRule="auto"/>
        <w:ind w:firstLine="0" w:firstLineChars="0"/>
        <w:jc w:val="left"/>
        <w:rPr>
          <w:rFonts w:hint="eastAsia" w:ascii="仿宋" w:hAnsi="仿宋" w:eastAsia="仿宋" w:cs="仿宋"/>
          <w:color w:val="auto"/>
          <w:sz w:val="28"/>
          <w:szCs w:val="28"/>
          <w:highlight w:val="none"/>
        </w:rPr>
      </w:pPr>
      <w:bookmarkStart w:id="424" w:name="_Toc24126"/>
      <w:bookmarkStart w:id="425" w:name="_Toc493956054"/>
      <w:bookmarkStart w:id="426" w:name="_Toc530551879"/>
      <w:bookmarkStart w:id="427" w:name="_Toc6892"/>
      <w:bookmarkStart w:id="428" w:name="_Toc531359045"/>
      <w:bookmarkStart w:id="429" w:name="_Toc4072"/>
      <w:bookmarkStart w:id="430" w:name="_Toc18573"/>
      <w:r>
        <w:rPr>
          <w:rFonts w:hint="eastAsia" w:ascii="仿宋" w:hAnsi="仿宋" w:eastAsia="仿宋" w:cs="仿宋"/>
          <w:color w:val="auto"/>
          <w:sz w:val="28"/>
          <w:szCs w:val="28"/>
          <w:highlight w:val="none"/>
        </w:rPr>
        <w:t>▲</w:t>
      </w:r>
      <w:bookmarkEnd w:id="424"/>
      <w:bookmarkEnd w:id="425"/>
      <w:bookmarkEnd w:id="426"/>
      <w:bookmarkEnd w:id="427"/>
      <w:bookmarkEnd w:id="428"/>
      <w:r>
        <w:rPr>
          <w:rFonts w:hint="eastAsia" w:ascii="仿宋" w:hAnsi="仿宋" w:eastAsia="仿宋" w:cs="仿宋"/>
          <w:color w:val="auto"/>
          <w:sz w:val="28"/>
          <w:szCs w:val="28"/>
          <w:highlight w:val="none"/>
        </w:rPr>
        <w:t>6.资格声明</w:t>
      </w:r>
      <w:bookmarkEnd w:id="429"/>
      <w:bookmarkEnd w:id="430"/>
    </w:p>
    <w:p w14:paraId="1C65B755">
      <w:pPr>
        <w:pStyle w:val="7"/>
        <w:ind w:firstLine="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资格声明</w:t>
      </w:r>
    </w:p>
    <w:p w14:paraId="233DD844">
      <w:pPr>
        <w:rPr>
          <w:rFonts w:hint="eastAsia" w:ascii="仿宋" w:hAnsi="仿宋" w:eastAsia="仿宋" w:cs="仿宋"/>
          <w:color w:val="auto"/>
        </w:rPr>
      </w:pPr>
    </w:p>
    <w:p w14:paraId="33CE70FC">
      <w:pPr>
        <w:pStyle w:val="36"/>
        <w:autoSpaceDE w:val="0"/>
        <w:autoSpaceDN w:val="0"/>
        <w:spacing w:line="360" w:lineRule="auto"/>
        <w:textAlignment w:val="bottom"/>
        <w:rPr>
          <w:rFonts w:hint="eastAsia" w:ascii="仿宋" w:hAnsi="仿宋" w:eastAsia="仿宋" w:cs="仿宋"/>
          <w:color w:val="auto"/>
          <w:sz w:val="24"/>
          <w:szCs w:val="24"/>
          <w:highlight w:val="none"/>
          <w:u w:val="single"/>
        </w:rPr>
      </w:pPr>
      <w:bookmarkStart w:id="431" w:name="_Toc530551880"/>
      <w:bookmarkStart w:id="432" w:name="_Toc493956055"/>
      <w:r>
        <w:rPr>
          <w:rFonts w:hint="eastAsia" w:ascii="仿宋" w:hAnsi="仿宋" w:eastAsia="仿宋" w:cs="仿宋"/>
          <w:color w:val="auto"/>
          <w:sz w:val="24"/>
          <w:szCs w:val="24"/>
          <w:highlight w:val="none"/>
          <w:u w:val="single"/>
          <w:lang w:eastAsia="zh-CN"/>
        </w:rPr>
        <w:t>浙江遂昌经济开发区管理委员会</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代理公司名称</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w:t>
      </w:r>
    </w:p>
    <w:bookmarkEnd w:id="414"/>
    <w:bookmarkEnd w:id="415"/>
    <w:bookmarkEnd w:id="431"/>
    <w:bookmarkEnd w:id="432"/>
    <w:p w14:paraId="4A245190">
      <w:pPr>
        <w:pStyle w:val="37"/>
        <w:spacing w:line="360" w:lineRule="auto"/>
        <w:ind w:firstLine="480" w:firstLineChars="200"/>
        <w:rPr>
          <w:rFonts w:hint="eastAsia" w:ascii="仿宋" w:hAnsi="仿宋" w:eastAsia="仿宋" w:cs="仿宋"/>
          <w:color w:val="auto"/>
          <w:sz w:val="24"/>
          <w:szCs w:val="21"/>
          <w:highlight w:val="none"/>
        </w:rPr>
      </w:pPr>
      <w:bookmarkStart w:id="433" w:name="_Toc18852"/>
      <w:bookmarkStart w:id="434" w:name="_Toc22958"/>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z w:val="24"/>
          <w:szCs w:val="21"/>
          <w:highlight w:val="none"/>
          <w:u w:val="single"/>
          <w:lang w:eastAsia="zh-CN"/>
        </w:rPr>
        <w:t>供应商</w:t>
      </w:r>
      <w:r>
        <w:rPr>
          <w:rFonts w:hint="eastAsia" w:ascii="仿宋" w:hAnsi="仿宋" w:eastAsia="仿宋" w:cs="仿宋"/>
          <w:color w:val="auto"/>
          <w:sz w:val="24"/>
          <w:szCs w:val="21"/>
          <w:highlight w:val="none"/>
          <w:u w:val="single"/>
        </w:rPr>
        <w:t xml:space="preserve">全称)  </w:t>
      </w:r>
      <w:r>
        <w:rPr>
          <w:rFonts w:hint="eastAsia" w:ascii="仿宋" w:hAnsi="仿宋" w:eastAsia="仿宋" w:cs="仿宋"/>
          <w:color w:val="auto"/>
          <w:sz w:val="24"/>
          <w:szCs w:val="21"/>
          <w:highlight w:val="none"/>
        </w:rPr>
        <w:t>系中华人民共和国合法企业，经营地址</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z w:val="24"/>
          <w:szCs w:val="21"/>
          <w:highlight w:val="none"/>
          <w:u w:val="single"/>
          <w:lang w:eastAsia="zh-CN"/>
        </w:rPr>
        <w:t xml:space="preserve">       </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z w:val="24"/>
          <w:szCs w:val="21"/>
          <w:highlight w:val="none"/>
        </w:rPr>
        <w:t>。</w:t>
      </w:r>
    </w:p>
    <w:p w14:paraId="6C846E66">
      <w:pPr>
        <w:pStyle w:val="7"/>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1"/>
          <w:highlight w:val="none"/>
        </w:rPr>
        <w:t>我</w:t>
      </w:r>
      <w:r>
        <w:rPr>
          <w:rFonts w:hint="eastAsia" w:ascii="仿宋" w:hAnsi="仿宋" w:eastAsia="仿宋" w:cs="仿宋"/>
          <w:color w:val="auto"/>
          <w:sz w:val="24"/>
          <w:szCs w:val="21"/>
          <w:highlight w:val="none"/>
          <w:u w:val="single"/>
        </w:rPr>
        <w:t>(负责人名字)</w:t>
      </w:r>
      <w:r>
        <w:rPr>
          <w:rFonts w:hint="eastAsia" w:ascii="仿宋" w:hAnsi="仿宋" w:eastAsia="仿宋" w:cs="仿宋"/>
          <w:color w:val="auto"/>
          <w:sz w:val="24"/>
          <w:szCs w:val="21"/>
          <w:highlight w:val="none"/>
        </w:rPr>
        <w:t>系</w:t>
      </w:r>
      <w:r>
        <w:rPr>
          <w:rFonts w:hint="eastAsia" w:ascii="仿宋" w:hAnsi="仿宋" w:eastAsia="仿宋" w:cs="仿宋"/>
          <w:color w:val="auto"/>
          <w:sz w:val="24"/>
          <w:szCs w:val="21"/>
          <w:highlight w:val="none"/>
          <w:u w:val="single"/>
        </w:rPr>
        <w:t xml:space="preserve">    (供应商名称)       </w:t>
      </w:r>
      <w:r>
        <w:rPr>
          <w:rFonts w:hint="eastAsia" w:ascii="仿宋" w:hAnsi="仿宋" w:eastAsia="仿宋" w:cs="仿宋"/>
          <w:color w:val="auto"/>
          <w:sz w:val="24"/>
          <w:szCs w:val="21"/>
          <w:highlight w:val="none"/>
        </w:rPr>
        <w:t>的负责人，我方愿意参加贵方组织的</w:t>
      </w:r>
      <w:r>
        <w:rPr>
          <w:rFonts w:hint="eastAsia" w:ascii="仿宋" w:hAnsi="仿宋" w:eastAsia="仿宋" w:cs="仿宋"/>
          <w:color w:val="auto"/>
          <w:sz w:val="24"/>
          <w:szCs w:val="21"/>
          <w:highlight w:val="none"/>
          <w:u w:val="single"/>
        </w:rPr>
        <w:t xml:space="preserve">    遂昌县第二污水处理厂2025-2026年度代管运维服务项目（项目编号：SCYH【2025】020-公07）</w:t>
      </w:r>
      <w:r>
        <w:rPr>
          <w:rFonts w:hint="eastAsia" w:ascii="仿宋" w:hAnsi="仿宋" w:eastAsia="仿宋" w:cs="仿宋"/>
          <w:color w:val="auto"/>
          <w:sz w:val="24"/>
          <w:szCs w:val="21"/>
          <w:highlight w:val="none"/>
        </w:rPr>
        <w:t>的投标。为便于贵方公正、择优地确定成交人以及投标产品和服务，我方就本次投标有关事项证明如下：</w:t>
      </w:r>
    </w:p>
    <w:p w14:paraId="11E90C16">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（一）名称及概况：</w:t>
      </w:r>
    </w:p>
    <w:p w14:paraId="5278F992">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1．企业名称：________________________________________________ </w:t>
      </w:r>
    </w:p>
    <w:p w14:paraId="113DD9AF">
      <w:pPr>
        <w:pStyle w:val="38"/>
        <w:spacing w:line="360" w:lineRule="auto"/>
        <w:ind w:firstLine="420"/>
        <w:rPr>
          <w:rFonts w:hint="eastAsia" w:ascii="仿宋" w:hAnsi="仿宋" w:eastAsia="仿宋" w:cs="仿宋"/>
          <w:b/>
          <w:bCs/>
          <w:color w:val="auto"/>
          <w:sz w:val="24"/>
          <w:highlight w:val="none"/>
        </w:rPr>
      </w:pPr>
      <w:r>
        <w:rPr>
          <w:rFonts w:hint="eastAsia" w:ascii="仿宋" w:hAnsi="仿宋" w:eastAsia="仿宋" w:cs="仿宋"/>
          <w:color w:val="auto"/>
          <w:sz w:val="24"/>
          <w:szCs w:val="21"/>
          <w:highlight w:val="none"/>
        </w:rPr>
        <w:t>银行开户名称：________________________________________________</w:t>
      </w:r>
    </w:p>
    <w:p w14:paraId="3E32C846">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    开户银行：_________________________________________________ </w:t>
      </w:r>
    </w:p>
    <w:p w14:paraId="38454728">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    账    号：________________________________________________ </w:t>
      </w:r>
    </w:p>
    <w:p w14:paraId="713E3808">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企业详细地址：________________________________________________ </w:t>
      </w:r>
    </w:p>
    <w:p w14:paraId="23586BEE">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    传    真： ________________________________________________</w:t>
      </w:r>
    </w:p>
    <w:p w14:paraId="32CFB449">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    电    话： ________________________________________________</w:t>
      </w:r>
    </w:p>
    <w:p w14:paraId="7ABB0E12">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2．负责人姓名：___________________________________________ </w:t>
      </w:r>
    </w:p>
    <w:p w14:paraId="0A1B384A">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3．项目联系人：姓名__________职务：______电话______手机______</w:t>
      </w:r>
    </w:p>
    <w:p w14:paraId="7AC1320B">
      <w:pPr>
        <w:pStyle w:val="38"/>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rPr>
        <w:t>4．注册地址：________________________________________________</w:t>
      </w:r>
    </w:p>
    <w:p w14:paraId="7ACD7F28">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5．注册资金：________________________________________________ </w:t>
      </w:r>
    </w:p>
    <w:p w14:paraId="2855C12D">
      <w:pPr>
        <w:pStyle w:val="38"/>
        <w:spacing w:line="360" w:lineRule="auto"/>
        <w:ind w:firstLine="735"/>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自有资金：______________________________________________________</w:t>
      </w:r>
    </w:p>
    <w:p w14:paraId="1F2A52DD">
      <w:pPr>
        <w:pStyle w:val="38"/>
        <w:spacing w:line="360" w:lineRule="auto"/>
        <w:ind w:firstLine="735"/>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企业人数：______</w:t>
      </w:r>
      <w:r>
        <w:rPr>
          <w:rFonts w:hint="eastAsia" w:ascii="仿宋" w:hAnsi="仿宋" w:eastAsia="仿宋" w:cs="仿宋"/>
          <w:b/>
          <w:bCs/>
          <w:color w:val="auto"/>
          <w:sz w:val="24"/>
          <w:szCs w:val="21"/>
          <w:highlight w:val="none"/>
        </w:rPr>
        <w:t>_</w:t>
      </w:r>
      <w:r>
        <w:rPr>
          <w:rFonts w:hint="eastAsia" w:ascii="仿宋" w:hAnsi="仿宋" w:eastAsia="仿宋" w:cs="仿宋"/>
          <w:color w:val="auto"/>
          <w:sz w:val="24"/>
          <w:szCs w:val="21"/>
          <w:highlight w:val="none"/>
        </w:rPr>
        <w:t>人</w:t>
      </w:r>
    </w:p>
    <w:p w14:paraId="48E87F10">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6．企业性质：_______ </w:t>
      </w:r>
    </w:p>
    <w:p w14:paraId="018B1A49">
      <w:pPr>
        <w:pStyle w:val="38"/>
        <w:spacing w:line="360" w:lineRule="auto"/>
        <w:ind w:firstLine="42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7．主要经营地点：________________________________________________ </w:t>
      </w:r>
    </w:p>
    <w:p w14:paraId="5E9CE453">
      <w:pPr>
        <w:pStyle w:val="38"/>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如有派出机构，请列出名称及详细通讯地址如下：________________</w:t>
      </w:r>
    </w:p>
    <w:p w14:paraId="3BF96693">
      <w:pPr>
        <w:pStyle w:val="38"/>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兹证明上述声明是真实、正确的，并提供了全部能提供的资料和数据，我们同意遵照贵方要求出示有关证明文件。</w:t>
      </w:r>
    </w:p>
    <w:p w14:paraId="14BE38E0">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1F20D61E">
      <w:pPr>
        <w:pStyle w:val="36"/>
        <w:wordWrap w:val="0"/>
        <w:spacing w:line="360" w:lineRule="auto"/>
        <w:ind w:firstLine="480"/>
        <w:jc w:val="right"/>
        <w:rPr>
          <w:rFonts w:hint="eastAsia" w:ascii="仿宋" w:hAnsi="仿宋" w:eastAsia="仿宋" w:cs="仿宋"/>
          <w:color w:val="auto"/>
          <w:sz w:val="24"/>
          <w:szCs w:val="21"/>
          <w:highlight w:val="none"/>
          <w:u w:val="single"/>
        </w:rPr>
        <w:sectPr>
          <w:pgSz w:w="11906" w:h="16838"/>
          <w:pgMar w:top="1418" w:right="1418" w:bottom="1418" w:left="1418" w:header="851" w:footer="851" w:gutter="0"/>
          <w:pgBorders>
            <w:top w:val="none" w:sz="0" w:space="0"/>
            <w:left w:val="none" w:sz="0" w:space="0"/>
            <w:bottom w:val="none" w:sz="0" w:space="0"/>
            <w:right w:val="none" w:sz="0" w:space="0"/>
          </w:pgBorders>
          <w:pgNumType w:fmt="decimal"/>
          <w:cols w:space="720" w:num="1"/>
          <w:docGrid w:linePitch="312" w:charSpace="0"/>
        </w:sect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79521348">
      <w:pPr>
        <w:pStyle w:val="9"/>
        <w:spacing w:before="0" w:after="0" w:line="240" w:lineRule="auto"/>
        <w:ind w:firstLine="0" w:firstLineChars="0"/>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7.</w:t>
      </w:r>
      <w:r>
        <w:rPr>
          <w:rFonts w:hint="eastAsia" w:ascii="仿宋" w:hAnsi="仿宋" w:eastAsia="仿宋" w:cs="仿宋"/>
          <w:b/>
          <w:bCs/>
          <w:color w:val="auto"/>
          <w:sz w:val="28"/>
          <w:szCs w:val="28"/>
          <w:highlight w:val="none"/>
        </w:rPr>
        <w:t>无重大违法记录声明书</w:t>
      </w:r>
    </w:p>
    <w:p w14:paraId="4B69BC4B">
      <w:pPr>
        <w:pStyle w:val="7"/>
        <w:ind w:firstLine="0"/>
        <w:jc w:val="center"/>
        <w:rPr>
          <w:rFonts w:hint="eastAsia" w:ascii="仿宋" w:hAnsi="仿宋" w:eastAsia="仿宋" w:cs="仿宋"/>
          <w:b/>
          <w:color w:val="auto"/>
          <w:sz w:val="32"/>
          <w:szCs w:val="32"/>
          <w:highlight w:val="none"/>
        </w:rPr>
      </w:pPr>
    </w:p>
    <w:p w14:paraId="301606E8">
      <w:pPr>
        <w:pStyle w:val="7"/>
        <w:ind w:firstLine="0"/>
        <w:jc w:val="center"/>
        <w:rPr>
          <w:rFonts w:hint="eastAsia" w:ascii="仿宋" w:hAnsi="仿宋" w:eastAsia="仿宋" w:cs="仿宋"/>
          <w:color w:val="auto"/>
          <w:spacing w:val="6"/>
          <w:sz w:val="28"/>
          <w:szCs w:val="28"/>
          <w:u w:val="single"/>
        </w:rPr>
      </w:pPr>
      <w:r>
        <w:rPr>
          <w:rFonts w:hint="eastAsia" w:ascii="仿宋" w:hAnsi="仿宋" w:eastAsia="仿宋" w:cs="仿宋"/>
          <w:b/>
          <w:color w:val="auto"/>
          <w:sz w:val="32"/>
          <w:szCs w:val="32"/>
          <w:highlight w:val="none"/>
        </w:rPr>
        <w:t>无重大违法记录声明书</w:t>
      </w:r>
    </w:p>
    <w:p w14:paraId="08D01D2E">
      <w:pPr>
        <w:pStyle w:val="36"/>
        <w:autoSpaceDE w:val="0"/>
        <w:autoSpaceDN w:val="0"/>
        <w:spacing w:line="360" w:lineRule="auto"/>
        <w:textAlignment w:val="bottom"/>
        <w:rPr>
          <w:rFonts w:hint="eastAsia" w:ascii="仿宋" w:hAnsi="仿宋" w:eastAsia="仿宋" w:cs="仿宋"/>
          <w:color w:val="auto"/>
          <w:sz w:val="24"/>
          <w:szCs w:val="20"/>
          <w:u w:val="single"/>
          <w:lang w:eastAsia="zh-CN"/>
        </w:rPr>
      </w:pPr>
    </w:p>
    <w:p w14:paraId="781F2E51">
      <w:pPr>
        <w:pStyle w:val="36"/>
        <w:autoSpaceDE w:val="0"/>
        <w:autoSpaceDN w:val="0"/>
        <w:spacing w:line="360" w:lineRule="auto"/>
        <w:textAlignment w:val="bottom"/>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浙江遂昌经济开发区管理委员会</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代理公司名称</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w:t>
      </w:r>
    </w:p>
    <w:p w14:paraId="7E4990A8">
      <w:pPr>
        <w:pStyle w:val="39"/>
        <w:spacing w:before="120" w:beforeLines="50" w:line="480" w:lineRule="auto"/>
        <w:ind w:firstLine="504" w:firstLineChars="200"/>
        <w:rPr>
          <w:rFonts w:hint="eastAsia" w:ascii="仿宋" w:hAnsi="仿宋" w:eastAsia="仿宋" w:cs="仿宋"/>
          <w:color w:val="auto"/>
          <w:spacing w:val="6"/>
          <w:sz w:val="24"/>
          <w:szCs w:val="24"/>
        </w:rPr>
      </w:pPr>
      <w:r>
        <w:rPr>
          <w:rFonts w:hint="eastAsia" w:ascii="仿宋" w:hAnsi="仿宋" w:eastAsia="仿宋" w:cs="仿宋"/>
          <w:color w:val="auto"/>
          <w:spacing w:val="6"/>
          <w:sz w:val="24"/>
          <w:szCs w:val="24"/>
        </w:rPr>
        <w:t xml:space="preserve"> 我方参与的</w:t>
      </w:r>
      <w:r>
        <w:rPr>
          <w:rFonts w:hint="eastAsia" w:ascii="仿宋" w:hAnsi="仿宋" w:eastAsia="仿宋" w:cs="仿宋"/>
          <w:color w:val="auto"/>
          <w:spacing w:val="6"/>
          <w:sz w:val="24"/>
          <w:szCs w:val="24"/>
          <w:u w:val="single"/>
        </w:rPr>
        <w:t>遂昌县第二污水处理厂2025-2026年度代管运维服务项目（项目编号：SCYH【2025】020-公07）</w:t>
      </w:r>
      <w:r>
        <w:rPr>
          <w:rFonts w:hint="eastAsia" w:ascii="仿宋" w:hAnsi="仿宋" w:eastAsia="仿宋" w:cs="仿宋"/>
          <w:color w:val="auto"/>
          <w:spacing w:val="6"/>
          <w:sz w:val="24"/>
          <w:szCs w:val="24"/>
        </w:rPr>
        <w:t>的投标活动，我方郑重声明，我方参加本项目投标活动前三年内无重大违法记录（</w:t>
      </w:r>
      <w:r>
        <w:rPr>
          <w:rFonts w:hint="eastAsia" w:ascii="仿宋" w:hAnsi="仿宋" w:eastAsia="仿宋" w:cs="仿宋"/>
          <w:b/>
          <w:color w:val="auto"/>
          <w:spacing w:val="6"/>
          <w:sz w:val="24"/>
          <w:szCs w:val="24"/>
        </w:rPr>
        <w:t>重大违法记录是指投标人因违法经营受到刑事处罚或者责令停产停业、吊销许可证或者执照、较大数额罚款等行政处罚）</w:t>
      </w:r>
      <w:r>
        <w:rPr>
          <w:rFonts w:hint="eastAsia" w:ascii="仿宋" w:hAnsi="仿宋" w:eastAsia="仿宋" w:cs="仿宋"/>
          <w:color w:val="auto"/>
          <w:spacing w:val="6"/>
          <w:sz w:val="24"/>
          <w:szCs w:val="24"/>
        </w:rPr>
        <w:t>，符合《中华人民共和国政府采购法》、《中华人民共和国政府采购法实施条例》的规定。我方对此声明负全部法律责任。</w:t>
      </w:r>
    </w:p>
    <w:p w14:paraId="441EE59F">
      <w:pPr>
        <w:pStyle w:val="39"/>
        <w:spacing w:line="480" w:lineRule="auto"/>
        <w:ind w:firstLine="504" w:firstLineChars="200"/>
        <w:rPr>
          <w:rFonts w:hint="eastAsia" w:ascii="仿宋" w:hAnsi="仿宋" w:eastAsia="仿宋" w:cs="仿宋"/>
          <w:color w:val="auto"/>
          <w:spacing w:val="6"/>
          <w:sz w:val="24"/>
          <w:szCs w:val="24"/>
        </w:rPr>
      </w:pPr>
      <w:r>
        <w:rPr>
          <w:rFonts w:hint="eastAsia" w:ascii="仿宋" w:hAnsi="仿宋" w:eastAsia="仿宋" w:cs="仿宋"/>
          <w:color w:val="auto"/>
          <w:spacing w:val="6"/>
          <w:sz w:val="24"/>
          <w:szCs w:val="24"/>
        </w:rPr>
        <w:tab/>
      </w:r>
      <w:r>
        <w:rPr>
          <w:rFonts w:hint="eastAsia" w:ascii="仿宋" w:hAnsi="仿宋" w:eastAsia="仿宋" w:cs="仿宋"/>
          <w:color w:val="auto"/>
          <w:spacing w:val="6"/>
          <w:sz w:val="24"/>
          <w:szCs w:val="24"/>
        </w:rPr>
        <w:t>特此声明。</w:t>
      </w:r>
    </w:p>
    <w:p w14:paraId="4D01A99C">
      <w:pPr>
        <w:pStyle w:val="40"/>
        <w:jc w:val="center"/>
        <w:rPr>
          <w:rFonts w:hint="eastAsia" w:ascii="仿宋" w:hAnsi="仿宋" w:eastAsia="仿宋" w:cs="仿宋"/>
          <w:color w:val="auto"/>
          <w:sz w:val="30"/>
          <w:lang w:eastAsia="zh-CN"/>
        </w:rPr>
      </w:pPr>
    </w:p>
    <w:p w14:paraId="34D466AD">
      <w:pPr>
        <w:pStyle w:val="40"/>
        <w:jc w:val="center"/>
        <w:rPr>
          <w:rFonts w:hint="eastAsia" w:ascii="仿宋" w:hAnsi="仿宋" w:eastAsia="仿宋" w:cs="仿宋"/>
          <w:color w:val="auto"/>
          <w:sz w:val="30"/>
          <w:lang w:eastAsia="zh-CN"/>
        </w:rPr>
      </w:pPr>
    </w:p>
    <w:p w14:paraId="2A504647">
      <w:pPr>
        <w:pStyle w:val="40"/>
        <w:jc w:val="center"/>
        <w:rPr>
          <w:rFonts w:hint="eastAsia" w:ascii="仿宋" w:hAnsi="仿宋" w:eastAsia="仿宋" w:cs="仿宋"/>
          <w:color w:val="auto"/>
          <w:sz w:val="30"/>
          <w:lang w:eastAsia="zh-CN"/>
        </w:rPr>
      </w:pPr>
    </w:p>
    <w:p w14:paraId="02A18535">
      <w:pPr>
        <w:pStyle w:val="38"/>
        <w:spacing w:line="520" w:lineRule="exact"/>
        <w:ind w:firstLine="5850" w:firstLineChars="1950"/>
        <w:rPr>
          <w:rFonts w:hint="eastAsia" w:ascii="仿宋" w:hAnsi="仿宋" w:eastAsia="仿宋" w:cs="仿宋"/>
          <w:color w:val="auto"/>
          <w:sz w:val="30"/>
          <w:lang w:eastAsia="zh-CN"/>
        </w:rPr>
      </w:pPr>
    </w:p>
    <w:p w14:paraId="66C5C634">
      <w:pPr>
        <w:pStyle w:val="36"/>
        <w:wordWrap w:val="0"/>
        <w:spacing w:line="360" w:lineRule="auto"/>
        <w:ind w:firstLine="480"/>
        <w:jc w:val="right"/>
        <w:rPr>
          <w:rFonts w:hint="eastAsia" w:ascii="仿宋" w:hAnsi="仿宋" w:eastAsia="仿宋" w:cs="仿宋"/>
          <w:color w:val="auto"/>
          <w:sz w:val="24"/>
          <w:szCs w:val="21"/>
          <w:u w:val="single"/>
        </w:rPr>
      </w:pPr>
      <w:r>
        <w:rPr>
          <w:rFonts w:hint="eastAsia" w:ascii="仿宋" w:hAnsi="仿宋" w:eastAsia="仿宋" w:cs="仿宋"/>
          <w:color w:val="auto"/>
          <w:sz w:val="24"/>
        </w:rPr>
        <w:t xml:space="preserve"> </w:t>
      </w:r>
      <w:r>
        <w:rPr>
          <w:rFonts w:hint="eastAsia" w:ascii="仿宋" w:hAnsi="仿宋" w:eastAsia="仿宋" w:cs="仿宋"/>
          <w:color w:val="auto"/>
          <w:sz w:val="24"/>
          <w:szCs w:val="21"/>
          <w:lang w:eastAsia="zh-CN"/>
        </w:rPr>
        <w:t>投标人盖章（电子章）</w:t>
      </w:r>
      <w:r>
        <w:rPr>
          <w:rFonts w:hint="eastAsia" w:ascii="仿宋" w:hAnsi="仿宋" w:eastAsia="仿宋" w:cs="仿宋"/>
          <w:color w:val="auto"/>
          <w:sz w:val="24"/>
          <w:szCs w:val="21"/>
        </w:rPr>
        <w:t>：</w:t>
      </w:r>
      <w:r>
        <w:rPr>
          <w:rFonts w:hint="eastAsia" w:ascii="仿宋" w:hAnsi="仿宋" w:eastAsia="仿宋" w:cs="仿宋"/>
          <w:color w:val="auto"/>
          <w:sz w:val="24"/>
          <w:szCs w:val="21"/>
          <w:u w:val="single"/>
        </w:rPr>
        <w:t xml:space="preserve">                </w:t>
      </w:r>
    </w:p>
    <w:p w14:paraId="082EA5B4">
      <w:pPr>
        <w:pStyle w:val="8"/>
        <w:ind w:firstLine="5760" w:firstLineChars="2400"/>
        <w:rPr>
          <w:rFonts w:hint="eastAsia"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14:paraId="1FC6B0E6">
      <w:pPr>
        <w:rPr>
          <w:rFonts w:hint="eastAsia" w:ascii="仿宋" w:hAnsi="仿宋" w:eastAsia="仿宋" w:cs="仿宋"/>
          <w:color w:val="auto"/>
          <w:sz w:val="24"/>
          <w:szCs w:val="21"/>
          <w:u w:val="single"/>
        </w:rPr>
      </w:pPr>
    </w:p>
    <w:p w14:paraId="471221C3">
      <w:pPr>
        <w:pStyle w:val="25"/>
        <w:rPr>
          <w:rFonts w:hint="eastAsia" w:ascii="仿宋" w:hAnsi="仿宋" w:eastAsia="仿宋" w:cs="仿宋"/>
          <w:color w:val="auto"/>
          <w:sz w:val="24"/>
          <w:szCs w:val="21"/>
          <w:u w:val="single"/>
        </w:rPr>
      </w:pPr>
    </w:p>
    <w:p w14:paraId="4A3BCEF8">
      <w:pPr>
        <w:pStyle w:val="3"/>
        <w:rPr>
          <w:rFonts w:hint="eastAsia" w:ascii="仿宋" w:hAnsi="仿宋" w:eastAsia="仿宋" w:cs="仿宋"/>
          <w:color w:val="auto"/>
          <w:sz w:val="24"/>
          <w:szCs w:val="21"/>
          <w:u w:val="single"/>
        </w:rPr>
      </w:pPr>
    </w:p>
    <w:p w14:paraId="0DA77631">
      <w:pPr>
        <w:pStyle w:val="2"/>
        <w:rPr>
          <w:rFonts w:hint="eastAsia" w:ascii="仿宋" w:hAnsi="仿宋" w:eastAsia="仿宋" w:cs="仿宋"/>
          <w:color w:val="auto"/>
          <w:sz w:val="24"/>
          <w:szCs w:val="21"/>
          <w:u w:val="single"/>
        </w:rPr>
      </w:pPr>
    </w:p>
    <w:p w14:paraId="002E275A">
      <w:pPr>
        <w:pStyle w:val="4"/>
        <w:rPr>
          <w:rFonts w:hint="eastAsia" w:ascii="仿宋" w:hAnsi="仿宋" w:eastAsia="仿宋" w:cs="仿宋"/>
          <w:color w:val="auto"/>
          <w:sz w:val="24"/>
          <w:szCs w:val="21"/>
          <w:u w:val="single"/>
        </w:rPr>
      </w:pPr>
    </w:p>
    <w:p w14:paraId="2BF8FC8E">
      <w:pPr>
        <w:rPr>
          <w:rFonts w:hint="eastAsia" w:ascii="仿宋" w:hAnsi="仿宋" w:eastAsia="仿宋" w:cs="仿宋"/>
          <w:color w:val="auto"/>
          <w:sz w:val="24"/>
          <w:szCs w:val="21"/>
          <w:u w:val="single"/>
        </w:rPr>
      </w:pPr>
    </w:p>
    <w:p w14:paraId="67A3CC1E">
      <w:pPr>
        <w:pStyle w:val="25"/>
        <w:rPr>
          <w:rFonts w:hint="eastAsia" w:ascii="仿宋" w:hAnsi="仿宋" w:eastAsia="仿宋" w:cs="仿宋"/>
          <w:color w:val="auto"/>
          <w:sz w:val="24"/>
          <w:szCs w:val="21"/>
          <w:u w:val="single"/>
        </w:rPr>
      </w:pPr>
    </w:p>
    <w:p w14:paraId="6624D687">
      <w:pPr>
        <w:pStyle w:val="3"/>
        <w:rPr>
          <w:rFonts w:hint="eastAsia" w:ascii="仿宋" w:hAnsi="仿宋" w:eastAsia="仿宋" w:cs="仿宋"/>
          <w:color w:val="auto"/>
          <w:sz w:val="24"/>
          <w:szCs w:val="21"/>
          <w:u w:val="single"/>
        </w:rPr>
      </w:pPr>
    </w:p>
    <w:p w14:paraId="02F4F591">
      <w:pPr>
        <w:pStyle w:val="18"/>
        <w:spacing w:beforeLines="100" w:after="240" w:afterLines="100"/>
        <w:outlineLvl w:val="1"/>
        <w:rPr>
          <w:rFonts w:hint="eastAsia" w:ascii="仿宋" w:hAnsi="仿宋" w:eastAsia="仿宋" w:cs="仿宋"/>
          <w:color w:val="auto"/>
          <w:sz w:val="36"/>
          <w:szCs w:val="36"/>
          <w:highlight w:val="none"/>
        </w:rPr>
      </w:pPr>
      <w:bookmarkStart w:id="435" w:name="_Toc18154"/>
      <w:r>
        <w:rPr>
          <w:rFonts w:hint="eastAsia" w:ascii="仿宋" w:hAnsi="仿宋" w:eastAsia="仿宋" w:cs="仿宋"/>
          <w:color w:val="auto"/>
          <w:sz w:val="36"/>
          <w:szCs w:val="36"/>
          <w:highlight w:val="none"/>
        </w:rPr>
        <w:t xml:space="preserve">二  </w:t>
      </w:r>
      <w:r>
        <w:rPr>
          <w:rFonts w:hint="eastAsia" w:ascii="仿宋" w:hAnsi="仿宋" w:eastAsia="仿宋" w:cs="仿宋"/>
          <w:color w:val="auto"/>
          <w:sz w:val="36"/>
          <w:szCs w:val="36"/>
          <w:highlight w:val="none"/>
          <w:lang w:eastAsia="zh-CN"/>
        </w:rPr>
        <w:t>商务技术</w:t>
      </w:r>
      <w:r>
        <w:rPr>
          <w:rFonts w:hint="eastAsia" w:ascii="仿宋" w:hAnsi="仿宋" w:eastAsia="仿宋" w:cs="仿宋"/>
          <w:color w:val="auto"/>
          <w:sz w:val="36"/>
          <w:szCs w:val="36"/>
          <w:highlight w:val="none"/>
        </w:rPr>
        <w:t>文件格式</w:t>
      </w:r>
      <w:bookmarkEnd w:id="435"/>
    </w:p>
    <w:p w14:paraId="2E0F961A">
      <w:pPr>
        <w:pStyle w:val="43"/>
        <w:spacing w:line="360" w:lineRule="auto"/>
        <w:jc w:val="left"/>
        <w:rPr>
          <w:rFonts w:hint="eastAsia" w:ascii="仿宋" w:hAnsi="仿宋" w:eastAsia="仿宋" w:cs="仿宋"/>
          <w:color w:val="auto"/>
          <w:sz w:val="24"/>
          <w:szCs w:val="24"/>
          <w:highlight w:val="none"/>
        </w:rPr>
      </w:pPr>
      <w:bookmarkStart w:id="436" w:name="_Toc531359055"/>
    </w:p>
    <w:bookmarkEnd w:id="436"/>
    <w:p w14:paraId="098F09AC">
      <w:pPr>
        <w:pStyle w:val="9"/>
        <w:spacing w:before="0" w:after="0"/>
        <w:ind w:firstLine="0" w:firstLineChars="0"/>
        <w:jc w:val="left"/>
        <w:rPr>
          <w:rFonts w:hint="eastAsia" w:ascii="仿宋" w:hAnsi="仿宋" w:eastAsia="仿宋" w:cs="仿宋"/>
          <w:color w:val="auto"/>
          <w:sz w:val="28"/>
          <w:szCs w:val="28"/>
          <w:highlight w:val="none"/>
        </w:rPr>
      </w:pPr>
      <w:bookmarkStart w:id="437" w:name="_Toc531359056"/>
      <w:bookmarkStart w:id="438" w:name="_Toc473"/>
      <w:bookmarkStart w:id="439" w:name="_Toc34985811"/>
      <w:bookmarkStart w:id="440" w:name="_Toc17726"/>
      <w:r>
        <w:rPr>
          <w:rFonts w:hint="eastAsia" w:ascii="仿宋" w:hAnsi="仿宋" w:eastAsia="仿宋" w:cs="仿宋"/>
          <w:color w:val="auto"/>
          <w:sz w:val="28"/>
          <w:szCs w:val="28"/>
          <w:highlight w:val="none"/>
        </w:rPr>
        <w:t>1.资信商务技术文件封面</w:t>
      </w:r>
      <w:bookmarkEnd w:id="437"/>
      <w:r>
        <w:rPr>
          <w:rFonts w:hint="eastAsia" w:ascii="仿宋" w:hAnsi="仿宋" w:eastAsia="仿宋" w:cs="仿宋"/>
          <w:color w:val="auto"/>
          <w:sz w:val="28"/>
          <w:szCs w:val="28"/>
          <w:highlight w:val="none"/>
        </w:rPr>
        <w:t>格式</w:t>
      </w:r>
      <w:bookmarkEnd w:id="438"/>
      <w:bookmarkEnd w:id="439"/>
      <w:bookmarkEnd w:id="440"/>
    </w:p>
    <w:p w14:paraId="02B27D24">
      <w:pPr>
        <w:pStyle w:val="7"/>
        <w:ind w:firstLine="0"/>
        <w:rPr>
          <w:rFonts w:hint="eastAsia" w:ascii="仿宋" w:hAnsi="仿宋" w:eastAsia="仿宋" w:cs="仿宋"/>
          <w:color w:val="auto"/>
          <w:highlight w:val="none"/>
        </w:rPr>
      </w:pPr>
    </w:p>
    <w:p w14:paraId="51B1562A">
      <w:pPr>
        <w:pStyle w:val="7"/>
        <w:ind w:firstLine="0"/>
        <w:rPr>
          <w:rFonts w:hint="eastAsia" w:ascii="仿宋" w:hAnsi="仿宋" w:eastAsia="仿宋" w:cs="仿宋"/>
          <w:color w:val="auto"/>
          <w:highlight w:val="none"/>
        </w:rPr>
      </w:pPr>
    </w:p>
    <w:p w14:paraId="2B087C07">
      <w:pPr>
        <w:pStyle w:val="7"/>
        <w:ind w:firstLine="0"/>
        <w:rPr>
          <w:rFonts w:hint="eastAsia" w:ascii="仿宋" w:hAnsi="仿宋" w:eastAsia="仿宋" w:cs="仿宋"/>
          <w:color w:val="auto"/>
          <w:highlight w:val="none"/>
        </w:rPr>
      </w:pPr>
    </w:p>
    <w:p w14:paraId="035B8D59">
      <w:pPr>
        <w:pStyle w:val="7"/>
        <w:spacing w:line="360" w:lineRule="auto"/>
        <w:ind w:firstLine="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响应文件</w:t>
      </w:r>
    </w:p>
    <w:tbl>
      <w:tblPr>
        <w:tblStyle w:val="20"/>
        <w:tblW w:w="0" w:type="auto"/>
        <w:jc w:val="center"/>
        <w:tblLayout w:type="fixed"/>
        <w:tblCellMar>
          <w:top w:w="0" w:type="dxa"/>
          <w:left w:w="108" w:type="dxa"/>
          <w:bottom w:w="0" w:type="dxa"/>
          <w:right w:w="108" w:type="dxa"/>
        </w:tblCellMar>
      </w:tblPr>
      <w:tblGrid>
        <w:gridCol w:w="2518"/>
        <w:gridCol w:w="4536"/>
      </w:tblGrid>
      <w:tr w14:paraId="5666C12D">
        <w:tblPrEx>
          <w:tblCellMar>
            <w:top w:w="0" w:type="dxa"/>
            <w:left w:w="108" w:type="dxa"/>
            <w:bottom w:w="0" w:type="dxa"/>
            <w:right w:w="108" w:type="dxa"/>
          </w:tblCellMar>
        </w:tblPrEx>
        <w:trPr>
          <w:trHeight w:val="397" w:hRule="atLeast"/>
          <w:jc w:val="center"/>
        </w:trPr>
        <w:tc>
          <w:tcPr>
            <w:tcW w:w="2518" w:type="dxa"/>
            <w:noWrap w:val="0"/>
            <w:vAlign w:val="center"/>
          </w:tcPr>
          <w:p w14:paraId="286D4E12">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响应文件名称：</w:t>
            </w:r>
          </w:p>
        </w:tc>
        <w:tc>
          <w:tcPr>
            <w:tcW w:w="4536" w:type="dxa"/>
            <w:noWrap w:val="0"/>
            <w:vAlign w:val="center"/>
          </w:tcPr>
          <w:p w14:paraId="38946C02">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商务技术</w:t>
            </w:r>
            <w:r>
              <w:rPr>
                <w:rFonts w:hint="eastAsia" w:ascii="仿宋" w:hAnsi="仿宋" w:eastAsia="仿宋" w:cs="仿宋"/>
                <w:color w:val="auto"/>
                <w:sz w:val="24"/>
                <w:highlight w:val="none"/>
                <w:u w:val="single"/>
              </w:rPr>
              <w:t xml:space="preserve">文件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p>
        </w:tc>
      </w:tr>
      <w:tr w14:paraId="3B32B78A">
        <w:tblPrEx>
          <w:tblCellMar>
            <w:top w:w="0" w:type="dxa"/>
            <w:left w:w="108" w:type="dxa"/>
            <w:bottom w:w="0" w:type="dxa"/>
            <w:right w:w="108" w:type="dxa"/>
          </w:tblCellMar>
        </w:tblPrEx>
        <w:trPr>
          <w:trHeight w:val="397" w:hRule="atLeast"/>
          <w:jc w:val="center"/>
        </w:trPr>
        <w:tc>
          <w:tcPr>
            <w:tcW w:w="2518" w:type="dxa"/>
            <w:noWrap w:val="0"/>
            <w:vAlign w:val="center"/>
          </w:tcPr>
          <w:p w14:paraId="489E597A">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项</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目</w:t>
            </w:r>
            <w:r>
              <w:rPr>
                <w:rFonts w:hint="eastAsia" w:ascii="仿宋" w:hAnsi="仿宋" w:eastAsia="仿宋" w:cs="仿宋"/>
                <w:color w:val="auto"/>
                <w:sz w:val="24"/>
                <w:highlight w:val="none"/>
              </w:rPr>
              <w:t xml:space="preserve"> 编 号：</w:t>
            </w:r>
          </w:p>
        </w:tc>
        <w:tc>
          <w:tcPr>
            <w:tcW w:w="4536" w:type="dxa"/>
            <w:noWrap w:val="0"/>
            <w:vAlign w:val="center"/>
          </w:tcPr>
          <w:p w14:paraId="385418F3">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3B3BF869">
        <w:tblPrEx>
          <w:tblCellMar>
            <w:top w:w="0" w:type="dxa"/>
            <w:left w:w="108" w:type="dxa"/>
            <w:bottom w:w="0" w:type="dxa"/>
            <w:right w:w="108" w:type="dxa"/>
          </w:tblCellMar>
        </w:tblPrEx>
        <w:trPr>
          <w:trHeight w:val="397" w:hRule="atLeast"/>
          <w:jc w:val="center"/>
        </w:trPr>
        <w:tc>
          <w:tcPr>
            <w:tcW w:w="2518" w:type="dxa"/>
            <w:noWrap w:val="0"/>
            <w:vAlign w:val="center"/>
          </w:tcPr>
          <w:p w14:paraId="1E871299">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项 目 名 称：</w:t>
            </w:r>
          </w:p>
        </w:tc>
        <w:tc>
          <w:tcPr>
            <w:tcW w:w="4536" w:type="dxa"/>
            <w:noWrap w:val="0"/>
            <w:vAlign w:val="center"/>
          </w:tcPr>
          <w:p w14:paraId="74D29F39">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391A0215">
        <w:tblPrEx>
          <w:tblCellMar>
            <w:top w:w="0" w:type="dxa"/>
            <w:left w:w="108" w:type="dxa"/>
            <w:bottom w:w="0" w:type="dxa"/>
            <w:right w:w="108" w:type="dxa"/>
          </w:tblCellMar>
        </w:tblPrEx>
        <w:trPr>
          <w:trHeight w:val="397" w:hRule="atLeast"/>
          <w:jc w:val="center"/>
        </w:trPr>
        <w:tc>
          <w:tcPr>
            <w:tcW w:w="2518" w:type="dxa"/>
            <w:noWrap w:val="0"/>
            <w:vAlign w:val="center"/>
          </w:tcPr>
          <w:p w14:paraId="57D59294">
            <w:pPr>
              <w:jc w:val="distribute"/>
              <w:rPr>
                <w:rFonts w:hint="eastAsia" w:ascii="仿宋" w:hAnsi="仿宋" w:eastAsia="仿宋" w:cs="仿宋"/>
                <w:color w:val="auto"/>
                <w:sz w:val="24"/>
                <w:highlight w:val="none"/>
              </w:rPr>
            </w:pPr>
          </w:p>
        </w:tc>
        <w:tc>
          <w:tcPr>
            <w:tcW w:w="4536" w:type="dxa"/>
            <w:noWrap w:val="0"/>
            <w:vAlign w:val="center"/>
          </w:tcPr>
          <w:p w14:paraId="2B9E71B0">
            <w:pPr>
              <w:jc w:val="left"/>
              <w:rPr>
                <w:rFonts w:hint="eastAsia" w:ascii="仿宋" w:hAnsi="仿宋" w:eastAsia="仿宋" w:cs="仿宋"/>
                <w:color w:val="auto"/>
                <w:sz w:val="24"/>
                <w:highlight w:val="none"/>
                <w:u w:val="single"/>
              </w:rPr>
            </w:pPr>
          </w:p>
        </w:tc>
      </w:tr>
      <w:tr w14:paraId="3D2D2754">
        <w:tblPrEx>
          <w:tblCellMar>
            <w:top w:w="0" w:type="dxa"/>
            <w:left w:w="108" w:type="dxa"/>
            <w:bottom w:w="0" w:type="dxa"/>
            <w:right w:w="108" w:type="dxa"/>
          </w:tblCellMar>
        </w:tblPrEx>
        <w:trPr>
          <w:trHeight w:val="397" w:hRule="atLeast"/>
          <w:jc w:val="center"/>
        </w:trPr>
        <w:tc>
          <w:tcPr>
            <w:tcW w:w="2518" w:type="dxa"/>
            <w:noWrap w:val="0"/>
            <w:vAlign w:val="center"/>
          </w:tcPr>
          <w:p w14:paraId="4CACDF57">
            <w:pPr>
              <w:jc w:val="distribute"/>
              <w:rPr>
                <w:rFonts w:hint="eastAsia" w:ascii="仿宋" w:hAnsi="仿宋" w:eastAsia="仿宋" w:cs="仿宋"/>
                <w:color w:val="auto"/>
                <w:sz w:val="24"/>
                <w:highlight w:val="none"/>
              </w:rPr>
            </w:pPr>
          </w:p>
        </w:tc>
        <w:tc>
          <w:tcPr>
            <w:tcW w:w="4536" w:type="dxa"/>
            <w:noWrap w:val="0"/>
            <w:vAlign w:val="center"/>
          </w:tcPr>
          <w:p w14:paraId="4D4C7482">
            <w:pPr>
              <w:jc w:val="left"/>
              <w:rPr>
                <w:rFonts w:hint="eastAsia" w:ascii="仿宋" w:hAnsi="仿宋" w:eastAsia="仿宋" w:cs="仿宋"/>
                <w:color w:val="auto"/>
                <w:sz w:val="24"/>
                <w:highlight w:val="none"/>
              </w:rPr>
            </w:pPr>
          </w:p>
        </w:tc>
      </w:tr>
      <w:tr w14:paraId="3D73AD99">
        <w:tblPrEx>
          <w:tblCellMar>
            <w:top w:w="0" w:type="dxa"/>
            <w:left w:w="108" w:type="dxa"/>
            <w:bottom w:w="0" w:type="dxa"/>
            <w:right w:w="108" w:type="dxa"/>
          </w:tblCellMar>
        </w:tblPrEx>
        <w:trPr>
          <w:trHeight w:val="397" w:hRule="atLeast"/>
          <w:jc w:val="center"/>
        </w:trPr>
        <w:tc>
          <w:tcPr>
            <w:tcW w:w="2518" w:type="dxa"/>
            <w:noWrap w:val="0"/>
            <w:vAlign w:val="center"/>
          </w:tcPr>
          <w:p w14:paraId="7BB97736">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供应商全称（盖章）：</w:t>
            </w:r>
          </w:p>
        </w:tc>
        <w:tc>
          <w:tcPr>
            <w:tcW w:w="4536" w:type="dxa"/>
            <w:noWrap w:val="0"/>
            <w:vAlign w:val="center"/>
          </w:tcPr>
          <w:p w14:paraId="7433105B">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1203F086">
        <w:tblPrEx>
          <w:tblCellMar>
            <w:top w:w="0" w:type="dxa"/>
            <w:left w:w="108" w:type="dxa"/>
            <w:bottom w:w="0" w:type="dxa"/>
            <w:right w:w="108" w:type="dxa"/>
          </w:tblCellMar>
        </w:tblPrEx>
        <w:trPr>
          <w:trHeight w:val="397" w:hRule="atLeast"/>
          <w:jc w:val="center"/>
        </w:trPr>
        <w:tc>
          <w:tcPr>
            <w:tcW w:w="2518" w:type="dxa"/>
            <w:noWrap w:val="0"/>
            <w:vAlign w:val="center"/>
          </w:tcPr>
          <w:p w14:paraId="607CC13D">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供应商地址：</w:t>
            </w:r>
          </w:p>
        </w:tc>
        <w:tc>
          <w:tcPr>
            <w:tcW w:w="4536" w:type="dxa"/>
            <w:noWrap w:val="0"/>
            <w:vAlign w:val="center"/>
          </w:tcPr>
          <w:p w14:paraId="17225120">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3D64CA75">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0C9A27F3">
            <w:pPr>
              <w:jc w:val="left"/>
              <w:rPr>
                <w:rFonts w:hint="eastAsia" w:ascii="仿宋" w:hAnsi="仿宋" w:eastAsia="仿宋" w:cs="仿宋"/>
                <w:color w:val="auto"/>
                <w:sz w:val="24"/>
                <w:highlight w:val="none"/>
                <w:u w:val="single"/>
              </w:rPr>
            </w:pPr>
          </w:p>
        </w:tc>
      </w:tr>
      <w:tr w14:paraId="6900A311">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2D7A8C76">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tc>
      </w:tr>
    </w:tbl>
    <w:p w14:paraId="74A45BA3">
      <w:pPr>
        <w:spacing w:line="360" w:lineRule="auto"/>
        <w:rPr>
          <w:rFonts w:hint="eastAsia" w:ascii="仿宋" w:hAnsi="仿宋" w:eastAsia="仿宋" w:cs="仿宋"/>
          <w:color w:val="auto"/>
          <w:sz w:val="24"/>
          <w:highlight w:val="none"/>
        </w:rPr>
      </w:pPr>
    </w:p>
    <w:p w14:paraId="3F77FCEE">
      <w:pPr>
        <w:spacing w:line="360" w:lineRule="auto"/>
        <w:rPr>
          <w:rFonts w:hint="eastAsia" w:ascii="仿宋" w:hAnsi="仿宋" w:eastAsia="仿宋" w:cs="仿宋"/>
          <w:color w:val="auto"/>
          <w:sz w:val="24"/>
          <w:highlight w:val="none"/>
        </w:rPr>
      </w:pPr>
    </w:p>
    <w:p w14:paraId="34FA22C2">
      <w:pPr>
        <w:spacing w:line="360" w:lineRule="auto"/>
        <w:rPr>
          <w:rFonts w:hint="eastAsia" w:ascii="仿宋" w:hAnsi="仿宋" w:eastAsia="仿宋" w:cs="仿宋"/>
          <w:color w:val="auto"/>
          <w:sz w:val="24"/>
          <w:highlight w:val="none"/>
        </w:rPr>
      </w:pPr>
    </w:p>
    <w:p w14:paraId="23021F6D">
      <w:pPr>
        <w:spacing w:line="360" w:lineRule="auto"/>
        <w:rPr>
          <w:rFonts w:hint="eastAsia" w:ascii="仿宋" w:hAnsi="仿宋" w:eastAsia="仿宋" w:cs="仿宋"/>
          <w:color w:val="auto"/>
          <w:sz w:val="24"/>
          <w:highlight w:val="none"/>
        </w:rPr>
      </w:pPr>
    </w:p>
    <w:p w14:paraId="572A6A49">
      <w:pPr>
        <w:spacing w:line="360" w:lineRule="auto"/>
        <w:rPr>
          <w:rFonts w:hint="eastAsia" w:ascii="仿宋" w:hAnsi="仿宋" w:eastAsia="仿宋" w:cs="仿宋"/>
          <w:color w:val="auto"/>
          <w:sz w:val="24"/>
          <w:highlight w:val="none"/>
        </w:rPr>
      </w:pPr>
    </w:p>
    <w:p w14:paraId="1B1E9EA8">
      <w:pPr>
        <w:pStyle w:val="9"/>
        <w:spacing w:before="0" w:after="0"/>
        <w:ind w:firstLine="0" w:firstLineChars="0"/>
        <w:jc w:val="left"/>
        <w:rPr>
          <w:rFonts w:hint="eastAsia" w:ascii="仿宋" w:hAnsi="仿宋" w:eastAsia="仿宋" w:cs="仿宋"/>
          <w:color w:val="auto"/>
          <w:sz w:val="28"/>
          <w:szCs w:val="28"/>
          <w:highlight w:val="none"/>
        </w:rPr>
      </w:pPr>
      <w:bookmarkStart w:id="441" w:name="_Toc34985812"/>
      <w:bookmarkStart w:id="442" w:name="_Toc18204"/>
      <w:bookmarkStart w:id="443" w:name="_Toc25939"/>
      <w:bookmarkStart w:id="444" w:name="_Toc531359057"/>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eastAsia="zh-CN"/>
        </w:rPr>
        <w:t>商务技术</w:t>
      </w:r>
      <w:r>
        <w:rPr>
          <w:rFonts w:hint="eastAsia" w:ascii="仿宋" w:hAnsi="仿宋" w:eastAsia="仿宋" w:cs="仿宋"/>
          <w:color w:val="auto"/>
          <w:sz w:val="28"/>
          <w:szCs w:val="28"/>
          <w:highlight w:val="none"/>
        </w:rPr>
        <w:t>文件目录</w:t>
      </w:r>
      <w:bookmarkEnd w:id="441"/>
      <w:bookmarkEnd w:id="442"/>
      <w:bookmarkEnd w:id="443"/>
      <w:bookmarkEnd w:id="444"/>
    </w:p>
    <w:p w14:paraId="0F7D8B2E">
      <w:pPr>
        <w:pStyle w:val="7"/>
        <w:spacing w:line="360" w:lineRule="auto"/>
        <w:ind w:firstLine="0"/>
        <w:jc w:val="left"/>
        <w:rPr>
          <w:rFonts w:hint="eastAsia" w:ascii="仿宋" w:hAnsi="仿宋" w:eastAsia="仿宋" w:cs="仿宋"/>
          <w:color w:val="auto"/>
          <w:highlight w:val="none"/>
        </w:rPr>
      </w:pPr>
    </w:p>
    <w:p w14:paraId="7FDF17B3">
      <w:pPr>
        <w:pStyle w:val="7"/>
        <w:spacing w:line="360" w:lineRule="auto"/>
        <w:ind w:firstLine="0"/>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p>
    <w:p w14:paraId="39A0B574">
      <w:pPr>
        <w:spacing w:line="360" w:lineRule="auto"/>
        <w:rPr>
          <w:rFonts w:hint="eastAsia" w:ascii="仿宋" w:hAnsi="仿宋" w:eastAsia="仿宋" w:cs="仿宋"/>
          <w:b/>
          <w:color w:val="auto"/>
          <w:kern w:val="0"/>
          <w:sz w:val="24"/>
          <w:highlight w:val="none"/>
        </w:rPr>
      </w:pPr>
    </w:p>
    <w:p w14:paraId="4A0B0381">
      <w:pPr>
        <w:pStyle w:val="19"/>
        <w:rPr>
          <w:rFonts w:hint="eastAsia" w:ascii="仿宋" w:hAnsi="仿宋" w:eastAsia="仿宋" w:cs="仿宋"/>
          <w:color w:val="auto"/>
          <w:highlight w:val="none"/>
        </w:rPr>
      </w:pPr>
    </w:p>
    <w:p w14:paraId="6153FD71">
      <w:pPr>
        <w:pStyle w:val="2"/>
        <w:rPr>
          <w:rFonts w:hint="eastAsia" w:ascii="仿宋" w:hAnsi="仿宋" w:eastAsia="仿宋" w:cs="仿宋"/>
          <w:color w:val="auto"/>
        </w:rPr>
      </w:pPr>
    </w:p>
    <w:p w14:paraId="26C13A49">
      <w:pPr>
        <w:rPr>
          <w:rFonts w:hint="eastAsia" w:ascii="仿宋" w:hAnsi="仿宋" w:eastAsia="仿宋" w:cs="仿宋"/>
          <w:color w:val="auto"/>
          <w:highlight w:val="none"/>
        </w:rPr>
      </w:pPr>
    </w:p>
    <w:bookmarkEnd w:id="433"/>
    <w:bookmarkEnd w:id="434"/>
    <w:p w14:paraId="2F20427E">
      <w:pPr>
        <w:numPr>
          <w:ilvl w:val="0"/>
          <w:numId w:val="15"/>
        </w:numPr>
        <w:spacing w:line="360" w:lineRule="auto"/>
        <w:ind w:left="454" w:leftChars="0" w:hanging="454" w:firstLineChars="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投标声明书</w:t>
      </w:r>
    </w:p>
    <w:p w14:paraId="76F56334">
      <w:pPr>
        <w:rPr>
          <w:rFonts w:hint="eastAsia" w:ascii="仿宋" w:hAnsi="仿宋" w:eastAsia="仿宋" w:cs="仿宋"/>
          <w:color w:val="auto"/>
          <w:highlight w:val="none"/>
        </w:rPr>
      </w:pPr>
    </w:p>
    <w:p w14:paraId="731C2BF6">
      <w:pPr>
        <w:pStyle w:val="36"/>
        <w:autoSpaceDE w:val="0"/>
        <w:autoSpaceDN w:val="0"/>
        <w:spacing w:line="360" w:lineRule="auto"/>
        <w:textAlignment w:val="bottom"/>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浙江遂昌经济开发区管理委员会</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代理公司名称</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w:t>
      </w:r>
    </w:p>
    <w:p w14:paraId="142F944A">
      <w:pPr>
        <w:pStyle w:val="37"/>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(投标人全称</w:t>
      </w:r>
      <w:r>
        <w:rPr>
          <w:rFonts w:hint="eastAsia" w:ascii="仿宋" w:hAnsi="仿宋" w:eastAsia="仿宋" w:cs="仿宋"/>
          <w:color w:val="auto"/>
          <w:sz w:val="24"/>
          <w:szCs w:val="24"/>
          <w:highlight w:val="none"/>
        </w:rPr>
        <w:t>)系中华人民共和国合法企业，经营地址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1D5F8BA2">
      <w:pPr>
        <w:pStyle w:val="37"/>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z w:val="24"/>
          <w:szCs w:val="24"/>
          <w:highlight w:val="none"/>
          <w:u w:val="single"/>
        </w:rPr>
        <w:t>(法定代表人或负责人名字)</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投标人</w:t>
      </w:r>
      <w:r>
        <w:rPr>
          <w:rFonts w:hint="eastAsia" w:ascii="仿宋" w:hAnsi="仿宋" w:eastAsia="仿宋" w:cs="仿宋"/>
          <w:color w:val="auto"/>
          <w:sz w:val="24"/>
          <w:szCs w:val="24"/>
          <w:highlight w:val="none"/>
          <w:u w:val="single"/>
        </w:rPr>
        <w:t xml:space="preserve">名称)       </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负责人，我方愿意参加贵方组织的</w:t>
      </w:r>
      <w:r>
        <w:rPr>
          <w:rFonts w:hint="eastAsia" w:ascii="仿宋" w:hAnsi="仿宋" w:eastAsia="仿宋" w:cs="仿宋"/>
          <w:color w:val="auto"/>
          <w:sz w:val="24"/>
          <w:szCs w:val="24"/>
          <w:highlight w:val="none"/>
          <w:u w:val="single"/>
        </w:rPr>
        <w:t xml:space="preserve"> 遂昌县第二污水处理厂2025-2026年度代管运维服务项目（项目编号：SCYH【2025】020-公07）</w:t>
      </w:r>
      <w:r>
        <w:rPr>
          <w:rFonts w:hint="eastAsia" w:ascii="仿宋" w:hAnsi="仿宋" w:eastAsia="仿宋" w:cs="仿宋"/>
          <w:color w:val="auto"/>
          <w:sz w:val="24"/>
          <w:szCs w:val="24"/>
          <w:highlight w:val="none"/>
        </w:rPr>
        <w:t>的投标。为便于贵方公正、择优地确定中标人以及投标产品和服务，我方就本次投标有关事项郑重承诺如下：</w:t>
      </w:r>
    </w:p>
    <w:p w14:paraId="108FF9C1">
      <w:pPr>
        <w:pStyle w:val="37"/>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我方向贵方提交的所有投标文件、资料都是准确的和真实的。</w:t>
      </w:r>
    </w:p>
    <w:p w14:paraId="57DC9464">
      <w:pPr>
        <w:pStyle w:val="37"/>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我方承诺已经具备《中华人民共和国政府采购法》、《中华人民共和国政府采购法实施条例》中规定的参加政府采购活动的投标人应当具备的条件，并真实提供相关材料。</w:t>
      </w:r>
    </w:p>
    <w:p w14:paraId="769DA3E2">
      <w:pPr>
        <w:pStyle w:val="37"/>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提供投标人须知规定的全部投标文件，包括：</w:t>
      </w:r>
    </w:p>
    <w:p w14:paraId="66E86838">
      <w:pPr>
        <w:pStyle w:val="37"/>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①电子</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w:t>
      </w:r>
    </w:p>
    <w:p w14:paraId="7741DAD2">
      <w:pPr>
        <w:pStyle w:val="37"/>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②备份</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文件（注：是否提交由</w:t>
      </w: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自行决定，如不提交，本条可删除）。</w:t>
      </w:r>
    </w:p>
    <w:p w14:paraId="6E6B064F">
      <w:pPr>
        <w:pStyle w:val="37"/>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如果我方中标，将派出</w:t>
      </w:r>
      <w:r>
        <w:rPr>
          <w:rFonts w:hint="eastAsia" w:ascii="仿宋" w:hAnsi="仿宋" w:eastAsia="仿宋" w:cs="仿宋"/>
          <w:color w:val="auto"/>
          <w:sz w:val="24"/>
          <w:szCs w:val="24"/>
          <w:highlight w:val="none"/>
          <w:u w:val="single"/>
        </w:rPr>
        <w:t xml:space="preserve">  （姓名及身份证号码）</w:t>
      </w:r>
      <w:r>
        <w:rPr>
          <w:rFonts w:hint="eastAsia" w:ascii="仿宋" w:hAnsi="仿宋" w:eastAsia="仿宋" w:cs="仿宋"/>
          <w:color w:val="auto"/>
          <w:sz w:val="24"/>
          <w:szCs w:val="24"/>
          <w:highlight w:val="none"/>
        </w:rPr>
        <w:t>，作为本项目与采购人联系的项目实施负责人，联系手机号码：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。在项目实施过程中，并承诺项目实施负责人不更换，若确需要更换的，书面征得采购人同意后才准予更换。</w:t>
      </w:r>
    </w:p>
    <w:p w14:paraId="6776B630">
      <w:pPr>
        <w:pStyle w:val="37"/>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我方承诺投标有效期从提交投标文件的截止之日起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天（不少于90天），本投标文件在投标有效期满之前均具有约束力。</w:t>
      </w:r>
    </w:p>
    <w:p w14:paraId="2796A897">
      <w:pPr>
        <w:pStyle w:val="37"/>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我方在投标之前已经与贵方进行了充分的沟通，完全理解并接受招标文件的各项规定和要求，对招标文件的合理性、合法性不再有异议。</w:t>
      </w:r>
    </w:p>
    <w:p w14:paraId="4171A2C9">
      <w:pPr>
        <w:pStyle w:val="37"/>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我方愿意向贵方提供真实完整的任何与该项投标有关的数据、情况和技术资料。若贵方需要，我方愿意提供我方作出的一切承诺的证明材料。</w:t>
      </w:r>
    </w:p>
    <w:p w14:paraId="00D082F6">
      <w:pPr>
        <w:pStyle w:val="37"/>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我方已详细审核全部招标文件，包括招标文件的澄清或修改文件（如有）、参考资料及有关附件，已经了解我方对于招标文件、采购过程、采购结果有依法进行询问、质疑、投诉的权利及相关渠道和要求。</w:t>
      </w:r>
    </w:p>
    <w:p w14:paraId="192D24CD">
      <w:pPr>
        <w:pStyle w:val="37"/>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我方不是采购人的附属机构，并未为本项目提供整体设计、规范编制或者项目管理、监理、监测等服务。</w:t>
      </w:r>
    </w:p>
    <w:p w14:paraId="7F73F468">
      <w:pPr>
        <w:pStyle w:val="37"/>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32FC4E5C">
      <w:pPr>
        <w:pStyle w:val="37"/>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（一）提供虚假材料谋取中标、中标的；</w:t>
      </w:r>
    </w:p>
    <w:p w14:paraId="3A1E33F5">
      <w:pPr>
        <w:pStyle w:val="37"/>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（二）采取不正当手段诋毁、排挤其他投标人的；</w:t>
      </w:r>
    </w:p>
    <w:p w14:paraId="63460DB0">
      <w:pPr>
        <w:pStyle w:val="37"/>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（三）与采购人、其它投标人或者采购代理机构恶意串通的；</w:t>
      </w:r>
    </w:p>
    <w:p w14:paraId="523BBCBC">
      <w:pPr>
        <w:pStyle w:val="37"/>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（四）向采购人、采购代理机构行贿或者提供其他不正当利益的；</w:t>
      </w:r>
    </w:p>
    <w:p w14:paraId="1100B972">
      <w:pPr>
        <w:pStyle w:val="37"/>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（五）在招标采购过程中与采购人进行协商谈判的；</w:t>
      </w:r>
    </w:p>
    <w:p w14:paraId="5200ED81">
      <w:pPr>
        <w:pStyle w:val="37"/>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（六）拒绝有关部门监督检查或提供虚假情况的。</w:t>
      </w:r>
    </w:p>
    <w:p w14:paraId="21DB0890">
      <w:pPr>
        <w:pStyle w:val="37"/>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如中标，本投标文件至本项目合同履行完毕止均保持有效，我方将按招标文件及政府采购法律、法规的规定履行合同责任和义务。</w:t>
      </w:r>
    </w:p>
    <w:p w14:paraId="507B06BC">
      <w:pPr>
        <w:pStyle w:val="37"/>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以上事项如有虚假或隐瞒，我方愿意承担一切不利后果，并不再寻求任何旨在减轻或免除法律责任。</w:t>
      </w:r>
    </w:p>
    <w:p w14:paraId="1C774B9D">
      <w:pPr>
        <w:pStyle w:val="37"/>
        <w:spacing w:line="44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与本次投标有关的一切正式往来信函请寄：</w:t>
      </w:r>
    </w:p>
    <w:p w14:paraId="6A0DB675">
      <w:pPr>
        <w:pStyle w:val="37"/>
        <w:spacing w:line="44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pacing w:val="20"/>
          <w:sz w:val="24"/>
          <w:szCs w:val="24"/>
          <w:highlight w:val="none"/>
          <w:u w:val="single"/>
        </w:rPr>
        <w:t xml:space="preserve">             </w:t>
      </w:r>
      <w:r>
        <w:rPr>
          <w:rFonts w:hint="eastAsia" w:ascii="仿宋" w:hAnsi="仿宋" w:eastAsia="仿宋" w:cs="仿宋"/>
          <w:color w:val="auto"/>
          <w:sz w:val="24"/>
          <w:szCs w:val="24"/>
          <w:highlight w:val="none"/>
        </w:rPr>
        <w:t xml:space="preserve">     邮编：</w:t>
      </w:r>
      <w:r>
        <w:rPr>
          <w:rFonts w:hint="eastAsia" w:ascii="仿宋" w:hAnsi="仿宋" w:eastAsia="仿宋" w:cs="仿宋"/>
          <w:color w:val="auto"/>
          <w:spacing w:val="20"/>
          <w:sz w:val="24"/>
          <w:szCs w:val="24"/>
          <w:highlight w:val="none"/>
          <w:u w:val="single"/>
        </w:rPr>
        <w:t xml:space="preserve">           </w:t>
      </w:r>
      <w:r>
        <w:rPr>
          <w:rFonts w:hint="eastAsia" w:ascii="仿宋" w:hAnsi="仿宋" w:eastAsia="仿宋" w:cs="仿宋"/>
          <w:color w:val="auto"/>
          <w:sz w:val="24"/>
          <w:szCs w:val="24"/>
          <w:highlight w:val="none"/>
        </w:rPr>
        <w:t>　</w:t>
      </w:r>
    </w:p>
    <w:p w14:paraId="3A45670F">
      <w:pPr>
        <w:pStyle w:val="10"/>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r>
        <w:rPr>
          <w:rFonts w:hint="eastAsia" w:ascii="仿宋" w:hAnsi="仿宋" w:eastAsia="仿宋" w:cs="仿宋"/>
          <w:color w:val="auto"/>
          <w:spacing w:val="20"/>
          <w:sz w:val="24"/>
          <w:szCs w:val="24"/>
          <w:highlight w:val="none"/>
          <w:u w:val="single"/>
        </w:rPr>
        <w:t xml:space="preserve">             </w:t>
      </w:r>
      <w:r>
        <w:rPr>
          <w:rFonts w:hint="eastAsia" w:ascii="仿宋" w:hAnsi="仿宋" w:eastAsia="仿宋" w:cs="仿宋"/>
          <w:color w:val="auto"/>
          <w:sz w:val="24"/>
          <w:szCs w:val="24"/>
          <w:highlight w:val="none"/>
        </w:rPr>
        <w:t xml:space="preserve">     传真：</w:t>
      </w:r>
      <w:r>
        <w:rPr>
          <w:rFonts w:hint="eastAsia" w:ascii="仿宋" w:hAnsi="仿宋" w:eastAsia="仿宋" w:cs="仿宋"/>
          <w:color w:val="auto"/>
          <w:spacing w:val="20"/>
          <w:sz w:val="24"/>
          <w:szCs w:val="24"/>
          <w:highlight w:val="none"/>
          <w:u w:val="single"/>
        </w:rPr>
        <w:t xml:space="preserve">           </w:t>
      </w:r>
    </w:p>
    <w:p w14:paraId="3918F6B4">
      <w:pPr>
        <w:pStyle w:val="37"/>
        <w:spacing w:line="440" w:lineRule="exact"/>
        <w:rPr>
          <w:rFonts w:hint="eastAsia" w:ascii="仿宋" w:hAnsi="仿宋" w:eastAsia="仿宋" w:cs="仿宋"/>
          <w:color w:val="auto"/>
          <w:sz w:val="24"/>
          <w:szCs w:val="24"/>
          <w:highlight w:val="none"/>
          <w:lang w:val="en-US"/>
        </w:rPr>
      </w:pPr>
    </w:p>
    <w:p w14:paraId="461438FB">
      <w:pPr>
        <w:pStyle w:val="38"/>
        <w:spacing w:line="520" w:lineRule="exact"/>
        <w:rPr>
          <w:rFonts w:hint="eastAsia" w:ascii="仿宋" w:hAnsi="仿宋" w:eastAsia="仿宋" w:cs="仿宋"/>
          <w:color w:val="auto"/>
          <w:spacing w:val="20"/>
          <w:sz w:val="24"/>
          <w:szCs w:val="24"/>
          <w:highlight w:val="none"/>
          <w:lang w:eastAsia="zh-CN"/>
        </w:rPr>
      </w:pPr>
    </w:p>
    <w:p w14:paraId="5F4E44A9">
      <w:pPr>
        <w:pStyle w:val="38"/>
        <w:spacing w:line="520" w:lineRule="exact"/>
        <w:ind w:firstLine="5320" w:firstLineChars="1900"/>
        <w:rPr>
          <w:rFonts w:hint="eastAsia" w:ascii="仿宋" w:hAnsi="仿宋" w:eastAsia="仿宋" w:cs="仿宋"/>
          <w:color w:val="auto"/>
          <w:spacing w:val="20"/>
          <w:sz w:val="24"/>
          <w:szCs w:val="24"/>
          <w:highlight w:val="none"/>
          <w:u w:val="single"/>
          <w:lang w:eastAsia="zh-CN"/>
        </w:rPr>
      </w:pPr>
    </w:p>
    <w:p w14:paraId="013FAAFE">
      <w:pPr>
        <w:pStyle w:val="38"/>
        <w:spacing w:line="520" w:lineRule="exact"/>
        <w:ind w:firstLine="5320" w:firstLineChars="1900"/>
        <w:rPr>
          <w:rFonts w:hint="eastAsia" w:ascii="仿宋" w:hAnsi="仿宋" w:eastAsia="仿宋" w:cs="仿宋"/>
          <w:color w:val="auto"/>
          <w:spacing w:val="20"/>
          <w:sz w:val="24"/>
          <w:highlight w:val="none"/>
          <w:u w:val="single"/>
          <w:lang w:eastAsia="zh-CN"/>
        </w:rPr>
      </w:pPr>
    </w:p>
    <w:p w14:paraId="0D5366DE">
      <w:pPr>
        <w:pStyle w:val="38"/>
        <w:spacing w:line="520" w:lineRule="exact"/>
        <w:ind w:firstLine="5320" w:firstLineChars="1900"/>
        <w:rPr>
          <w:rFonts w:hint="eastAsia" w:ascii="仿宋" w:hAnsi="仿宋" w:eastAsia="仿宋" w:cs="仿宋"/>
          <w:color w:val="auto"/>
          <w:spacing w:val="20"/>
          <w:sz w:val="24"/>
          <w:highlight w:val="none"/>
          <w:u w:val="single"/>
          <w:lang w:eastAsia="zh-CN"/>
        </w:rPr>
      </w:pPr>
    </w:p>
    <w:p w14:paraId="28E71D5A">
      <w:pPr>
        <w:pStyle w:val="38"/>
        <w:spacing w:line="360" w:lineRule="auto"/>
        <w:rPr>
          <w:rFonts w:hint="eastAsia" w:ascii="仿宋" w:hAnsi="仿宋" w:eastAsia="仿宋" w:cs="仿宋"/>
          <w:color w:val="auto"/>
          <w:sz w:val="24"/>
          <w:szCs w:val="21"/>
          <w:highlight w:val="none"/>
        </w:rPr>
      </w:pPr>
    </w:p>
    <w:p w14:paraId="4ABAA76B">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0AE6C4D5">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3D729535">
      <w:pPr>
        <w:pStyle w:val="36"/>
        <w:spacing w:line="360" w:lineRule="auto"/>
        <w:ind w:firstLine="480"/>
        <w:jc w:val="right"/>
        <w:rPr>
          <w:rFonts w:hint="eastAsia" w:ascii="仿宋" w:hAnsi="仿宋" w:eastAsia="仿宋" w:cs="仿宋"/>
          <w:color w:val="auto"/>
          <w:sz w:val="24"/>
          <w:szCs w:val="21"/>
          <w:highlight w:val="none"/>
          <w:u w:val="single"/>
        </w:rPr>
      </w:pPr>
    </w:p>
    <w:p w14:paraId="2E824980">
      <w:pPr>
        <w:pStyle w:val="36"/>
        <w:spacing w:line="360" w:lineRule="auto"/>
        <w:ind w:firstLine="480"/>
        <w:jc w:val="right"/>
        <w:rPr>
          <w:rFonts w:hint="eastAsia" w:ascii="仿宋" w:hAnsi="仿宋" w:eastAsia="仿宋" w:cs="仿宋"/>
          <w:color w:val="auto"/>
          <w:sz w:val="24"/>
          <w:szCs w:val="21"/>
          <w:highlight w:val="none"/>
          <w:u w:val="single"/>
        </w:rPr>
      </w:pPr>
    </w:p>
    <w:p w14:paraId="60FA8504">
      <w:pPr>
        <w:pStyle w:val="37"/>
        <w:spacing w:line="360" w:lineRule="auto"/>
        <w:rPr>
          <w:rFonts w:hint="eastAsia" w:ascii="仿宋" w:hAnsi="仿宋" w:eastAsia="仿宋" w:cs="仿宋"/>
          <w:color w:val="auto"/>
          <w:sz w:val="24"/>
          <w:szCs w:val="21"/>
          <w:highlight w:val="none"/>
          <w:lang w:eastAsia="zh-CN"/>
        </w:rPr>
      </w:pPr>
      <w:r>
        <w:rPr>
          <w:rFonts w:hint="eastAsia" w:ascii="仿宋" w:hAnsi="仿宋" w:eastAsia="仿宋" w:cs="仿宋"/>
          <w:color w:val="auto"/>
          <w:sz w:val="24"/>
          <w:szCs w:val="21"/>
          <w:highlight w:val="none"/>
        </w:rPr>
        <w:t>注：按照本声明书要求填</w:t>
      </w:r>
      <w:r>
        <w:rPr>
          <w:rFonts w:hint="eastAsia" w:ascii="仿宋" w:hAnsi="仿宋" w:eastAsia="仿宋" w:cs="仿宋"/>
          <w:color w:val="auto"/>
          <w:sz w:val="24"/>
          <w:szCs w:val="21"/>
          <w:highlight w:val="none"/>
          <w:lang w:eastAsia="zh-CN"/>
        </w:rPr>
        <w:t>。</w:t>
      </w:r>
    </w:p>
    <w:p w14:paraId="5EA298A2">
      <w:pPr>
        <w:pStyle w:val="37"/>
        <w:spacing w:line="360" w:lineRule="auto"/>
        <w:rPr>
          <w:rFonts w:hint="eastAsia" w:ascii="仿宋" w:hAnsi="仿宋" w:eastAsia="仿宋" w:cs="仿宋"/>
          <w:color w:val="auto"/>
          <w:sz w:val="24"/>
          <w:szCs w:val="21"/>
          <w:highlight w:val="none"/>
          <w:lang w:eastAsia="zh-CN"/>
        </w:rPr>
      </w:pPr>
    </w:p>
    <w:p w14:paraId="30EF84B6">
      <w:pPr>
        <w:pStyle w:val="37"/>
        <w:spacing w:line="360" w:lineRule="auto"/>
        <w:rPr>
          <w:rFonts w:hint="eastAsia" w:ascii="仿宋" w:hAnsi="仿宋" w:eastAsia="仿宋" w:cs="仿宋"/>
          <w:color w:val="auto"/>
          <w:sz w:val="24"/>
          <w:szCs w:val="21"/>
          <w:highlight w:val="none"/>
          <w:lang w:eastAsia="zh-CN"/>
        </w:rPr>
      </w:pPr>
    </w:p>
    <w:p w14:paraId="0A32BE9B">
      <w:pPr>
        <w:pStyle w:val="37"/>
        <w:spacing w:line="360" w:lineRule="auto"/>
        <w:rPr>
          <w:rFonts w:hint="eastAsia" w:ascii="仿宋" w:hAnsi="仿宋" w:eastAsia="仿宋" w:cs="仿宋"/>
          <w:color w:val="auto"/>
          <w:sz w:val="24"/>
          <w:szCs w:val="21"/>
          <w:highlight w:val="none"/>
          <w:lang w:eastAsia="zh-CN"/>
        </w:rPr>
      </w:pPr>
    </w:p>
    <w:p w14:paraId="652455FC">
      <w:pPr>
        <w:numPr>
          <w:ilvl w:val="0"/>
          <w:numId w:val="15"/>
        </w:numPr>
        <w:ind w:left="454" w:leftChars="0" w:hanging="454" w:firstLineChars="0"/>
        <w:jc w:val="left"/>
        <w:rPr>
          <w:rFonts w:hint="eastAsia" w:ascii="仿宋" w:hAnsi="仿宋" w:eastAsia="仿宋" w:cs="仿宋"/>
          <w:b/>
          <w:color w:val="auto"/>
          <w:sz w:val="30"/>
          <w:highlight w:val="none"/>
        </w:rPr>
      </w:pPr>
      <w:r>
        <w:rPr>
          <w:rFonts w:hint="eastAsia" w:ascii="仿宋" w:hAnsi="仿宋" w:eastAsia="仿宋" w:cs="仿宋"/>
          <w:b/>
          <w:color w:val="auto"/>
          <w:sz w:val="32"/>
          <w:szCs w:val="32"/>
          <w:highlight w:val="none"/>
        </w:rPr>
        <w:t>投标人参标申请表</w:t>
      </w:r>
    </w:p>
    <w:p w14:paraId="499290F1">
      <w:pPr>
        <w:pStyle w:val="44"/>
        <w:rPr>
          <w:rFonts w:hint="eastAsia" w:ascii="仿宋" w:hAnsi="仿宋" w:eastAsia="仿宋" w:cs="仿宋"/>
          <w:color w:val="auto"/>
          <w:highlight w:val="none"/>
        </w:rPr>
      </w:pPr>
    </w:p>
    <w:tbl>
      <w:tblPr>
        <w:tblStyle w:val="20"/>
        <w:tblW w:w="899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266"/>
        <w:gridCol w:w="862"/>
        <w:gridCol w:w="1028"/>
        <w:gridCol w:w="539"/>
        <w:gridCol w:w="1080"/>
        <w:gridCol w:w="1628"/>
        <w:gridCol w:w="2843"/>
      </w:tblGrid>
      <w:tr w14:paraId="571708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vMerge w:val="restart"/>
            <w:tcBorders>
              <w:top w:val="single" w:color="auto" w:sz="4" w:space="0"/>
              <w:left w:val="single" w:color="auto" w:sz="4" w:space="0"/>
              <w:right w:val="single" w:color="auto" w:sz="4" w:space="0"/>
            </w:tcBorders>
            <w:noWrap w:val="0"/>
            <w:vAlign w:val="center"/>
          </w:tcPr>
          <w:p w14:paraId="76E6F1BB">
            <w:pPr>
              <w:pStyle w:val="45"/>
              <w:rPr>
                <w:rFonts w:hint="eastAsia" w:ascii="仿宋" w:hAnsi="仿宋" w:eastAsia="仿宋" w:cs="仿宋"/>
                <w:color w:val="auto"/>
                <w:sz w:val="24"/>
                <w:highlight w:val="none"/>
              </w:rPr>
            </w:pPr>
            <w:r>
              <w:rPr>
                <w:rFonts w:hint="eastAsia" w:ascii="仿宋" w:hAnsi="仿宋" w:eastAsia="仿宋" w:cs="仿宋"/>
                <w:color w:val="auto"/>
                <w:sz w:val="24"/>
                <w:highlight w:val="none"/>
              </w:rPr>
              <w:t>统一社会信用代码</w:t>
            </w:r>
          </w:p>
        </w:tc>
        <w:tc>
          <w:tcPr>
            <w:tcW w:w="2647" w:type="dxa"/>
            <w:gridSpan w:val="3"/>
            <w:vMerge w:val="restart"/>
            <w:tcBorders>
              <w:top w:val="single" w:color="auto" w:sz="4" w:space="0"/>
              <w:left w:val="single" w:color="auto" w:sz="4" w:space="0"/>
              <w:right w:val="single" w:color="auto" w:sz="4" w:space="0"/>
            </w:tcBorders>
            <w:noWrap w:val="0"/>
            <w:vAlign w:val="center"/>
          </w:tcPr>
          <w:p w14:paraId="74024948">
            <w:pPr>
              <w:pStyle w:val="45"/>
              <w:ind w:firstLine="480"/>
              <w:jc w:val="center"/>
              <w:rPr>
                <w:rFonts w:hint="eastAsia" w:ascii="仿宋" w:hAnsi="仿宋" w:eastAsia="仿宋" w:cs="仿宋"/>
                <w:color w:val="auto"/>
                <w:sz w:val="24"/>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04E46072">
            <w:pPr>
              <w:pStyle w:val="45"/>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62D8CA6D">
            <w:pPr>
              <w:pStyle w:val="45"/>
              <w:ind w:firstLine="360"/>
              <w:jc w:val="center"/>
              <w:rPr>
                <w:rFonts w:hint="eastAsia" w:ascii="仿宋" w:hAnsi="仿宋" w:eastAsia="仿宋" w:cs="仿宋"/>
                <w:color w:val="auto"/>
                <w:sz w:val="18"/>
                <w:highlight w:val="none"/>
              </w:rPr>
            </w:pPr>
          </w:p>
        </w:tc>
      </w:tr>
      <w:tr w14:paraId="418416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vMerge w:val="continue"/>
            <w:tcBorders>
              <w:left w:val="single" w:color="auto" w:sz="4" w:space="0"/>
              <w:bottom w:val="single" w:color="auto" w:sz="4" w:space="0"/>
              <w:right w:val="single" w:color="auto" w:sz="4" w:space="0"/>
            </w:tcBorders>
            <w:noWrap w:val="0"/>
            <w:vAlign w:val="center"/>
          </w:tcPr>
          <w:p w14:paraId="68F471F5">
            <w:pPr>
              <w:pStyle w:val="45"/>
              <w:rPr>
                <w:rFonts w:hint="eastAsia" w:ascii="仿宋" w:hAnsi="仿宋" w:eastAsia="仿宋" w:cs="仿宋"/>
                <w:color w:val="auto"/>
                <w:sz w:val="24"/>
                <w:highlight w:val="none"/>
              </w:rPr>
            </w:pPr>
          </w:p>
        </w:tc>
        <w:tc>
          <w:tcPr>
            <w:tcW w:w="2647" w:type="dxa"/>
            <w:gridSpan w:val="3"/>
            <w:vMerge w:val="continue"/>
            <w:tcBorders>
              <w:left w:val="single" w:color="auto" w:sz="4" w:space="0"/>
              <w:bottom w:val="single" w:color="auto" w:sz="4" w:space="0"/>
              <w:right w:val="single" w:color="auto" w:sz="4" w:space="0"/>
            </w:tcBorders>
            <w:noWrap w:val="0"/>
            <w:vAlign w:val="center"/>
          </w:tcPr>
          <w:p w14:paraId="7E1B427D">
            <w:pPr>
              <w:pStyle w:val="45"/>
              <w:ind w:firstLine="480"/>
              <w:jc w:val="center"/>
              <w:rPr>
                <w:rFonts w:hint="eastAsia" w:ascii="仿宋" w:hAnsi="仿宋" w:eastAsia="仿宋" w:cs="仿宋"/>
                <w:color w:val="auto"/>
                <w:sz w:val="24"/>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6458F99C">
            <w:pPr>
              <w:pStyle w:val="45"/>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投标人地址</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3AE76E5C">
            <w:pPr>
              <w:pStyle w:val="45"/>
              <w:ind w:firstLine="480"/>
              <w:jc w:val="center"/>
              <w:rPr>
                <w:rFonts w:hint="eastAsia" w:ascii="仿宋" w:hAnsi="仿宋" w:eastAsia="仿宋" w:cs="仿宋"/>
                <w:color w:val="auto"/>
                <w:sz w:val="24"/>
                <w:highlight w:val="none"/>
              </w:rPr>
            </w:pPr>
          </w:p>
        </w:tc>
      </w:tr>
      <w:tr w14:paraId="61082A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427BF782">
            <w:pPr>
              <w:pStyle w:val="45"/>
              <w:rPr>
                <w:rFonts w:hint="eastAsia" w:ascii="仿宋" w:hAnsi="仿宋" w:eastAsia="仿宋" w:cs="仿宋"/>
                <w:color w:val="auto"/>
                <w:sz w:val="24"/>
                <w:highlight w:val="none"/>
              </w:rPr>
            </w:pPr>
            <w:r>
              <w:rPr>
                <w:rFonts w:hint="eastAsia" w:ascii="仿宋" w:hAnsi="仿宋" w:eastAsia="仿宋" w:cs="仿宋"/>
                <w:color w:val="auto"/>
                <w:sz w:val="24"/>
                <w:highlight w:val="none"/>
              </w:rPr>
              <w:t>注册日期</w:t>
            </w:r>
          </w:p>
        </w:tc>
        <w:tc>
          <w:tcPr>
            <w:tcW w:w="2647" w:type="dxa"/>
            <w:gridSpan w:val="3"/>
            <w:tcBorders>
              <w:top w:val="single" w:color="auto" w:sz="4" w:space="0"/>
              <w:left w:val="single" w:color="auto" w:sz="4" w:space="0"/>
              <w:bottom w:val="single" w:color="auto" w:sz="4" w:space="0"/>
              <w:right w:val="single" w:color="auto" w:sz="4" w:space="0"/>
            </w:tcBorders>
            <w:noWrap w:val="0"/>
            <w:vAlign w:val="center"/>
          </w:tcPr>
          <w:p w14:paraId="4454EB0F">
            <w:pPr>
              <w:pStyle w:val="45"/>
              <w:ind w:firstLine="480"/>
              <w:jc w:val="center"/>
              <w:rPr>
                <w:rFonts w:hint="eastAsia" w:ascii="仿宋" w:hAnsi="仿宋" w:eastAsia="仿宋" w:cs="仿宋"/>
                <w:color w:val="auto"/>
                <w:sz w:val="24"/>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63CA33B5">
            <w:pPr>
              <w:pStyle w:val="45"/>
              <w:rPr>
                <w:rFonts w:hint="eastAsia" w:ascii="仿宋" w:hAnsi="仿宋" w:eastAsia="仿宋" w:cs="仿宋"/>
                <w:color w:val="auto"/>
                <w:sz w:val="24"/>
                <w:highlight w:val="none"/>
              </w:rPr>
            </w:pPr>
            <w:r>
              <w:rPr>
                <w:rFonts w:hint="eastAsia" w:ascii="仿宋" w:hAnsi="仿宋" w:eastAsia="仿宋" w:cs="仿宋"/>
                <w:color w:val="auto"/>
                <w:sz w:val="24"/>
                <w:highlight w:val="none"/>
              </w:rPr>
              <w:t>注册资金</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5355BF77">
            <w:pPr>
              <w:pStyle w:val="45"/>
              <w:ind w:firstLine="480"/>
              <w:jc w:val="center"/>
              <w:rPr>
                <w:rFonts w:hint="eastAsia" w:ascii="仿宋" w:hAnsi="仿宋" w:eastAsia="仿宋" w:cs="仿宋"/>
                <w:color w:val="auto"/>
                <w:sz w:val="24"/>
                <w:highlight w:val="none"/>
              </w:rPr>
            </w:pPr>
          </w:p>
        </w:tc>
      </w:tr>
      <w:tr w14:paraId="6529E4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05406735">
            <w:pPr>
              <w:pStyle w:val="45"/>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投标人网址</w:t>
            </w:r>
          </w:p>
        </w:tc>
        <w:tc>
          <w:tcPr>
            <w:tcW w:w="2647" w:type="dxa"/>
            <w:gridSpan w:val="3"/>
            <w:tcBorders>
              <w:top w:val="single" w:color="auto" w:sz="4" w:space="0"/>
              <w:left w:val="single" w:color="auto" w:sz="4" w:space="0"/>
              <w:bottom w:val="single" w:color="auto" w:sz="4" w:space="0"/>
              <w:right w:val="single" w:color="auto" w:sz="4" w:space="0"/>
            </w:tcBorders>
            <w:noWrap w:val="0"/>
            <w:vAlign w:val="center"/>
          </w:tcPr>
          <w:p w14:paraId="444887C1">
            <w:pPr>
              <w:pStyle w:val="45"/>
              <w:ind w:firstLine="480"/>
              <w:jc w:val="center"/>
              <w:rPr>
                <w:rFonts w:hint="eastAsia" w:ascii="仿宋" w:hAnsi="仿宋" w:eastAsia="仿宋" w:cs="仿宋"/>
                <w:color w:val="auto"/>
                <w:sz w:val="24"/>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38A020EF">
            <w:pPr>
              <w:pStyle w:val="45"/>
              <w:rPr>
                <w:rFonts w:hint="eastAsia" w:ascii="仿宋" w:hAnsi="仿宋" w:eastAsia="仿宋" w:cs="仿宋"/>
                <w:color w:val="auto"/>
                <w:sz w:val="24"/>
                <w:highlight w:val="none"/>
              </w:rPr>
            </w:pPr>
            <w:r>
              <w:rPr>
                <w:rFonts w:hint="eastAsia" w:ascii="仿宋" w:hAnsi="仿宋" w:eastAsia="仿宋" w:cs="仿宋"/>
                <w:color w:val="auto"/>
                <w:sz w:val="24"/>
                <w:highlight w:val="none"/>
              </w:rPr>
              <w:t>E-mail</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18415D3A">
            <w:pPr>
              <w:pStyle w:val="45"/>
              <w:ind w:firstLine="480"/>
              <w:jc w:val="center"/>
              <w:rPr>
                <w:rFonts w:hint="eastAsia" w:ascii="仿宋" w:hAnsi="仿宋" w:eastAsia="仿宋" w:cs="仿宋"/>
                <w:color w:val="auto"/>
                <w:sz w:val="24"/>
                <w:highlight w:val="none"/>
              </w:rPr>
            </w:pPr>
          </w:p>
        </w:tc>
      </w:tr>
      <w:tr w14:paraId="105092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4718D8FE">
            <w:pPr>
              <w:pStyle w:val="45"/>
              <w:rPr>
                <w:rFonts w:hint="eastAsia" w:ascii="仿宋" w:hAnsi="仿宋" w:eastAsia="仿宋" w:cs="仿宋"/>
                <w:color w:val="auto"/>
                <w:sz w:val="24"/>
                <w:highlight w:val="none"/>
              </w:rPr>
            </w:pPr>
            <w:r>
              <w:rPr>
                <w:rFonts w:hint="eastAsia" w:ascii="仿宋" w:hAnsi="仿宋" w:eastAsia="仿宋" w:cs="仿宋"/>
                <w:color w:val="auto"/>
                <w:sz w:val="24"/>
                <w:highlight w:val="none"/>
              </w:rPr>
              <w:t>负责人</w:t>
            </w:r>
          </w:p>
        </w:tc>
        <w:tc>
          <w:tcPr>
            <w:tcW w:w="1890" w:type="dxa"/>
            <w:gridSpan w:val="2"/>
            <w:tcBorders>
              <w:top w:val="single" w:color="auto" w:sz="4" w:space="0"/>
              <w:left w:val="single" w:color="auto" w:sz="4" w:space="0"/>
              <w:bottom w:val="single" w:color="auto" w:sz="4" w:space="0"/>
              <w:right w:val="single" w:color="auto" w:sz="4" w:space="0"/>
            </w:tcBorders>
            <w:noWrap w:val="0"/>
            <w:vAlign w:val="center"/>
          </w:tcPr>
          <w:p w14:paraId="63BDEC85">
            <w:pPr>
              <w:pStyle w:val="45"/>
              <w:ind w:firstLine="480"/>
              <w:jc w:val="center"/>
              <w:rPr>
                <w:rFonts w:hint="eastAsia" w:ascii="仿宋" w:hAnsi="仿宋" w:eastAsia="仿宋" w:cs="仿宋"/>
                <w:color w:val="auto"/>
                <w:sz w:val="24"/>
                <w:highlight w:val="none"/>
              </w:rPr>
            </w:pPr>
          </w:p>
        </w:tc>
        <w:tc>
          <w:tcPr>
            <w:tcW w:w="3247" w:type="dxa"/>
            <w:gridSpan w:val="3"/>
            <w:tcBorders>
              <w:top w:val="single" w:color="auto" w:sz="4" w:space="0"/>
              <w:left w:val="single" w:color="auto" w:sz="4" w:space="0"/>
              <w:bottom w:val="single" w:color="auto" w:sz="4" w:space="0"/>
              <w:right w:val="single" w:color="auto" w:sz="4" w:space="0"/>
            </w:tcBorders>
            <w:noWrap w:val="0"/>
            <w:vAlign w:val="center"/>
          </w:tcPr>
          <w:p w14:paraId="2C32A956">
            <w:pPr>
              <w:pStyle w:val="45"/>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3E841CD5">
            <w:pPr>
              <w:pStyle w:val="45"/>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手机：</w:t>
            </w:r>
          </w:p>
        </w:tc>
      </w:tr>
      <w:tr w14:paraId="666701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452E93DC">
            <w:pPr>
              <w:pStyle w:val="45"/>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p>
        </w:tc>
        <w:tc>
          <w:tcPr>
            <w:tcW w:w="1890" w:type="dxa"/>
            <w:gridSpan w:val="2"/>
            <w:tcBorders>
              <w:top w:val="single" w:color="auto" w:sz="4" w:space="0"/>
              <w:left w:val="single" w:color="auto" w:sz="4" w:space="0"/>
              <w:bottom w:val="single" w:color="auto" w:sz="4" w:space="0"/>
              <w:right w:val="single" w:color="auto" w:sz="4" w:space="0"/>
            </w:tcBorders>
            <w:noWrap w:val="0"/>
            <w:vAlign w:val="center"/>
          </w:tcPr>
          <w:p w14:paraId="7CA5990D">
            <w:pPr>
              <w:pStyle w:val="45"/>
              <w:ind w:firstLine="480"/>
              <w:jc w:val="center"/>
              <w:rPr>
                <w:rFonts w:hint="eastAsia" w:ascii="仿宋" w:hAnsi="仿宋" w:eastAsia="仿宋" w:cs="仿宋"/>
                <w:color w:val="auto"/>
                <w:sz w:val="24"/>
                <w:highlight w:val="none"/>
              </w:rPr>
            </w:pPr>
          </w:p>
        </w:tc>
        <w:tc>
          <w:tcPr>
            <w:tcW w:w="3247" w:type="dxa"/>
            <w:gridSpan w:val="3"/>
            <w:tcBorders>
              <w:top w:val="single" w:color="auto" w:sz="4" w:space="0"/>
              <w:left w:val="single" w:color="auto" w:sz="4" w:space="0"/>
              <w:bottom w:val="single" w:color="auto" w:sz="4" w:space="0"/>
              <w:right w:val="single" w:color="auto" w:sz="4" w:space="0"/>
            </w:tcBorders>
            <w:noWrap w:val="0"/>
            <w:vAlign w:val="center"/>
          </w:tcPr>
          <w:p w14:paraId="3A191E23">
            <w:pPr>
              <w:pStyle w:val="45"/>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0B0EEA53">
            <w:pPr>
              <w:pStyle w:val="45"/>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手机：</w:t>
            </w:r>
          </w:p>
        </w:tc>
      </w:tr>
      <w:tr w14:paraId="1988E6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6C94F271">
            <w:pPr>
              <w:pStyle w:val="45"/>
              <w:ind w:left="-109" w:leftChars="-52" w:right="-113" w:rightChars="-54"/>
              <w:rPr>
                <w:rFonts w:hint="eastAsia" w:ascii="仿宋" w:hAnsi="仿宋" w:eastAsia="仿宋" w:cs="仿宋"/>
                <w:color w:val="auto"/>
                <w:sz w:val="24"/>
                <w:highlight w:val="none"/>
              </w:rPr>
            </w:pPr>
            <w:r>
              <w:rPr>
                <w:rFonts w:hint="eastAsia" w:ascii="仿宋" w:hAnsi="仿宋" w:eastAsia="仿宋" w:cs="仿宋"/>
                <w:color w:val="auto"/>
                <w:sz w:val="24"/>
                <w:highlight w:val="none"/>
              </w:rPr>
              <w:t>主营项目</w:t>
            </w:r>
          </w:p>
        </w:tc>
        <w:tc>
          <w:tcPr>
            <w:tcW w:w="7980" w:type="dxa"/>
            <w:gridSpan w:val="6"/>
            <w:tcBorders>
              <w:top w:val="single" w:color="auto" w:sz="4" w:space="0"/>
              <w:left w:val="single" w:color="auto" w:sz="4" w:space="0"/>
              <w:bottom w:val="single" w:color="auto" w:sz="4" w:space="0"/>
              <w:right w:val="single" w:color="auto" w:sz="4" w:space="0"/>
            </w:tcBorders>
            <w:noWrap w:val="0"/>
            <w:vAlign w:val="center"/>
          </w:tcPr>
          <w:p w14:paraId="6182B40E">
            <w:pPr>
              <w:pStyle w:val="45"/>
              <w:ind w:firstLine="480"/>
              <w:jc w:val="center"/>
              <w:rPr>
                <w:rFonts w:hint="eastAsia" w:ascii="仿宋" w:hAnsi="仿宋" w:eastAsia="仿宋" w:cs="仿宋"/>
                <w:color w:val="auto"/>
                <w:sz w:val="24"/>
                <w:highlight w:val="none"/>
              </w:rPr>
            </w:pPr>
          </w:p>
        </w:tc>
      </w:tr>
      <w:tr w14:paraId="415E4C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10C0CB2C">
            <w:pPr>
              <w:pStyle w:val="45"/>
              <w:ind w:left="-109" w:leftChars="-52" w:right="-113" w:rightChars="-54"/>
              <w:rPr>
                <w:rFonts w:hint="eastAsia" w:ascii="仿宋" w:hAnsi="仿宋" w:eastAsia="仿宋" w:cs="仿宋"/>
                <w:color w:val="auto"/>
                <w:sz w:val="24"/>
                <w:highlight w:val="none"/>
              </w:rPr>
            </w:pPr>
            <w:r>
              <w:rPr>
                <w:rFonts w:hint="eastAsia" w:ascii="仿宋" w:hAnsi="仿宋" w:eastAsia="仿宋" w:cs="仿宋"/>
                <w:color w:val="auto"/>
                <w:sz w:val="24"/>
                <w:highlight w:val="none"/>
              </w:rPr>
              <w:t>兼营项目</w:t>
            </w:r>
          </w:p>
        </w:tc>
        <w:tc>
          <w:tcPr>
            <w:tcW w:w="7980" w:type="dxa"/>
            <w:gridSpan w:val="6"/>
            <w:tcBorders>
              <w:top w:val="single" w:color="auto" w:sz="4" w:space="0"/>
              <w:left w:val="single" w:color="auto" w:sz="4" w:space="0"/>
              <w:bottom w:val="single" w:color="auto" w:sz="4" w:space="0"/>
              <w:right w:val="single" w:color="auto" w:sz="4" w:space="0"/>
            </w:tcBorders>
            <w:noWrap w:val="0"/>
            <w:vAlign w:val="center"/>
          </w:tcPr>
          <w:p w14:paraId="649DC854">
            <w:pPr>
              <w:pStyle w:val="45"/>
              <w:ind w:firstLine="480"/>
              <w:jc w:val="center"/>
              <w:rPr>
                <w:rFonts w:hint="eastAsia" w:ascii="仿宋" w:hAnsi="仿宋" w:eastAsia="仿宋" w:cs="仿宋"/>
                <w:color w:val="auto"/>
                <w:sz w:val="24"/>
                <w:highlight w:val="none"/>
              </w:rPr>
            </w:pPr>
          </w:p>
        </w:tc>
      </w:tr>
      <w:tr w14:paraId="3AD8F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991" w:type="dxa"/>
            <w:gridSpan w:val="8"/>
            <w:tcBorders>
              <w:top w:val="single" w:color="auto" w:sz="4" w:space="0"/>
              <w:left w:val="single" w:color="auto" w:sz="4" w:space="0"/>
              <w:bottom w:val="single" w:color="auto" w:sz="4" w:space="0"/>
              <w:right w:val="single" w:color="auto" w:sz="4" w:space="0"/>
            </w:tcBorders>
            <w:noWrap w:val="0"/>
            <w:vAlign w:val="center"/>
          </w:tcPr>
          <w:p w14:paraId="5EB7E79D">
            <w:pPr>
              <w:pStyle w:val="45"/>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本单位申请参加下列采购项目的投标：</w:t>
            </w:r>
          </w:p>
        </w:tc>
      </w:tr>
      <w:tr w14:paraId="4B25A4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l2br w:val="single" w:color="auto" w:sz="4" w:space="0"/>
            </w:tcBorders>
            <w:noWrap w:val="0"/>
            <w:vAlign w:val="center"/>
          </w:tcPr>
          <w:p w14:paraId="0717847E">
            <w:pPr>
              <w:pStyle w:val="45"/>
              <w:ind w:firstLine="480"/>
              <w:jc w:val="center"/>
              <w:rPr>
                <w:rFonts w:hint="eastAsia" w:ascii="仿宋" w:hAnsi="仿宋" w:eastAsia="仿宋" w:cs="仿宋"/>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0F2B28DB">
            <w:pPr>
              <w:pStyle w:val="45"/>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项目编号</w:t>
            </w: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7EE682C4">
            <w:pPr>
              <w:pStyle w:val="45"/>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26D2C672">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是否申请参加</w:t>
            </w:r>
          </w:p>
        </w:tc>
      </w:tr>
      <w:tr w14:paraId="03127D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5CC7BBFF">
            <w:pPr>
              <w:pStyle w:val="45"/>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5632D732">
            <w:pPr>
              <w:pStyle w:val="45"/>
              <w:ind w:firstLine="480"/>
              <w:jc w:val="center"/>
              <w:rPr>
                <w:rFonts w:hint="eastAsia" w:ascii="仿宋" w:hAnsi="仿宋" w:eastAsia="仿宋" w:cs="仿宋"/>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67FC56BF">
            <w:pPr>
              <w:pStyle w:val="45"/>
              <w:ind w:firstLine="480"/>
              <w:jc w:val="center"/>
              <w:rPr>
                <w:rFonts w:hint="eastAsia" w:ascii="仿宋" w:hAnsi="仿宋" w:eastAsia="仿宋" w:cs="仿宋"/>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5B2CD48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是</w:t>
            </w:r>
            <w:r>
              <w:rPr>
                <w:rFonts w:hint="eastAsia" w:ascii="仿宋" w:hAnsi="仿宋" w:eastAsia="仿宋" w:cs="仿宋"/>
                <w:color w:val="auto"/>
                <w:sz w:val="30"/>
                <w:highlight w:val="none"/>
              </w:rPr>
              <w:t xml:space="preserve">□  </w:t>
            </w:r>
            <w:r>
              <w:rPr>
                <w:rFonts w:hint="eastAsia" w:ascii="仿宋" w:hAnsi="仿宋" w:eastAsia="仿宋" w:cs="仿宋"/>
                <w:color w:val="auto"/>
                <w:sz w:val="24"/>
                <w:highlight w:val="none"/>
              </w:rPr>
              <w:t>否</w:t>
            </w:r>
            <w:r>
              <w:rPr>
                <w:rFonts w:hint="eastAsia" w:ascii="仿宋" w:hAnsi="仿宋" w:eastAsia="仿宋" w:cs="仿宋"/>
                <w:color w:val="auto"/>
                <w:sz w:val="30"/>
                <w:highlight w:val="none"/>
              </w:rPr>
              <w:t>□</w:t>
            </w:r>
          </w:p>
        </w:tc>
      </w:tr>
      <w:tr w14:paraId="0AA10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0FCBF1F9">
            <w:pPr>
              <w:pStyle w:val="45"/>
              <w:ind w:firstLine="480"/>
              <w:jc w:val="center"/>
              <w:rPr>
                <w:rFonts w:hint="eastAsia" w:ascii="仿宋" w:hAnsi="仿宋" w:eastAsia="仿宋" w:cs="仿宋"/>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5C13027E">
            <w:pPr>
              <w:pStyle w:val="45"/>
              <w:ind w:firstLine="480"/>
              <w:jc w:val="center"/>
              <w:rPr>
                <w:rFonts w:hint="eastAsia" w:ascii="仿宋" w:hAnsi="仿宋" w:eastAsia="仿宋" w:cs="仿宋"/>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31BFA29A">
            <w:pPr>
              <w:pStyle w:val="45"/>
              <w:ind w:firstLine="480"/>
              <w:jc w:val="center"/>
              <w:rPr>
                <w:rFonts w:hint="eastAsia" w:ascii="仿宋" w:hAnsi="仿宋" w:eastAsia="仿宋" w:cs="仿宋"/>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60F0D1E2">
            <w:pPr>
              <w:jc w:val="center"/>
              <w:rPr>
                <w:rFonts w:hint="eastAsia" w:ascii="仿宋" w:hAnsi="仿宋" w:eastAsia="仿宋" w:cs="仿宋"/>
                <w:color w:val="auto"/>
                <w:sz w:val="24"/>
                <w:highlight w:val="none"/>
              </w:rPr>
            </w:pPr>
          </w:p>
        </w:tc>
      </w:tr>
      <w:tr w14:paraId="7B1190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1B9C2280">
            <w:pPr>
              <w:pStyle w:val="45"/>
              <w:ind w:firstLine="480"/>
              <w:jc w:val="center"/>
              <w:rPr>
                <w:rFonts w:hint="eastAsia" w:ascii="仿宋" w:hAnsi="仿宋" w:eastAsia="仿宋" w:cs="仿宋"/>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1317F83D">
            <w:pPr>
              <w:pStyle w:val="45"/>
              <w:ind w:firstLine="480"/>
              <w:jc w:val="center"/>
              <w:rPr>
                <w:rFonts w:hint="eastAsia" w:ascii="仿宋" w:hAnsi="仿宋" w:eastAsia="仿宋" w:cs="仿宋"/>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619E52A7">
            <w:pPr>
              <w:pStyle w:val="45"/>
              <w:ind w:firstLine="480"/>
              <w:jc w:val="center"/>
              <w:rPr>
                <w:rFonts w:hint="eastAsia" w:ascii="仿宋" w:hAnsi="仿宋" w:eastAsia="仿宋" w:cs="仿宋"/>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581FAF90">
            <w:pPr>
              <w:jc w:val="center"/>
              <w:rPr>
                <w:rFonts w:hint="eastAsia" w:ascii="仿宋" w:hAnsi="仿宋" w:eastAsia="仿宋" w:cs="仿宋"/>
                <w:color w:val="auto"/>
                <w:sz w:val="24"/>
                <w:highlight w:val="none"/>
              </w:rPr>
            </w:pPr>
          </w:p>
        </w:tc>
      </w:tr>
      <w:tr w14:paraId="43F75A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15896B74">
            <w:pPr>
              <w:pStyle w:val="45"/>
              <w:ind w:firstLine="480"/>
              <w:jc w:val="center"/>
              <w:rPr>
                <w:rFonts w:hint="eastAsia" w:ascii="仿宋" w:hAnsi="仿宋" w:eastAsia="仿宋" w:cs="仿宋"/>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7D0DFBBB">
            <w:pPr>
              <w:pStyle w:val="45"/>
              <w:ind w:firstLine="480"/>
              <w:jc w:val="center"/>
              <w:rPr>
                <w:rFonts w:hint="eastAsia" w:ascii="仿宋" w:hAnsi="仿宋" w:eastAsia="仿宋" w:cs="仿宋"/>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2FDB7D82">
            <w:pPr>
              <w:pStyle w:val="45"/>
              <w:ind w:firstLine="480"/>
              <w:jc w:val="center"/>
              <w:rPr>
                <w:rFonts w:hint="eastAsia" w:ascii="仿宋" w:hAnsi="仿宋" w:eastAsia="仿宋" w:cs="仿宋"/>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0CC32645">
            <w:pPr>
              <w:jc w:val="center"/>
              <w:rPr>
                <w:rFonts w:hint="eastAsia" w:ascii="仿宋" w:hAnsi="仿宋" w:eastAsia="仿宋" w:cs="仿宋"/>
                <w:color w:val="auto"/>
                <w:sz w:val="24"/>
                <w:highlight w:val="none"/>
              </w:rPr>
            </w:pPr>
          </w:p>
        </w:tc>
      </w:tr>
      <w:tr w14:paraId="49686D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41AD402F">
            <w:pPr>
              <w:pStyle w:val="45"/>
              <w:ind w:firstLine="480"/>
              <w:jc w:val="center"/>
              <w:rPr>
                <w:rFonts w:hint="eastAsia" w:ascii="仿宋" w:hAnsi="仿宋" w:eastAsia="仿宋" w:cs="仿宋"/>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63DECAE4">
            <w:pPr>
              <w:pStyle w:val="45"/>
              <w:ind w:firstLine="480"/>
              <w:jc w:val="center"/>
              <w:rPr>
                <w:rFonts w:hint="eastAsia" w:ascii="仿宋" w:hAnsi="仿宋" w:eastAsia="仿宋" w:cs="仿宋"/>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7AA32D00">
            <w:pPr>
              <w:pStyle w:val="45"/>
              <w:ind w:firstLine="480"/>
              <w:jc w:val="center"/>
              <w:rPr>
                <w:rFonts w:hint="eastAsia" w:ascii="仿宋" w:hAnsi="仿宋" w:eastAsia="仿宋" w:cs="仿宋"/>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4F5B9E6E">
            <w:pPr>
              <w:jc w:val="center"/>
              <w:rPr>
                <w:rFonts w:hint="eastAsia" w:ascii="仿宋" w:hAnsi="仿宋" w:eastAsia="仿宋" w:cs="仿宋"/>
                <w:color w:val="auto"/>
                <w:sz w:val="24"/>
                <w:highlight w:val="none"/>
              </w:rPr>
            </w:pPr>
          </w:p>
        </w:tc>
      </w:tr>
      <w:tr w14:paraId="562562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1E7EA49D">
            <w:pPr>
              <w:pStyle w:val="45"/>
              <w:ind w:firstLine="480"/>
              <w:jc w:val="center"/>
              <w:rPr>
                <w:rFonts w:hint="eastAsia" w:ascii="仿宋" w:hAnsi="仿宋" w:eastAsia="仿宋" w:cs="仿宋"/>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0ABEB597">
            <w:pPr>
              <w:pStyle w:val="45"/>
              <w:ind w:firstLine="480"/>
              <w:jc w:val="center"/>
              <w:rPr>
                <w:rFonts w:hint="eastAsia" w:ascii="仿宋" w:hAnsi="仿宋" w:eastAsia="仿宋" w:cs="仿宋"/>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110801FA">
            <w:pPr>
              <w:pStyle w:val="45"/>
              <w:ind w:firstLine="480"/>
              <w:jc w:val="center"/>
              <w:rPr>
                <w:rFonts w:hint="eastAsia" w:ascii="仿宋" w:hAnsi="仿宋" w:eastAsia="仿宋" w:cs="仿宋"/>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4B590754">
            <w:pPr>
              <w:pStyle w:val="45"/>
              <w:ind w:firstLine="480"/>
              <w:jc w:val="center"/>
              <w:rPr>
                <w:rFonts w:hint="eastAsia" w:ascii="仿宋" w:hAnsi="仿宋" w:eastAsia="仿宋" w:cs="仿宋"/>
                <w:color w:val="auto"/>
                <w:sz w:val="24"/>
                <w:highlight w:val="none"/>
              </w:rPr>
            </w:pPr>
          </w:p>
        </w:tc>
      </w:tr>
      <w:tr w14:paraId="623BEA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4B93D8BB">
            <w:pPr>
              <w:pStyle w:val="45"/>
              <w:ind w:firstLine="480"/>
              <w:jc w:val="center"/>
              <w:rPr>
                <w:rFonts w:hint="eastAsia" w:ascii="仿宋" w:hAnsi="仿宋" w:eastAsia="仿宋" w:cs="仿宋"/>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5963118B">
            <w:pPr>
              <w:pStyle w:val="45"/>
              <w:ind w:firstLine="480"/>
              <w:jc w:val="center"/>
              <w:rPr>
                <w:rFonts w:hint="eastAsia" w:ascii="仿宋" w:hAnsi="仿宋" w:eastAsia="仿宋" w:cs="仿宋"/>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1C2E877B">
            <w:pPr>
              <w:pStyle w:val="45"/>
              <w:ind w:firstLine="480"/>
              <w:jc w:val="center"/>
              <w:rPr>
                <w:rFonts w:hint="eastAsia" w:ascii="仿宋" w:hAnsi="仿宋" w:eastAsia="仿宋" w:cs="仿宋"/>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0EF5C68D">
            <w:pPr>
              <w:pStyle w:val="45"/>
              <w:ind w:firstLine="480"/>
              <w:jc w:val="center"/>
              <w:rPr>
                <w:rFonts w:hint="eastAsia" w:ascii="仿宋" w:hAnsi="仿宋" w:eastAsia="仿宋" w:cs="仿宋"/>
                <w:color w:val="auto"/>
                <w:sz w:val="24"/>
                <w:highlight w:val="none"/>
              </w:rPr>
            </w:pPr>
          </w:p>
        </w:tc>
      </w:tr>
    </w:tbl>
    <w:p w14:paraId="0DA780EE">
      <w:pPr>
        <w:pStyle w:val="38"/>
        <w:spacing w:line="520" w:lineRule="exact"/>
        <w:ind w:firstLine="2240" w:firstLineChars="800"/>
        <w:rPr>
          <w:rFonts w:hint="eastAsia" w:ascii="仿宋" w:hAnsi="仿宋" w:eastAsia="仿宋" w:cs="仿宋"/>
          <w:color w:val="auto"/>
          <w:spacing w:val="20"/>
          <w:sz w:val="24"/>
          <w:highlight w:val="none"/>
          <w:lang w:eastAsia="zh-CN"/>
        </w:rPr>
      </w:pPr>
    </w:p>
    <w:p w14:paraId="7492CD71">
      <w:pPr>
        <w:pStyle w:val="7"/>
        <w:ind w:firstLine="0"/>
        <w:rPr>
          <w:rFonts w:hint="eastAsia" w:ascii="仿宋" w:hAnsi="仿宋" w:eastAsia="仿宋" w:cs="仿宋"/>
          <w:color w:val="auto"/>
          <w:highlight w:val="none"/>
        </w:rPr>
      </w:pPr>
    </w:p>
    <w:p w14:paraId="16CB1418">
      <w:pPr>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4C742247">
      <w:pPr>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20452923">
      <w:pPr>
        <w:pStyle w:val="37"/>
        <w:spacing w:line="360" w:lineRule="auto"/>
        <w:rPr>
          <w:rFonts w:hint="eastAsia" w:ascii="仿宋" w:hAnsi="仿宋" w:eastAsia="仿宋" w:cs="仿宋"/>
          <w:color w:val="auto"/>
          <w:sz w:val="24"/>
          <w:szCs w:val="21"/>
          <w:highlight w:val="none"/>
          <w:lang w:val="en-US" w:eastAsia="zh-CN"/>
        </w:rPr>
      </w:pPr>
    </w:p>
    <w:p w14:paraId="1174085B">
      <w:pPr>
        <w:pStyle w:val="37"/>
        <w:spacing w:line="360" w:lineRule="auto"/>
        <w:rPr>
          <w:rFonts w:hint="eastAsia" w:ascii="仿宋" w:hAnsi="仿宋" w:eastAsia="仿宋" w:cs="仿宋"/>
          <w:color w:val="auto"/>
          <w:sz w:val="24"/>
          <w:szCs w:val="21"/>
          <w:highlight w:val="none"/>
          <w:lang w:val="en-US" w:eastAsia="zh-CN"/>
        </w:rPr>
      </w:pPr>
    </w:p>
    <w:p w14:paraId="4A39EE4D">
      <w:pPr>
        <w:numPr>
          <w:ilvl w:val="0"/>
          <w:numId w:val="15"/>
        </w:numPr>
        <w:ind w:left="454" w:leftChars="0" w:hanging="454" w:firstLineChars="0"/>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zh-CN"/>
        </w:rPr>
        <w:t>政府采购供应商廉洁自律承诺书</w:t>
      </w:r>
    </w:p>
    <w:p w14:paraId="5E0DA90E">
      <w:pPr>
        <w:rPr>
          <w:rFonts w:hint="eastAsia" w:ascii="仿宋" w:hAnsi="仿宋" w:eastAsia="仿宋" w:cs="仿宋"/>
          <w:color w:val="auto"/>
        </w:rPr>
      </w:pPr>
    </w:p>
    <w:p w14:paraId="3D2A3410">
      <w:pPr>
        <w:pStyle w:val="36"/>
        <w:keepNext w:val="0"/>
        <w:keepLines w:val="0"/>
        <w:pageBreakBefore w:val="0"/>
        <w:widowControl w:val="0"/>
        <w:kinsoku/>
        <w:wordWrap/>
        <w:overflowPunct/>
        <w:topLinePunct w:val="0"/>
        <w:autoSpaceDE w:val="0"/>
        <w:autoSpaceDN w:val="0"/>
        <w:bidi w:val="0"/>
        <w:snapToGrid/>
        <w:spacing w:line="360" w:lineRule="auto"/>
        <w:textAlignment w:val="bottom"/>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浙江遂昌经济开发区管理委员会</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代理公司名称</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w:t>
      </w:r>
    </w:p>
    <w:p w14:paraId="37F3E5EE">
      <w:pPr>
        <w:keepNext w:val="0"/>
        <w:keepLines w:val="0"/>
        <w:pageBreakBefore w:val="0"/>
        <w:widowControl w:val="0"/>
        <w:kinsoku/>
        <w:wordWrap/>
        <w:overflowPunct/>
        <w:topLinePunct w:val="0"/>
        <w:autoSpaceDE w:val="0"/>
        <w:autoSpaceDN w:val="0"/>
        <w:bidi w:val="0"/>
        <w:snapToGrid/>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71C164B9">
      <w:pPr>
        <w:keepNext w:val="0"/>
        <w:keepLines w:val="0"/>
        <w:pageBreakBefore w:val="0"/>
        <w:widowControl w:val="0"/>
        <w:kinsoku/>
        <w:wordWrap/>
        <w:overflowPunct/>
        <w:topLinePunct w:val="0"/>
        <w:autoSpaceDE w:val="0"/>
        <w:autoSpaceDN w:val="0"/>
        <w:bidi w:val="0"/>
        <w:snapToGrid/>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5D50D768">
      <w:pPr>
        <w:keepNext w:val="0"/>
        <w:keepLines w:val="0"/>
        <w:pageBreakBefore w:val="0"/>
        <w:widowControl w:val="0"/>
        <w:kinsoku/>
        <w:wordWrap/>
        <w:overflowPunct/>
        <w:topLinePunct w:val="0"/>
        <w:autoSpaceDE w:val="0"/>
        <w:autoSpaceDN w:val="0"/>
        <w:bidi w:val="0"/>
        <w:snapToGrid/>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6E2FE38C">
      <w:pPr>
        <w:keepNext w:val="0"/>
        <w:keepLines w:val="0"/>
        <w:pageBreakBefore w:val="0"/>
        <w:widowControl w:val="0"/>
        <w:kinsoku/>
        <w:wordWrap/>
        <w:overflowPunct/>
        <w:topLinePunct w:val="0"/>
        <w:autoSpaceDE w:val="0"/>
        <w:autoSpaceDN w:val="0"/>
        <w:bidi w:val="0"/>
        <w:snapToGrid/>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57F6DDA4">
      <w:pPr>
        <w:keepNext w:val="0"/>
        <w:keepLines w:val="0"/>
        <w:pageBreakBefore w:val="0"/>
        <w:widowControl w:val="0"/>
        <w:kinsoku/>
        <w:wordWrap/>
        <w:overflowPunct/>
        <w:topLinePunct w:val="0"/>
        <w:autoSpaceDE w:val="0"/>
        <w:autoSpaceDN w:val="0"/>
        <w:bidi w:val="0"/>
        <w:snapToGrid/>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2898E8EF">
      <w:pPr>
        <w:keepNext w:val="0"/>
        <w:keepLines w:val="0"/>
        <w:pageBreakBefore w:val="0"/>
        <w:widowControl w:val="0"/>
        <w:kinsoku/>
        <w:wordWrap/>
        <w:overflowPunct/>
        <w:topLinePunct w:val="0"/>
        <w:autoSpaceDE w:val="0"/>
        <w:autoSpaceDN w:val="0"/>
        <w:bidi w:val="0"/>
        <w:snapToGrid/>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71C4651F">
      <w:pPr>
        <w:keepNext w:val="0"/>
        <w:keepLines w:val="0"/>
        <w:pageBreakBefore w:val="0"/>
        <w:widowControl w:val="0"/>
        <w:kinsoku/>
        <w:wordWrap/>
        <w:overflowPunct/>
        <w:topLinePunct w:val="0"/>
        <w:autoSpaceDE w:val="0"/>
        <w:autoSpaceDN w:val="0"/>
        <w:bidi w:val="0"/>
        <w:snapToGrid/>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4F23A9FB">
      <w:pPr>
        <w:keepNext w:val="0"/>
        <w:keepLines w:val="0"/>
        <w:pageBreakBefore w:val="0"/>
        <w:widowControl w:val="0"/>
        <w:kinsoku/>
        <w:wordWrap/>
        <w:overflowPunct/>
        <w:topLinePunct w:val="0"/>
        <w:autoSpaceDE w:val="0"/>
        <w:autoSpaceDN w:val="0"/>
        <w:bidi w:val="0"/>
        <w:snapToGrid/>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447DDC42">
      <w:pPr>
        <w:keepNext w:val="0"/>
        <w:keepLines w:val="0"/>
        <w:pageBreakBefore w:val="0"/>
        <w:widowControl w:val="0"/>
        <w:kinsoku/>
        <w:wordWrap/>
        <w:overflowPunct/>
        <w:topLinePunct w:val="0"/>
        <w:autoSpaceDE w:val="0"/>
        <w:autoSpaceDN w:val="0"/>
        <w:bidi w:val="0"/>
        <w:snapToGrid/>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6F233BC6">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w:t>
      </w:r>
      <w:r>
        <w:rPr>
          <w:rFonts w:hint="eastAsia" w:ascii="仿宋" w:hAnsi="仿宋" w:eastAsia="仿宋" w:cs="仿宋"/>
          <w:color w:val="auto"/>
          <w:kern w:val="0"/>
          <w:sz w:val="24"/>
          <w:highlight w:val="none"/>
          <w:lang w:val="en-US" w:eastAsia="zh-CN"/>
        </w:rPr>
        <w:t>县</w:t>
      </w:r>
      <w:r>
        <w:rPr>
          <w:rFonts w:hint="eastAsia" w:ascii="仿宋" w:hAnsi="仿宋" w:eastAsia="仿宋" w:cs="仿宋"/>
          <w:color w:val="auto"/>
          <w:kern w:val="0"/>
          <w:sz w:val="24"/>
          <w:highlight w:val="none"/>
          <w:lang w:val="zh-CN"/>
        </w:rPr>
        <w:t>财政局。由此引起的相应损失均由我单位承担。</w:t>
      </w:r>
    </w:p>
    <w:p w14:paraId="188BEF73">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rPr>
          <w:rFonts w:hint="eastAsia" w:ascii="仿宋" w:hAnsi="仿宋" w:eastAsia="仿宋" w:cs="仿宋"/>
          <w:color w:val="auto"/>
          <w:kern w:val="0"/>
          <w:sz w:val="24"/>
          <w:highlight w:val="none"/>
          <w:lang w:val="zh-CN"/>
        </w:rPr>
      </w:pPr>
    </w:p>
    <w:p w14:paraId="76556574">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rPr>
          <w:rFonts w:hint="eastAsia" w:ascii="仿宋" w:hAnsi="仿宋" w:eastAsia="仿宋" w:cs="仿宋"/>
          <w:color w:val="auto"/>
          <w:kern w:val="0"/>
          <w:sz w:val="24"/>
          <w:highlight w:val="none"/>
          <w:lang w:val="zh-CN"/>
        </w:rPr>
      </w:pPr>
    </w:p>
    <w:p w14:paraId="0F026489">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rPr>
          <w:rFonts w:hint="eastAsia" w:ascii="仿宋" w:hAnsi="仿宋" w:eastAsia="仿宋" w:cs="仿宋"/>
          <w:color w:val="auto"/>
          <w:kern w:val="0"/>
          <w:sz w:val="24"/>
          <w:highlight w:val="none"/>
          <w:lang w:val="zh-CN"/>
        </w:rPr>
      </w:pPr>
    </w:p>
    <w:p w14:paraId="5721E2CE">
      <w:pPr>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4D48337E">
      <w:pPr>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7E021A90">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rPr>
          <w:rFonts w:hint="eastAsia" w:ascii="仿宋" w:hAnsi="仿宋" w:eastAsia="仿宋" w:cs="仿宋"/>
          <w:color w:val="auto"/>
          <w:kern w:val="0"/>
          <w:sz w:val="24"/>
          <w:highlight w:val="none"/>
          <w:lang w:val="zh-CN"/>
        </w:rPr>
      </w:pPr>
    </w:p>
    <w:p w14:paraId="619DB273">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rPr>
          <w:rFonts w:hint="eastAsia" w:ascii="仿宋" w:hAnsi="仿宋" w:eastAsia="仿宋" w:cs="仿宋"/>
          <w:color w:val="auto"/>
          <w:kern w:val="0"/>
          <w:sz w:val="24"/>
          <w:highlight w:val="none"/>
          <w:lang w:val="zh-CN"/>
        </w:rPr>
      </w:pPr>
    </w:p>
    <w:p w14:paraId="3015C13E">
      <w:pPr>
        <w:keepNext w:val="0"/>
        <w:keepLines w:val="0"/>
        <w:pageBreakBefore w:val="0"/>
        <w:widowControl w:val="0"/>
        <w:kinsoku/>
        <w:wordWrap/>
        <w:overflowPunct/>
        <w:topLinePunct w:val="0"/>
        <w:autoSpaceDE w:val="0"/>
        <w:autoSpaceDN w:val="0"/>
        <w:bidi w:val="0"/>
        <w:snapToGrid/>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注：按本格式和要求提供。</w:t>
      </w:r>
    </w:p>
    <w:p w14:paraId="7CCDB031">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rPr>
          <w:rFonts w:hint="eastAsia" w:ascii="仿宋" w:hAnsi="仿宋" w:eastAsia="仿宋" w:cs="仿宋"/>
          <w:color w:val="auto"/>
          <w:kern w:val="0"/>
          <w:sz w:val="24"/>
          <w:highlight w:val="none"/>
          <w:lang w:val="zh-CN"/>
        </w:rPr>
      </w:pPr>
    </w:p>
    <w:p w14:paraId="0EE3C8F0">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rPr>
          <w:rFonts w:hint="eastAsia" w:ascii="仿宋" w:hAnsi="仿宋" w:eastAsia="仿宋" w:cs="仿宋"/>
          <w:color w:val="auto"/>
          <w:kern w:val="0"/>
          <w:sz w:val="24"/>
          <w:highlight w:val="none"/>
          <w:lang w:val="zh-CN"/>
        </w:rPr>
      </w:pPr>
    </w:p>
    <w:p w14:paraId="134FB8F9">
      <w:pPr>
        <w:spacing w:line="360" w:lineRule="auto"/>
        <w:jc w:val="both"/>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70BC6FF3">
      <w:pPr>
        <w:keepNext w:val="0"/>
        <w:keepLines w:val="0"/>
        <w:pageBreakBefore w:val="0"/>
        <w:widowControl w:val="0"/>
        <w:numPr>
          <w:ilvl w:val="0"/>
          <w:numId w:val="15"/>
        </w:numPr>
        <w:kinsoku/>
        <w:wordWrap/>
        <w:overflowPunct/>
        <w:topLinePunct w:val="0"/>
        <w:autoSpaceDE/>
        <w:autoSpaceDN/>
        <w:bidi w:val="0"/>
        <w:adjustRightInd w:val="0"/>
        <w:snapToGrid/>
        <w:spacing w:line="360" w:lineRule="auto"/>
        <w:ind w:left="454" w:leftChars="0" w:hanging="454" w:firstLineChars="0"/>
        <w:jc w:val="left"/>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商务响应表</w:t>
      </w:r>
    </w:p>
    <w:p w14:paraId="479F7584">
      <w:pPr>
        <w:keepNext w:val="0"/>
        <w:keepLines w:val="0"/>
        <w:pageBreakBefore w:val="0"/>
        <w:widowControl w:val="0"/>
        <w:kinsoku/>
        <w:wordWrap/>
        <w:overflowPunct/>
        <w:topLinePunct w:val="0"/>
        <w:autoSpaceDE/>
        <w:autoSpaceDN/>
        <w:bidi w:val="0"/>
        <w:adjustRightInd w:val="0"/>
        <w:snapToGrid/>
        <w:spacing w:after="120" w:afterLines="50" w:line="360" w:lineRule="auto"/>
        <w:jc w:val="center"/>
        <w:textAlignment w:val="auto"/>
        <w:rPr>
          <w:rFonts w:hint="eastAsia" w:ascii="仿宋" w:hAnsi="仿宋" w:eastAsia="仿宋" w:cs="仿宋"/>
          <w:color w:val="auto"/>
          <w:sz w:val="30"/>
          <w:highlight w:val="none"/>
        </w:rPr>
      </w:pPr>
      <w:r>
        <w:rPr>
          <w:rFonts w:hint="eastAsia" w:ascii="仿宋" w:hAnsi="仿宋" w:eastAsia="仿宋" w:cs="仿宋"/>
          <w:color w:val="auto"/>
          <w:sz w:val="30"/>
          <w:highlight w:val="none"/>
        </w:rPr>
        <w:t>商务响应表</w:t>
      </w:r>
    </w:p>
    <w:p w14:paraId="776B0B0D">
      <w:pPr>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rPr>
        <w:t xml:space="preserve">                    </w:t>
      </w:r>
    </w:p>
    <w:p w14:paraId="39D97433">
      <w:pPr>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927"/>
        <w:gridCol w:w="2546"/>
        <w:gridCol w:w="2694"/>
        <w:gridCol w:w="1275"/>
      </w:tblGrid>
      <w:tr w14:paraId="11A3D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5D393A03">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927" w:type="dxa"/>
            <w:noWrap w:val="0"/>
            <w:vAlign w:val="center"/>
          </w:tcPr>
          <w:p w14:paraId="6C0C2F91">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类别</w:t>
            </w:r>
          </w:p>
        </w:tc>
        <w:tc>
          <w:tcPr>
            <w:tcW w:w="2546" w:type="dxa"/>
            <w:noWrap w:val="0"/>
            <w:vAlign w:val="center"/>
          </w:tcPr>
          <w:p w14:paraId="1645C2C3">
            <w:pPr>
              <w:pStyle w:val="46"/>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采购</w:t>
            </w:r>
            <w:r>
              <w:rPr>
                <w:rFonts w:hint="eastAsia" w:ascii="仿宋" w:hAnsi="仿宋" w:eastAsia="仿宋" w:cs="仿宋"/>
                <w:color w:val="auto"/>
                <w:sz w:val="24"/>
                <w:highlight w:val="none"/>
              </w:rPr>
              <w:t>文件要求</w:t>
            </w:r>
          </w:p>
        </w:tc>
        <w:tc>
          <w:tcPr>
            <w:tcW w:w="2694" w:type="dxa"/>
            <w:noWrap w:val="0"/>
            <w:vAlign w:val="center"/>
          </w:tcPr>
          <w:p w14:paraId="5D47DF0A">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投标人承诺</w:t>
            </w:r>
          </w:p>
        </w:tc>
        <w:tc>
          <w:tcPr>
            <w:tcW w:w="1275" w:type="dxa"/>
            <w:noWrap w:val="0"/>
            <w:vAlign w:val="center"/>
          </w:tcPr>
          <w:p w14:paraId="1F045445">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501AE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157B3F20">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927" w:type="dxa"/>
            <w:noWrap w:val="0"/>
            <w:vAlign w:val="center"/>
          </w:tcPr>
          <w:p w14:paraId="0A98740F">
            <w:pPr>
              <w:pStyle w:val="46"/>
              <w:jc w:val="center"/>
              <w:rPr>
                <w:rFonts w:hint="eastAsia" w:ascii="仿宋" w:hAnsi="仿宋" w:eastAsia="仿宋" w:cs="仿宋"/>
                <w:color w:val="auto"/>
                <w:sz w:val="24"/>
                <w:highlight w:val="none"/>
              </w:rPr>
            </w:pPr>
          </w:p>
        </w:tc>
        <w:tc>
          <w:tcPr>
            <w:tcW w:w="2546" w:type="dxa"/>
            <w:noWrap w:val="0"/>
            <w:vAlign w:val="center"/>
          </w:tcPr>
          <w:p w14:paraId="7AA05301">
            <w:pPr>
              <w:pStyle w:val="46"/>
              <w:jc w:val="center"/>
              <w:rPr>
                <w:rFonts w:hint="eastAsia" w:ascii="仿宋" w:hAnsi="仿宋" w:eastAsia="仿宋" w:cs="仿宋"/>
                <w:color w:val="auto"/>
                <w:sz w:val="24"/>
                <w:highlight w:val="none"/>
              </w:rPr>
            </w:pPr>
          </w:p>
        </w:tc>
        <w:tc>
          <w:tcPr>
            <w:tcW w:w="2694" w:type="dxa"/>
            <w:noWrap w:val="0"/>
            <w:vAlign w:val="center"/>
          </w:tcPr>
          <w:p w14:paraId="04224F43">
            <w:pPr>
              <w:pStyle w:val="46"/>
              <w:jc w:val="center"/>
              <w:rPr>
                <w:rFonts w:hint="eastAsia" w:ascii="仿宋" w:hAnsi="仿宋" w:eastAsia="仿宋" w:cs="仿宋"/>
                <w:color w:val="auto"/>
                <w:sz w:val="24"/>
                <w:highlight w:val="none"/>
              </w:rPr>
            </w:pPr>
          </w:p>
        </w:tc>
        <w:tc>
          <w:tcPr>
            <w:tcW w:w="1275" w:type="dxa"/>
            <w:noWrap w:val="0"/>
            <w:vAlign w:val="center"/>
          </w:tcPr>
          <w:p w14:paraId="32D0194A">
            <w:pPr>
              <w:pStyle w:val="46"/>
              <w:jc w:val="center"/>
              <w:rPr>
                <w:rFonts w:hint="eastAsia" w:ascii="仿宋" w:hAnsi="仿宋" w:eastAsia="仿宋" w:cs="仿宋"/>
                <w:color w:val="auto"/>
                <w:sz w:val="24"/>
                <w:highlight w:val="none"/>
              </w:rPr>
            </w:pPr>
          </w:p>
        </w:tc>
      </w:tr>
      <w:tr w14:paraId="5ADB8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55E3E4ED">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927" w:type="dxa"/>
            <w:noWrap w:val="0"/>
            <w:vAlign w:val="center"/>
          </w:tcPr>
          <w:p w14:paraId="06DA4386">
            <w:pPr>
              <w:pStyle w:val="46"/>
              <w:jc w:val="center"/>
              <w:rPr>
                <w:rFonts w:hint="eastAsia" w:ascii="仿宋" w:hAnsi="仿宋" w:eastAsia="仿宋" w:cs="仿宋"/>
                <w:color w:val="auto"/>
                <w:sz w:val="24"/>
                <w:highlight w:val="none"/>
              </w:rPr>
            </w:pPr>
          </w:p>
        </w:tc>
        <w:tc>
          <w:tcPr>
            <w:tcW w:w="2546" w:type="dxa"/>
            <w:noWrap w:val="0"/>
            <w:vAlign w:val="center"/>
          </w:tcPr>
          <w:p w14:paraId="387D74E7">
            <w:pPr>
              <w:pStyle w:val="10"/>
              <w:spacing w:line="360" w:lineRule="auto"/>
              <w:jc w:val="center"/>
              <w:rPr>
                <w:rFonts w:hint="eastAsia" w:ascii="仿宋" w:hAnsi="仿宋" w:eastAsia="仿宋" w:cs="仿宋"/>
                <w:color w:val="auto"/>
                <w:sz w:val="24"/>
                <w:highlight w:val="none"/>
              </w:rPr>
            </w:pPr>
          </w:p>
        </w:tc>
        <w:tc>
          <w:tcPr>
            <w:tcW w:w="2694" w:type="dxa"/>
            <w:noWrap w:val="0"/>
            <w:vAlign w:val="center"/>
          </w:tcPr>
          <w:p w14:paraId="4328FC43">
            <w:pPr>
              <w:pStyle w:val="46"/>
              <w:jc w:val="center"/>
              <w:rPr>
                <w:rFonts w:hint="eastAsia" w:ascii="仿宋" w:hAnsi="仿宋" w:eastAsia="仿宋" w:cs="仿宋"/>
                <w:color w:val="auto"/>
                <w:sz w:val="24"/>
                <w:highlight w:val="none"/>
              </w:rPr>
            </w:pPr>
          </w:p>
        </w:tc>
        <w:tc>
          <w:tcPr>
            <w:tcW w:w="1275" w:type="dxa"/>
            <w:noWrap w:val="0"/>
            <w:vAlign w:val="center"/>
          </w:tcPr>
          <w:p w14:paraId="064B2F84">
            <w:pPr>
              <w:pStyle w:val="46"/>
              <w:jc w:val="center"/>
              <w:rPr>
                <w:rFonts w:hint="eastAsia" w:ascii="仿宋" w:hAnsi="仿宋" w:eastAsia="仿宋" w:cs="仿宋"/>
                <w:color w:val="auto"/>
                <w:sz w:val="24"/>
                <w:highlight w:val="none"/>
              </w:rPr>
            </w:pPr>
          </w:p>
        </w:tc>
      </w:tr>
      <w:tr w14:paraId="1AAD0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327488D4">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927" w:type="dxa"/>
            <w:noWrap w:val="0"/>
            <w:vAlign w:val="center"/>
          </w:tcPr>
          <w:p w14:paraId="5D74AB69">
            <w:pPr>
              <w:pStyle w:val="46"/>
              <w:jc w:val="center"/>
              <w:rPr>
                <w:rFonts w:hint="eastAsia" w:ascii="仿宋" w:hAnsi="仿宋" w:eastAsia="仿宋" w:cs="仿宋"/>
                <w:color w:val="auto"/>
                <w:sz w:val="24"/>
                <w:highlight w:val="none"/>
              </w:rPr>
            </w:pPr>
          </w:p>
        </w:tc>
        <w:tc>
          <w:tcPr>
            <w:tcW w:w="2546" w:type="dxa"/>
            <w:noWrap w:val="0"/>
            <w:vAlign w:val="center"/>
          </w:tcPr>
          <w:p w14:paraId="559743DB">
            <w:pPr>
              <w:pStyle w:val="10"/>
              <w:spacing w:line="360" w:lineRule="auto"/>
              <w:jc w:val="center"/>
              <w:rPr>
                <w:rFonts w:hint="eastAsia" w:ascii="仿宋" w:hAnsi="仿宋" w:eastAsia="仿宋" w:cs="仿宋"/>
                <w:color w:val="auto"/>
                <w:sz w:val="24"/>
                <w:highlight w:val="none"/>
              </w:rPr>
            </w:pPr>
          </w:p>
        </w:tc>
        <w:tc>
          <w:tcPr>
            <w:tcW w:w="2694" w:type="dxa"/>
            <w:noWrap w:val="0"/>
            <w:vAlign w:val="center"/>
          </w:tcPr>
          <w:p w14:paraId="66BF65FC">
            <w:pPr>
              <w:pStyle w:val="46"/>
              <w:jc w:val="center"/>
              <w:rPr>
                <w:rFonts w:hint="eastAsia" w:ascii="仿宋" w:hAnsi="仿宋" w:eastAsia="仿宋" w:cs="仿宋"/>
                <w:color w:val="auto"/>
                <w:sz w:val="24"/>
                <w:highlight w:val="none"/>
              </w:rPr>
            </w:pPr>
          </w:p>
        </w:tc>
        <w:tc>
          <w:tcPr>
            <w:tcW w:w="1275" w:type="dxa"/>
            <w:noWrap w:val="0"/>
            <w:vAlign w:val="center"/>
          </w:tcPr>
          <w:p w14:paraId="22A575E8">
            <w:pPr>
              <w:pStyle w:val="46"/>
              <w:jc w:val="center"/>
              <w:rPr>
                <w:rFonts w:hint="eastAsia" w:ascii="仿宋" w:hAnsi="仿宋" w:eastAsia="仿宋" w:cs="仿宋"/>
                <w:color w:val="auto"/>
                <w:sz w:val="24"/>
                <w:highlight w:val="none"/>
              </w:rPr>
            </w:pPr>
          </w:p>
        </w:tc>
      </w:tr>
      <w:tr w14:paraId="6656F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177A02E2">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927" w:type="dxa"/>
            <w:noWrap w:val="0"/>
            <w:vAlign w:val="center"/>
          </w:tcPr>
          <w:p w14:paraId="66AB825F">
            <w:pPr>
              <w:pStyle w:val="46"/>
              <w:jc w:val="center"/>
              <w:rPr>
                <w:rFonts w:hint="eastAsia" w:ascii="仿宋" w:hAnsi="仿宋" w:eastAsia="仿宋" w:cs="仿宋"/>
                <w:color w:val="auto"/>
                <w:sz w:val="24"/>
                <w:highlight w:val="none"/>
              </w:rPr>
            </w:pPr>
          </w:p>
        </w:tc>
        <w:tc>
          <w:tcPr>
            <w:tcW w:w="2546" w:type="dxa"/>
            <w:noWrap w:val="0"/>
            <w:vAlign w:val="center"/>
          </w:tcPr>
          <w:p w14:paraId="562386C7">
            <w:pPr>
              <w:pStyle w:val="46"/>
              <w:jc w:val="center"/>
              <w:rPr>
                <w:rFonts w:hint="eastAsia" w:ascii="仿宋" w:hAnsi="仿宋" w:eastAsia="仿宋" w:cs="仿宋"/>
                <w:color w:val="auto"/>
                <w:sz w:val="24"/>
                <w:highlight w:val="none"/>
              </w:rPr>
            </w:pPr>
          </w:p>
        </w:tc>
        <w:tc>
          <w:tcPr>
            <w:tcW w:w="2694" w:type="dxa"/>
            <w:noWrap w:val="0"/>
            <w:vAlign w:val="center"/>
          </w:tcPr>
          <w:p w14:paraId="5576DE95">
            <w:pPr>
              <w:pStyle w:val="46"/>
              <w:jc w:val="center"/>
              <w:rPr>
                <w:rFonts w:hint="eastAsia" w:ascii="仿宋" w:hAnsi="仿宋" w:eastAsia="仿宋" w:cs="仿宋"/>
                <w:color w:val="auto"/>
                <w:sz w:val="24"/>
                <w:highlight w:val="none"/>
              </w:rPr>
            </w:pPr>
          </w:p>
        </w:tc>
        <w:tc>
          <w:tcPr>
            <w:tcW w:w="1275" w:type="dxa"/>
            <w:noWrap w:val="0"/>
            <w:vAlign w:val="center"/>
          </w:tcPr>
          <w:p w14:paraId="2C2C544B">
            <w:pPr>
              <w:pStyle w:val="46"/>
              <w:jc w:val="center"/>
              <w:rPr>
                <w:rFonts w:hint="eastAsia" w:ascii="仿宋" w:hAnsi="仿宋" w:eastAsia="仿宋" w:cs="仿宋"/>
                <w:color w:val="auto"/>
                <w:sz w:val="24"/>
                <w:highlight w:val="none"/>
              </w:rPr>
            </w:pPr>
          </w:p>
        </w:tc>
      </w:tr>
      <w:tr w14:paraId="1C4F6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43233CE7">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927" w:type="dxa"/>
            <w:noWrap w:val="0"/>
            <w:vAlign w:val="center"/>
          </w:tcPr>
          <w:p w14:paraId="11D89D23">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546" w:type="dxa"/>
            <w:noWrap w:val="0"/>
            <w:vAlign w:val="center"/>
          </w:tcPr>
          <w:p w14:paraId="5BD51440">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694" w:type="dxa"/>
            <w:noWrap w:val="0"/>
            <w:vAlign w:val="center"/>
          </w:tcPr>
          <w:p w14:paraId="2E0C6C44">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275" w:type="dxa"/>
            <w:noWrap w:val="0"/>
            <w:vAlign w:val="center"/>
          </w:tcPr>
          <w:p w14:paraId="288BAFEA">
            <w:pPr>
              <w:pStyle w:val="4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bl>
    <w:p w14:paraId="00C99FD4">
      <w:pPr>
        <w:numPr>
          <w:ilvl w:val="0"/>
          <w:numId w:val="0"/>
        </w:numPr>
        <w:spacing w:line="360" w:lineRule="auto"/>
        <w:ind w:left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注：</w:t>
      </w:r>
    </w:p>
    <w:p w14:paraId="1F189247">
      <w:pPr>
        <w:numPr>
          <w:ilvl w:val="0"/>
          <w:numId w:val="16"/>
        </w:numPr>
        <w:spacing w:line="360" w:lineRule="auto"/>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投标人根据采购文件第</w:t>
      </w:r>
      <w:r>
        <w:rPr>
          <w:rFonts w:hint="eastAsia" w:ascii="仿宋" w:hAnsi="仿宋" w:eastAsia="仿宋" w:cs="仿宋"/>
          <w:color w:val="auto"/>
          <w:sz w:val="24"/>
          <w:highlight w:val="none"/>
          <w:lang w:val="en-US" w:eastAsia="zh-CN"/>
        </w:rPr>
        <w:t>三</w:t>
      </w:r>
      <w:r>
        <w:rPr>
          <w:rFonts w:hint="eastAsia" w:ascii="仿宋" w:hAnsi="仿宋" w:eastAsia="仿宋" w:cs="仿宋"/>
          <w:color w:val="auto"/>
          <w:sz w:val="24"/>
          <w:highlight w:val="none"/>
        </w:rPr>
        <w:t>章内容填写并作出相应承诺。如未填写或漏项，视为响应招标文件要求。此表可在不改变格式的情况下可自行制作。</w:t>
      </w:r>
    </w:p>
    <w:p w14:paraId="1BCDBFEB">
      <w:pPr>
        <w:numPr>
          <w:ilvl w:val="0"/>
          <w:numId w:val="16"/>
        </w:numPr>
        <w:spacing w:line="360" w:lineRule="auto"/>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备注栏填正偏离、负偏离或无偏离。</w:t>
      </w:r>
    </w:p>
    <w:p w14:paraId="33D805E1">
      <w:pPr>
        <w:pStyle w:val="19"/>
        <w:ind w:firstLine="480"/>
        <w:rPr>
          <w:rFonts w:hint="eastAsia" w:ascii="仿宋" w:hAnsi="仿宋" w:eastAsia="仿宋" w:cs="仿宋"/>
          <w:color w:val="auto"/>
          <w:sz w:val="24"/>
          <w:szCs w:val="21"/>
          <w:highlight w:val="none"/>
          <w:u w:val="single"/>
        </w:rPr>
      </w:pPr>
    </w:p>
    <w:p w14:paraId="7633FFEA">
      <w:pPr>
        <w:pStyle w:val="48"/>
        <w:ind w:firstLine="480"/>
        <w:rPr>
          <w:rFonts w:hint="eastAsia" w:ascii="仿宋" w:hAnsi="仿宋" w:eastAsia="仿宋" w:cs="仿宋"/>
          <w:color w:val="auto"/>
          <w:highlight w:val="none"/>
        </w:rPr>
      </w:pPr>
    </w:p>
    <w:p w14:paraId="1384153A">
      <w:pPr>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6565C7A4">
      <w:pPr>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04FAC289">
      <w:pPr>
        <w:spacing w:line="360" w:lineRule="auto"/>
        <w:jc w:val="center"/>
        <w:rPr>
          <w:rFonts w:hint="eastAsia" w:ascii="仿宋" w:hAnsi="仿宋" w:eastAsia="仿宋" w:cs="仿宋"/>
          <w:b/>
          <w:color w:val="auto"/>
          <w:kern w:val="0"/>
          <w:sz w:val="32"/>
          <w:szCs w:val="32"/>
          <w:highlight w:val="none"/>
        </w:rPr>
      </w:pPr>
    </w:p>
    <w:p w14:paraId="1A36E076">
      <w:pPr>
        <w:spacing w:line="360" w:lineRule="auto"/>
        <w:jc w:val="center"/>
        <w:rPr>
          <w:rFonts w:hint="eastAsia" w:ascii="仿宋" w:hAnsi="仿宋" w:eastAsia="仿宋" w:cs="仿宋"/>
          <w:b/>
          <w:color w:val="auto"/>
          <w:kern w:val="0"/>
          <w:sz w:val="32"/>
          <w:szCs w:val="32"/>
          <w:highlight w:val="none"/>
        </w:rPr>
      </w:pPr>
    </w:p>
    <w:p w14:paraId="164AD2AD">
      <w:pPr>
        <w:spacing w:line="360" w:lineRule="auto"/>
        <w:jc w:val="center"/>
        <w:rPr>
          <w:rFonts w:hint="eastAsia" w:ascii="仿宋" w:hAnsi="仿宋" w:eastAsia="仿宋" w:cs="仿宋"/>
          <w:b/>
          <w:color w:val="auto"/>
          <w:kern w:val="0"/>
          <w:sz w:val="32"/>
          <w:szCs w:val="32"/>
          <w:highlight w:val="none"/>
        </w:rPr>
      </w:pPr>
    </w:p>
    <w:p w14:paraId="6FFCDD53">
      <w:pPr>
        <w:numPr>
          <w:ilvl w:val="0"/>
          <w:numId w:val="15"/>
        </w:numPr>
        <w:ind w:left="454" w:leftChars="0" w:hanging="454" w:firstLineChars="0"/>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评标标准相应的商务技术资料</w:t>
      </w:r>
    </w:p>
    <w:p w14:paraId="1FB51D5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（按招标文件第四部分评标办法前附表中“投标文件中评标标准相应的商务技术资料目录”提供资料。）</w:t>
      </w:r>
    </w:p>
    <w:p w14:paraId="7093CF84">
      <w:pPr>
        <w:pStyle w:val="18"/>
        <w:spacing w:beforeLines="100" w:after="240" w:afterLines="100"/>
        <w:outlineLvl w:val="1"/>
        <w:rPr>
          <w:rFonts w:hint="eastAsia" w:ascii="仿宋" w:hAnsi="仿宋" w:eastAsia="仿宋" w:cs="仿宋"/>
          <w:color w:val="auto"/>
          <w:sz w:val="36"/>
          <w:szCs w:val="36"/>
          <w:highlight w:val="none"/>
        </w:rPr>
      </w:pPr>
    </w:p>
    <w:p w14:paraId="77754498">
      <w:pPr>
        <w:pStyle w:val="18"/>
        <w:spacing w:beforeLines="100" w:after="240" w:afterLines="100"/>
        <w:outlineLvl w:val="1"/>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lang w:val="en-US" w:eastAsia="zh-CN"/>
        </w:rPr>
        <w:t>三</w:t>
      </w:r>
      <w:r>
        <w:rPr>
          <w:rFonts w:hint="eastAsia" w:ascii="仿宋" w:hAnsi="仿宋" w:eastAsia="仿宋" w:cs="仿宋"/>
          <w:color w:val="auto"/>
          <w:sz w:val="36"/>
          <w:szCs w:val="36"/>
          <w:highlight w:val="none"/>
        </w:rPr>
        <w:t xml:space="preserve">  </w:t>
      </w:r>
      <w:r>
        <w:rPr>
          <w:rFonts w:hint="eastAsia" w:ascii="仿宋" w:hAnsi="仿宋" w:eastAsia="仿宋" w:cs="仿宋"/>
          <w:color w:val="auto"/>
          <w:sz w:val="36"/>
          <w:szCs w:val="36"/>
          <w:highlight w:val="none"/>
          <w:lang w:val="en-US" w:eastAsia="zh-CN"/>
        </w:rPr>
        <w:t>报价</w:t>
      </w:r>
      <w:r>
        <w:rPr>
          <w:rFonts w:hint="eastAsia" w:ascii="仿宋" w:hAnsi="仿宋" w:eastAsia="仿宋" w:cs="仿宋"/>
          <w:color w:val="auto"/>
          <w:sz w:val="36"/>
          <w:szCs w:val="36"/>
          <w:highlight w:val="none"/>
        </w:rPr>
        <w:t>文件格式</w:t>
      </w:r>
    </w:p>
    <w:p w14:paraId="36244B3B">
      <w:pPr>
        <w:rPr>
          <w:rFonts w:hint="eastAsia" w:ascii="仿宋" w:hAnsi="仿宋" w:eastAsia="仿宋" w:cs="仿宋"/>
          <w:color w:val="auto"/>
          <w:highlight w:val="none"/>
        </w:rPr>
      </w:pPr>
    </w:p>
    <w:p w14:paraId="53520D59">
      <w:pPr>
        <w:spacing w:line="360" w:lineRule="auto"/>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1.</w:t>
      </w:r>
      <w:r>
        <w:rPr>
          <w:rFonts w:hint="eastAsia" w:ascii="仿宋" w:hAnsi="仿宋" w:eastAsia="仿宋" w:cs="仿宋"/>
          <w:b/>
          <w:color w:val="auto"/>
          <w:kern w:val="0"/>
          <w:sz w:val="28"/>
          <w:szCs w:val="28"/>
          <w:highlight w:val="none"/>
          <w:lang w:val="en-US" w:eastAsia="zh-CN"/>
        </w:rPr>
        <w:t>报价</w:t>
      </w:r>
      <w:r>
        <w:rPr>
          <w:rFonts w:hint="eastAsia" w:ascii="仿宋" w:hAnsi="仿宋" w:eastAsia="仿宋" w:cs="仿宋"/>
          <w:b/>
          <w:color w:val="auto"/>
          <w:kern w:val="0"/>
          <w:sz w:val="28"/>
          <w:szCs w:val="28"/>
          <w:highlight w:val="none"/>
        </w:rPr>
        <w:t>文件封面格式</w:t>
      </w:r>
    </w:p>
    <w:p w14:paraId="43608234">
      <w:pPr>
        <w:pStyle w:val="7"/>
        <w:spacing w:line="360" w:lineRule="auto"/>
        <w:ind w:firstLine="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响应文件</w:t>
      </w:r>
    </w:p>
    <w:tbl>
      <w:tblPr>
        <w:tblStyle w:val="20"/>
        <w:tblW w:w="0" w:type="auto"/>
        <w:jc w:val="center"/>
        <w:tblLayout w:type="fixed"/>
        <w:tblCellMar>
          <w:top w:w="0" w:type="dxa"/>
          <w:left w:w="108" w:type="dxa"/>
          <w:bottom w:w="0" w:type="dxa"/>
          <w:right w:w="108" w:type="dxa"/>
        </w:tblCellMar>
      </w:tblPr>
      <w:tblGrid>
        <w:gridCol w:w="2518"/>
        <w:gridCol w:w="4536"/>
      </w:tblGrid>
      <w:tr w14:paraId="1E548462">
        <w:tblPrEx>
          <w:tblCellMar>
            <w:top w:w="0" w:type="dxa"/>
            <w:left w:w="108" w:type="dxa"/>
            <w:bottom w:w="0" w:type="dxa"/>
            <w:right w:w="108" w:type="dxa"/>
          </w:tblCellMar>
        </w:tblPrEx>
        <w:trPr>
          <w:trHeight w:val="397" w:hRule="atLeast"/>
          <w:jc w:val="center"/>
        </w:trPr>
        <w:tc>
          <w:tcPr>
            <w:tcW w:w="2518" w:type="dxa"/>
            <w:noWrap w:val="0"/>
            <w:vAlign w:val="center"/>
          </w:tcPr>
          <w:p w14:paraId="5D233D03">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响应文件名称：</w:t>
            </w:r>
          </w:p>
        </w:tc>
        <w:tc>
          <w:tcPr>
            <w:tcW w:w="4536" w:type="dxa"/>
            <w:noWrap w:val="0"/>
            <w:vAlign w:val="center"/>
          </w:tcPr>
          <w:p w14:paraId="322A8E2B">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报价</w:t>
            </w:r>
            <w:r>
              <w:rPr>
                <w:rFonts w:hint="eastAsia" w:ascii="仿宋" w:hAnsi="仿宋" w:eastAsia="仿宋" w:cs="仿宋"/>
                <w:color w:val="auto"/>
                <w:sz w:val="24"/>
                <w:highlight w:val="none"/>
                <w:u w:val="single"/>
              </w:rPr>
              <w:t xml:space="preserve">文件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p>
        </w:tc>
      </w:tr>
      <w:tr w14:paraId="79A7F74A">
        <w:tblPrEx>
          <w:tblCellMar>
            <w:top w:w="0" w:type="dxa"/>
            <w:left w:w="108" w:type="dxa"/>
            <w:bottom w:w="0" w:type="dxa"/>
            <w:right w:w="108" w:type="dxa"/>
          </w:tblCellMar>
        </w:tblPrEx>
        <w:trPr>
          <w:trHeight w:val="397" w:hRule="atLeast"/>
          <w:jc w:val="center"/>
        </w:trPr>
        <w:tc>
          <w:tcPr>
            <w:tcW w:w="2518" w:type="dxa"/>
            <w:noWrap w:val="0"/>
            <w:vAlign w:val="center"/>
          </w:tcPr>
          <w:p w14:paraId="57D23DDD">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项</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目</w:t>
            </w:r>
            <w:r>
              <w:rPr>
                <w:rFonts w:hint="eastAsia" w:ascii="仿宋" w:hAnsi="仿宋" w:eastAsia="仿宋" w:cs="仿宋"/>
                <w:color w:val="auto"/>
                <w:sz w:val="24"/>
                <w:highlight w:val="none"/>
              </w:rPr>
              <w:t xml:space="preserve"> 编 号：</w:t>
            </w:r>
          </w:p>
        </w:tc>
        <w:tc>
          <w:tcPr>
            <w:tcW w:w="4536" w:type="dxa"/>
            <w:noWrap w:val="0"/>
            <w:vAlign w:val="center"/>
          </w:tcPr>
          <w:p w14:paraId="6731D860">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27408275">
        <w:tblPrEx>
          <w:tblCellMar>
            <w:top w:w="0" w:type="dxa"/>
            <w:left w:w="108" w:type="dxa"/>
            <w:bottom w:w="0" w:type="dxa"/>
            <w:right w:w="108" w:type="dxa"/>
          </w:tblCellMar>
        </w:tblPrEx>
        <w:trPr>
          <w:trHeight w:val="397" w:hRule="atLeast"/>
          <w:jc w:val="center"/>
        </w:trPr>
        <w:tc>
          <w:tcPr>
            <w:tcW w:w="2518" w:type="dxa"/>
            <w:noWrap w:val="0"/>
            <w:vAlign w:val="center"/>
          </w:tcPr>
          <w:p w14:paraId="13DB69A6">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项 目 名 称：</w:t>
            </w:r>
          </w:p>
        </w:tc>
        <w:tc>
          <w:tcPr>
            <w:tcW w:w="4536" w:type="dxa"/>
            <w:noWrap w:val="0"/>
            <w:vAlign w:val="center"/>
          </w:tcPr>
          <w:p w14:paraId="0273DD2C">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159870A3">
        <w:tblPrEx>
          <w:tblCellMar>
            <w:top w:w="0" w:type="dxa"/>
            <w:left w:w="108" w:type="dxa"/>
            <w:bottom w:w="0" w:type="dxa"/>
            <w:right w:w="108" w:type="dxa"/>
          </w:tblCellMar>
        </w:tblPrEx>
        <w:trPr>
          <w:trHeight w:val="397" w:hRule="atLeast"/>
          <w:jc w:val="center"/>
        </w:trPr>
        <w:tc>
          <w:tcPr>
            <w:tcW w:w="2518" w:type="dxa"/>
            <w:noWrap w:val="0"/>
            <w:vAlign w:val="center"/>
          </w:tcPr>
          <w:p w14:paraId="50704C05">
            <w:pPr>
              <w:jc w:val="distribute"/>
              <w:rPr>
                <w:rFonts w:hint="eastAsia" w:ascii="仿宋" w:hAnsi="仿宋" w:eastAsia="仿宋" w:cs="仿宋"/>
                <w:color w:val="auto"/>
                <w:highlight w:val="none"/>
              </w:rPr>
            </w:pPr>
          </w:p>
          <w:p w14:paraId="7D887083">
            <w:pPr>
              <w:pStyle w:val="7"/>
              <w:rPr>
                <w:rFonts w:hint="eastAsia" w:ascii="仿宋" w:hAnsi="仿宋" w:eastAsia="仿宋" w:cs="仿宋"/>
                <w:color w:val="auto"/>
                <w:sz w:val="24"/>
                <w:highlight w:val="none"/>
              </w:rPr>
            </w:pPr>
          </w:p>
          <w:p w14:paraId="36337765">
            <w:pPr>
              <w:pStyle w:val="7"/>
              <w:rPr>
                <w:rFonts w:hint="eastAsia" w:ascii="仿宋" w:hAnsi="仿宋" w:eastAsia="仿宋" w:cs="仿宋"/>
                <w:color w:val="auto"/>
                <w:sz w:val="24"/>
                <w:highlight w:val="none"/>
              </w:rPr>
            </w:pPr>
          </w:p>
        </w:tc>
        <w:tc>
          <w:tcPr>
            <w:tcW w:w="4536" w:type="dxa"/>
            <w:noWrap w:val="0"/>
            <w:vAlign w:val="center"/>
          </w:tcPr>
          <w:p w14:paraId="41742DE0">
            <w:pPr>
              <w:jc w:val="left"/>
              <w:rPr>
                <w:rFonts w:hint="eastAsia" w:ascii="仿宋" w:hAnsi="仿宋" w:eastAsia="仿宋" w:cs="仿宋"/>
                <w:color w:val="auto"/>
                <w:sz w:val="24"/>
                <w:highlight w:val="none"/>
              </w:rPr>
            </w:pPr>
          </w:p>
        </w:tc>
      </w:tr>
      <w:tr w14:paraId="10B279D9">
        <w:tblPrEx>
          <w:tblCellMar>
            <w:top w:w="0" w:type="dxa"/>
            <w:left w:w="108" w:type="dxa"/>
            <w:bottom w:w="0" w:type="dxa"/>
            <w:right w:w="108" w:type="dxa"/>
          </w:tblCellMar>
        </w:tblPrEx>
        <w:trPr>
          <w:trHeight w:val="397" w:hRule="atLeast"/>
          <w:jc w:val="center"/>
        </w:trPr>
        <w:tc>
          <w:tcPr>
            <w:tcW w:w="2518" w:type="dxa"/>
            <w:noWrap w:val="0"/>
            <w:vAlign w:val="center"/>
          </w:tcPr>
          <w:p w14:paraId="69563A6A">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供应商全称（盖章）：</w:t>
            </w:r>
          </w:p>
        </w:tc>
        <w:tc>
          <w:tcPr>
            <w:tcW w:w="4536" w:type="dxa"/>
            <w:noWrap w:val="0"/>
            <w:vAlign w:val="center"/>
          </w:tcPr>
          <w:p w14:paraId="1B5578CD">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16761793">
        <w:tblPrEx>
          <w:tblCellMar>
            <w:top w:w="0" w:type="dxa"/>
            <w:left w:w="108" w:type="dxa"/>
            <w:bottom w:w="0" w:type="dxa"/>
            <w:right w:w="108" w:type="dxa"/>
          </w:tblCellMar>
        </w:tblPrEx>
        <w:trPr>
          <w:trHeight w:val="397" w:hRule="atLeast"/>
          <w:jc w:val="center"/>
        </w:trPr>
        <w:tc>
          <w:tcPr>
            <w:tcW w:w="2518" w:type="dxa"/>
            <w:noWrap w:val="0"/>
            <w:vAlign w:val="center"/>
          </w:tcPr>
          <w:p w14:paraId="39DB6CEF">
            <w:pPr>
              <w:jc w:val="distribute"/>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供应商地址：</w:t>
            </w:r>
          </w:p>
        </w:tc>
        <w:tc>
          <w:tcPr>
            <w:tcW w:w="4536" w:type="dxa"/>
            <w:noWrap w:val="0"/>
            <w:vAlign w:val="center"/>
          </w:tcPr>
          <w:p w14:paraId="256F016C">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14:paraId="4D4F8558">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242A9E5C">
            <w:pPr>
              <w:jc w:val="left"/>
              <w:rPr>
                <w:rFonts w:hint="eastAsia" w:ascii="仿宋" w:hAnsi="仿宋" w:eastAsia="仿宋" w:cs="仿宋"/>
                <w:color w:val="auto"/>
                <w:sz w:val="24"/>
                <w:highlight w:val="none"/>
                <w:u w:val="single"/>
              </w:rPr>
            </w:pPr>
          </w:p>
        </w:tc>
      </w:tr>
      <w:tr w14:paraId="1DF2A37E">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4354F23A">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tc>
      </w:tr>
    </w:tbl>
    <w:p w14:paraId="6680F111">
      <w:pPr>
        <w:spacing w:line="360" w:lineRule="auto"/>
        <w:rPr>
          <w:rFonts w:hint="eastAsia" w:ascii="仿宋" w:hAnsi="仿宋" w:eastAsia="仿宋" w:cs="仿宋"/>
          <w:b/>
          <w:color w:val="auto"/>
          <w:kern w:val="0"/>
          <w:sz w:val="24"/>
          <w:highlight w:val="none"/>
        </w:rPr>
      </w:pPr>
    </w:p>
    <w:p w14:paraId="0818F935">
      <w:pPr>
        <w:spacing w:line="360" w:lineRule="auto"/>
        <w:rPr>
          <w:rFonts w:hint="eastAsia" w:ascii="仿宋" w:hAnsi="仿宋" w:eastAsia="仿宋" w:cs="仿宋"/>
          <w:b/>
          <w:color w:val="auto"/>
          <w:kern w:val="0"/>
          <w:sz w:val="24"/>
          <w:highlight w:val="none"/>
        </w:rPr>
      </w:pPr>
    </w:p>
    <w:p w14:paraId="76AA2972">
      <w:pPr>
        <w:pStyle w:val="3"/>
        <w:rPr>
          <w:rFonts w:hint="eastAsia" w:ascii="仿宋" w:hAnsi="仿宋" w:eastAsia="仿宋" w:cs="仿宋"/>
          <w:b/>
          <w:color w:val="auto"/>
          <w:kern w:val="0"/>
          <w:sz w:val="24"/>
          <w:highlight w:val="none"/>
        </w:rPr>
      </w:pPr>
    </w:p>
    <w:p w14:paraId="1C63DE72">
      <w:pPr>
        <w:rPr>
          <w:rFonts w:hint="eastAsia" w:ascii="仿宋" w:hAnsi="仿宋" w:eastAsia="仿宋" w:cs="仿宋"/>
          <w:color w:val="auto"/>
        </w:rPr>
      </w:pPr>
    </w:p>
    <w:p w14:paraId="535BFF87">
      <w:pPr>
        <w:pStyle w:val="2"/>
        <w:ind w:firstLine="210"/>
        <w:rPr>
          <w:rFonts w:hint="eastAsia" w:ascii="仿宋" w:hAnsi="仿宋" w:eastAsia="仿宋" w:cs="仿宋"/>
          <w:color w:val="auto"/>
          <w:highlight w:val="none"/>
        </w:rPr>
      </w:pPr>
    </w:p>
    <w:p w14:paraId="4B55D09C">
      <w:pPr>
        <w:spacing w:line="360" w:lineRule="auto"/>
        <w:rPr>
          <w:rFonts w:hint="eastAsia" w:ascii="仿宋" w:hAnsi="仿宋" w:eastAsia="仿宋" w:cs="仿宋"/>
          <w:b/>
          <w:color w:val="auto"/>
          <w:kern w:val="0"/>
          <w:sz w:val="24"/>
          <w:highlight w:val="none"/>
        </w:rPr>
      </w:pPr>
    </w:p>
    <w:p w14:paraId="733A1157">
      <w:pPr>
        <w:rPr>
          <w:rFonts w:hint="eastAsia" w:ascii="仿宋" w:hAnsi="仿宋" w:eastAsia="仿宋" w:cs="仿宋"/>
          <w:color w:val="auto"/>
          <w:lang w:val="en-US" w:eastAsia="zh-CN"/>
        </w:rPr>
      </w:pPr>
    </w:p>
    <w:p w14:paraId="02B6149D">
      <w:pPr>
        <w:pStyle w:val="2"/>
        <w:rPr>
          <w:rFonts w:hint="eastAsia" w:ascii="仿宋" w:hAnsi="仿宋" w:eastAsia="仿宋" w:cs="仿宋"/>
          <w:color w:val="auto"/>
          <w:lang w:val="en-US" w:eastAsia="zh-CN"/>
        </w:rPr>
      </w:pPr>
    </w:p>
    <w:p w14:paraId="216E8891">
      <w:pPr>
        <w:rPr>
          <w:rFonts w:hint="eastAsia" w:ascii="仿宋" w:hAnsi="仿宋" w:eastAsia="仿宋" w:cs="仿宋"/>
          <w:color w:val="auto"/>
          <w:lang w:val="en-US" w:eastAsia="zh-CN"/>
        </w:rPr>
      </w:pPr>
    </w:p>
    <w:p w14:paraId="026C5082">
      <w:pPr>
        <w:rPr>
          <w:rFonts w:hint="eastAsia" w:ascii="仿宋" w:hAnsi="仿宋" w:eastAsia="仿宋" w:cs="仿宋"/>
          <w:color w:val="auto"/>
          <w:lang w:val="en-US" w:eastAsia="zh-CN"/>
        </w:rPr>
      </w:pPr>
    </w:p>
    <w:p w14:paraId="6F44C8A5">
      <w:pPr>
        <w:rPr>
          <w:rFonts w:hint="eastAsia" w:ascii="仿宋" w:hAnsi="仿宋" w:eastAsia="仿宋" w:cs="仿宋"/>
          <w:color w:val="auto"/>
          <w:lang w:val="en-US" w:eastAsia="zh-CN"/>
        </w:rPr>
      </w:pPr>
    </w:p>
    <w:p w14:paraId="0204AE9B">
      <w:pPr>
        <w:rPr>
          <w:rFonts w:hint="eastAsia" w:ascii="仿宋" w:hAnsi="仿宋" w:eastAsia="仿宋" w:cs="仿宋"/>
          <w:color w:val="auto"/>
          <w:lang w:val="en-US" w:eastAsia="zh-CN"/>
        </w:rPr>
      </w:pPr>
    </w:p>
    <w:p w14:paraId="7802F1F8">
      <w:pPr>
        <w:pStyle w:val="3"/>
        <w:rPr>
          <w:rFonts w:hint="eastAsia" w:ascii="仿宋" w:hAnsi="仿宋" w:eastAsia="仿宋" w:cs="仿宋"/>
          <w:color w:val="auto"/>
          <w:lang w:val="en-US" w:eastAsia="zh-CN"/>
        </w:rPr>
      </w:pPr>
    </w:p>
    <w:p w14:paraId="5E44F542">
      <w:pPr>
        <w:pStyle w:val="2"/>
        <w:rPr>
          <w:rFonts w:hint="eastAsia" w:ascii="仿宋" w:hAnsi="仿宋" w:eastAsia="仿宋" w:cs="仿宋"/>
          <w:color w:val="auto"/>
          <w:lang w:val="en-US" w:eastAsia="zh-CN"/>
        </w:rPr>
      </w:pPr>
    </w:p>
    <w:p w14:paraId="03D9790D">
      <w:pPr>
        <w:rPr>
          <w:rFonts w:hint="eastAsia" w:ascii="仿宋" w:hAnsi="仿宋" w:eastAsia="仿宋" w:cs="仿宋"/>
          <w:color w:val="auto"/>
          <w:lang w:val="en-US" w:eastAsia="zh-CN"/>
        </w:rPr>
      </w:pPr>
    </w:p>
    <w:p w14:paraId="2FEB88BC">
      <w:pPr>
        <w:spacing w:line="360" w:lineRule="auto"/>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lang w:val="en-US" w:eastAsia="zh-CN"/>
        </w:rPr>
        <w:t>2.</w:t>
      </w:r>
      <w:r>
        <w:rPr>
          <w:rFonts w:hint="eastAsia" w:ascii="仿宋" w:hAnsi="仿宋" w:eastAsia="仿宋" w:cs="仿宋"/>
          <w:b/>
          <w:color w:val="auto"/>
          <w:kern w:val="0"/>
          <w:sz w:val="28"/>
          <w:szCs w:val="28"/>
          <w:highlight w:val="none"/>
        </w:rPr>
        <w:t>开标一览表格式</w:t>
      </w:r>
    </w:p>
    <w:p w14:paraId="7484744B">
      <w:pPr>
        <w:pStyle w:val="7"/>
        <w:spacing w:line="360" w:lineRule="auto"/>
        <w:ind w:firstLine="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开标一览表（报价表）</w:t>
      </w:r>
    </w:p>
    <w:p w14:paraId="2494BF81">
      <w:pPr>
        <w:spacing w:line="360" w:lineRule="auto"/>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 xml:space="preserve">项目名称：                                 </w:t>
      </w:r>
    </w:p>
    <w:p w14:paraId="06364621">
      <w:pPr>
        <w:spacing w:line="360" w:lineRule="auto"/>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lang w:eastAsia="zh-CN"/>
        </w:rPr>
        <w:t>项目编号</w:t>
      </w:r>
      <w:r>
        <w:rPr>
          <w:rFonts w:hint="eastAsia" w:ascii="仿宋" w:hAnsi="仿宋" w:eastAsia="仿宋" w:cs="仿宋"/>
          <w:color w:val="auto"/>
          <w:spacing w:val="20"/>
          <w:sz w:val="24"/>
          <w:highlight w:val="none"/>
        </w:rPr>
        <w:t xml:space="preserve">： </w:t>
      </w:r>
      <w:r>
        <w:rPr>
          <w:rFonts w:hint="eastAsia" w:ascii="仿宋" w:hAnsi="仿宋" w:eastAsia="仿宋" w:cs="仿宋"/>
          <w:color w:val="auto"/>
          <w:sz w:val="24"/>
          <w:highlight w:val="none"/>
        </w:rPr>
        <w:t xml:space="preserve">                                             </w:t>
      </w:r>
    </w:p>
    <w:tbl>
      <w:tblPr>
        <w:tblStyle w:val="20"/>
        <w:tblW w:w="87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3077"/>
        <w:gridCol w:w="1200"/>
        <w:gridCol w:w="3618"/>
      </w:tblGrid>
      <w:tr w14:paraId="1705E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58" w:type="dxa"/>
            <w:tcBorders>
              <w:tl2br w:val="nil"/>
              <w:tr2bl w:val="nil"/>
            </w:tcBorders>
            <w:noWrap w:val="0"/>
            <w:vAlign w:val="center"/>
          </w:tcPr>
          <w:p w14:paraId="042742B9">
            <w:pPr>
              <w:jc w:val="center"/>
              <w:rPr>
                <w:rFonts w:hint="eastAsia" w:ascii="仿宋" w:hAnsi="仿宋" w:eastAsia="仿宋" w:cs="仿宋"/>
                <w:b/>
                <w:bCs w:val="0"/>
                <w:color w:val="auto"/>
                <w:sz w:val="24"/>
              </w:rPr>
            </w:pPr>
            <w:r>
              <w:rPr>
                <w:rFonts w:hint="eastAsia" w:ascii="仿宋" w:hAnsi="仿宋" w:eastAsia="仿宋" w:cs="仿宋"/>
                <w:b/>
                <w:bCs w:val="0"/>
                <w:color w:val="auto"/>
                <w:sz w:val="24"/>
              </w:rPr>
              <w:t>序号</w:t>
            </w:r>
          </w:p>
        </w:tc>
        <w:tc>
          <w:tcPr>
            <w:tcW w:w="3077" w:type="dxa"/>
            <w:tcBorders>
              <w:tl2br w:val="nil"/>
              <w:tr2bl w:val="nil"/>
            </w:tcBorders>
            <w:noWrap w:val="0"/>
            <w:vAlign w:val="center"/>
          </w:tcPr>
          <w:p w14:paraId="0C353FA6">
            <w:pPr>
              <w:jc w:val="center"/>
              <w:rPr>
                <w:rFonts w:hint="eastAsia" w:ascii="仿宋" w:hAnsi="仿宋" w:eastAsia="仿宋" w:cs="仿宋"/>
                <w:b/>
                <w:bCs w:val="0"/>
                <w:color w:val="auto"/>
                <w:sz w:val="24"/>
              </w:rPr>
            </w:pPr>
            <w:r>
              <w:rPr>
                <w:rFonts w:hint="eastAsia" w:ascii="仿宋" w:hAnsi="仿宋" w:eastAsia="仿宋" w:cs="仿宋"/>
                <w:b/>
                <w:bCs w:val="0"/>
                <w:color w:val="auto"/>
                <w:sz w:val="24"/>
              </w:rPr>
              <w:t>采购内容</w:t>
            </w:r>
          </w:p>
        </w:tc>
        <w:tc>
          <w:tcPr>
            <w:tcW w:w="1200" w:type="dxa"/>
            <w:tcBorders>
              <w:tl2br w:val="nil"/>
              <w:tr2bl w:val="nil"/>
            </w:tcBorders>
            <w:noWrap w:val="0"/>
            <w:vAlign w:val="center"/>
          </w:tcPr>
          <w:p w14:paraId="67FCF697">
            <w:pPr>
              <w:jc w:val="center"/>
              <w:rPr>
                <w:rFonts w:hint="eastAsia" w:ascii="仿宋" w:hAnsi="仿宋" w:eastAsia="仿宋" w:cs="仿宋"/>
                <w:b/>
                <w:bCs w:val="0"/>
                <w:color w:val="auto"/>
                <w:sz w:val="24"/>
                <w:lang w:val="en-US" w:eastAsia="zh-CN"/>
              </w:rPr>
            </w:pPr>
            <w:r>
              <w:rPr>
                <w:rFonts w:hint="eastAsia" w:ascii="仿宋" w:hAnsi="仿宋" w:eastAsia="仿宋" w:cs="仿宋"/>
                <w:b/>
                <w:bCs w:val="0"/>
                <w:color w:val="auto"/>
                <w:sz w:val="24"/>
                <w:lang w:val="en-US" w:eastAsia="zh-CN"/>
              </w:rPr>
              <w:t>服务期限</w:t>
            </w:r>
          </w:p>
        </w:tc>
        <w:tc>
          <w:tcPr>
            <w:tcW w:w="3618" w:type="dxa"/>
            <w:tcBorders>
              <w:tl2br w:val="nil"/>
              <w:tr2bl w:val="nil"/>
            </w:tcBorders>
            <w:noWrap w:val="0"/>
            <w:vAlign w:val="center"/>
          </w:tcPr>
          <w:p w14:paraId="28ACA565">
            <w:pPr>
              <w:jc w:val="center"/>
              <w:rPr>
                <w:rFonts w:hint="eastAsia" w:ascii="仿宋" w:hAnsi="仿宋" w:eastAsia="仿宋" w:cs="仿宋"/>
                <w:b/>
                <w:bCs w:val="0"/>
                <w:color w:val="auto"/>
                <w:sz w:val="24"/>
              </w:rPr>
            </w:pPr>
            <w:r>
              <w:rPr>
                <w:rFonts w:hint="eastAsia" w:ascii="仿宋" w:hAnsi="仿宋" w:eastAsia="仿宋" w:cs="仿宋"/>
                <w:b/>
                <w:bCs w:val="0"/>
                <w:color w:val="auto"/>
                <w:sz w:val="24"/>
                <w:lang w:eastAsia="zh-CN"/>
              </w:rPr>
              <w:t>总报价（元）</w:t>
            </w:r>
          </w:p>
        </w:tc>
      </w:tr>
      <w:tr w14:paraId="58896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jc w:val="center"/>
        </w:trPr>
        <w:tc>
          <w:tcPr>
            <w:tcW w:w="858" w:type="dxa"/>
            <w:tcBorders>
              <w:tl2br w:val="nil"/>
              <w:tr2bl w:val="nil"/>
            </w:tcBorders>
            <w:noWrap w:val="0"/>
            <w:vAlign w:val="center"/>
          </w:tcPr>
          <w:p w14:paraId="19864224">
            <w:pPr>
              <w:jc w:val="center"/>
              <w:rPr>
                <w:rFonts w:hint="eastAsia" w:ascii="仿宋" w:hAnsi="仿宋" w:eastAsia="仿宋" w:cs="仿宋"/>
                <w:color w:val="auto"/>
                <w:sz w:val="24"/>
              </w:rPr>
            </w:pPr>
            <w:r>
              <w:rPr>
                <w:rFonts w:hint="eastAsia" w:ascii="仿宋" w:hAnsi="仿宋" w:eastAsia="仿宋" w:cs="仿宋"/>
                <w:color w:val="auto"/>
                <w:sz w:val="24"/>
              </w:rPr>
              <w:t>1</w:t>
            </w:r>
          </w:p>
        </w:tc>
        <w:tc>
          <w:tcPr>
            <w:tcW w:w="3077" w:type="dxa"/>
            <w:tcBorders>
              <w:tl2br w:val="nil"/>
              <w:tr2bl w:val="nil"/>
            </w:tcBorders>
            <w:noWrap w:val="0"/>
            <w:vAlign w:val="center"/>
          </w:tcPr>
          <w:p w14:paraId="04413526">
            <w:pPr>
              <w:spacing w:line="240" w:lineRule="auto"/>
              <w:jc w:val="center"/>
              <w:rPr>
                <w:rFonts w:hint="eastAsia" w:ascii="仿宋" w:hAnsi="仿宋" w:eastAsia="仿宋" w:cs="仿宋"/>
                <w:color w:val="auto"/>
                <w:sz w:val="24"/>
                <w:lang w:eastAsia="zh-CN"/>
              </w:rPr>
            </w:pPr>
            <w:r>
              <w:rPr>
                <w:rFonts w:hint="eastAsia" w:ascii="仿宋" w:hAnsi="仿宋" w:eastAsia="仿宋" w:cs="仿宋"/>
                <w:color w:val="auto"/>
                <w:spacing w:val="20"/>
                <w:sz w:val="24"/>
                <w:highlight w:val="none"/>
                <w:lang w:eastAsia="zh-CN"/>
              </w:rPr>
              <w:t>遂昌县第二污水处理厂2025-202</w:t>
            </w:r>
            <w:r>
              <w:rPr>
                <w:rFonts w:hint="eastAsia" w:ascii="仿宋" w:hAnsi="仿宋" w:eastAsia="仿宋" w:cs="仿宋"/>
                <w:color w:val="auto"/>
                <w:spacing w:val="20"/>
                <w:sz w:val="24"/>
                <w:highlight w:val="none"/>
                <w:lang w:val="en-US" w:eastAsia="zh-CN"/>
              </w:rPr>
              <w:t>6</w:t>
            </w:r>
            <w:r>
              <w:rPr>
                <w:rFonts w:hint="eastAsia" w:ascii="仿宋" w:hAnsi="仿宋" w:eastAsia="仿宋" w:cs="仿宋"/>
                <w:color w:val="auto"/>
                <w:spacing w:val="20"/>
                <w:sz w:val="24"/>
                <w:highlight w:val="none"/>
                <w:lang w:eastAsia="zh-CN"/>
              </w:rPr>
              <w:t>年度代管运维服务项目</w:t>
            </w:r>
          </w:p>
        </w:tc>
        <w:tc>
          <w:tcPr>
            <w:tcW w:w="1200" w:type="dxa"/>
            <w:tcBorders>
              <w:tl2br w:val="nil"/>
              <w:tr2bl w:val="nil"/>
            </w:tcBorders>
            <w:noWrap w:val="0"/>
            <w:vAlign w:val="center"/>
          </w:tcPr>
          <w:p w14:paraId="71FC10B7">
            <w:pPr>
              <w:spacing w:line="240" w:lineRule="auto"/>
              <w:jc w:val="center"/>
              <w:rPr>
                <w:rFonts w:hint="eastAsia" w:ascii="仿宋" w:hAnsi="仿宋" w:eastAsia="仿宋" w:cs="仿宋"/>
                <w:color w:val="auto"/>
                <w:sz w:val="24"/>
                <w:lang w:val="en-US" w:eastAsia="zh-CN"/>
              </w:rPr>
            </w:pPr>
            <w:r>
              <w:rPr>
                <w:rFonts w:hint="eastAsia" w:ascii="仿宋" w:hAnsi="仿宋" w:eastAsia="仿宋" w:cs="仿宋"/>
                <w:bCs/>
                <w:color w:val="auto"/>
                <w:sz w:val="24"/>
                <w:szCs w:val="24"/>
                <w:u w:val="none"/>
                <w:lang w:val="en-US" w:eastAsia="zh-CN"/>
              </w:rPr>
              <w:t>15个月</w:t>
            </w:r>
          </w:p>
        </w:tc>
        <w:tc>
          <w:tcPr>
            <w:tcW w:w="3618" w:type="dxa"/>
            <w:tcBorders>
              <w:tl2br w:val="nil"/>
              <w:tr2bl w:val="nil"/>
            </w:tcBorders>
            <w:noWrap w:val="0"/>
            <w:vAlign w:val="center"/>
          </w:tcPr>
          <w:p w14:paraId="42C941AC">
            <w:pPr>
              <w:pStyle w:val="49"/>
              <w:jc w:val="left"/>
              <w:rPr>
                <w:rFonts w:hint="eastAsia" w:ascii="仿宋" w:hAnsi="仿宋" w:eastAsia="仿宋" w:cs="仿宋"/>
                <w:color w:val="auto"/>
                <w:spacing w:val="20"/>
                <w:sz w:val="24"/>
              </w:rPr>
            </w:pPr>
            <w:r>
              <w:rPr>
                <w:rFonts w:hint="eastAsia" w:ascii="仿宋" w:hAnsi="仿宋" w:eastAsia="仿宋" w:cs="仿宋"/>
                <w:color w:val="auto"/>
                <w:spacing w:val="20"/>
                <w:sz w:val="24"/>
              </w:rPr>
              <w:t xml:space="preserve">大写：                </w:t>
            </w:r>
          </w:p>
          <w:p w14:paraId="71CB7CC7">
            <w:pPr>
              <w:rPr>
                <w:rFonts w:hint="eastAsia" w:ascii="仿宋" w:hAnsi="仿宋" w:eastAsia="仿宋" w:cs="仿宋"/>
                <w:color w:val="auto"/>
                <w:sz w:val="24"/>
                <w:lang w:val="en-US" w:eastAsia="zh-CN"/>
              </w:rPr>
            </w:pPr>
            <w:r>
              <w:rPr>
                <w:rFonts w:hint="eastAsia" w:ascii="仿宋" w:hAnsi="仿宋" w:eastAsia="仿宋" w:cs="仿宋"/>
                <w:color w:val="auto"/>
                <w:spacing w:val="20"/>
                <w:sz w:val="24"/>
              </w:rPr>
              <w:t xml:space="preserve">小写：¥ </w:t>
            </w:r>
            <w:r>
              <w:rPr>
                <w:rFonts w:hint="eastAsia" w:ascii="仿宋" w:hAnsi="仿宋" w:eastAsia="仿宋" w:cs="仿宋"/>
                <w:caps w:val="0"/>
                <w:color w:val="auto"/>
                <w:spacing w:val="0"/>
                <w:sz w:val="24"/>
              </w:rPr>
              <w:t xml:space="preserve">   </w:t>
            </w:r>
            <w:r>
              <w:rPr>
                <w:rFonts w:hint="eastAsia" w:ascii="仿宋" w:hAnsi="仿宋" w:eastAsia="仿宋" w:cs="仿宋"/>
                <w:caps w:val="0"/>
                <w:color w:val="auto"/>
                <w:spacing w:val="0"/>
                <w:sz w:val="24"/>
                <w:lang w:val="en-US" w:eastAsia="zh-CN"/>
              </w:rPr>
              <w:t xml:space="preserve">       </w:t>
            </w:r>
            <w:r>
              <w:rPr>
                <w:rFonts w:hint="eastAsia" w:ascii="仿宋" w:hAnsi="仿宋" w:eastAsia="仿宋" w:cs="仿宋"/>
                <w:caps w:val="0"/>
                <w:color w:val="auto"/>
                <w:spacing w:val="0"/>
                <w:sz w:val="24"/>
              </w:rPr>
              <w:t xml:space="preserve">             </w:t>
            </w:r>
          </w:p>
        </w:tc>
      </w:tr>
    </w:tbl>
    <w:p w14:paraId="4C43977E">
      <w:pPr>
        <w:pStyle w:val="49"/>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注：</w:t>
      </w:r>
    </w:p>
    <w:p w14:paraId="599C5D73">
      <w:pPr>
        <w:pStyle w:val="3"/>
        <w:keepNext w:val="0"/>
        <w:keepLines w:val="0"/>
        <w:pageBreakBefore w:val="0"/>
        <w:widowControl w:val="0"/>
        <w:kinsoku/>
        <w:wordWrap/>
        <w:overflowPunct/>
        <w:topLinePunct w:val="0"/>
        <w:autoSpaceDE/>
        <w:autoSpaceDN/>
        <w:bidi w:val="0"/>
        <w:adjustRightInd/>
        <w:snapToGrid/>
        <w:spacing w:line="324" w:lineRule="auto"/>
        <w:ind w:left="0" w:right="0" w:firstLine="480" w:firstLineChars="200"/>
        <w:textAlignment w:val="auto"/>
        <w:rPr>
          <w:rFonts w:hint="eastAsia" w:ascii="仿宋" w:hAnsi="仿宋" w:eastAsia="仿宋" w:cs="仿宋"/>
          <w:caps w:val="0"/>
          <w:color w:val="auto"/>
          <w:spacing w:val="0"/>
          <w:sz w:val="24"/>
          <w:szCs w:val="24"/>
        </w:rPr>
      </w:pPr>
      <w:r>
        <w:rPr>
          <w:rFonts w:hint="eastAsia" w:ascii="仿宋" w:hAnsi="仿宋" w:eastAsia="仿宋" w:cs="仿宋"/>
          <w:b w:val="0"/>
          <w:bCs w:val="0"/>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en-US" w:eastAsia="zh-CN" w:bidi="ar-SA"/>
        </w:rPr>
        <w:t>投标总报价应包含但不仅限于运维全过程所涉及的</w:t>
      </w:r>
      <w:r>
        <w:rPr>
          <w:rFonts w:hint="eastAsia" w:ascii="仿宋" w:hAnsi="仿宋" w:eastAsia="仿宋" w:cs="仿宋"/>
          <w:caps w:val="0"/>
          <w:color w:val="auto"/>
          <w:spacing w:val="0"/>
          <w:sz w:val="24"/>
          <w:szCs w:val="21"/>
        </w:rPr>
        <w:t>服务人员费用、设备维护费用、</w:t>
      </w:r>
      <w:r>
        <w:rPr>
          <w:rFonts w:hint="eastAsia" w:ascii="仿宋" w:hAnsi="仿宋" w:eastAsia="仿宋" w:cs="仿宋"/>
          <w:caps w:val="0"/>
          <w:color w:val="auto"/>
          <w:spacing w:val="0"/>
          <w:sz w:val="24"/>
          <w:szCs w:val="21"/>
          <w:lang w:eastAsia="zh-CN"/>
        </w:rPr>
        <w:t>耗材更换费用、</w:t>
      </w:r>
      <w:r>
        <w:rPr>
          <w:rFonts w:hint="eastAsia" w:ascii="仿宋" w:hAnsi="仿宋" w:eastAsia="仿宋" w:cs="仿宋"/>
          <w:caps w:val="0"/>
          <w:color w:val="auto"/>
          <w:spacing w:val="0"/>
          <w:sz w:val="24"/>
          <w:szCs w:val="21"/>
        </w:rPr>
        <w:t>药剂费用、实验室化验分析费、在线监测系统维护费</w:t>
      </w:r>
      <w:r>
        <w:rPr>
          <w:rFonts w:hint="eastAsia" w:ascii="仿宋" w:hAnsi="仿宋" w:eastAsia="仿宋" w:cs="仿宋"/>
          <w:color w:val="auto"/>
          <w:sz w:val="24"/>
          <w:szCs w:val="24"/>
          <w:highlight w:val="none"/>
        </w:rPr>
        <w:t>(含维修)</w:t>
      </w:r>
      <w:r>
        <w:rPr>
          <w:rFonts w:hint="eastAsia" w:ascii="仿宋" w:hAnsi="仿宋" w:eastAsia="仿宋" w:cs="仿宋"/>
          <w:caps w:val="0"/>
          <w:color w:val="auto"/>
          <w:spacing w:val="0"/>
          <w:sz w:val="24"/>
          <w:szCs w:val="21"/>
        </w:rPr>
        <w:t>、污泥处置费、</w:t>
      </w:r>
      <w:r>
        <w:rPr>
          <w:rFonts w:hint="eastAsia" w:ascii="仿宋" w:hAnsi="仿宋" w:eastAsia="仿宋" w:cs="仿宋"/>
          <w:caps w:val="0"/>
          <w:color w:val="auto"/>
          <w:spacing w:val="0"/>
          <w:sz w:val="24"/>
          <w:szCs w:val="21"/>
          <w:lang w:val="en-US" w:eastAsia="zh-CN"/>
        </w:rPr>
        <w:t>绿化维护费等</w:t>
      </w:r>
      <w:r>
        <w:rPr>
          <w:rFonts w:hint="eastAsia" w:ascii="仿宋" w:hAnsi="仿宋" w:eastAsia="仿宋" w:cs="仿宋"/>
          <w:caps w:val="0"/>
          <w:color w:val="auto"/>
          <w:spacing w:val="0"/>
          <w:sz w:val="24"/>
          <w:szCs w:val="21"/>
        </w:rPr>
        <w:t>一切费用及规费、水电费、管理费、税金、合理利润、招标代理服务费等一切成本及费用</w:t>
      </w:r>
      <w:r>
        <w:rPr>
          <w:rFonts w:hint="eastAsia" w:ascii="仿宋" w:hAnsi="仿宋" w:eastAsia="仿宋" w:cs="仿宋"/>
          <w:caps w:val="0"/>
          <w:color w:val="auto"/>
          <w:spacing w:val="0"/>
          <w:sz w:val="24"/>
          <w:szCs w:val="24"/>
          <w:lang w:val="en-US" w:eastAsia="zh-CN"/>
        </w:rPr>
        <w:t>。</w:t>
      </w:r>
      <w:r>
        <w:rPr>
          <w:rFonts w:hint="eastAsia" w:ascii="仿宋" w:hAnsi="仿宋" w:eastAsia="仿宋" w:cs="仿宋"/>
          <w:caps w:val="0"/>
          <w:color w:val="auto"/>
          <w:spacing w:val="0"/>
          <w:sz w:val="24"/>
          <w:szCs w:val="21"/>
        </w:rPr>
        <w:t>投标人应自行增加系统正常、合法运行及使用所必需但招标文件没有包含的所有部件、版权、专利等一切费用，如果投标人在中标并签署合同后，在供货、安装、调试、培训等工作中出现硬件、软件等的任何遗漏，均由中标人免费提供，采购人将不再支付任何费用。投标报价为履行合同的最终价格，投标人不得再要求追加任何费用。</w:t>
      </w:r>
    </w:p>
    <w:p w14:paraId="740953F5">
      <w:pPr>
        <w:pStyle w:val="49"/>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b w:val="0"/>
          <w:bCs/>
          <w:caps w:val="0"/>
          <w:color w:val="auto"/>
          <w:spacing w:val="0"/>
          <w:sz w:val="24"/>
          <w:szCs w:val="24"/>
          <w:lang w:eastAsia="zh-CN"/>
        </w:rPr>
        <w:t>如果不提供详细分项报价，其报价文件不进入评定，报价得分为0，且不得推荐为中标候选人。</w:t>
      </w:r>
    </w:p>
    <w:p w14:paraId="79377B28">
      <w:pPr>
        <w:pStyle w:val="49"/>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3.报价一经涂改，应在涂改处加盖单位公章或由负责人或授权代表签字或盖章，否则其报价文件不进入评定，报价得分为0，且不得推荐为中标候选人。</w:t>
      </w:r>
    </w:p>
    <w:p w14:paraId="76B3CD8B">
      <w:pPr>
        <w:pStyle w:val="49"/>
        <w:spacing w:line="360" w:lineRule="auto"/>
        <w:ind w:firstLine="240" w:firstLineChars="100"/>
        <w:rPr>
          <w:rFonts w:hint="eastAsia" w:ascii="仿宋" w:hAnsi="仿宋" w:eastAsia="仿宋" w:cs="仿宋"/>
          <w:bCs/>
          <w:color w:val="auto"/>
          <w:sz w:val="24"/>
          <w:highlight w:val="none"/>
        </w:rPr>
      </w:pPr>
    </w:p>
    <w:p w14:paraId="31462AAD">
      <w:pPr>
        <w:spacing w:line="360" w:lineRule="auto"/>
        <w:jc w:val="left"/>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                            </w:t>
      </w:r>
    </w:p>
    <w:p w14:paraId="039AB89E">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67D7637B">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599FC504">
      <w:pPr>
        <w:rPr>
          <w:rFonts w:hint="eastAsia" w:ascii="仿宋" w:hAnsi="仿宋" w:eastAsia="仿宋" w:cs="仿宋"/>
          <w:color w:val="auto"/>
          <w:lang w:val="en-US" w:eastAsia="zh-CN"/>
        </w:rPr>
      </w:pPr>
    </w:p>
    <w:p w14:paraId="13ABD3E9">
      <w:pPr>
        <w:pStyle w:val="2"/>
        <w:rPr>
          <w:rFonts w:hint="eastAsia" w:ascii="仿宋" w:hAnsi="仿宋" w:eastAsia="仿宋" w:cs="仿宋"/>
          <w:color w:val="auto"/>
          <w:lang w:val="en-US" w:eastAsia="zh-CN"/>
        </w:rPr>
      </w:pPr>
      <w:bookmarkStart w:id="447" w:name="_GoBack"/>
      <w:bookmarkEnd w:id="447"/>
    </w:p>
    <w:p w14:paraId="747619CD">
      <w:pPr>
        <w:rPr>
          <w:rFonts w:hint="eastAsia" w:ascii="仿宋" w:hAnsi="仿宋" w:eastAsia="仿宋" w:cs="仿宋"/>
          <w:color w:val="auto"/>
          <w:lang w:val="en-US" w:eastAsia="zh-CN"/>
        </w:rPr>
      </w:pPr>
    </w:p>
    <w:p w14:paraId="395C1AF0">
      <w:pPr>
        <w:pStyle w:val="3"/>
        <w:rPr>
          <w:rFonts w:hint="eastAsia"/>
          <w:color w:val="auto"/>
          <w:lang w:val="en-US" w:eastAsia="zh-CN"/>
        </w:rPr>
      </w:pPr>
    </w:p>
    <w:p w14:paraId="56C2F2CD">
      <w:pPr>
        <w:spacing w:line="360" w:lineRule="auto"/>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lang w:val="en-US" w:eastAsia="zh-CN"/>
        </w:rPr>
        <w:t>3.报价明细表格式</w:t>
      </w:r>
    </w:p>
    <w:p w14:paraId="7646034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aps w:val="0"/>
          <w:color w:val="auto"/>
          <w:spacing w:val="0"/>
          <w:sz w:val="32"/>
          <w:szCs w:val="32"/>
        </w:rPr>
      </w:pPr>
      <w:r>
        <w:rPr>
          <w:rFonts w:hint="eastAsia" w:ascii="仿宋" w:hAnsi="仿宋" w:eastAsia="仿宋" w:cs="仿宋"/>
          <w:b/>
          <w:caps w:val="0"/>
          <w:color w:val="auto"/>
          <w:spacing w:val="0"/>
          <w:sz w:val="32"/>
          <w:szCs w:val="32"/>
        </w:rPr>
        <w:t>报价明细表</w:t>
      </w:r>
    </w:p>
    <w:p w14:paraId="5AB98B9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caps w:val="0"/>
          <w:color w:val="auto"/>
          <w:spacing w:val="0"/>
          <w:sz w:val="24"/>
        </w:rPr>
      </w:pPr>
      <w:r>
        <w:rPr>
          <w:rFonts w:hint="eastAsia" w:ascii="仿宋" w:hAnsi="仿宋" w:eastAsia="仿宋" w:cs="仿宋"/>
          <w:caps w:val="0"/>
          <w:color w:val="auto"/>
          <w:spacing w:val="0"/>
          <w:sz w:val="24"/>
        </w:rPr>
        <w:t>（格式仅供参考，可以根据实际情况自行设计）</w:t>
      </w:r>
    </w:p>
    <w:p w14:paraId="7CFE2FCA">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caps w:val="0"/>
          <w:color w:val="auto"/>
          <w:spacing w:val="0"/>
          <w:sz w:val="24"/>
          <w:szCs w:val="24"/>
        </w:rPr>
      </w:pPr>
      <w:r>
        <w:rPr>
          <w:rFonts w:hint="eastAsia" w:ascii="仿宋" w:hAnsi="仿宋" w:eastAsia="仿宋" w:cs="仿宋"/>
          <w:caps w:val="0"/>
          <w:color w:val="auto"/>
          <w:spacing w:val="0"/>
          <w:sz w:val="24"/>
          <w:szCs w:val="24"/>
        </w:rPr>
        <w:t>项目编号：</w:t>
      </w:r>
      <w:r>
        <w:rPr>
          <w:rFonts w:hint="eastAsia" w:ascii="仿宋" w:hAnsi="仿宋" w:eastAsia="仿宋" w:cs="仿宋"/>
          <w:caps w:val="0"/>
          <w:color w:val="auto"/>
          <w:spacing w:val="0"/>
          <w:sz w:val="24"/>
          <w:szCs w:val="24"/>
          <w:u w:val="single"/>
        </w:rPr>
        <w:t xml:space="preserve">      </w:t>
      </w:r>
      <w:r>
        <w:rPr>
          <w:rFonts w:hint="eastAsia" w:ascii="仿宋" w:hAnsi="仿宋" w:eastAsia="仿宋" w:cs="仿宋"/>
          <w:caps w:val="0"/>
          <w:color w:val="auto"/>
          <w:spacing w:val="0"/>
          <w:sz w:val="24"/>
          <w:szCs w:val="24"/>
          <w:u w:val="single"/>
          <w:lang w:val="en-US" w:eastAsia="zh-CN"/>
        </w:rPr>
        <w:t xml:space="preserve">                  </w:t>
      </w:r>
      <w:r>
        <w:rPr>
          <w:rFonts w:hint="eastAsia" w:ascii="仿宋" w:hAnsi="仿宋" w:eastAsia="仿宋" w:cs="仿宋"/>
          <w:caps w:val="0"/>
          <w:color w:val="auto"/>
          <w:spacing w:val="0"/>
          <w:sz w:val="24"/>
          <w:szCs w:val="24"/>
          <w:u w:val="single"/>
        </w:rPr>
        <w:t xml:space="preserve">  </w:t>
      </w:r>
      <w:r>
        <w:rPr>
          <w:rFonts w:hint="eastAsia" w:ascii="仿宋" w:hAnsi="仿宋" w:eastAsia="仿宋" w:cs="仿宋"/>
          <w:caps w:val="0"/>
          <w:color w:val="auto"/>
          <w:spacing w:val="0"/>
          <w:sz w:val="24"/>
          <w:szCs w:val="24"/>
        </w:rPr>
        <w:t xml:space="preserve">   </w:t>
      </w:r>
    </w:p>
    <w:p w14:paraId="1667764E">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caps w:val="0"/>
          <w:color w:val="auto"/>
          <w:spacing w:val="0"/>
          <w:sz w:val="24"/>
          <w:szCs w:val="24"/>
          <w:u w:val="single"/>
        </w:rPr>
      </w:pPr>
      <w:r>
        <w:rPr>
          <w:rFonts w:hint="eastAsia" w:ascii="仿宋" w:hAnsi="仿宋" w:eastAsia="仿宋" w:cs="仿宋"/>
          <w:caps w:val="0"/>
          <w:color w:val="auto"/>
          <w:spacing w:val="0"/>
          <w:sz w:val="24"/>
          <w:szCs w:val="24"/>
        </w:rPr>
        <w:t>项目名称：</w:t>
      </w:r>
      <w:r>
        <w:rPr>
          <w:rFonts w:hint="eastAsia" w:ascii="仿宋" w:hAnsi="仿宋" w:eastAsia="仿宋" w:cs="仿宋"/>
          <w:caps w:val="0"/>
          <w:color w:val="auto"/>
          <w:spacing w:val="0"/>
          <w:sz w:val="24"/>
          <w:szCs w:val="24"/>
          <w:u w:val="single"/>
        </w:rPr>
        <w:t xml:space="preserve">                          </w:t>
      </w:r>
      <w:r>
        <w:rPr>
          <w:rFonts w:hint="eastAsia" w:ascii="仿宋" w:hAnsi="仿宋" w:eastAsia="仿宋" w:cs="仿宋"/>
          <w:caps w:val="0"/>
          <w:color w:val="auto"/>
          <w:spacing w:val="0"/>
          <w:sz w:val="24"/>
          <w:szCs w:val="24"/>
        </w:rPr>
        <w:t xml:space="preserve">              </w:t>
      </w:r>
    </w:p>
    <w:tbl>
      <w:tblPr>
        <w:tblStyle w:val="2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1"/>
        <w:gridCol w:w="3969"/>
        <w:gridCol w:w="992"/>
        <w:gridCol w:w="807"/>
        <w:gridCol w:w="1276"/>
        <w:gridCol w:w="1275"/>
      </w:tblGrid>
      <w:tr w14:paraId="4A21E1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14:paraId="3A4813DA">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rPr>
              <w:t>序号</w:t>
            </w:r>
          </w:p>
        </w:tc>
        <w:tc>
          <w:tcPr>
            <w:tcW w:w="3969" w:type="dxa"/>
            <w:tcBorders>
              <w:top w:val="single" w:color="auto" w:sz="4" w:space="0"/>
              <w:left w:val="single" w:color="auto" w:sz="4" w:space="0"/>
              <w:bottom w:val="single" w:color="auto" w:sz="4" w:space="0"/>
              <w:right w:val="single" w:color="auto" w:sz="4" w:space="0"/>
            </w:tcBorders>
            <w:noWrap w:val="0"/>
            <w:vAlign w:val="center"/>
          </w:tcPr>
          <w:p w14:paraId="2A976C58">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rPr>
              <w:t>项目内容</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7796AB78">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rPr>
              <w:t>单位</w:t>
            </w:r>
          </w:p>
        </w:tc>
        <w:tc>
          <w:tcPr>
            <w:tcW w:w="807" w:type="dxa"/>
            <w:tcBorders>
              <w:top w:val="single" w:color="auto" w:sz="4" w:space="0"/>
              <w:left w:val="single" w:color="auto" w:sz="4" w:space="0"/>
              <w:bottom w:val="single" w:color="auto" w:sz="4" w:space="0"/>
              <w:right w:val="single" w:color="auto" w:sz="4" w:space="0"/>
            </w:tcBorders>
            <w:noWrap w:val="0"/>
            <w:vAlign w:val="center"/>
          </w:tcPr>
          <w:p w14:paraId="1DA72A16">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rPr>
              <w:t>数量</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7E078D3A">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rPr>
              <w:t>单价（元）</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4DF5692A">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rPr>
              <w:t>合价（元）</w:t>
            </w:r>
          </w:p>
        </w:tc>
      </w:tr>
      <w:tr w14:paraId="059D5B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14:paraId="01CB006E">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rPr>
              <w:t>1</w:t>
            </w:r>
          </w:p>
        </w:tc>
        <w:tc>
          <w:tcPr>
            <w:tcW w:w="3969" w:type="dxa"/>
            <w:tcBorders>
              <w:top w:val="single" w:color="auto" w:sz="4" w:space="0"/>
              <w:left w:val="single" w:color="auto" w:sz="4" w:space="0"/>
              <w:bottom w:val="single" w:color="auto" w:sz="4" w:space="0"/>
              <w:right w:val="single" w:color="auto" w:sz="4" w:space="0"/>
            </w:tcBorders>
            <w:noWrap w:val="0"/>
            <w:vAlign w:val="center"/>
          </w:tcPr>
          <w:p w14:paraId="669B43FD">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sz w:val="24"/>
                <w:szCs w:val="24"/>
                <w:lang w:val="en-US" w:eastAsia="zh-CN"/>
              </w:rPr>
              <w:t>药剂费用</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796F880C">
            <w:pPr>
              <w:jc w:val="center"/>
              <w:rPr>
                <w:rFonts w:hint="eastAsia" w:ascii="仿宋" w:hAnsi="仿宋" w:eastAsia="仿宋" w:cs="仿宋"/>
                <w:caps w:val="0"/>
                <w:color w:val="auto"/>
                <w:spacing w:val="0"/>
                <w:w w:val="100"/>
                <w:sz w:val="24"/>
                <w:szCs w:val="24"/>
              </w:rPr>
            </w:pPr>
          </w:p>
        </w:tc>
        <w:tc>
          <w:tcPr>
            <w:tcW w:w="807" w:type="dxa"/>
            <w:tcBorders>
              <w:top w:val="single" w:color="auto" w:sz="4" w:space="0"/>
              <w:left w:val="single" w:color="auto" w:sz="4" w:space="0"/>
              <w:bottom w:val="single" w:color="auto" w:sz="4" w:space="0"/>
              <w:right w:val="single" w:color="auto" w:sz="4" w:space="0"/>
            </w:tcBorders>
            <w:noWrap w:val="0"/>
            <w:vAlign w:val="center"/>
          </w:tcPr>
          <w:p w14:paraId="596193A0">
            <w:pPr>
              <w:jc w:val="center"/>
              <w:rPr>
                <w:rFonts w:hint="eastAsia" w:ascii="仿宋" w:hAnsi="仿宋" w:eastAsia="仿宋" w:cs="仿宋"/>
                <w:caps w:val="0"/>
                <w:color w:val="auto"/>
                <w:spacing w:val="0"/>
                <w:w w:val="100"/>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110C69AC">
            <w:pPr>
              <w:jc w:val="center"/>
              <w:rPr>
                <w:rFonts w:hint="eastAsia" w:ascii="仿宋" w:hAnsi="仿宋" w:eastAsia="仿宋" w:cs="仿宋"/>
                <w:caps w:val="0"/>
                <w:color w:val="auto"/>
                <w:spacing w:val="0"/>
                <w:w w:val="100"/>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2B120F91">
            <w:pPr>
              <w:jc w:val="center"/>
              <w:rPr>
                <w:rFonts w:hint="eastAsia" w:ascii="仿宋" w:hAnsi="仿宋" w:eastAsia="仿宋" w:cs="仿宋"/>
                <w:caps w:val="0"/>
                <w:color w:val="auto"/>
                <w:spacing w:val="0"/>
                <w:w w:val="100"/>
                <w:sz w:val="24"/>
                <w:szCs w:val="24"/>
              </w:rPr>
            </w:pPr>
          </w:p>
        </w:tc>
      </w:tr>
      <w:tr w14:paraId="59CF1A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14:paraId="00D9EFA6">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rPr>
              <w:t>2</w:t>
            </w:r>
          </w:p>
        </w:tc>
        <w:tc>
          <w:tcPr>
            <w:tcW w:w="3969" w:type="dxa"/>
            <w:tcBorders>
              <w:top w:val="single" w:color="auto" w:sz="4" w:space="0"/>
              <w:left w:val="single" w:color="auto" w:sz="4" w:space="0"/>
              <w:bottom w:val="single" w:color="auto" w:sz="4" w:space="0"/>
              <w:right w:val="single" w:color="auto" w:sz="4" w:space="0"/>
            </w:tcBorders>
            <w:noWrap w:val="0"/>
            <w:vAlign w:val="center"/>
          </w:tcPr>
          <w:p w14:paraId="640CAE41">
            <w:pPr>
              <w:jc w:val="center"/>
              <w:rPr>
                <w:rFonts w:hint="eastAsia" w:ascii="仿宋" w:hAnsi="仿宋" w:eastAsia="仿宋" w:cs="仿宋"/>
                <w:caps w:val="0"/>
                <w:color w:val="auto"/>
                <w:spacing w:val="0"/>
                <w:w w:val="100"/>
                <w:sz w:val="24"/>
                <w:szCs w:val="24"/>
                <w:lang w:eastAsia="zh-CN"/>
              </w:rPr>
            </w:pPr>
            <w:r>
              <w:rPr>
                <w:rFonts w:hint="eastAsia" w:ascii="仿宋" w:hAnsi="仿宋" w:eastAsia="仿宋" w:cs="仿宋"/>
                <w:caps w:val="0"/>
                <w:color w:val="auto"/>
                <w:spacing w:val="0"/>
                <w:w w:val="100"/>
                <w:sz w:val="24"/>
                <w:szCs w:val="24"/>
                <w:lang w:eastAsia="zh-CN"/>
              </w:rPr>
              <w:t>水费</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70FED212">
            <w:pPr>
              <w:jc w:val="center"/>
              <w:rPr>
                <w:rFonts w:hint="eastAsia" w:ascii="仿宋" w:hAnsi="仿宋" w:eastAsia="仿宋" w:cs="仿宋"/>
                <w:caps w:val="0"/>
                <w:color w:val="auto"/>
                <w:spacing w:val="0"/>
                <w:w w:val="100"/>
                <w:sz w:val="24"/>
                <w:szCs w:val="24"/>
              </w:rPr>
            </w:pPr>
          </w:p>
        </w:tc>
        <w:tc>
          <w:tcPr>
            <w:tcW w:w="807" w:type="dxa"/>
            <w:tcBorders>
              <w:top w:val="single" w:color="auto" w:sz="4" w:space="0"/>
              <w:left w:val="single" w:color="auto" w:sz="4" w:space="0"/>
              <w:bottom w:val="single" w:color="auto" w:sz="4" w:space="0"/>
              <w:right w:val="single" w:color="auto" w:sz="4" w:space="0"/>
            </w:tcBorders>
            <w:noWrap w:val="0"/>
            <w:vAlign w:val="center"/>
          </w:tcPr>
          <w:p w14:paraId="7F061F0B">
            <w:pPr>
              <w:jc w:val="center"/>
              <w:rPr>
                <w:rFonts w:hint="eastAsia" w:ascii="仿宋" w:hAnsi="仿宋" w:eastAsia="仿宋" w:cs="仿宋"/>
                <w:caps w:val="0"/>
                <w:color w:val="auto"/>
                <w:spacing w:val="0"/>
                <w:w w:val="100"/>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356100AD">
            <w:pPr>
              <w:jc w:val="center"/>
              <w:rPr>
                <w:rFonts w:hint="eastAsia" w:ascii="仿宋" w:hAnsi="仿宋" w:eastAsia="仿宋" w:cs="仿宋"/>
                <w:caps w:val="0"/>
                <w:color w:val="auto"/>
                <w:spacing w:val="0"/>
                <w:w w:val="100"/>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2A7F5FED">
            <w:pPr>
              <w:jc w:val="center"/>
              <w:rPr>
                <w:rFonts w:hint="eastAsia" w:ascii="仿宋" w:hAnsi="仿宋" w:eastAsia="仿宋" w:cs="仿宋"/>
                <w:caps w:val="0"/>
                <w:color w:val="auto"/>
                <w:spacing w:val="0"/>
                <w:w w:val="100"/>
                <w:sz w:val="24"/>
                <w:szCs w:val="24"/>
              </w:rPr>
            </w:pPr>
          </w:p>
        </w:tc>
      </w:tr>
      <w:tr w14:paraId="0471D0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14:paraId="296E5982">
            <w:pPr>
              <w:jc w:val="center"/>
              <w:rPr>
                <w:rFonts w:hint="eastAsia" w:ascii="仿宋" w:hAnsi="仿宋" w:eastAsia="仿宋" w:cs="仿宋"/>
                <w:caps w:val="0"/>
                <w:color w:val="auto"/>
                <w:spacing w:val="0"/>
                <w:w w:val="100"/>
                <w:sz w:val="24"/>
                <w:szCs w:val="24"/>
                <w:lang w:val="en-US" w:eastAsia="zh-CN"/>
              </w:rPr>
            </w:pPr>
            <w:r>
              <w:rPr>
                <w:rFonts w:hint="eastAsia" w:ascii="仿宋" w:hAnsi="仿宋" w:eastAsia="仿宋" w:cs="仿宋"/>
                <w:caps w:val="0"/>
                <w:color w:val="auto"/>
                <w:spacing w:val="0"/>
                <w:w w:val="100"/>
                <w:sz w:val="24"/>
                <w:szCs w:val="24"/>
                <w:lang w:val="en-US" w:eastAsia="zh-CN"/>
              </w:rPr>
              <w:t>3</w:t>
            </w:r>
          </w:p>
        </w:tc>
        <w:tc>
          <w:tcPr>
            <w:tcW w:w="3969" w:type="dxa"/>
            <w:tcBorders>
              <w:top w:val="single" w:color="auto" w:sz="4" w:space="0"/>
              <w:left w:val="single" w:color="auto" w:sz="4" w:space="0"/>
              <w:bottom w:val="single" w:color="auto" w:sz="4" w:space="0"/>
              <w:right w:val="single" w:color="auto" w:sz="4" w:space="0"/>
            </w:tcBorders>
            <w:noWrap w:val="0"/>
            <w:vAlign w:val="center"/>
          </w:tcPr>
          <w:p w14:paraId="5B16B474">
            <w:pPr>
              <w:jc w:val="center"/>
              <w:rPr>
                <w:rFonts w:hint="eastAsia" w:ascii="仿宋" w:hAnsi="仿宋" w:eastAsia="仿宋" w:cs="仿宋"/>
                <w:caps w:val="0"/>
                <w:color w:val="auto"/>
                <w:spacing w:val="0"/>
                <w:w w:val="100"/>
                <w:sz w:val="24"/>
                <w:szCs w:val="24"/>
                <w:lang w:eastAsia="zh-CN"/>
              </w:rPr>
            </w:pPr>
            <w:r>
              <w:rPr>
                <w:rFonts w:hint="eastAsia" w:ascii="仿宋" w:hAnsi="仿宋" w:eastAsia="仿宋" w:cs="仿宋"/>
                <w:caps w:val="0"/>
                <w:color w:val="auto"/>
                <w:spacing w:val="0"/>
                <w:sz w:val="24"/>
                <w:szCs w:val="24"/>
                <w:lang w:val="en-US" w:eastAsia="zh-CN"/>
              </w:rPr>
              <w:t>电费</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28D03F7D">
            <w:pPr>
              <w:jc w:val="center"/>
              <w:rPr>
                <w:rFonts w:hint="eastAsia" w:ascii="仿宋" w:hAnsi="仿宋" w:eastAsia="仿宋" w:cs="仿宋"/>
                <w:caps w:val="0"/>
                <w:color w:val="auto"/>
                <w:spacing w:val="0"/>
                <w:w w:val="100"/>
                <w:sz w:val="24"/>
                <w:szCs w:val="24"/>
              </w:rPr>
            </w:pPr>
          </w:p>
        </w:tc>
        <w:tc>
          <w:tcPr>
            <w:tcW w:w="807" w:type="dxa"/>
            <w:tcBorders>
              <w:top w:val="single" w:color="auto" w:sz="4" w:space="0"/>
              <w:left w:val="single" w:color="auto" w:sz="4" w:space="0"/>
              <w:bottom w:val="single" w:color="auto" w:sz="4" w:space="0"/>
              <w:right w:val="single" w:color="auto" w:sz="4" w:space="0"/>
            </w:tcBorders>
            <w:noWrap w:val="0"/>
            <w:vAlign w:val="center"/>
          </w:tcPr>
          <w:p w14:paraId="5DA90222">
            <w:pPr>
              <w:jc w:val="center"/>
              <w:rPr>
                <w:rFonts w:hint="eastAsia" w:ascii="仿宋" w:hAnsi="仿宋" w:eastAsia="仿宋" w:cs="仿宋"/>
                <w:caps w:val="0"/>
                <w:color w:val="auto"/>
                <w:spacing w:val="0"/>
                <w:w w:val="100"/>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0FD69217">
            <w:pPr>
              <w:jc w:val="center"/>
              <w:rPr>
                <w:rFonts w:hint="eastAsia" w:ascii="仿宋" w:hAnsi="仿宋" w:eastAsia="仿宋" w:cs="仿宋"/>
                <w:caps w:val="0"/>
                <w:color w:val="auto"/>
                <w:spacing w:val="0"/>
                <w:w w:val="100"/>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76831ACD">
            <w:pPr>
              <w:jc w:val="center"/>
              <w:rPr>
                <w:rFonts w:hint="eastAsia" w:ascii="仿宋" w:hAnsi="仿宋" w:eastAsia="仿宋" w:cs="仿宋"/>
                <w:caps w:val="0"/>
                <w:color w:val="auto"/>
                <w:spacing w:val="0"/>
                <w:w w:val="100"/>
                <w:sz w:val="24"/>
                <w:szCs w:val="24"/>
              </w:rPr>
            </w:pPr>
          </w:p>
        </w:tc>
      </w:tr>
      <w:tr w14:paraId="585B80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14:paraId="557DF9CF">
            <w:pPr>
              <w:jc w:val="center"/>
              <w:rPr>
                <w:rFonts w:hint="eastAsia" w:ascii="仿宋" w:hAnsi="仿宋" w:eastAsia="仿宋" w:cs="仿宋"/>
                <w:caps w:val="0"/>
                <w:color w:val="auto"/>
                <w:spacing w:val="0"/>
                <w:w w:val="100"/>
                <w:sz w:val="24"/>
                <w:szCs w:val="24"/>
                <w:lang w:val="en-US" w:eastAsia="zh-CN"/>
              </w:rPr>
            </w:pPr>
            <w:r>
              <w:rPr>
                <w:rFonts w:hint="eastAsia" w:ascii="仿宋" w:hAnsi="仿宋" w:eastAsia="仿宋" w:cs="仿宋"/>
                <w:caps w:val="0"/>
                <w:color w:val="auto"/>
                <w:spacing w:val="0"/>
                <w:w w:val="100"/>
                <w:sz w:val="24"/>
                <w:szCs w:val="24"/>
                <w:lang w:val="en-US" w:eastAsia="zh-CN"/>
              </w:rPr>
              <w:t>4</w:t>
            </w:r>
          </w:p>
        </w:tc>
        <w:tc>
          <w:tcPr>
            <w:tcW w:w="3969" w:type="dxa"/>
            <w:tcBorders>
              <w:top w:val="single" w:color="auto" w:sz="4" w:space="0"/>
              <w:left w:val="single" w:color="auto" w:sz="4" w:space="0"/>
              <w:bottom w:val="single" w:color="auto" w:sz="4" w:space="0"/>
              <w:right w:val="single" w:color="auto" w:sz="4" w:space="0"/>
            </w:tcBorders>
            <w:noWrap w:val="0"/>
            <w:vAlign w:val="center"/>
          </w:tcPr>
          <w:p w14:paraId="4278CDBE">
            <w:pPr>
              <w:jc w:val="center"/>
              <w:rPr>
                <w:rFonts w:hint="eastAsia" w:ascii="仿宋" w:hAnsi="仿宋" w:eastAsia="仿宋" w:cs="仿宋"/>
                <w:caps w:val="0"/>
                <w:color w:val="auto"/>
                <w:spacing w:val="0"/>
                <w:w w:val="100"/>
                <w:sz w:val="24"/>
                <w:szCs w:val="24"/>
                <w:lang w:eastAsia="zh-CN"/>
              </w:rPr>
            </w:pPr>
            <w:r>
              <w:rPr>
                <w:rFonts w:hint="eastAsia" w:ascii="仿宋" w:hAnsi="仿宋" w:eastAsia="仿宋" w:cs="仿宋"/>
                <w:caps w:val="0"/>
                <w:color w:val="auto"/>
                <w:spacing w:val="0"/>
                <w:sz w:val="24"/>
                <w:szCs w:val="24"/>
                <w:lang w:val="en-US" w:eastAsia="zh-CN"/>
              </w:rPr>
              <w:t>设备维护费用</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19D15D4A">
            <w:pPr>
              <w:jc w:val="center"/>
              <w:rPr>
                <w:rFonts w:hint="eastAsia" w:ascii="仿宋" w:hAnsi="仿宋" w:eastAsia="仿宋" w:cs="仿宋"/>
                <w:caps w:val="0"/>
                <w:color w:val="auto"/>
                <w:spacing w:val="0"/>
                <w:w w:val="100"/>
                <w:sz w:val="24"/>
                <w:szCs w:val="24"/>
              </w:rPr>
            </w:pPr>
          </w:p>
        </w:tc>
        <w:tc>
          <w:tcPr>
            <w:tcW w:w="807" w:type="dxa"/>
            <w:tcBorders>
              <w:top w:val="single" w:color="auto" w:sz="4" w:space="0"/>
              <w:left w:val="single" w:color="auto" w:sz="4" w:space="0"/>
              <w:bottom w:val="single" w:color="auto" w:sz="4" w:space="0"/>
              <w:right w:val="single" w:color="auto" w:sz="4" w:space="0"/>
            </w:tcBorders>
            <w:noWrap w:val="0"/>
            <w:vAlign w:val="center"/>
          </w:tcPr>
          <w:p w14:paraId="3EC21C24">
            <w:pPr>
              <w:jc w:val="center"/>
              <w:rPr>
                <w:rFonts w:hint="eastAsia" w:ascii="仿宋" w:hAnsi="仿宋" w:eastAsia="仿宋" w:cs="仿宋"/>
                <w:caps w:val="0"/>
                <w:color w:val="auto"/>
                <w:spacing w:val="0"/>
                <w:w w:val="100"/>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6B33F08A">
            <w:pPr>
              <w:jc w:val="center"/>
              <w:rPr>
                <w:rFonts w:hint="eastAsia" w:ascii="仿宋" w:hAnsi="仿宋" w:eastAsia="仿宋" w:cs="仿宋"/>
                <w:caps w:val="0"/>
                <w:color w:val="auto"/>
                <w:spacing w:val="0"/>
                <w:w w:val="100"/>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64AC3F56">
            <w:pPr>
              <w:jc w:val="center"/>
              <w:rPr>
                <w:rFonts w:hint="eastAsia" w:ascii="仿宋" w:hAnsi="仿宋" w:eastAsia="仿宋" w:cs="仿宋"/>
                <w:caps w:val="0"/>
                <w:color w:val="auto"/>
                <w:spacing w:val="0"/>
                <w:w w:val="100"/>
                <w:sz w:val="24"/>
                <w:szCs w:val="24"/>
              </w:rPr>
            </w:pPr>
          </w:p>
        </w:tc>
      </w:tr>
      <w:tr w14:paraId="365986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14:paraId="044A061B">
            <w:pPr>
              <w:jc w:val="center"/>
              <w:rPr>
                <w:rFonts w:hint="eastAsia" w:ascii="仿宋" w:hAnsi="仿宋" w:eastAsia="仿宋" w:cs="仿宋"/>
                <w:caps w:val="0"/>
                <w:color w:val="auto"/>
                <w:spacing w:val="0"/>
                <w:w w:val="100"/>
                <w:sz w:val="24"/>
                <w:szCs w:val="24"/>
                <w:lang w:val="en-US" w:eastAsia="zh-CN"/>
              </w:rPr>
            </w:pPr>
            <w:r>
              <w:rPr>
                <w:rFonts w:hint="eastAsia" w:ascii="仿宋" w:hAnsi="仿宋" w:eastAsia="仿宋" w:cs="仿宋"/>
                <w:caps w:val="0"/>
                <w:color w:val="auto"/>
                <w:spacing w:val="0"/>
                <w:w w:val="100"/>
                <w:sz w:val="24"/>
                <w:szCs w:val="24"/>
                <w:lang w:val="en-US" w:eastAsia="zh-CN"/>
              </w:rPr>
              <w:t>5</w:t>
            </w:r>
          </w:p>
        </w:tc>
        <w:tc>
          <w:tcPr>
            <w:tcW w:w="3969" w:type="dxa"/>
            <w:tcBorders>
              <w:top w:val="single" w:color="auto" w:sz="4" w:space="0"/>
              <w:left w:val="single" w:color="auto" w:sz="4" w:space="0"/>
              <w:bottom w:val="single" w:color="auto" w:sz="4" w:space="0"/>
              <w:right w:val="single" w:color="auto" w:sz="4" w:space="0"/>
            </w:tcBorders>
            <w:noWrap w:val="0"/>
            <w:vAlign w:val="center"/>
          </w:tcPr>
          <w:p w14:paraId="29E6E32D">
            <w:pPr>
              <w:jc w:val="center"/>
              <w:rPr>
                <w:rFonts w:hint="eastAsia" w:ascii="仿宋" w:hAnsi="仿宋" w:eastAsia="仿宋" w:cs="仿宋"/>
                <w:caps w:val="0"/>
                <w:color w:val="auto"/>
                <w:spacing w:val="0"/>
                <w:w w:val="100"/>
                <w:sz w:val="24"/>
                <w:szCs w:val="24"/>
                <w:lang w:eastAsia="zh-CN"/>
              </w:rPr>
            </w:pPr>
            <w:r>
              <w:rPr>
                <w:rFonts w:hint="eastAsia" w:ascii="仿宋" w:hAnsi="仿宋" w:eastAsia="仿宋" w:cs="仿宋"/>
                <w:caps w:val="0"/>
                <w:color w:val="auto"/>
                <w:spacing w:val="0"/>
                <w:sz w:val="24"/>
                <w:szCs w:val="24"/>
                <w:lang w:val="en-US" w:eastAsia="zh-CN"/>
              </w:rPr>
              <w:t>服务人员费用</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2CD2A9B0">
            <w:pPr>
              <w:jc w:val="center"/>
              <w:rPr>
                <w:rFonts w:hint="eastAsia" w:ascii="仿宋" w:hAnsi="仿宋" w:eastAsia="仿宋" w:cs="仿宋"/>
                <w:caps w:val="0"/>
                <w:color w:val="auto"/>
                <w:spacing w:val="0"/>
                <w:w w:val="100"/>
                <w:sz w:val="24"/>
                <w:szCs w:val="24"/>
              </w:rPr>
            </w:pPr>
          </w:p>
        </w:tc>
        <w:tc>
          <w:tcPr>
            <w:tcW w:w="807" w:type="dxa"/>
            <w:tcBorders>
              <w:top w:val="single" w:color="auto" w:sz="4" w:space="0"/>
              <w:left w:val="single" w:color="auto" w:sz="4" w:space="0"/>
              <w:bottom w:val="single" w:color="auto" w:sz="4" w:space="0"/>
              <w:right w:val="single" w:color="auto" w:sz="4" w:space="0"/>
            </w:tcBorders>
            <w:noWrap w:val="0"/>
            <w:vAlign w:val="center"/>
          </w:tcPr>
          <w:p w14:paraId="497D31D1">
            <w:pPr>
              <w:jc w:val="center"/>
              <w:rPr>
                <w:rFonts w:hint="eastAsia" w:ascii="仿宋" w:hAnsi="仿宋" w:eastAsia="仿宋" w:cs="仿宋"/>
                <w:caps w:val="0"/>
                <w:color w:val="auto"/>
                <w:spacing w:val="0"/>
                <w:w w:val="100"/>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7B42B80F">
            <w:pPr>
              <w:jc w:val="center"/>
              <w:rPr>
                <w:rFonts w:hint="eastAsia" w:ascii="仿宋" w:hAnsi="仿宋" w:eastAsia="仿宋" w:cs="仿宋"/>
                <w:caps w:val="0"/>
                <w:color w:val="auto"/>
                <w:spacing w:val="0"/>
                <w:w w:val="100"/>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6CB42E17">
            <w:pPr>
              <w:jc w:val="center"/>
              <w:rPr>
                <w:rFonts w:hint="eastAsia" w:ascii="仿宋" w:hAnsi="仿宋" w:eastAsia="仿宋" w:cs="仿宋"/>
                <w:caps w:val="0"/>
                <w:color w:val="auto"/>
                <w:spacing w:val="0"/>
                <w:w w:val="100"/>
                <w:sz w:val="24"/>
                <w:szCs w:val="24"/>
              </w:rPr>
            </w:pPr>
          </w:p>
        </w:tc>
      </w:tr>
      <w:tr w14:paraId="470F20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14:paraId="48F0ECE8">
            <w:pPr>
              <w:jc w:val="center"/>
              <w:rPr>
                <w:rFonts w:hint="eastAsia" w:ascii="仿宋" w:hAnsi="仿宋" w:eastAsia="仿宋" w:cs="仿宋"/>
                <w:caps w:val="0"/>
                <w:color w:val="auto"/>
                <w:spacing w:val="0"/>
                <w:w w:val="100"/>
                <w:sz w:val="24"/>
                <w:szCs w:val="24"/>
                <w:lang w:eastAsia="zh-CN"/>
              </w:rPr>
            </w:pPr>
            <w:r>
              <w:rPr>
                <w:rFonts w:hint="eastAsia" w:ascii="仿宋" w:hAnsi="仿宋" w:eastAsia="仿宋" w:cs="仿宋"/>
                <w:caps w:val="0"/>
                <w:color w:val="auto"/>
                <w:spacing w:val="0"/>
                <w:w w:val="100"/>
                <w:sz w:val="24"/>
                <w:szCs w:val="24"/>
                <w:lang w:val="en-US" w:eastAsia="zh-CN"/>
              </w:rPr>
              <w:t>6</w:t>
            </w:r>
          </w:p>
        </w:tc>
        <w:tc>
          <w:tcPr>
            <w:tcW w:w="3969" w:type="dxa"/>
            <w:tcBorders>
              <w:top w:val="single" w:color="auto" w:sz="4" w:space="0"/>
              <w:left w:val="single" w:color="auto" w:sz="4" w:space="0"/>
              <w:bottom w:val="single" w:color="auto" w:sz="4" w:space="0"/>
              <w:right w:val="single" w:color="auto" w:sz="4" w:space="0"/>
            </w:tcBorders>
            <w:noWrap w:val="0"/>
            <w:vAlign w:val="center"/>
          </w:tcPr>
          <w:p w14:paraId="171B88D9">
            <w:pPr>
              <w:jc w:val="cente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rPr>
              <w:t>……</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70F905FE">
            <w:pPr>
              <w:jc w:val="center"/>
              <w:rPr>
                <w:rFonts w:hint="eastAsia" w:ascii="仿宋" w:hAnsi="仿宋" w:eastAsia="仿宋" w:cs="仿宋"/>
                <w:caps w:val="0"/>
                <w:color w:val="auto"/>
                <w:spacing w:val="0"/>
                <w:w w:val="100"/>
                <w:sz w:val="24"/>
                <w:szCs w:val="24"/>
              </w:rPr>
            </w:pPr>
          </w:p>
        </w:tc>
        <w:tc>
          <w:tcPr>
            <w:tcW w:w="807" w:type="dxa"/>
            <w:tcBorders>
              <w:top w:val="single" w:color="auto" w:sz="4" w:space="0"/>
              <w:left w:val="single" w:color="auto" w:sz="4" w:space="0"/>
              <w:bottom w:val="single" w:color="auto" w:sz="4" w:space="0"/>
              <w:right w:val="single" w:color="auto" w:sz="4" w:space="0"/>
            </w:tcBorders>
            <w:noWrap w:val="0"/>
            <w:vAlign w:val="center"/>
          </w:tcPr>
          <w:p w14:paraId="3C9EFA9F">
            <w:pPr>
              <w:jc w:val="center"/>
              <w:rPr>
                <w:rFonts w:hint="eastAsia" w:ascii="仿宋" w:hAnsi="仿宋" w:eastAsia="仿宋" w:cs="仿宋"/>
                <w:caps w:val="0"/>
                <w:color w:val="auto"/>
                <w:spacing w:val="0"/>
                <w:w w:val="100"/>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1A46ED63">
            <w:pPr>
              <w:jc w:val="center"/>
              <w:rPr>
                <w:rFonts w:hint="eastAsia" w:ascii="仿宋" w:hAnsi="仿宋" w:eastAsia="仿宋" w:cs="仿宋"/>
                <w:caps w:val="0"/>
                <w:color w:val="auto"/>
                <w:spacing w:val="0"/>
                <w:w w:val="100"/>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7879E57D">
            <w:pPr>
              <w:jc w:val="center"/>
              <w:rPr>
                <w:rFonts w:hint="eastAsia" w:ascii="仿宋" w:hAnsi="仿宋" w:eastAsia="仿宋" w:cs="仿宋"/>
                <w:caps w:val="0"/>
                <w:color w:val="auto"/>
                <w:spacing w:val="0"/>
                <w:w w:val="100"/>
                <w:sz w:val="24"/>
                <w:szCs w:val="24"/>
              </w:rPr>
            </w:pPr>
          </w:p>
        </w:tc>
      </w:tr>
      <w:tr w14:paraId="2632E6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14:paraId="4E7A9B8E">
            <w:pPr>
              <w:jc w:val="center"/>
              <w:rPr>
                <w:rFonts w:hint="eastAsia" w:ascii="仿宋" w:hAnsi="仿宋" w:eastAsia="仿宋" w:cs="仿宋"/>
                <w:caps w:val="0"/>
                <w:color w:val="auto"/>
                <w:spacing w:val="0"/>
                <w:w w:val="100"/>
                <w:sz w:val="24"/>
                <w:szCs w:val="24"/>
                <w:lang w:val="en-US" w:eastAsia="zh-CN"/>
              </w:rPr>
            </w:pPr>
            <w:r>
              <w:rPr>
                <w:rFonts w:hint="eastAsia" w:ascii="仿宋" w:hAnsi="仿宋" w:eastAsia="仿宋" w:cs="仿宋"/>
                <w:caps w:val="0"/>
                <w:color w:val="auto"/>
                <w:spacing w:val="0"/>
                <w:w w:val="100"/>
                <w:sz w:val="24"/>
                <w:szCs w:val="24"/>
                <w:lang w:val="en-US" w:eastAsia="zh-CN"/>
              </w:rPr>
              <w:t>7</w:t>
            </w:r>
          </w:p>
        </w:tc>
        <w:tc>
          <w:tcPr>
            <w:tcW w:w="3969" w:type="dxa"/>
            <w:tcBorders>
              <w:top w:val="single" w:color="auto" w:sz="4" w:space="0"/>
              <w:left w:val="single" w:color="auto" w:sz="4" w:space="0"/>
              <w:bottom w:val="single" w:color="auto" w:sz="4" w:space="0"/>
              <w:right w:val="single" w:color="auto" w:sz="4" w:space="0"/>
            </w:tcBorders>
            <w:noWrap w:val="0"/>
            <w:vAlign w:val="center"/>
          </w:tcPr>
          <w:p w14:paraId="7298C1D7">
            <w:pPr>
              <w:jc w:val="center"/>
              <w:rPr>
                <w:rFonts w:hint="eastAsia" w:ascii="仿宋" w:hAnsi="仿宋" w:eastAsia="仿宋" w:cs="仿宋"/>
                <w:caps w:val="0"/>
                <w:color w:val="auto"/>
                <w:spacing w:val="0"/>
                <w:w w:val="100"/>
                <w:sz w:val="24"/>
                <w:szCs w:val="24"/>
                <w:lang w:eastAsia="zh-CN"/>
              </w:rPr>
            </w:pPr>
            <w:r>
              <w:rPr>
                <w:rFonts w:hint="eastAsia" w:ascii="仿宋" w:hAnsi="仿宋" w:eastAsia="仿宋" w:cs="仿宋"/>
                <w:caps w:val="0"/>
                <w:color w:val="auto"/>
                <w:spacing w:val="0"/>
                <w:w w:val="100"/>
                <w:sz w:val="24"/>
                <w:szCs w:val="24"/>
                <w:lang w:eastAsia="zh-CN"/>
              </w:rPr>
              <w:t>税费</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493F98D1">
            <w:pPr>
              <w:jc w:val="center"/>
              <w:rPr>
                <w:rFonts w:hint="eastAsia" w:ascii="仿宋" w:hAnsi="仿宋" w:eastAsia="仿宋" w:cs="仿宋"/>
                <w:caps w:val="0"/>
                <w:color w:val="auto"/>
                <w:spacing w:val="0"/>
                <w:w w:val="100"/>
                <w:sz w:val="24"/>
                <w:szCs w:val="24"/>
              </w:rPr>
            </w:pPr>
          </w:p>
        </w:tc>
        <w:tc>
          <w:tcPr>
            <w:tcW w:w="807" w:type="dxa"/>
            <w:tcBorders>
              <w:top w:val="single" w:color="auto" w:sz="4" w:space="0"/>
              <w:left w:val="single" w:color="auto" w:sz="4" w:space="0"/>
              <w:bottom w:val="single" w:color="auto" w:sz="4" w:space="0"/>
              <w:right w:val="single" w:color="auto" w:sz="4" w:space="0"/>
            </w:tcBorders>
            <w:noWrap w:val="0"/>
            <w:vAlign w:val="center"/>
          </w:tcPr>
          <w:p w14:paraId="6CCEB02A">
            <w:pPr>
              <w:jc w:val="center"/>
              <w:rPr>
                <w:rFonts w:hint="eastAsia" w:ascii="仿宋" w:hAnsi="仿宋" w:eastAsia="仿宋" w:cs="仿宋"/>
                <w:caps w:val="0"/>
                <w:color w:val="auto"/>
                <w:spacing w:val="0"/>
                <w:w w:val="100"/>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3EADF7CC">
            <w:pPr>
              <w:jc w:val="center"/>
              <w:rPr>
                <w:rFonts w:hint="eastAsia" w:ascii="仿宋" w:hAnsi="仿宋" w:eastAsia="仿宋" w:cs="仿宋"/>
                <w:caps w:val="0"/>
                <w:color w:val="auto"/>
                <w:spacing w:val="0"/>
                <w:w w:val="100"/>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27D4E8A7">
            <w:pPr>
              <w:jc w:val="center"/>
              <w:rPr>
                <w:rFonts w:hint="eastAsia" w:ascii="仿宋" w:hAnsi="仿宋" w:eastAsia="仿宋" w:cs="仿宋"/>
                <w:caps w:val="0"/>
                <w:color w:val="auto"/>
                <w:spacing w:val="0"/>
                <w:w w:val="100"/>
                <w:sz w:val="24"/>
                <w:szCs w:val="24"/>
              </w:rPr>
            </w:pPr>
          </w:p>
        </w:tc>
      </w:tr>
      <w:tr w14:paraId="4193F9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14:paraId="071EB0D6">
            <w:pPr>
              <w:jc w:val="center"/>
              <w:rPr>
                <w:rFonts w:hint="eastAsia" w:ascii="仿宋" w:hAnsi="仿宋" w:eastAsia="仿宋" w:cs="仿宋"/>
                <w:caps w:val="0"/>
                <w:color w:val="auto"/>
                <w:spacing w:val="0"/>
                <w:w w:val="100"/>
                <w:sz w:val="24"/>
                <w:szCs w:val="24"/>
                <w:lang w:val="en-US" w:eastAsia="zh-CN"/>
              </w:rPr>
            </w:pPr>
            <w:r>
              <w:rPr>
                <w:rFonts w:hint="eastAsia" w:ascii="仿宋" w:hAnsi="仿宋" w:eastAsia="仿宋" w:cs="仿宋"/>
                <w:caps w:val="0"/>
                <w:color w:val="auto"/>
                <w:spacing w:val="0"/>
                <w:w w:val="100"/>
                <w:sz w:val="24"/>
                <w:szCs w:val="24"/>
                <w:lang w:val="en-US" w:eastAsia="zh-CN"/>
              </w:rPr>
              <w:t>8</w:t>
            </w:r>
          </w:p>
        </w:tc>
        <w:tc>
          <w:tcPr>
            <w:tcW w:w="8319" w:type="dxa"/>
            <w:gridSpan w:val="5"/>
            <w:tcBorders>
              <w:top w:val="single" w:color="auto" w:sz="4" w:space="0"/>
              <w:left w:val="single" w:color="auto" w:sz="4" w:space="0"/>
              <w:bottom w:val="single" w:color="auto" w:sz="4" w:space="0"/>
              <w:right w:val="single" w:color="auto" w:sz="4" w:space="0"/>
            </w:tcBorders>
            <w:noWrap w:val="0"/>
            <w:vAlign w:val="center"/>
          </w:tcPr>
          <w:p w14:paraId="20EF810C">
            <w:pPr>
              <w:rPr>
                <w:rFonts w:hint="eastAsia" w:ascii="仿宋" w:hAnsi="仿宋" w:eastAsia="仿宋" w:cs="仿宋"/>
                <w:caps w:val="0"/>
                <w:color w:val="auto"/>
                <w:spacing w:val="0"/>
                <w:w w:val="100"/>
                <w:sz w:val="24"/>
                <w:szCs w:val="24"/>
              </w:rPr>
            </w:pPr>
            <w:r>
              <w:rPr>
                <w:rFonts w:hint="eastAsia" w:ascii="仿宋" w:hAnsi="仿宋" w:eastAsia="仿宋" w:cs="仿宋"/>
                <w:caps w:val="0"/>
                <w:color w:val="auto"/>
                <w:spacing w:val="0"/>
                <w:w w:val="100"/>
                <w:sz w:val="24"/>
                <w:szCs w:val="24"/>
                <w:lang w:val="en-US" w:eastAsia="zh-CN"/>
              </w:rPr>
              <w:t>总报价</w:t>
            </w:r>
            <w:r>
              <w:rPr>
                <w:rFonts w:hint="eastAsia" w:ascii="仿宋" w:hAnsi="仿宋" w:eastAsia="仿宋" w:cs="仿宋"/>
                <w:caps w:val="0"/>
                <w:color w:val="auto"/>
                <w:spacing w:val="0"/>
                <w:w w:val="100"/>
                <w:sz w:val="24"/>
                <w:szCs w:val="24"/>
              </w:rPr>
              <w:t>：（大写）</w:t>
            </w:r>
            <w:r>
              <w:rPr>
                <w:rFonts w:hint="eastAsia" w:ascii="仿宋" w:hAnsi="仿宋" w:eastAsia="仿宋" w:cs="仿宋"/>
                <w:caps w:val="0"/>
                <w:color w:val="auto"/>
                <w:spacing w:val="0"/>
                <w:w w:val="100"/>
                <w:sz w:val="24"/>
                <w:szCs w:val="24"/>
                <w:u w:val="single"/>
              </w:rPr>
              <w:t xml:space="preserve">                       </w:t>
            </w:r>
            <w:r>
              <w:rPr>
                <w:rFonts w:hint="eastAsia" w:ascii="仿宋" w:hAnsi="仿宋" w:eastAsia="仿宋" w:cs="仿宋"/>
                <w:caps w:val="0"/>
                <w:color w:val="auto"/>
                <w:spacing w:val="0"/>
                <w:w w:val="100"/>
                <w:sz w:val="24"/>
                <w:szCs w:val="24"/>
              </w:rPr>
              <w:t>元（¥              ）</w:t>
            </w:r>
          </w:p>
        </w:tc>
      </w:tr>
    </w:tbl>
    <w:p w14:paraId="70B606A5">
      <w:pPr>
        <w:keepNext w:val="0"/>
        <w:keepLines w:val="0"/>
        <w:pageBreakBefore w:val="0"/>
        <w:widowControl w:val="0"/>
        <w:kinsoku/>
        <w:wordWrap/>
        <w:overflowPunct/>
        <w:topLinePunct w:val="0"/>
        <w:autoSpaceDE/>
        <w:autoSpaceDN/>
        <w:bidi w:val="0"/>
        <w:adjustRightInd w:val="0"/>
        <w:snapToGrid/>
        <w:spacing w:line="288" w:lineRule="auto"/>
        <w:jc w:val="left"/>
        <w:rPr>
          <w:rFonts w:hint="eastAsia" w:ascii="仿宋" w:hAnsi="仿宋" w:eastAsia="仿宋" w:cs="仿宋"/>
          <w:caps w:val="0"/>
          <w:color w:val="auto"/>
          <w:spacing w:val="0"/>
          <w:sz w:val="24"/>
          <w:szCs w:val="24"/>
        </w:rPr>
      </w:pPr>
      <w:r>
        <w:rPr>
          <w:rFonts w:hint="eastAsia" w:ascii="仿宋" w:hAnsi="仿宋" w:eastAsia="仿宋" w:cs="仿宋"/>
          <w:caps w:val="0"/>
          <w:color w:val="auto"/>
          <w:spacing w:val="0"/>
          <w:sz w:val="24"/>
          <w:szCs w:val="24"/>
        </w:rPr>
        <w:t>注：</w:t>
      </w:r>
    </w:p>
    <w:p w14:paraId="6C0F449B">
      <w:pPr>
        <w:pStyle w:val="3"/>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仿宋" w:hAnsi="仿宋" w:eastAsia="仿宋" w:cs="仿宋"/>
          <w:caps w:val="0"/>
          <w:color w:val="auto"/>
          <w:spacing w:val="0"/>
          <w:sz w:val="24"/>
          <w:szCs w:val="24"/>
        </w:rPr>
      </w:pPr>
      <w:r>
        <w:rPr>
          <w:rFonts w:hint="eastAsia" w:ascii="仿宋" w:hAnsi="仿宋" w:eastAsia="仿宋" w:cs="仿宋"/>
          <w:caps w:val="0"/>
          <w:color w:val="auto"/>
          <w:spacing w:val="0"/>
          <w:sz w:val="24"/>
          <w:szCs w:val="24"/>
          <w:lang w:val="en-US" w:eastAsia="zh-CN"/>
        </w:rPr>
        <w:t>1、</w:t>
      </w:r>
      <w:r>
        <w:rPr>
          <w:rFonts w:hint="eastAsia" w:ascii="仿宋" w:hAnsi="仿宋" w:eastAsia="仿宋" w:cs="仿宋"/>
          <w:color w:val="auto"/>
          <w:kern w:val="2"/>
          <w:sz w:val="24"/>
          <w:szCs w:val="24"/>
          <w:highlight w:val="none"/>
          <w:lang w:val="en-US" w:eastAsia="zh-CN" w:bidi="ar-SA"/>
        </w:rPr>
        <w:t>投标总报价应包含但不仅限于运维全过程所涉及的</w:t>
      </w:r>
      <w:r>
        <w:rPr>
          <w:rFonts w:hint="eastAsia" w:ascii="仿宋" w:hAnsi="仿宋" w:eastAsia="仿宋" w:cs="仿宋"/>
          <w:caps w:val="0"/>
          <w:color w:val="auto"/>
          <w:spacing w:val="0"/>
          <w:sz w:val="24"/>
          <w:szCs w:val="21"/>
        </w:rPr>
        <w:t>服务人员费用、设备维护费用、</w:t>
      </w:r>
      <w:r>
        <w:rPr>
          <w:rFonts w:hint="eastAsia" w:ascii="仿宋" w:hAnsi="仿宋" w:eastAsia="仿宋" w:cs="仿宋"/>
          <w:caps w:val="0"/>
          <w:color w:val="auto"/>
          <w:spacing w:val="0"/>
          <w:sz w:val="24"/>
          <w:szCs w:val="21"/>
          <w:lang w:eastAsia="zh-CN"/>
        </w:rPr>
        <w:t>耗材更换费用、</w:t>
      </w:r>
      <w:r>
        <w:rPr>
          <w:rFonts w:hint="eastAsia" w:ascii="仿宋" w:hAnsi="仿宋" w:eastAsia="仿宋" w:cs="仿宋"/>
          <w:caps w:val="0"/>
          <w:color w:val="auto"/>
          <w:spacing w:val="0"/>
          <w:sz w:val="24"/>
          <w:szCs w:val="21"/>
        </w:rPr>
        <w:t>药剂费用、实验室化验分析费、在线监测系统维护费</w:t>
      </w:r>
      <w:r>
        <w:rPr>
          <w:rFonts w:hint="eastAsia" w:ascii="仿宋" w:hAnsi="仿宋" w:eastAsia="仿宋" w:cs="仿宋"/>
          <w:color w:val="auto"/>
          <w:sz w:val="24"/>
          <w:szCs w:val="24"/>
          <w:highlight w:val="none"/>
        </w:rPr>
        <w:t>(含维修)</w:t>
      </w:r>
      <w:r>
        <w:rPr>
          <w:rFonts w:hint="eastAsia" w:ascii="仿宋" w:hAnsi="仿宋" w:eastAsia="仿宋" w:cs="仿宋"/>
          <w:caps w:val="0"/>
          <w:color w:val="auto"/>
          <w:spacing w:val="0"/>
          <w:sz w:val="24"/>
          <w:szCs w:val="21"/>
        </w:rPr>
        <w:t>、污泥处置费、</w:t>
      </w:r>
      <w:r>
        <w:rPr>
          <w:rFonts w:hint="eastAsia" w:ascii="仿宋" w:hAnsi="仿宋" w:eastAsia="仿宋" w:cs="仿宋"/>
          <w:caps w:val="0"/>
          <w:color w:val="auto"/>
          <w:spacing w:val="0"/>
          <w:sz w:val="24"/>
          <w:szCs w:val="21"/>
          <w:lang w:val="en-US" w:eastAsia="zh-CN"/>
        </w:rPr>
        <w:t>绿化维护费等</w:t>
      </w:r>
      <w:r>
        <w:rPr>
          <w:rFonts w:hint="eastAsia" w:ascii="仿宋" w:hAnsi="仿宋" w:eastAsia="仿宋" w:cs="仿宋"/>
          <w:caps w:val="0"/>
          <w:color w:val="auto"/>
          <w:spacing w:val="0"/>
          <w:sz w:val="24"/>
          <w:szCs w:val="21"/>
        </w:rPr>
        <w:t>一切费用及规费、水电费、管理费、税金、合理利润、招标代理服务费等一切成本及费用</w:t>
      </w:r>
      <w:r>
        <w:rPr>
          <w:rFonts w:hint="eastAsia" w:ascii="仿宋" w:hAnsi="仿宋" w:eastAsia="仿宋" w:cs="仿宋"/>
          <w:caps w:val="0"/>
          <w:color w:val="auto"/>
          <w:spacing w:val="0"/>
          <w:sz w:val="24"/>
          <w:szCs w:val="24"/>
          <w:lang w:val="en-US" w:eastAsia="zh-CN"/>
        </w:rPr>
        <w:t>。</w:t>
      </w:r>
      <w:r>
        <w:rPr>
          <w:rFonts w:hint="eastAsia" w:ascii="仿宋" w:hAnsi="仿宋" w:eastAsia="仿宋" w:cs="仿宋"/>
          <w:caps w:val="0"/>
          <w:color w:val="auto"/>
          <w:spacing w:val="0"/>
          <w:sz w:val="24"/>
          <w:szCs w:val="21"/>
        </w:rPr>
        <w:t>投标人应自行增加系统正常、合法运行及使用所必需但招标文件没有包含的所有部件、版权、专利等一切费用，如果投标人在中标并签署合同后，在供货、安装、调试、培训等工作中出现硬件、软件等的任何遗漏，均由中标人免费提供，采购人将不再支付任何费用。投标报价为履行合同的最终价格，投标人不得再要求追加任何费用。</w:t>
      </w:r>
    </w:p>
    <w:p w14:paraId="222C1F15">
      <w:pPr>
        <w:pStyle w:val="12"/>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caps w:val="0"/>
          <w:color w:val="auto"/>
          <w:spacing w:val="0"/>
        </w:rPr>
      </w:pPr>
      <w:r>
        <w:rPr>
          <w:rFonts w:hint="eastAsia" w:ascii="仿宋" w:hAnsi="仿宋" w:eastAsia="仿宋" w:cs="仿宋"/>
          <w:caps w:val="0"/>
          <w:color w:val="auto"/>
          <w:spacing w:val="0"/>
          <w:lang w:val="en-US" w:eastAsia="zh-CN"/>
        </w:rPr>
        <w:t>2、</w:t>
      </w:r>
      <w:r>
        <w:rPr>
          <w:rFonts w:hint="eastAsia" w:ascii="仿宋" w:hAnsi="仿宋" w:eastAsia="仿宋" w:cs="仿宋"/>
          <w:caps w:val="0"/>
          <w:color w:val="auto"/>
          <w:spacing w:val="0"/>
        </w:rPr>
        <w:t>《分项报价表》必须与《开标一览表》报价相同。</w:t>
      </w:r>
    </w:p>
    <w:p w14:paraId="6E5629D5">
      <w:pPr>
        <w:pStyle w:val="12"/>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caps w:val="0"/>
          <w:color w:val="auto"/>
          <w:spacing w:val="0"/>
        </w:rPr>
      </w:pPr>
      <w:r>
        <w:rPr>
          <w:rFonts w:hint="eastAsia" w:ascii="仿宋" w:hAnsi="仿宋" w:eastAsia="仿宋" w:cs="仿宋"/>
          <w:caps w:val="0"/>
          <w:color w:val="auto"/>
          <w:spacing w:val="0"/>
          <w:lang w:val="en-US" w:eastAsia="zh-CN"/>
        </w:rPr>
        <w:t>3、</w:t>
      </w:r>
      <w:r>
        <w:rPr>
          <w:rFonts w:hint="eastAsia" w:ascii="仿宋" w:hAnsi="仿宋" w:eastAsia="仿宋" w:cs="仿宋"/>
          <w:caps w:val="0"/>
          <w:color w:val="auto"/>
          <w:spacing w:val="0"/>
        </w:rPr>
        <w:t>▲所有单项报价均不得为0，否则作无效标处理。</w:t>
      </w:r>
    </w:p>
    <w:p w14:paraId="3E308848">
      <w:pPr>
        <w:pStyle w:val="12"/>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caps w:val="0"/>
          <w:color w:val="auto"/>
          <w:spacing w:val="0"/>
          <w:lang w:val="en-US" w:eastAsia="zh-CN"/>
        </w:rPr>
      </w:pPr>
      <w:r>
        <w:rPr>
          <w:rFonts w:hint="eastAsia" w:ascii="仿宋" w:hAnsi="仿宋" w:eastAsia="仿宋" w:cs="仿宋"/>
          <w:caps w:val="0"/>
          <w:color w:val="auto"/>
          <w:spacing w:val="0"/>
          <w:lang w:val="en-US" w:eastAsia="zh-CN"/>
        </w:rPr>
        <w:t>4、本表所列项目内容为参考内容，投标人可根据项目实际需要按实填写。</w:t>
      </w:r>
    </w:p>
    <w:p w14:paraId="04006D4A">
      <w:pPr>
        <w:rPr>
          <w:rFonts w:hint="eastAsia"/>
          <w:color w:val="auto"/>
          <w:lang w:val="en-US" w:eastAsia="zh-CN"/>
        </w:rPr>
      </w:pPr>
    </w:p>
    <w:p w14:paraId="7A215CD0">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538F2C89">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4C8EC8B2">
      <w:pPr>
        <w:pStyle w:val="9"/>
        <w:spacing w:before="0" w:after="0" w:line="240" w:lineRule="auto"/>
        <w:ind w:firstLine="0" w:firstLineChars="0"/>
        <w:jc w:val="left"/>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2"/>
          <w:highlight w:val="none"/>
          <w:lang w:val="en-US" w:eastAsia="zh-CN"/>
        </w:rPr>
        <w:t>4.</w:t>
      </w:r>
      <w:r>
        <w:rPr>
          <w:rFonts w:hint="eastAsia" w:ascii="仿宋" w:hAnsi="仿宋" w:eastAsia="仿宋" w:cs="仿宋"/>
          <w:color w:val="auto"/>
          <w:sz w:val="28"/>
          <w:szCs w:val="22"/>
          <w:highlight w:val="none"/>
        </w:rPr>
        <w:t>中小企业声明函</w:t>
      </w:r>
      <w:r>
        <w:rPr>
          <w:rFonts w:hint="eastAsia" w:ascii="仿宋" w:hAnsi="仿宋" w:eastAsia="仿宋" w:cs="仿宋"/>
          <w:color w:val="auto"/>
          <w:sz w:val="28"/>
          <w:szCs w:val="22"/>
          <w:highlight w:val="none"/>
          <w:lang w:eastAsia="zh-CN"/>
        </w:rPr>
        <w:t>（</w:t>
      </w:r>
      <w:r>
        <w:rPr>
          <w:rFonts w:hint="eastAsia" w:ascii="仿宋" w:hAnsi="仿宋" w:eastAsia="仿宋" w:cs="仿宋"/>
          <w:color w:val="auto"/>
          <w:sz w:val="28"/>
          <w:szCs w:val="22"/>
          <w:highlight w:val="none"/>
          <w:lang w:val="en-US" w:eastAsia="zh-CN"/>
        </w:rPr>
        <w:t>如有</w:t>
      </w:r>
      <w:r>
        <w:rPr>
          <w:rFonts w:hint="eastAsia" w:ascii="仿宋" w:hAnsi="仿宋" w:eastAsia="仿宋" w:cs="仿宋"/>
          <w:color w:val="auto"/>
          <w:sz w:val="28"/>
          <w:szCs w:val="22"/>
          <w:highlight w:val="none"/>
          <w:lang w:eastAsia="zh-CN"/>
        </w:rPr>
        <w:t>）</w:t>
      </w:r>
    </w:p>
    <w:p w14:paraId="7893721E">
      <w:pPr>
        <w:widowControl/>
        <w:spacing w:line="480" w:lineRule="auto"/>
        <w:jc w:val="center"/>
        <w:rPr>
          <w:rFonts w:hint="eastAsia" w:ascii="仿宋" w:hAnsi="仿宋" w:eastAsia="仿宋" w:cs="仿宋"/>
          <w:color w:val="auto"/>
          <w:sz w:val="28"/>
          <w:szCs w:val="22"/>
          <w:highlight w:val="none"/>
        </w:rPr>
      </w:pPr>
      <w:r>
        <w:rPr>
          <w:rFonts w:hint="eastAsia" w:ascii="仿宋" w:hAnsi="仿宋" w:eastAsia="仿宋" w:cs="仿宋"/>
          <w:b/>
          <w:bCs/>
          <w:color w:val="auto"/>
          <w:sz w:val="28"/>
          <w:szCs w:val="22"/>
          <w:highlight w:val="none"/>
        </w:rPr>
        <w:t>中小企业声明函（服务）</w:t>
      </w:r>
    </w:p>
    <w:p w14:paraId="0267FD9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w:t>
      </w:r>
      <w:r>
        <w:rPr>
          <w:rFonts w:hint="eastAsia" w:ascii="仿宋" w:hAnsi="仿宋" w:eastAsia="仿宋" w:cs="仿宋"/>
          <w:color w:val="auto"/>
          <w:sz w:val="24"/>
          <w:highlight w:val="none"/>
          <w:u w:val="single"/>
        </w:rPr>
        <w:t>（单位名称）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EFFCEC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 xml:space="preserve"> （标的名称） </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lang w:val="en-US" w:eastAsia="zh-CN"/>
        </w:rPr>
        <w:t>其他未列明行业</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；承建（承接）企业为</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（中型企业、小型企业、微型企业三选一）</w:t>
      </w:r>
      <w:r>
        <w:rPr>
          <w:rFonts w:hint="eastAsia" w:ascii="仿宋" w:hAnsi="仿宋" w:eastAsia="仿宋" w:cs="仿宋"/>
          <w:color w:val="auto"/>
          <w:sz w:val="24"/>
          <w:highlight w:val="none"/>
        </w:rPr>
        <w:t xml:space="preserve">； </w:t>
      </w:r>
    </w:p>
    <w:p w14:paraId="359EC17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 </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；承建（承接）企业为</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（中型企业、小型企业、微型企业三选一）； </w:t>
      </w:r>
    </w:p>
    <w:p w14:paraId="6BC386F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350559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38D8057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r>
        <w:rPr>
          <w:rFonts w:hint="eastAsia" w:ascii="仿宋" w:hAnsi="仿宋" w:eastAsia="仿宋" w:cs="仿宋"/>
          <w:color w:val="auto"/>
          <w:kern w:val="0"/>
          <w:sz w:val="22"/>
          <w:szCs w:val="22"/>
          <w:highlight w:val="none"/>
          <w:lang w:bidi="ar"/>
        </w:rPr>
        <w:t xml:space="preserve"> </w:t>
      </w:r>
    </w:p>
    <w:p w14:paraId="329DCA4C">
      <w:pPr>
        <w:widowControl/>
        <w:spacing w:line="360" w:lineRule="auto"/>
        <w:jc w:val="left"/>
        <w:rPr>
          <w:rFonts w:hint="eastAsia" w:ascii="仿宋" w:hAnsi="仿宋" w:eastAsia="仿宋" w:cs="仿宋"/>
          <w:color w:val="auto"/>
          <w:kern w:val="0"/>
          <w:sz w:val="24"/>
          <w:highlight w:val="none"/>
          <w:lang w:bidi="ar"/>
        </w:rPr>
      </w:pPr>
    </w:p>
    <w:p w14:paraId="541CA6BA">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4E4665E0">
      <w:pPr>
        <w:widowControl/>
        <w:spacing w:line="360" w:lineRule="auto"/>
        <w:ind w:firstLine="5760" w:firstLineChars="2400"/>
        <w:jc w:val="lef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7064E916">
      <w:pPr>
        <w:widowControl/>
        <w:spacing w:line="360" w:lineRule="auto"/>
        <w:ind w:firstLine="5760" w:firstLineChars="2400"/>
        <w:jc w:val="left"/>
        <w:rPr>
          <w:rFonts w:hint="eastAsia" w:ascii="仿宋" w:hAnsi="仿宋" w:eastAsia="仿宋" w:cs="仿宋"/>
          <w:color w:val="auto"/>
          <w:sz w:val="24"/>
          <w:szCs w:val="21"/>
          <w:highlight w:val="none"/>
          <w:u w:val="single"/>
        </w:rPr>
      </w:pPr>
    </w:p>
    <w:p w14:paraId="36CB8BE2">
      <w:pPr>
        <w:pStyle w:val="10"/>
        <w:spacing w:line="360" w:lineRule="auto"/>
        <w:rPr>
          <w:rFonts w:hint="eastAsia" w:ascii="仿宋" w:hAnsi="仿宋" w:eastAsia="仿宋" w:cs="仿宋"/>
          <w:b/>
          <w:bCs/>
          <w:color w:val="auto"/>
          <w:kern w:val="0"/>
          <w:sz w:val="24"/>
          <w:szCs w:val="24"/>
          <w:highlight w:val="none"/>
          <w:lang w:bidi="ar"/>
        </w:rPr>
      </w:pPr>
      <w:r>
        <w:rPr>
          <w:rFonts w:hint="eastAsia" w:ascii="仿宋" w:hAnsi="仿宋" w:eastAsia="仿宋" w:cs="仿宋"/>
          <w:b/>
          <w:bCs/>
          <w:color w:val="auto"/>
          <w:kern w:val="0"/>
          <w:sz w:val="24"/>
          <w:szCs w:val="24"/>
          <w:highlight w:val="none"/>
          <w:lang w:bidi="ar"/>
        </w:rPr>
        <w:t>注：1.从业人员、营业收入、资产总额填报上一年度数据，无上一年度数据的新成立企业可不填报。</w:t>
      </w:r>
    </w:p>
    <w:p w14:paraId="356FB1F6">
      <w:pPr>
        <w:pStyle w:val="10"/>
        <w:spacing w:line="360" w:lineRule="auto"/>
        <w:ind w:firstLine="482" w:firstLineChars="200"/>
        <w:rPr>
          <w:rFonts w:hint="eastAsia" w:ascii="仿宋" w:hAnsi="仿宋" w:eastAsia="仿宋" w:cs="仿宋"/>
          <w:b/>
          <w:bCs/>
          <w:color w:val="auto"/>
          <w:kern w:val="0"/>
          <w:sz w:val="24"/>
          <w:szCs w:val="24"/>
          <w:highlight w:val="none"/>
          <w:lang w:bidi="ar"/>
        </w:rPr>
      </w:pPr>
      <w:r>
        <w:rPr>
          <w:rFonts w:hint="eastAsia" w:ascii="仿宋" w:hAnsi="仿宋" w:eastAsia="仿宋" w:cs="仿宋"/>
          <w:b/>
          <w:bCs/>
          <w:color w:val="auto"/>
          <w:kern w:val="0"/>
          <w:sz w:val="24"/>
          <w:szCs w:val="24"/>
          <w:highlight w:val="none"/>
          <w:lang w:bidi="ar"/>
        </w:rPr>
        <w:t>2.投标人应当按照《政府采购促进中小企业发展管理办法》规定和《中小企业划型标准规定》（工信部联企业〔2011〕300号），如实填写并提交《中小企业声明函》，对其声明内容的真实性负责，声明函内容不实的，属于提供虚假材料谋取中标、成交，将依照《中华人民共和国政府采购法》等国家有关规定追究相应责任。</w:t>
      </w:r>
    </w:p>
    <w:p w14:paraId="38FAC09A">
      <w:pPr>
        <w:spacing w:line="360" w:lineRule="auto"/>
        <w:ind w:firstLine="482" w:firstLineChars="200"/>
        <w:jc w:val="both"/>
        <w:rPr>
          <w:rFonts w:hint="eastAsia" w:ascii="仿宋" w:hAnsi="仿宋" w:eastAsia="仿宋" w:cs="仿宋"/>
          <w:b/>
          <w:bCs/>
          <w:color w:val="auto"/>
          <w:kern w:val="0"/>
          <w:sz w:val="24"/>
          <w:highlight w:val="none"/>
          <w:lang w:bidi="ar"/>
        </w:rPr>
      </w:pPr>
      <w:r>
        <w:rPr>
          <w:rFonts w:hint="eastAsia" w:ascii="仿宋" w:hAnsi="仿宋" w:eastAsia="仿宋" w:cs="仿宋"/>
          <w:b/>
          <w:bCs/>
          <w:color w:val="auto"/>
          <w:kern w:val="0"/>
          <w:sz w:val="24"/>
          <w:highlight w:val="none"/>
          <w:lang w:bidi="ar"/>
        </w:rPr>
        <w:t>3.如中标，将在中标公告中将此中小企业声明函予以公示，接受社会监督。</w:t>
      </w:r>
    </w:p>
    <w:p w14:paraId="5D6E3668">
      <w:pPr>
        <w:pStyle w:val="2"/>
        <w:rPr>
          <w:rFonts w:hint="eastAsia" w:ascii="仿宋" w:hAnsi="仿宋" w:eastAsia="仿宋" w:cs="仿宋"/>
          <w:color w:val="auto"/>
          <w:lang w:val="en-US" w:eastAsia="zh-CN"/>
        </w:rPr>
      </w:pPr>
    </w:p>
    <w:p w14:paraId="246A8BA4">
      <w:pPr>
        <w:pStyle w:val="5"/>
        <w:keepNext w:val="0"/>
        <w:keepLines w:val="0"/>
        <w:pageBreakBefore/>
        <w:widowControl/>
        <w:spacing w:before="100" w:beforeAutospacing="1" w:after="100" w:afterAutospacing="1" w:line="36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附件</w:t>
      </w:r>
    </w:p>
    <w:p w14:paraId="690CD7C7">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457E7BD7">
      <w:pPr>
        <w:spacing w:line="360" w:lineRule="auto"/>
        <w:jc w:val="center"/>
        <w:rPr>
          <w:rFonts w:hint="eastAsia" w:ascii="仿宋" w:hAnsi="仿宋" w:eastAsia="仿宋" w:cs="仿宋"/>
          <w:b/>
          <w:color w:val="auto"/>
          <w:spacing w:val="6"/>
          <w:sz w:val="32"/>
          <w:szCs w:val="32"/>
          <w:highlight w:val="none"/>
        </w:rPr>
      </w:pPr>
      <w:bookmarkStart w:id="445" w:name="OLE_LINK14"/>
      <w:bookmarkStart w:id="446" w:name="OLE_LINK13"/>
      <w:r>
        <w:rPr>
          <w:rFonts w:hint="eastAsia" w:ascii="仿宋" w:hAnsi="仿宋" w:eastAsia="仿宋" w:cs="仿宋"/>
          <w:b/>
          <w:color w:val="auto"/>
          <w:spacing w:val="6"/>
          <w:sz w:val="32"/>
          <w:szCs w:val="32"/>
          <w:highlight w:val="none"/>
        </w:rPr>
        <w:t>残疾人福利性单位声明函</w:t>
      </w:r>
    </w:p>
    <w:bookmarkEnd w:id="445"/>
    <w:bookmarkEnd w:id="446"/>
    <w:p w14:paraId="52A96896">
      <w:pPr>
        <w:spacing w:line="360" w:lineRule="auto"/>
        <w:rPr>
          <w:rFonts w:hint="eastAsia" w:ascii="仿宋" w:hAnsi="仿宋" w:eastAsia="仿宋" w:cs="仿宋"/>
          <w:b/>
          <w:color w:val="auto"/>
          <w:spacing w:val="6"/>
          <w:sz w:val="30"/>
          <w:szCs w:val="30"/>
          <w:highlight w:val="none"/>
        </w:rPr>
      </w:pPr>
    </w:p>
    <w:p w14:paraId="1EF7EBC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w:t>
      </w:r>
      <w:r>
        <w:rPr>
          <w:rFonts w:hint="eastAsia" w:ascii="仿宋" w:hAnsi="仿宋" w:eastAsia="仿宋" w:cs="仿宋"/>
          <w:color w:val="auto"/>
          <w:sz w:val="24"/>
          <w:highlight w:val="none"/>
          <w:lang w:eastAsia="zh-CN"/>
        </w:rPr>
        <w:t>〔2017〕141号</w:t>
      </w:r>
      <w:r>
        <w:rPr>
          <w:rFonts w:hint="eastAsia" w:ascii="仿宋" w:hAnsi="仿宋" w:eastAsia="仿宋" w:cs="仿宋"/>
          <w:color w:val="auto"/>
          <w:sz w:val="24"/>
          <w:highlight w:val="none"/>
        </w:rPr>
        <w:t>）的规定，本单位为符合条件的残疾人福利性单位，且本单位参加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采购人</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lang w:eastAsia="zh-CN"/>
        </w:rPr>
        <w:t>遂昌县第二污水处理厂2025-2026年度代管运维服务项目</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采购活动提供本单位制造的货物（由本单位承担工程/提供服务），或者提供其他残疾人福利性单位制造的货物（不包括使用非残疾人福利性单位注册商标的货物）。</w:t>
      </w:r>
    </w:p>
    <w:p w14:paraId="11E5E93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27AFDCE9">
      <w:pPr>
        <w:spacing w:line="360" w:lineRule="auto"/>
        <w:ind w:firstLine="480" w:firstLineChars="200"/>
        <w:rPr>
          <w:rFonts w:hint="eastAsia" w:ascii="仿宋" w:hAnsi="仿宋" w:eastAsia="仿宋" w:cs="仿宋"/>
          <w:color w:val="auto"/>
          <w:sz w:val="24"/>
          <w:highlight w:val="none"/>
        </w:rPr>
      </w:pPr>
    </w:p>
    <w:p w14:paraId="41710296">
      <w:pPr>
        <w:spacing w:line="360" w:lineRule="auto"/>
        <w:ind w:firstLine="480" w:firstLineChars="200"/>
        <w:rPr>
          <w:rFonts w:hint="eastAsia" w:ascii="仿宋" w:hAnsi="仿宋" w:eastAsia="仿宋" w:cs="仿宋"/>
          <w:color w:val="auto"/>
          <w:sz w:val="24"/>
          <w:highlight w:val="none"/>
        </w:rPr>
      </w:pPr>
    </w:p>
    <w:p w14:paraId="0BC40ACF">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szCs w:val="21"/>
          <w:highlight w:val="none"/>
          <w:lang w:eastAsia="zh-CN"/>
        </w:rPr>
        <w:t>投标人盖章（电子章）</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u w:val="single"/>
        </w:rPr>
        <w:t xml:space="preserve">                </w:t>
      </w:r>
    </w:p>
    <w:p w14:paraId="2DAF41EE">
      <w:pPr>
        <w:pStyle w:val="36"/>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14:paraId="1999AAEC">
      <w:pPr>
        <w:tabs>
          <w:tab w:val="left" w:pos="4860"/>
        </w:tabs>
        <w:spacing w:line="360" w:lineRule="auto"/>
        <w:ind w:right="1560" w:firstLine="480" w:firstLineChars="200"/>
        <w:jc w:val="center"/>
        <w:rPr>
          <w:rFonts w:hint="eastAsia" w:ascii="仿宋" w:hAnsi="仿宋" w:eastAsia="仿宋" w:cs="仿宋"/>
          <w:color w:val="auto"/>
          <w:sz w:val="24"/>
          <w:highlight w:val="none"/>
        </w:rPr>
      </w:pPr>
    </w:p>
    <w:p w14:paraId="20720288">
      <w:pPr>
        <w:spacing w:line="360" w:lineRule="auto"/>
        <w:ind w:firstLine="480" w:firstLineChars="200"/>
        <w:rPr>
          <w:rFonts w:hint="eastAsia" w:ascii="仿宋" w:hAnsi="仿宋" w:eastAsia="仿宋" w:cs="仿宋"/>
          <w:color w:val="auto"/>
          <w:sz w:val="24"/>
          <w:highlight w:val="none"/>
        </w:rPr>
      </w:pPr>
    </w:p>
    <w:p w14:paraId="68F43DDB">
      <w:pPr>
        <w:spacing w:line="360" w:lineRule="auto"/>
        <w:ind w:firstLine="420" w:firstLineChars="200"/>
        <w:rPr>
          <w:rFonts w:hint="eastAsia" w:ascii="仿宋" w:hAnsi="仿宋" w:eastAsia="仿宋" w:cs="仿宋"/>
          <w:color w:val="auto"/>
          <w:highlight w:val="none"/>
        </w:rPr>
      </w:pPr>
    </w:p>
    <w:p w14:paraId="556CB1B6">
      <w:pPr>
        <w:spacing w:line="360" w:lineRule="auto"/>
        <w:ind w:firstLine="420" w:firstLineChars="200"/>
        <w:rPr>
          <w:rFonts w:hint="eastAsia" w:ascii="仿宋" w:hAnsi="仿宋" w:eastAsia="仿宋" w:cs="仿宋"/>
          <w:color w:val="auto"/>
          <w:highlight w:val="none"/>
        </w:rPr>
      </w:pPr>
    </w:p>
    <w:p w14:paraId="24B4E31E">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监狱企业证明</w:t>
      </w:r>
    </w:p>
    <w:p w14:paraId="45C6AB8D">
      <w:pPr>
        <w:spacing w:line="360" w:lineRule="auto"/>
        <w:jc w:val="center"/>
        <w:rPr>
          <w:rFonts w:hint="eastAsia" w:ascii="仿宋" w:hAnsi="仿宋" w:eastAsia="仿宋" w:cs="仿宋"/>
          <w:color w:val="auto"/>
          <w:sz w:val="24"/>
          <w:szCs w:val="24"/>
          <w:highlight w:val="none"/>
        </w:rPr>
      </w:pPr>
    </w:p>
    <w:p w14:paraId="2E4546A6">
      <w:pPr>
        <w:pStyle w:val="7"/>
        <w:spacing w:line="360" w:lineRule="auto"/>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须提供省级以上监狱管理局、戒毒管理局（含新疆生产建设兵团）出具的属于监狱企业的证明文件</w:t>
      </w:r>
    </w:p>
    <w:p w14:paraId="4328683A">
      <w:pPr>
        <w:spacing w:line="360" w:lineRule="auto"/>
        <w:rPr>
          <w:rFonts w:hint="eastAsia" w:ascii="仿宋" w:hAnsi="仿宋" w:eastAsia="仿宋" w:cs="仿宋"/>
          <w:b/>
          <w:color w:val="auto"/>
          <w:sz w:val="24"/>
          <w:highlight w:val="none"/>
        </w:rPr>
      </w:pPr>
    </w:p>
    <w:p w14:paraId="56AC7D32">
      <w:pPr>
        <w:spacing w:line="360" w:lineRule="auto"/>
        <w:rPr>
          <w:rFonts w:hint="eastAsia" w:ascii="仿宋" w:hAnsi="仿宋" w:eastAsia="仿宋" w:cs="仿宋"/>
          <w:b/>
          <w:color w:val="auto"/>
          <w:sz w:val="24"/>
          <w:highlight w:val="none"/>
        </w:rPr>
      </w:pPr>
    </w:p>
    <w:p w14:paraId="1122DD33">
      <w:pPr>
        <w:spacing w:line="360" w:lineRule="auto"/>
        <w:rPr>
          <w:rFonts w:hint="eastAsia" w:ascii="仿宋" w:hAnsi="仿宋" w:eastAsia="仿宋" w:cs="仿宋"/>
          <w:b/>
          <w:color w:val="auto"/>
          <w:sz w:val="24"/>
          <w:highlight w:val="none"/>
        </w:rPr>
      </w:pPr>
    </w:p>
    <w:p w14:paraId="51318A72">
      <w:pPr>
        <w:spacing w:line="360" w:lineRule="auto"/>
        <w:rPr>
          <w:rFonts w:hint="eastAsia" w:ascii="仿宋" w:hAnsi="仿宋" w:eastAsia="仿宋" w:cs="仿宋"/>
          <w:b/>
          <w:color w:val="auto"/>
          <w:sz w:val="24"/>
          <w:highlight w:val="none"/>
        </w:rPr>
      </w:pPr>
    </w:p>
    <w:p w14:paraId="37B72B75">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0723699A">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3BC287AD">
      <w:pPr>
        <w:snapToGrid w:val="0"/>
        <w:spacing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0D1E44E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3BDE1BF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920A7B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A2612F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F0B101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6E8443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74FDEBB2">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4E72A8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78070C1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423ACE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6B08BC7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3BE5972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3B4793A">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2B1F205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662C4F8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5015DE4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2D59DAD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FF695D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0EC6104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46ABBA2">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E3517F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429FBA5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签字</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签章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公章：                      </w:t>
      </w:r>
    </w:p>
    <w:p w14:paraId="5FBDC48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73FEEFDD">
      <w:pPr>
        <w:spacing w:line="360" w:lineRule="auto"/>
        <w:jc w:val="center"/>
        <w:rPr>
          <w:rFonts w:hint="eastAsia" w:ascii="仿宋" w:hAnsi="仿宋" w:eastAsia="仿宋" w:cs="仿宋"/>
          <w:b/>
          <w:bCs/>
          <w:color w:val="auto"/>
          <w:sz w:val="24"/>
          <w:highlight w:val="none"/>
        </w:rPr>
      </w:pPr>
    </w:p>
    <w:p w14:paraId="65B94679">
      <w:pPr>
        <w:spacing w:line="360" w:lineRule="auto"/>
        <w:rPr>
          <w:rFonts w:hint="eastAsia" w:ascii="仿宋" w:hAnsi="仿宋" w:eastAsia="仿宋" w:cs="仿宋"/>
          <w:b/>
          <w:color w:val="auto"/>
          <w:sz w:val="24"/>
          <w:highlight w:val="none"/>
        </w:rPr>
      </w:pPr>
    </w:p>
    <w:p w14:paraId="2D23750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61ADB88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3026E0C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27EDD41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100FAB9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5FA3739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AC1104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2D9FE80E">
      <w:pPr>
        <w:widowControl/>
        <w:spacing w:line="360" w:lineRule="auto"/>
        <w:ind w:firstLine="600" w:firstLineChars="200"/>
        <w:jc w:val="left"/>
        <w:rPr>
          <w:rFonts w:hint="eastAsia" w:ascii="仿宋" w:hAnsi="仿宋" w:eastAsia="仿宋" w:cs="仿宋"/>
          <w:color w:val="auto"/>
          <w:sz w:val="30"/>
          <w:szCs w:val="30"/>
          <w:highlight w:val="none"/>
        </w:rPr>
      </w:pPr>
    </w:p>
    <w:p w14:paraId="09C7420D">
      <w:pPr>
        <w:spacing w:line="360" w:lineRule="auto"/>
        <w:jc w:val="center"/>
        <w:rPr>
          <w:rFonts w:hint="eastAsia" w:ascii="仿宋" w:hAnsi="仿宋" w:eastAsia="仿宋" w:cs="仿宋"/>
          <w:b/>
          <w:color w:val="auto"/>
          <w:spacing w:val="6"/>
          <w:sz w:val="32"/>
          <w:szCs w:val="32"/>
          <w:highlight w:val="none"/>
        </w:rPr>
      </w:pPr>
    </w:p>
    <w:p w14:paraId="0FF47628">
      <w:pPr>
        <w:spacing w:line="360" w:lineRule="auto"/>
        <w:jc w:val="center"/>
        <w:rPr>
          <w:rFonts w:hint="eastAsia" w:ascii="仿宋" w:hAnsi="仿宋" w:eastAsia="仿宋" w:cs="仿宋"/>
          <w:b/>
          <w:color w:val="auto"/>
          <w:spacing w:val="6"/>
          <w:sz w:val="32"/>
          <w:szCs w:val="32"/>
          <w:highlight w:val="none"/>
        </w:rPr>
      </w:pPr>
    </w:p>
    <w:p w14:paraId="702356DD">
      <w:pPr>
        <w:spacing w:line="360" w:lineRule="auto"/>
        <w:jc w:val="center"/>
        <w:rPr>
          <w:rFonts w:hint="eastAsia" w:ascii="仿宋" w:hAnsi="仿宋" w:eastAsia="仿宋" w:cs="仿宋"/>
          <w:b/>
          <w:color w:val="auto"/>
          <w:spacing w:val="6"/>
          <w:sz w:val="32"/>
          <w:szCs w:val="32"/>
          <w:highlight w:val="none"/>
        </w:rPr>
      </w:pPr>
    </w:p>
    <w:p w14:paraId="37AC9322">
      <w:pPr>
        <w:spacing w:line="360" w:lineRule="auto"/>
        <w:jc w:val="center"/>
        <w:rPr>
          <w:rFonts w:hint="eastAsia" w:ascii="仿宋" w:hAnsi="仿宋" w:eastAsia="仿宋" w:cs="仿宋"/>
          <w:b/>
          <w:color w:val="auto"/>
          <w:spacing w:val="6"/>
          <w:sz w:val="32"/>
          <w:szCs w:val="32"/>
          <w:highlight w:val="none"/>
        </w:rPr>
      </w:pPr>
    </w:p>
    <w:p w14:paraId="6F27BB6A">
      <w:pPr>
        <w:spacing w:line="360" w:lineRule="auto"/>
        <w:jc w:val="center"/>
        <w:rPr>
          <w:rFonts w:hint="eastAsia" w:ascii="仿宋" w:hAnsi="仿宋" w:eastAsia="仿宋" w:cs="仿宋"/>
          <w:b/>
          <w:color w:val="auto"/>
          <w:spacing w:val="6"/>
          <w:sz w:val="32"/>
          <w:szCs w:val="32"/>
          <w:highlight w:val="none"/>
        </w:rPr>
      </w:pPr>
    </w:p>
    <w:p w14:paraId="27203E11">
      <w:pPr>
        <w:spacing w:line="360" w:lineRule="auto"/>
        <w:jc w:val="center"/>
        <w:rPr>
          <w:rFonts w:hint="eastAsia" w:ascii="仿宋" w:hAnsi="仿宋" w:eastAsia="仿宋" w:cs="仿宋"/>
          <w:b/>
          <w:color w:val="auto"/>
          <w:spacing w:val="6"/>
          <w:sz w:val="32"/>
          <w:szCs w:val="32"/>
          <w:highlight w:val="none"/>
        </w:rPr>
      </w:pPr>
    </w:p>
    <w:p w14:paraId="699F994A">
      <w:pPr>
        <w:spacing w:line="360" w:lineRule="auto"/>
        <w:jc w:val="center"/>
        <w:rPr>
          <w:rFonts w:hint="eastAsia" w:ascii="仿宋" w:hAnsi="仿宋" w:eastAsia="仿宋" w:cs="仿宋"/>
          <w:b/>
          <w:color w:val="auto"/>
          <w:spacing w:val="6"/>
          <w:sz w:val="32"/>
          <w:szCs w:val="32"/>
          <w:highlight w:val="none"/>
        </w:rPr>
      </w:pPr>
    </w:p>
    <w:p w14:paraId="1DF2A49D">
      <w:pPr>
        <w:spacing w:line="360" w:lineRule="auto"/>
        <w:jc w:val="center"/>
        <w:rPr>
          <w:rFonts w:hint="eastAsia" w:ascii="仿宋" w:hAnsi="仿宋" w:eastAsia="仿宋" w:cs="仿宋"/>
          <w:b/>
          <w:color w:val="auto"/>
          <w:spacing w:val="6"/>
          <w:sz w:val="32"/>
          <w:szCs w:val="32"/>
          <w:highlight w:val="none"/>
        </w:rPr>
      </w:pPr>
    </w:p>
    <w:p w14:paraId="16085E68">
      <w:pPr>
        <w:spacing w:line="360" w:lineRule="auto"/>
        <w:jc w:val="center"/>
        <w:rPr>
          <w:rFonts w:hint="eastAsia" w:ascii="仿宋" w:hAnsi="仿宋" w:eastAsia="仿宋" w:cs="仿宋"/>
          <w:b/>
          <w:color w:val="auto"/>
          <w:spacing w:val="6"/>
          <w:sz w:val="32"/>
          <w:szCs w:val="32"/>
          <w:highlight w:val="none"/>
        </w:rPr>
      </w:pPr>
    </w:p>
    <w:p w14:paraId="09BB5BE7">
      <w:pPr>
        <w:spacing w:line="360" w:lineRule="auto"/>
        <w:jc w:val="center"/>
        <w:rPr>
          <w:rFonts w:hint="eastAsia" w:ascii="仿宋" w:hAnsi="仿宋" w:eastAsia="仿宋" w:cs="仿宋"/>
          <w:b/>
          <w:color w:val="auto"/>
          <w:spacing w:val="6"/>
          <w:sz w:val="32"/>
          <w:szCs w:val="32"/>
          <w:highlight w:val="none"/>
        </w:rPr>
      </w:pPr>
    </w:p>
    <w:p w14:paraId="204C2D1F">
      <w:pPr>
        <w:spacing w:line="360" w:lineRule="auto"/>
        <w:jc w:val="center"/>
        <w:rPr>
          <w:rFonts w:hint="eastAsia" w:ascii="仿宋" w:hAnsi="仿宋" w:eastAsia="仿宋" w:cs="仿宋"/>
          <w:b/>
          <w:color w:val="auto"/>
          <w:spacing w:val="6"/>
          <w:sz w:val="32"/>
          <w:szCs w:val="32"/>
          <w:highlight w:val="none"/>
        </w:rPr>
      </w:pPr>
    </w:p>
    <w:p w14:paraId="79D28D79">
      <w:pPr>
        <w:spacing w:line="360" w:lineRule="auto"/>
        <w:jc w:val="center"/>
        <w:rPr>
          <w:rFonts w:hint="eastAsia" w:ascii="仿宋" w:hAnsi="仿宋" w:eastAsia="仿宋" w:cs="仿宋"/>
          <w:b/>
          <w:color w:val="auto"/>
          <w:spacing w:val="6"/>
          <w:sz w:val="32"/>
          <w:szCs w:val="32"/>
          <w:highlight w:val="none"/>
        </w:rPr>
      </w:pPr>
    </w:p>
    <w:p w14:paraId="6A4A45A6">
      <w:pPr>
        <w:spacing w:line="360" w:lineRule="auto"/>
        <w:jc w:val="left"/>
        <w:rPr>
          <w:rFonts w:hint="eastAsia" w:ascii="仿宋" w:hAnsi="仿宋" w:eastAsia="仿宋" w:cs="仿宋"/>
          <w:b/>
          <w:color w:val="auto"/>
          <w:spacing w:val="6"/>
          <w:sz w:val="32"/>
          <w:szCs w:val="32"/>
          <w:highlight w:val="none"/>
        </w:rPr>
      </w:pPr>
    </w:p>
    <w:p w14:paraId="5C182409">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1BCDAC83">
      <w:pPr>
        <w:rPr>
          <w:rFonts w:hint="eastAsia" w:ascii="仿宋" w:hAnsi="仿宋" w:eastAsia="仿宋" w:cs="仿宋"/>
          <w:color w:val="auto"/>
        </w:rPr>
      </w:pPr>
    </w:p>
    <w:p w14:paraId="3C7A3186">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6365DA8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4BD7A81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4BEC9FF0">
      <w:pPr>
        <w:spacing w:line="360" w:lineRule="auto"/>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dotted"/>
          <w:lang w:val="en-US" w:eastAsia="zh-CN"/>
        </w:rPr>
        <w:t xml:space="preserve">    </w:t>
      </w:r>
    </w:p>
    <w:p w14:paraId="0D4AF8D7">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5009EB2">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A06E06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5FECDF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1F59F8F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p>
    <w:p w14:paraId="3D968DE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CFED57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BD2731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7587560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56E546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dotted"/>
          <w:lang w:val="en-US" w:eastAsia="zh-CN"/>
        </w:rPr>
        <w:t xml:space="preserve">    </w:t>
      </w:r>
      <w:r>
        <w:rPr>
          <w:rFonts w:hint="eastAsia" w:ascii="仿宋" w:hAnsi="仿宋" w:eastAsia="仿宋" w:cs="仿宋"/>
          <w:color w:val="auto"/>
          <w:sz w:val="24"/>
          <w:highlight w:val="none"/>
          <w:u w:val="dotted"/>
        </w:rPr>
        <w:t xml:space="preserve">   </w:t>
      </w:r>
    </w:p>
    <w:p w14:paraId="3502FBB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76D1C3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0FF30EF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54147E8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315B07D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BC63FD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7E394C9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7D961F7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0055760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9C8891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2B6DFFF4">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292AC47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D7532C5">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就质疑事项作出了答复/没有在法定期限内作出答复。</w:t>
      </w:r>
    </w:p>
    <w:p w14:paraId="67BC7E1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31BF324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0E92E8F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C9B680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3E1310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3023937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7DBC70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45EFAA3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347AFF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1645EFA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F49402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0B2156F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签字</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签章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公章：                      </w:t>
      </w:r>
    </w:p>
    <w:p w14:paraId="001708F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46C17D6">
      <w:pPr>
        <w:spacing w:line="360" w:lineRule="auto"/>
        <w:rPr>
          <w:rFonts w:hint="eastAsia" w:ascii="仿宋" w:hAnsi="仿宋" w:eastAsia="仿宋" w:cs="仿宋"/>
          <w:b/>
          <w:color w:val="auto"/>
          <w:sz w:val="24"/>
          <w:highlight w:val="none"/>
        </w:rPr>
      </w:pPr>
    </w:p>
    <w:p w14:paraId="3BDE2D0C">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35D394FC">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4458D04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0DA367A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1FDF106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4C84158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2286BD6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087E903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078660A8">
      <w:pPr>
        <w:spacing w:line="360" w:lineRule="auto"/>
        <w:rPr>
          <w:rFonts w:hint="eastAsia" w:ascii="仿宋" w:hAnsi="仿宋" w:eastAsia="仿宋" w:cs="仿宋"/>
          <w:b/>
          <w:color w:val="auto"/>
          <w:sz w:val="24"/>
          <w:highlight w:val="none"/>
        </w:rPr>
      </w:pPr>
    </w:p>
    <w:p w14:paraId="38376C15">
      <w:pPr>
        <w:autoSpaceDE w:val="0"/>
        <w:autoSpaceDN w:val="0"/>
        <w:jc w:val="center"/>
        <w:rPr>
          <w:rFonts w:hint="eastAsia" w:ascii="仿宋" w:hAnsi="仿宋" w:eastAsia="仿宋" w:cs="仿宋"/>
          <w:b/>
          <w:color w:val="auto"/>
          <w:spacing w:val="6"/>
          <w:sz w:val="32"/>
          <w:szCs w:val="32"/>
          <w:highlight w:val="none"/>
        </w:rPr>
      </w:pPr>
    </w:p>
    <w:p w14:paraId="1CDAA04A">
      <w:pPr>
        <w:snapToGrid w:val="0"/>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lang w:val="en-US" w:eastAsia="zh-CN"/>
        </w:rPr>
        <w:t>附件4：</w:t>
      </w:r>
      <w:r>
        <w:rPr>
          <w:rFonts w:hint="eastAsia" w:ascii="仿宋" w:hAnsi="仿宋" w:eastAsia="仿宋" w:cs="仿宋"/>
          <w:b/>
          <w:color w:val="auto"/>
          <w:spacing w:val="6"/>
          <w:sz w:val="32"/>
          <w:szCs w:val="32"/>
          <w:highlight w:val="none"/>
        </w:rPr>
        <w:t>政府采购活动现场确认声明书</w:t>
      </w:r>
    </w:p>
    <w:p w14:paraId="3B5553B0">
      <w:pPr>
        <w:rPr>
          <w:rFonts w:hint="eastAsia" w:ascii="仿宋" w:hAnsi="仿宋" w:eastAsia="仿宋" w:cs="仿宋"/>
          <w:color w:val="auto"/>
        </w:rPr>
      </w:pPr>
    </w:p>
    <w:p w14:paraId="71D3639D">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single"/>
        </w:rPr>
        <w:t>（采购代理机构名称）：</w:t>
      </w:r>
    </w:p>
    <w:p w14:paraId="435CCCCA">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本人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经由</w:t>
      </w:r>
      <w:r>
        <w:rPr>
          <w:rFonts w:hint="eastAsia" w:ascii="仿宋" w:hAnsi="仿宋" w:eastAsia="仿宋" w:cs="仿宋"/>
          <w:color w:val="auto"/>
          <w:sz w:val="28"/>
          <w:szCs w:val="28"/>
          <w:highlight w:val="none"/>
          <w:u w:val="single"/>
        </w:rPr>
        <w:t xml:space="preserve">   （公司名称）      </w:t>
      </w:r>
      <w:r>
        <w:rPr>
          <w:rFonts w:hint="eastAsia" w:ascii="仿宋" w:hAnsi="仿宋" w:eastAsia="仿宋" w:cs="仿宋"/>
          <w:color w:val="auto"/>
          <w:sz w:val="28"/>
          <w:szCs w:val="28"/>
          <w:highlight w:val="none"/>
        </w:rPr>
        <w:t>法定代表人（负责人）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，合法授权参加</w:t>
      </w:r>
      <w:r>
        <w:rPr>
          <w:rFonts w:hint="eastAsia" w:ascii="仿宋" w:hAnsi="仿宋" w:eastAsia="仿宋" w:cs="仿宋"/>
          <w:color w:val="auto"/>
          <w:sz w:val="28"/>
          <w:szCs w:val="28"/>
          <w:highlight w:val="none"/>
          <w:u w:val="single"/>
        </w:rPr>
        <w:t>遂昌县第二污水处理厂2025-2026年度代管运维服务项目（项目编号：SCYH【2025】020-公07）政府</w:t>
      </w:r>
      <w:r>
        <w:rPr>
          <w:rFonts w:hint="eastAsia" w:ascii="仿宋" w:hAnsi="仿宋" w:eastAsia="仿宋" w:cs="仿宋"/>
          <w:color w:val="auto"/>
          <w:sz w:val="28"/>
          <w:szCs w:val="28"/>
          <w:highlight w:val="none"/>
        </w:rPr>
        <w:t>采购活动，经与本单位法人代表（负责人）联系确认，现就有关公平竞争事项郑重声明如下：</w:t>
      </w:r>
    </w:p>
    <w:p w14:paraId="28BD9290">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一、本单位与采购人之间 □不存在利害关系 □存在下列利害关系</w:t>
      </w:r>
      <w:r>
        <w:rPr>
          <w:rFonts w:hint="eastAsia" w:ascii="仿宋" w:hAnsi="仿宋" w:eastAsia="仿宋" w:cs="仿宋"/>
          <w:color w:val="auto"/>
          <w:sz w:val="28"/>
          <w:szCs w:val="28"/>
          <w:highlight w:val="none"/>
          <w:u w:val="single"/>
        </w:rPr>
        <w:t xml:space="preserve">         ：</w:t>
      </w:r>
    </w:p>
    <w:p w14:paraId="72E503C6">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A.投资关系    B.行政隶属关系    C.业务指导关系</w:t>
      </w:r>
    </w:p>
    <w:p w14:paraId="72CF9811">
      <w:pPr>
        <w:keepNext w:val="0"/>
        <w:keepLines w:val="0"/>
        <w:pageBreakBefore w:val="0"/>
        <w:widowControl w:val="0"/>
        <w:kinsoku/>
        <w:wordWrap/>
        <w:overflowPunct/>
        <w:topLinePunct w:val="0"/>
        <w:autoSpaceDE/>
        <w:autoSpaceDN/>
        <w:bidi w:val="0"/>
        <w:adjustRightInd w:val="0"/>
        <w:snapToGrid/>
        <w:spacing w:line="380" w:lineRule="exact"/>
        <w:ind w:firstLine="48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D.其他可能影响采购公正的利害关系（如有，请如实说明）</w:t>
      </w:r>
      <w:r>
        <w:rPr>
          <w:rFonts w:hint="eastAsia" w:ascii="仿宋" w:hAnsi="仿宋" w:eastAsia="仿宋" w:cs="仿宋"/>
          <w:color w:val="auto"/>
          <w:sz w:val="28"/>
          <w:szCs w:val="28"/>
          <w:highlight w:val="none"/>
          <w:u w:val="single"/>
        </w:rPr>
        <w:t xml:space="preserve">         </w:t>
      </w:r>
    </w:p>
    <w:p w14:paraId="6995C94F">
      <w:pPr>
        <w:keepNext w:val="0"/>
        <w:keepLines w:val="0"/>
        <w:pageBreakBefore w:val="0"/>
        <w:widowControl w:val="0"/>
        <w:kinsoku/>
        <w:wordWrap/>
        <w:overflowPunct/>
        <w:topLinePunct w:val="0"/>
        <w:autoSpaceDE/>
        <w:autoSpaceDN/>
        <w:bidi w:val="0"/>
        <w:adjustRightInd w:val="0"/>
        <w:snapToGrid/>
        <w:spacing w:line="380" w:lineRule="exact"/>
        <w:ind w:firstLine="48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二、现已清楚知道参加本项目采购活动的其他所有供应商名称，本单位</w:t>
      </w:r>
    </w:p>
    <w:p w14:paraId="2EB0C6F3">
      <w:pPr>
        <w:keepNext w:val="0"/>
        <w:keepLines w:val="0"/>
        <w:pageBreakBefore w:val="0"/>
        <w:widowControl w:val="0"/>
        <w:kinsoku/>
        <w:wordWrap/>
        <w:overflowPunct/>
        <w:topLinePunct w:val="0"/>
        <w:autoSpaceDE/>
        <w:autoSpaceDN/>
        <w:bidi w:val="0"/>
        <w:adjustRightInd w:val="0"/>
        <w:snapToGrid/>
        <w:spacing w:line="380" w:lineRule="exact"/>
        <w:ind w:firstLine="48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□与其他所有供应商之间均不存在利害关系  □与</w:t>
      </w:r>
      <w:r>
        <w:rPr>
          <w:rFonts w:hint="eastAsia" w:ascii="仿宋" w:hAnsi="仿宋" w:eastAsia="仿宋" w:cs="仿宋"/>
          <w:color w:val="auto"/>
          <w:sz w:val="28"/>
          <w:szCs w:val="28"/>
          <w:highlight w:val="none"/>
          <w:u w:val="single"/>
        </w:rPr>
        <w:t xml:space="preserve">（供应商名称）     </w:t>
      </w:r>
      <w:r>
        <w:rPr>
          <w:rFonts w:hint="eastAsia" w:ascii="仿宋" w:hAnsi="仿宋" w:eastAsia="仿宋" w:cs="仿宋"/>
          <w:color w:val="auto"/>
          <w:sz w:val="28"/>
          <w:szCs w:val="28"/>
          <w:highlight w:val="none"/>
        </w:rPr>
        <w:t>之间存在下列利害关系</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w:t>
      </w:r>
    </w:p>
    <w:p w14:paraId="169B5A71">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A.法定代表人或负责人或实际控制人是同一人</w:t>
      </w:r>
    </w:p>
    <w:p w14:paraId="0FD48331">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B.法定代表人或负责人或实际控制人是夫妻关系</w:t>
      </w:r>
    </w:p>
    <w:p w14:paraId="1CBF773D">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C.法定代表人或负责人或实际控制人是直系血亲关系</w:t>
      </w:r>
    </w:p>
    <w:p w14:paraId="6026FB76">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D.法定代表人或负责人或实际控制人存在三代以内旁系血亲关系</w:t>
      </w:r>
    </w:p>
    <w:p w14:paraId="6003F4CA">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E.法定代表人或负责人或实际控制人存在近姻亲关系</w:t>
      </w:r>
    </w:p>
    <w:p w14:paraId="762F7205">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F.法定代表人或负责人或实际控制人存在股份控制或实际控制关系</w:t>
      </w:r>
    </w:p>
    <w:p w14:paraId="76D4E001">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G.存在共同直接或间接投资设立子公司、联营企业和合营企业情况</w:t>
      </w:r>
    </w:p>
    <w:p w14:paraId="211FB763">
      <w:pPr>
        <w:keepNext w:val="0"/>
        <w:keepLines w:val="0"/>
        <w:pageBreakBefore w:val="0"/>
        <w:widowControl w:val="0"/>
        <w:kinsoku/>
        <w:wordWrap/>
        <w:overflowPunct/>
        <w:topLinePunct w:val="0"/>
        <w:autoSpaceDE/>
        <w:autoSpaceDN/>
        <w:bidi w:val="0"/>
        <w:adjustRightInd w:val="0"/>
        <w:snapToGrid/>
        <w:spacing w:line="38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H.存在分级代理或代销关系、同一生产制造商关系、管理关系、重要业务（占主营业务收入50%以上）或重要财务往来关系（如融资）等其他实质性控制关系</w:t>
      </w:r>
    </w:p>
    <w:p w14:paraId="5463A09F">
      <w:pPr>
        <w:keepNext w:val="0"/>
        <w:keepLines w:val="0"/>
        <w:pageBreakBefore w:val="0"/>
        <w:widowControl w:val="0"/>
        <w:kinsoku/>
        <w:wordWrap/>
        <w:overflowPunct/>
        <w:topLinePunct w:val="0"/>
        <w:autoSpaceDE/>
        <w:autoSpaceDN/>
        <w:bidi w:val="0"/>
        <w:adjustRightInd w:val="0"/>
        <w:snapToGrid/>
        <w:spacing w:line="380" w:lineRule="exact"/>
        <w:ind w:left="280" w:hanging="280" w:hanging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I.其他利害关系情况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rPr>
        <w:tab/>
      </w:r>
    </w:p>
    <w:p w14:paraId="5595E389">
      <w:pPr>
        <w:keepNext w:val="0"/>
        <w:keepLines w:val="0"/>
        <w:pageBreakBefore w:val="0"/>
        <w:widowControl w:val="0"/>
        <w:kinsoku/>
        <w:wordWrap/>
        <w:overflowPunct/>
        <w:topLinePunct w:val="0"/>
        <w:autoSpaceDE/>
        <w:autoSpaceDN/>
        <w:bidi w:val="0"/>
        <w:adjustRightInd w:val="0"/>
        <w:snapToGrid/>
        <w:spacing w:line="380" w:lineRule="exact"/>
        <w:ind w:firstLine="48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三、现已清楚知道并严格遵守政府采购法律法规和现场纪律。</w:t>
      </w:r>
    </w:p>
    <w:p w14:paraId="4B163B54">
      <w:pPr>
        <w:keepNext w:val="0"/>
        <w:keepLines w:val="0"/>
        <w:pageBreakBefore w:val="0"/>
        <w:widowControl w:val="0"/>
        <w:kinsoku/>
        <w:wordWrap/>
        <w:overflowPunct/>
        <w:topLinePunct w:val="0"/>
        <w:autoSpaceDE/>
        <w:autoSpaceDN/>
        <w:bidi w:val="0"/>
        <w:adjustRightInd w:val="0"/>
        <w:snapToGrid/>
        <w:spacing w:line="380" w:lineRule="exact"/>
        <w:ind w:firstLine="48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四、我发现</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和</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供应商之间存在或可能存在上述第二条第</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 xml:space="preserve">项利害关系。 </w:t>
      </w:r>
    </w:p>
    <w:p w14:paraId="394B2F5D">
      <w:pPr>
        <w:rPr>
          <w:rFonts w:hint="eastAsia" w:ascii="仿宋" w:hAnsi="仿宋" w:eastAsia="仿宋" w:cs="仿宋"/>
          <w:color w:val="auto"/>
        </w:rPr>
      </w:pPr>
    </w:p>
    <w:p w14:paraId="04CC1302">
      <w:pPr>
        <w:wordWrap w:val="0"/>
        <w:spacing w:line="340" w:lineRule="exact"/>
        <w:ind w:firstLine="140" w:firstLineChars="50"/>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（投标人代表签名）：     </w:t>
      </w:r>
    </w:p>
    <w:p w14:paraId="0D94400C">
      <w:pPr>
        <w:spacing w:line="340" w:lineRule="exact"/>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年   月   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rPr>
        <w:tab/>
      </w:r>
    </w:p>
    <w:p w14:paraId="4001F618">
      <w:pPr>
        <w:rPr>
          <w:rFonts w:hint="eastAsia" w:ascii="仿宋" w:hAnsi="仿宋" w:eastAsia="仿宋" w:cs="仿宋"/>
          <w:color w:val="auto"/>
          <w:highlight w:val="none"/>
        </w:rPr>
      </w:pPr>
    </w:p>
    <w:p w14:paraId="010BE5D6">
      <w:pPr>
        <w:keepNext w:val="0"/>
        <w:keepLines w:val="0"/>
        <w:pageBreakBefore w:val="0"/>
        <w:widowControl/>
        <w:kinsoku/>
        <w:overflowPunct/>
        <w:topLinePunct w:val="0"/>
        <w:autoSpaceDE/>
        <w:autoSpaceDN/>
        <w:bidi w:val="0"/>
        <w:adjustRightInd w:val="0"/>
        <w:snapToGrid/>
        <w:spacing w:line="276" w:lineRule="auto"/>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注：1.投标人认为有利害关系和需要回避的人员，应提供相关证明材料，与本声明书一同提交。由采购代理机构和财政监督部门负责询问核查；</w:t>
      </w:r>
    </w:p>
    <w:p w14:paraId="58AFC589">
      <w:pPr>
        <w:keepNext w:val="0"/>
        <w:keepLines w:val="0"/>
        <w:pageBreakBefore w:val="0"/>
        <w:widowControl/>
        <w:kinsoku/>
        <w:wordWrap w:val="0"/>
        <w:overflowPunct/>
        <w:topLinePunct w:val="0"/>
        <w:autoSpaceDE/>
        <w:autoSpaceDN/>
        <w:bidi w:val="0"/>
        <w:adjustRightInd w:val="0"/>
        <w:snapToGrid/>
        <w:spacing w:line="276" w:lineRule="auto"/>
        <w:ind w:firstLine="482" w:firstLineChars="200"/>
        <w:jc w:val="left"/>
        <w:textAlignment w:val="auto"/>
        <w:rPr>
          <w:rFonts w:hint="eastAsia" w:ascii="仿宋" w:hAnsi="仿宋" w:eastAsia="仿宋" w:cs="仿宋"/>
          <w:color w:val="auto"/>
          <w:highlight w:val="none"/>
          <w:lang w:val="en-US" w:eastAsia="zh-CN"/>
        </w:rPr>
      </w:pPr>
      <w:r>
        <w:rPr>
          <w:rFonts w:hint="eastAsia" w:ascii="仿宋" w:hAnsi="仿宋" w:eastAsia="仿宋" w:cs="仿宋"/>
          <w:b/>
          <w:color w:val="auto"/>
          <w:kern w:val="0"/>
          <w:sz w:val="24"/>
          <w:highlight w:val="none"/>
        </w:rPr>
        <w:t>2.该声明书在投标文件解密后30分钟内以邮件方式发送至邮箱846824067@qq.com。</w:t>
      </w:r>
    </w:p>
    <w:sectPr>
      <w:footerReference r:id="rId10" w:type="first"/>
      <w:footerReference r:id="rId9" w:type="default"/>
      <w:pgSz w:w="11906" w:h="16838"/>
      <w:pgMar w:top="1440" w:right="1531" w:bottom="1440" w:left="1531" w:header="851" w:footer="850" w:gutter="0"/>
      <w:pgBorders>
        <w:top w:val="none" w:sz="0" w:space="0"/>
        <w:left w:val="none" w:sz="0" w:space="0"/>
        <w:bottom w:val="none" w:sz="0" w:space="0"/>
        <w:right w:val="none" w:sz="0" w:space="0"/>
      </w:pgBorders>
      <w:pgNumType w:fmt="decimal"/>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6F388">
    <w:pPr>
      <w:pStyle w:val="1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2A4536">
                          <w:pPr>
                            <w:pStyle w:val="13"/>
                          </w:pPr>
                          <w:r>
                            <w:t xml:space="preserve">第 </w:t>
                          </w:r>
                          <w:r>
                            <w:fldChar w:fldCharType="begin"/>
                          </w:r>
                          <w:r>
                            <w:instrText xml:space="preserve"> PAGE  \* MERGEFORMAT </w:instrText>
                          </w:r>
                          <w:r>
                            <w:fldChar w:fldCharType="separate"/>
                          </w:r>
                          <w:r>
                            <w:t>- 1 -</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92A4536">
                    <w:pPr>
                      <w:pStyle w:val="13"/>
                    </w:pPr>
                    <w:r>
                      <w:t xml:space="preserve">第 </w:t>
                    </w:r>
                    <w:r>
                      <w:fldChar w:fldCharType="begin"/>
                    </w:r>
                    <w:r>
                      <w:instrText xml:space="preserve"> PAGE  \* MERGEFORMAT </w:instrText>
                    </w:r>
                    <w:r>
                      <w:fldChar w:fldCharType="separate"/>
                    </w:r>
                    <w:r>
                      <w:t>- 1 -</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F3027">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2B464D">
                          <w:pPr>
                            <w:pStyle w:val="13"/>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C2B464D">
                    <w:pPr>
                      <w:pStyle w:val="13"/>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99771">
    <w:pPr>
      <w:pStyle w:val="1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FB6F27">
                          <w:pPr>
                            <w:pStyle w:val="1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EFB6F27">
                    <w:pPr>
                      <w:pStyle w:val="1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FD7F59">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C1BFD9">
                          <w:pPr>
                            <w:pStyle w:val="13"/>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7C1BFD9">
                    <w:pPr>
                      <w:pStyle w:val="13"/>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AAEC0">
    <w:pPr>
      <w:pStyle w:val="13"/>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C2EEEE">
                          <w:pPr>
                            <w:pStyle w:val="13"/>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2C2EEEE">
                    <w:pPr>
                      <w:pStyle w:val="13"/>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ABF55A">
    <w:pPr>
      <w:pStyle w:val="14"/>
      <w:pBdr>
        <w:bottom w:val="single" w:color="auto" w:sz="4" w:space="1"/>
      </w:pBdr>
      <w:jc w:val="right"/>
      <w:rPr>
        <w:rFonts w:hint="eastAsia" w:eastAsia="宋体"/>
        <w:u w:val="none"/>
        <w:lang w:eastAsia="zh-CN"/>
      </w:rPr>
    </w:pPr>
    <w:r>
      <w:rPr>
        <w:rFonts w:hint="eastAsia"/>
        <w:u w:val="none"/>
        <w:lang w:eastAsia="zh-CN"/>
      </w:rPr>
      <w:t>遂昌县第二污水处理厂2025-2026年度代管运维服务项目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E8444">
    <w:pPr>
      <w:pStyle w:val="14"/>
      <w:pBdr>
        <w:bottom w:val="single" w:color="auto" w:sz="4" w:space="1"/>
      </w:pBdr>
      <w:jc w:val="right"/>
      <w:rPr>
        <w:rFonts w:hint="eastAsia" w:eastAsia="宋体"/>
        <w:u w:val="none"/>
        <w:lang w:eastAsia="zh-CN"/>
      </w:rPr>
    </w:pPr>
    <w:r>
      <w:rPr>
        <w:rFonts w:hint="eastAsia"/>
        <w:u w:val="none"/>
        <w:lang w:eastAsia="zh-CN"/>
      </w:rPr>
      <w:t>遂昌县第二污水处理厂2025-2026年度代管运维服务项目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069DA1">
    <w:pPr>
      <w:pStyle w:val="14"/>
      <w:pBdr>
        <w:bottom w:val="single" w:color="auto" w:sz="4" w:space="1"/>
      </w:pBdr>
      <w:jc w:val="right"/>
      <w:rPr>
        <w:rFonts w:hint="eastAsia" w:asciiTheme="minorEastAsia" w:hAnsiTheme="minorEastAsia" w:eastAsiaTheme="minorEastAsia" w:cstheme="minorEastAsia"/>
        <w:b w:val="0"/>
        <w:bCs w:val="0"/>
        <w:sz w:val="18"/>
        <w:szCs w:val="18"/>
        <w:u w:val="none"/>
      </w:rPr>
    </w:pPr>
    <w:r>
      <w:rPr>
        <w:rFonts w:hint="eastAsia" w:asciiTheme="minorEastAsia" w:hAnsiTheme="minorEastAsia" w:eastAsiaTheme="minorEastAsia" w:cstheme="minorEastAsia"/>
        <w:b w:val="0"/>
        <w:bCs w:val="0"/>
        <w:color w:val="auto"/>
        <w:sz w:val="18"/>
        <w:szCs w:val="18"/>
        <w:highlight w:val="none"/>
        <w:u w:val="none"/>
        <w:lang w:eastAsia="zh-CN"/>
      </w:rPr>
      <w:t>遂昌县第二污水处理厂2025-2026年度代管运维服务项目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B05361"/>
    <w:multiLevelType w:val="singleLevel"/>
    <w:tmpl w:val="82B05361"/>
    <w:lvl w:ilvl="0" w:tentative="0">
      <w:start w:val="1"/>
      <w:numFmt w:val="decimal"/>
      <w:suff w:val="nothing"/>
      <w:lvlText w:val="%1．"/>
      <w:lvlJc w:val="left"/>
      <w:pPr>
        <w:ind w:left="0" w:firstLine="400"/>
      </w:pPr>
      <w:rPr>
        <w:rFonts w:hint="default"/>
      </w:rPr>
    </w:lvl>
  </w:abstractNum>
  <w:abstractNum w:abstractNumId="1">
    <w:nsid w:val="8A635359"/>
    <w:multiLevelType w:val="singleLevel"/>
    <w:tmpl w:val="8A635359"/>
    <w:lvl w:ilvl="0" w:tentative="0">
      <w:start w:val="1"/>
      <w:numFmt w:val="chineseCounting"/>
      <w:suff w:val="nothing"/>
      <w:lvlText w:val="%1、"/>
      <w:lvlJc w:val="left"/>
      <w:pPr>
        <w:ind w:left="0" w:firstLine="420"/>
      </w:pPr>
      <w:rPr>
        <w:rFonts w:hint="eastAsia"/>
      </w:rPr>
    </w:lvl>
  </w:abstractNum>
  <w:abstractNum w:abstractNumId="2">
    <w:nsid w:val="925C9A3A"/>
    <w:multiLevelType w:val="singleLevel"/>
    <w:tmpl w:val="925C9A3A"/>
    <w:lvl w:ilvl="0" w:tentative="0">
      <w:start w:val="1"/>
      <w:numFmt w:val="chineseCounting"/>
      <w:suff w:val="nothing"/>
      <w:lvlText w:val="%1、"/>
      <w:lvlJc w:val="left"/>
      <w:pPr>
        <w:ind w:left="0" w:firstLine="0"/>
      </w:pPr>
      <w:rPr>
        <w:rFonts w:hint="eastAsia"/>
      </w:rPr>
    </w:lvl>
  </w:abstractNum>
  <w:abstractNum w:abstractNumId="3">
    <w:nsid w:val="AAE3B255"/>
    <w:multiLevelType w:val="singleLevel"/>
    <w:tmpl w:val="AAE3B255"/>
    <w:lvl w:ilvl="0" w:tentative="0">
      <w:start w:val="3"/>
      <w:numFmt w:val="chineseCounting"/>
      <w:suff w:val="space"/>
      <w:lvlText w:val="第%1部分"/>
      <w:lvlJc w:val="left"/>
      <w:rPr>
        <w:rFonts w:hint="eastAsia"/>
      </w:rPr>
    </w:lvl>
  </w:abstractNum>
  <w:abstractNum w:abstractNumId="4">
    <w:nsid w:val="B286687B"/>
    <w:multiLevelType w:val="singleLevel"/>
    <w:tmpl w:val="B286687B"/>
    <w:lvl w:ilvl="0" w:tentative="0">
      <w:start w:val="1"/>
      <w:numFmt w:val="chineseCounting"/>
      <w:suff w:val="nothing"/>
      <w:lvlText w:val="（%1）"/>
      <w:lvlJc w:val="left"/>
      <w:pPr>
        <w:ind w:left="0" w:firstLine="420"/>
      </w:pPr>
      <w:rPr>
        <w:rFonts w:hint="eastAsia"/>
      </w:rPr>
    </w:lvl>
  </w:abstractNum>
  <w:abstractNum w:abstractNumId="5">
    <w:nsid w:val="C338CFCC"/>
    <w:multiLevelType w:val="singleLevel"/>
    <w:tmpl w:val="C338CFCC"/>
    <w:lvl w:ilvl="0" w:tentative="0">
      <w:start w:val="1"/>
      <w:numFmt w:val="decimal"/>
      <w:suff w:val="nothing"/>
      <w:lvlText w:val="%1、"/>
      <w:lvlJc w:val="left"/>
    </w:lvl>
  </w:abstractNum>
  <w:abstractNum w:abstractNumId="6">
    <w:nsid w:val="C6EE9A88"/>
    <w:multiLevelType w:val="singleLevel"/>
    <w:tmpl w:val="C6EE9A88"/>
    <w:lvl w:ilvl="0" w:tentative="0">
      <w:start w:val="1"/>
      <w:numFmt w:val="chineseCounting"/>
      <w:suff w:val="nothing"/>
      <w:lvlText w:val="（%1）"/>
      <w:lvlJc w:val="left"/>
      <w:rPr>
        <w:rFonts w:hint="eastAsia"/>
      </w:rPr>
    </w:lvl>
  </w:abstractNum>
  <w:abstractNum w:abstractNumId="7">
    <w:nsid w:val="D6B5D9E6"/>
    <w:multiLevelType w:val="singleLevel"/>
    <w:tmpl w:val="D6B5D9E6"/>
    <w:lvl w:ilvl="0" w:tentative="0">
      <w:start w:val="1"/>
      <w:numFmt w:val="decimal"/>
      <w:lvlText w:val="%1."/>
      <w:lvlJc w:val="left"/>
      <w:pPr>
        <w:tabs>
          <w:tab w:val="left" w:pos="397"/>
        </w:tabs>
        <w:ind w:left="454" w:hanging="454"/>
      </w:pPr>
      <w:rPr>
        <w:rFonts w:hint="default" w:ascii="仿宋" w:hAnsi="仿宋" w:eastAsia="仿宋" w:cs="仿宋"/>
        <w:b/>
        <w:bCs/>
        <w:sz w:val="30"/>
        <w:szCs w:val="30"/>
      </w:rPr>
    </w:lvl>
  </w:abstractNum>
  <w:abstractNum w:abstractNumId="8">
    <w:nsid w:val="E391D04A"/>
    <w:multiLevelType w:val="singleLevel"/>
    <w:tmpl w:val="E391D04A"/>
    <w:lvl w:ilvl="0" w:tentative="0">
      <w:start w:val="1"/>
      <w:numFmt w:val="decimal"/>
      <w:lvlText w:val="%1."/>
      <w:lvlJc w:val="left"/>
      <w:pPr>
        <w:ind w:left="283" w:hanging="283"/>
      </w:pPr>
      <w:rPr>
        <w:rFonts w:hint="default" w:ascii="仿宋" w:hAnsi="仿宋" w:eastAsia="仿宋" w:cs="仿宋"/>
        <w:sz w:val="24"/>
        <w:szCs w:val="24"/>
      </w:rPr>
    </w:lvl>
  </w:abstractNum>
  <w:abstractNum w:abstractNumId="9">
    <w:nsid w:val="0000000B"/>
    <w:multiLevelType w:val="singleLevel"/>
    <w:tmpl w:val="0000000B"/>
    <w:lvl w:ilvl="0" w:tentative="0">
      <w:start w:val="1"/>
      <w:numFmt w:val="decimal"/>
      <w:suff w:val="space"/>
      <w:lvlText w:val="%1."/>
      <w:lvlJc w:val="left"/>
    </w:lvl>
  </w:abstractNum>
  <w:abstractNum w:abstractNumId="10">
    <w:nsid w:val="0000000E"/>
    <w:multiLevelType w:val="singleLevel"/>
    <w:tmpl w:val="0000000E"/>
    <w:lvl w:ilvl="0" w:tentative="0">
      <w:start w:val="2"/>
      <w:numFmt w:val="decimal"/>
      <w:suff w:val="space"/>
      <w:lvlText w:val="%1."/>
      <w:lvlJc w:val="left"/>
    </w:lvl>
  </w:abstractNum>
  <w:abstractNum w:abstractNumId="11">
    <w:nsid w:val="04328F04"/>
    <w:multiLevelType w:val="singleLevel"/>
    <w:tmpl w:val="04328F04"/>
    <w:lvl w:ilvl="0" w:tentative="0">
      <w:start w:val="1"/>
      <w:numFmt w:val="decimal"/>
      <w:suff w:val="nothing"/>
      <w:lvlText w:val="%1．"/>
      <w:lvlJc w:val="left"/>
      <w:pPr>
        <w:ind w:left="0" w:firstLine="400"/>
      </w:pPr>
      <w:rPr>
        <w:rFonts w:hint="default"/>
      </w:rPr>
    </w:lvl>
  </w:abstractNum>
  <w:abstractNum w:abstractNumId="12">
    <w:nsid w:val="1417C70A"/>
    <w:multiLevelType w:val="singleLevel"/>
    <w:tmpl w:val="1417C70A"/>
    <w:lvl w:ilvl="0" w:tentative="0">
      <w:start w:val="2"/>
      <w:numFmt w:val="decimal"/>
      <w:suff w:val="nothing"/>
      <w:lvlText w:val="（%1）"/>
      <w:lvlJc w:val="left"/>
    </w:lvl>
  </w:abstractNum>
  <w:abstractNum w:abstractNumId="13">
    <w:nsid w:val="18574F94"/>
    <w:multiLevelType w:val="singleLevel"/>
    <w:tmpl w:val="18574F94"/>
    <w:lvl w:ilvl="0" w:tentative="0">
      <w:start w:val="1"/>
      <w:numFmt w:val="decimal"/>
      <w:lvlText w:val="%1."/>
      <w:lvlJc w:val="left"/>
      <w:pPr>
        <w:tabs>
          <w:tab w:val="left" w:pos="312"/>
        </w:tabs>
      </w:pPr>
    </w:lvl>
  </w:abstractNum>
  <w:abstractNum w:abstractNumId="14">
    <w:nsid w:val="4D3972C9"/>
    <w:multiLevelType w:val="singleLevel"/>
    <w:tmpl w:val="4D3972C9"/>
    <w:lvl w:ilvl="0" w:tentative="0">
      <w:start w:val="1"/>
      <w:numFmt w:val="decimal"/>
      <w:suff w:val="nothing"/>
      <w:lvlText w:val="%1．"/>
      <w:lvlJc w:val="left"/>
      <w:pPr>
        <w:ind w:left="0" w:firstLine="400"/>
      </w:pPr>
      <w:rPr>
        <w:rFonts w:hint="default"/>
      </w:rPr>
    </w:lvl>
  </w:abstractNum>
  <w:abstractNum w:abstractNumId="15">
    <w:nsid w:val="55F5D602"/>
    <w:multiLevelType w:val="singleLevel"/>
    <w:tmpl w:val="55F5D602"/>
    <w:lvl w:ilvl="0" w:tentative="0">
      <w:start w:val="1"/>
      <w:numFmt w:val="decimal"/>
      <w:suff w:val="nothing"/>
      <w:lvlText w:val="%1．"/>
      <w:lvlJc w:val="left"/>
      <w:pPr>
        <w:ind w:left="0" w:firstLine="400"/>
      </w:pPr>
      <w:rPr>
        <w:rFonts w:hint="default"/>
        <w:b/>
        <w:bCs/>
      </w:rPr>
    </w:lvl>
  </w:abstractNum>
  <w:num w:numId="1">
    <w:abstractNumId w:val="14"/>
  </w:num>
  <w:num w:numId="2">
    <w:abstractNumId w:val="9"/>
  </w:num>
  <w:num w:numId="3">
    <w:abstractNumId w:val="10"/>
  </w:num>
  <w:num w:numId="4">
    <w:abstractNumId w:val="8"/>
  </w:num>
  <w:num w:numId="5">
    <w:abstractNumId w:val="1"/>
  </w:num>
  <w:num w:numId="6">
    <w:abstractNumId w:val="15"/>
  </w:num>
  <w:num w:numId="7">
    <w:abstractNumId w:val="3"/>
  </w:num>
  <w:num w:numId="8">
    <w:abstractNumId w:val="2"/>
  </w:num>
  <w:num w:numId="9">
    <w:abstractNumId w:val="4"/>
  </w:num>
  <w:num w:numId="10">
    <w:abstractNumId w:val="12"/>
  </w:num>
  <w:num w:numId="11">
    <w:abstractNumId w:val="6"/>
  </w:num>
  <w:num w:numId="12">
    <w:abstractNumId w:val="5"/>
  </w:num>
  <w:num w:numId="13">
    <w:abstractNumId w:val="13"/>
  </w:num>
  <w:num w:numId="14">
    <w:abstractNumId w:val="0"/>
  </w:num>
  <w:num w:numId="15">
    <w:abstractNumId w:val="7"/>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273CC"/>
    <w:rsid w:val="00423C6D"/>
    <w:rsid w:val="01141165"/>
    <w:rsid w:val="01396E1E"/>
    <w:rsid w:val="01583748"/>
    <w:rsid w:val="015C2B0C"/>
    <w:rsid w:val="017D6069"/>
    <w:rsid w:val="01DF5C17"/>
    <w:rsid w:val="01F33470"/>
    <w:rsid w:val="0236335D"/>
    <w:rsid w:val="026305F6"/>
    <w:rsid w:val="02641C78"/>
    <w:rsid w:val="02B7624C"/>
    <w:rsid w:val="039842CF"/>
    <w:rsid w:val="03CE5F43"/>
    <w:rsid w:val="04043713"/>
    <w:rsid w:val="044955CA"/>
    <w:rsid w:val="04936845"/>
    <w:rsid w:val="049B394B"/>
    <w:rsid w:val="05241B93"/>
    <w:rsid w:val="053C512E"/>
    <w:rsid w:val="05453FE3"/>
    <w:rsid w:val="054B711F"/>
    <w:rsid w:val="06325765"/>
    <w:rsid w:val="068723D9"/>
    <w:rsid w:val="06FC4B75"/>
    <w:rsid w:val="070752C8"/>
    <w:rsid w:val="07320597"/>
    <w:rsid w:val="07342561"/>
    <w:rsid w:val="077E37DC"/>
    <w:rsid w:val="07854B6B"/>
    <w:rsid w:val="08181DB4"/>
    <w:rsid w:val="08C2594B"/>
    <w:rsid w:val="08E3216B"/>
    <w:rsid w:val="09150170"/>
    <w:rsid w:val="097D1872"/>
    <w:rsid w:val="09992B4F"/>
    <w:rsid w:val="09E71B0D"/>
    <w:rsid w:val="0A200B7B"/>
    <w:rsid w:val="0A894C58"/>
    <w:rsid w:val="0AB854C0"/>
    <w:rsid w:val="0AC91212"/>
    <w:rsid w:val="0AD35BED"/>
    <w:rsid w:val="0B136931"/>
    <w:rsid w:val="0B185CF6"/>
    <w:rsid w:val="0B24469B"/>
    <w:rsid w:val="0B3A3EBE"/>
    <w:rsid w:val="0B6158EF"/>
    <w:rsid w:val="0B754EF6"/>
    <w:rsid w:val="0B923CFA"/>
    <w:rsid w:val="0B9C2483"/>
    <w:rsid w:val="0BBE4AEF"/>
    <w:rsid w:val="0BC3185B"/>
    <w:rsid w:val="0BC419DA"/>
    <w:rsid w:val="0BDA2FAB"/>
    <w:rsid w:val="0C4E6C84"/>
    <w:rsid w:val="0C743400"/>
    <w:rsid w:val="0C7E7DDA"/>
    <w:rsid w:val="0C923886"/>
    <w:rsid w:val="0CAC0DEC"/>
    <w:rsid w:val="0CB67574"/>
    <w:rsid w:val="0CDA702D"/>
    <w:rsid w:val="0CDF2F6F"/>
    <w:rsid w:val="0D183D8B"/>
    <w:rsid w:val="0D9116C2"/>
    <w:rsid w:val="0DAE2941"/>
    <w:rsid w:val="0DC7755F"/>
    <w:rsid w:val="0DCE6B40"/>
    <w:rsid w:val="0DD95C10"/>
    <w:rsid w:val="0DDA7292"/>
    <w:rsid w:val="0DF91E0E"/>
    <w:rsid w:val="0E0D1416"/>
    <w:rsid w:val="0E3746E5"/>
    <w:rsid w:val="0E9B1118"/>
    <w:rsid w:val="0EA0672E"/>
    <w:rsid w:val="0EA77ABC"/>
    <w:rsid w:val="0EAC6E81"/>
    <w:rsid w:val="0F0547E3"/>
    <w:rsid w:val="0F4F5A5E"/>
    <w:rsid w:val="0F67724C"/>
    <w:rsid w:val="0F824086"/>
    <w:rsid w:val="109E0A4B"/>
    <w:rsid w:val="11005262"/>
    <w:rsid w:val="1109680C"/>
    <w:rsid w:val="110E3E23"/>
    <w:rsid w:val="11183DA1"/>
    <w:rsid w:val="11651569"/>
    <w:rsid w:val="11AA47EA"/>
    <w:rsid w:val="11D0732A"/>
    <w:rsid w:val="11E20E0C"/>
    <w:rsid w:val="12045226"/>
    <w:rsid w:val="1244580E"/>
    <w:rsid w:val="12503FC7"/>
    <w:rsid w:val="12543AB7"/>
    <w:rsid w:val="13546DF6"/>
    <w:rsid w:val="139A7BF0"/>
    <w:rsid w:val="13BB1914"/>
    <w:rsid w:val="13C92283"/>
    <w:rsid w:val="13FA41EA"/>
    <w:rsid w:val="145F6743"/>
    <w:rsid w:val="149C1746"/>
    <w:rsid w:val="151D3E7A"/>
    <w:rsid w:val="153100E0"/>
    <w:rsid w:val="1537321C"/>
    <w:rsid w:val="1549247D"/>
    <w:rsid w:val="156009C5"/>
    <w:rsid w:val="163836F0"/>
    <w:rsid w:val="164D719B"/>
    <w:rsid w:val="1665226C"/>
    <w:rsid w:val="16730284"/>
    <w:rsid w:val="16854BC1"/>
    <w:rsid w:val="168D6671"/>
    <w:rsid w:val="16A50D85"/>
    <w:rsid w:val="16DB60DA"/>
    <w:rsid w:val="171B5478"/>
    <w:rsid w:val="17310515"/>
    <w:rsid w:val="17545243"/>
    <w:rsid w:val="17681DB3"/>
    <w:rsid w:val="176D73C9"/>
    <w:rsid w:val="17795D6E"/>
    <w:rsid w:val="178C3CF3"/>
    <w:rsid w:val="17922668"/>
    <w:rsid w:val="17C70888"/>
    <w:rsid w:val="17D9680D"/>
    <w:rsid w:val="17FD24FB"/>
    <w:rsid w:val="1804388A"/>
    <w:rsid w:val="180E4708"/>
    <w:rsid w:val="18272DAA"/>
    <w:rsid w:val="18297794"/>
    <w:rsid w:val="183103F7"/>
    <w:rsid w:val="18583BD5"/>
    <w:rsid w:val="18822A00"/>
    <w:rsid w:val="18AD2173"/>
    <w:rsid w:val="18C13529"/>
    <w:rsid w:val="191775ED"/>
    <w:rsid w:val="191E097B"/>
    <w:rsid w:val="193261D5"/>
    <w:rsid w:val="19836A30"/>
    <w:rsid w:val="198D3D53"/>
    <w:rsid w:val="19BB08C0"/>
    <w:rsid w:val="19D21766"/>
    <w:rsid w:val="1A330456"/>
    <w:rsid w:val="1A4B1C44"/>
    <w:rsid w:val="1AD35795"/>
    <w:rsid w:val="1AF61690"/>
    <w:rsid w:val="1B075976"/>
    <w:rsid w:val="1B5B5EB7"/>
    <w:rsid w:val="1B6603B7"/>
    <w:rsid w:val="1B8A054A"/>
    <w:rsid w:val="1BC51582"/>
    <w:rsid w:val="1BC772AC"/>
    <w:rsid w:val="1BE340FE"/>
    <w:rsid w:val="1C0876C1"/>
    <w:rsid w:val="1C1D316C"/>
    <w:rsid w:val="1C33074E"/>
    <w:rsid w:val="1C550B58"/>
    <w:rsid w:val="1C7A236C"/>
    <w:rsid w:val="1C9C6787"/>
    <w:rsid w:val="1CA94A00"/>
    <w:rsid w:val="1CAE64BA"/>
    <w:rsid w:val="1D4666F2"/>
    <w:rsid w:val="1DCD0BC2"/>
    <w:rsid w:val="1DD957B9"/>
    <w:rsid w:val="1DE303E5"/>
    <w:rsid w:val="1E200CF1"/>
    <w:rsid w:val="1E2647EF"/>
    <w:rsid w:val="1E3824DF"/>
    <w:rsid w:val="1E544E3F"/>
    <w:rsid w:val="1E766B63"/>
    <w:rsid w:val="1EBD0C36"/>
    <w:rsid w:val="1EDA3596"/>
    <w:rsid w:val="1EFA1543"/>
    <w:rsid w:val="1F046865"/>
    <w:rsid w:val="1F226CEB"/>
    <w:rsid w:val="1F264A2D"/>
    <w:rsid w:val="1FB922B6"/>
    <w:rsid w:val="200F101E"/>
    <w:rsid w:val="20146634"/>
    <w:rsid w:val="201A79C2"/>
    <w:rsid w:val="20346CD6"/>
    <w:rsid w:val="203B62B7"/>
    <w:rsid w:val="20623843"/>
    <w:rsid w:val="20784E15"/>
    <w:rsid w:val="20887022"/>
    <w:rsid w:val="20914128"/>
    <w:rsid w:val="20994D8B"/>
    <w:rsid w:val="20B120D5"/>
    <w:rsid w:val="213A2B9C"/>
    <w:rsid w:val="21D06ED2"/>
    <w:rsid w:val="21DF2D6F"/>
    <w:rsid w:val="21F11323"/>
    <w:rsid w:val="225E628C"/>
    <w:rsid w:val="2297354C"/>
    <w:rsid w:val="22AF6AE8"/>
    <w:rsid w:val="22C72083"/>
    <w:rsid w:val="23103A2A"/>
    <w:rsid w:val="232A616E"/>
    <w:rsid w:val="23452FA8"/>
    <w:rsid w:val="23D67CFA"/>
    <w:rsid w:val="244871F4"/>
    <w:rsid w:val="24961D0D"/>
    <w:rsid w:val="24ED38F7"/>
    <w:rsid w:val="25695674"/>
    <w:rsid w:val="259A582D"/>
    <w:rsid w:val="25A16BBC"/>
    <w:rsid w:val="25AE3087"/>
    <w:rsid w:val="25CB1E8B"/>
    <w:rsid w:val="25D0124F"/>
    <w:rsid w:val="266100F9"/>
    <w:rsid w:val="266D2F42"/>
    <w:rsid w:val="268A58A2"/>
    <w:rsid w:val="26914E82"/>
    <w:rsid w:val="26D905D7"/>
    <w:rsid w:val="272E0923"/>
    <w:rsid w:val="272F1FA5"/>
    <w:rsid w:val="275044AD"/>
    <w:rsid w:val="27673E35"/>
    <w:rsid w:val="27AB3D22"/>
    <w:rsid w:val="27C9247F"/>
    <w:rsid w:val="281C69CE"/>
    <w:rsid w:val="28243AD4"/>
    <w:rsid w:val="28506677"/>
    <w:rsid w:val="28B62BB5"/>
    <w:rsid w:val="29437F8A"/>
    <w:rsid w:val="294F4B81"/>
    <w:rsid w:val="297665B1"/>
    <w:rsid w:val="299B7DC6"/>
    <w:rsid w:val="29B75A8C"/>
    <w:rsid w:val="29C42E79"/>
    <w:rsid w:val="29D137E8"/>
    <w:rsid w:val="29DD218D"/>
    <w:rsid w:val="2A0616E3"/>
    <w:rsid w:val="2A21651D"/>
    <w:rsid w:val="2A3B2255"/>
    <w:rsid w:val="2A465F84"/>
    <w:rsid w:val="2A97233B"/>
    <w:rsid w:val="2AAD6003"/>
    <w:rsid w:val="2AC05D36"/>
    <w:rsid w:val="2AF07C9E"/>
    <w:rsid w:val="2B14398C"/>
    <w:rsid w:val="2B25203D"/>
    <w:rsid w:val="2B430715"/>
    <w:rsid w:val="2B4D3342"/>
    <w:rsid w:val="2B8A6344"/>
    <w:rsid w:val="2C293467"/>
    <w:rsid w:val="2C471B3F"/>
    <w:rsid w:val="2C491D5B"/>
    <w:rsid w:val="2C4B7881"/>
    <w:rsid w:val="2CB52F4D"/>
    <w:rsid w:val="2CE90E48"/>
    <w:rsid w:val="2D2105E2"/>
    <w:rsid w:val="2E150147"/>
    <w:rsid w:val="2E6B420B"/>
    <w:rsid w:val="2EF44200"/>
    <w:rsid w:val="2EF53AD4"/>
    <w:rsid w:val="2F5B427F"/>
    <w:rsid w:val="2F713AA3"/>
    <w:rsid w:val="2FA1660E"/>
    <w:rsid w:val="2FAA48BF"/>
    <w:rsid w:val="2FB76FDC"/>
    <w:rsid w:val="2FE04785"/>
    <w:rsid w:val="2FE57FED"/>
    <w:rsid w:val="301306B6"/>
    <w:rsid w:val="303B7C0D"/>
    <w:rsid w:val="30801AC4"/>
    <w:rsid w:val="3094441F"/>
    <w:rsid w:val="30A752A2"/>
    <w:rsid w:val="30BA4FD6"/>
    <w:rsid w:val="30C57D0B"/>
    <w:rsid w:val="30CB6DE2"/>
    <w:rsid w:val="31510BDA"/>
    <w:rsid w:val="31554CFE"/>
    <w:rsid w:val="316B2774"/>
    <w:rsid w:val="31794E91"/>
    <w:rsid w:val="31AF2660"/>
    <w:rsid w:val="31B87D05"/>
    <w:rsid w:val="322E7A29"/>
    <w:rsid w:val="323E39E4"/>
    <w:rsid w:val="32877139"/>
    <w:rsid w:val="32CB34CA"/>
    <w:rsid w:val="32CC0FF0"/>
    <w:rsid w:val="32CE6B16"/>
    <w:rsid w:val="32E97DF4"/>
    <w:rsid w:val="32F83B93"/>
    <w:rsid w:val="33093FF2"/>
    <w:rsid w:val="333F17C2"/>
    <w:rsid w:val="335031DA"/>
    <w:rsid w:val="33721B98"/>
    <w:rsid w:val="33792F26"/>
    <w:rsid w:val="338D69D1"/>
    <w:rsid w:val="33AA1331"/>
    <w:rsid w:val="33D22636"/>
    <w:rsid w:val="33DE31C6"/>
    <w:rsid w:val="347D25A2"/>
    <w:rsid w:val="349618B6"/>
    <w:rsid w:val="34A02734"/>
    <w:rsid w:val="34F565DC"/>
    <w:rsid w:val="3522139B"/>
    <w:rsid w:val="35366BF5"/>
    <w:rsid w:val="354569DA"/>
    <w:rsid w:val="35487054"/>
    <w:rsid w:val="356E2833"/>
    <w:rsid w:val="35847960"/>
    <w:rsid w:val="35A149B6"/>
    <w:rsid w:val="35BF4E3C"/>
    <w:rsid w:val="35D12857"/>
    <w:rsid w:val="35F965A0"/>
    <w:rsid w:val="3605656C"/>
    <w:rsid w:val="3619279E"/>
    <w:rsid w:val="36384271"/>
    <w:rsid w:val="3659703F"/>
    <w:rsid w:val="36714388"/>
    <w:rsid w:val="368F0CB2"/>
    <w:rsid w:val="369E2CA4"/>
    <w:rsid w:val="36B349A1"/>
    <w:rsid w:val="36C6306A"/>
    <w:rsid w:val="36D87F64"/>
    <w:rsid w:val="37D12354"/>
    <w:rsid w:val="38190834"/>
    <w:rsid w:val="38207E14"/>
    <w:rsid w:val="38E057F5"/>
    <w:rsid w:val="38FE7A29"/>
    <w:rsid w:val="390239BE"/>
    <w:rsid w:val="3902751A"/>
    <w:rsid w:val="39290F4A"/>
    <w:rsid w:val="397F0B6A"/>
    <w:rsid w:val="39A9208B"/>
    <w:rsid w:val="3A0E1EEE"/>
    <w:rsid w:val="3A5A5133"/>
    <w:rsid w:val="3A6577EB"/>
    <w:rsid w:val="3A683CF4"/>
    <w:rsid w:val="3A971EE4"/>
    <w:rsid w:val="3A975147"/>
    <w:rsid w:val="3A9C399E"/>
    <w:rsid w:val="3AB24F6F"/>
    <w:rsid w:val="3AE8273F"/>
    <w:rsid w:val="3AFD268F"/>
    <w:rsid w:val="3B192406"/>
    <w:rsid w:val="3B5878C5"/>
    <w:rsid w:val="3B5E2A01"/>
    <w:rsid w:val="3B7B73ED"/>
    <w:rsid w:val="3C137C90"/>
    <w:rsid w:val="3C3F0A85"/>
    <w:rsid w:val="3C432323"/>
    <w:rsid w:val="3C4340D1"/>
    <w:rsid w:val="3C504A40"/>
    <w:rsid w:val="3C5A141B"/>
    <w:rsid w:val="3C5E450F"/>
    <w:rsid w:val="3C862210"/>
    <w:rsid w:val="3C97266F"/>
    <w:rsid w:val="3CDC4526"/>
    <w:rsid w:val="3D0870C9"/>
    <w:rsid w:val="3D402D06"/>
    <w:rsid w:val="3D5A3DC8"/>
    <w:rsid w:val="3D8E3A72"/>
    <w:rsid w:val="3DB01748"/>
    <w:rsid w:val="3DC96858"/>
    <w:rsid w:val="3DCF63F4"/>
    <w:rsid w:val="3DF53AF1"/>
    <w:rsid w:val="3DFC4E7F"/>
    <w:rsid w:val="3E2B12C1"/>
    <w:rsid w:val="3E693B97"/>
    <w:rsid w:val="3E9C5D1B"/>
    <w:rsid w:val="3EC62D97"/>
    <w:rsid w:val="3EC82FB3"/>
    <w:rsid w:val="3F1104B7"/>
    <w:rsid w:val="400973E0"/>
    <w:rsid w:val="405A7C3B"/>
    <w:rsid w:val="41171FD0"/>
    <w:rsid w:val="41447381"/>
    <w:rsid w:val="41662610"/>
    <w:rsid w:val="41744D2D"/>
    <w:rsid w:val="419B675D"/>
    <w:rsid w:val="42216878"/>
    <w:rsid w:val="42892A5A"/>
    <w:rsid w:val="431C1B20"/>
    <w:rsid w:val="43432C09"/>
    <w:rsid w:val="436F7EA2"/>
    <w:rsid w:val="43943464"/>
    <w:rsid w:val="43AD4526"/>
    <w:rsid w:val="440525B4"/>
    <w:rsid w:val="44224F14"/>
    <w:rsid w:val="442F13DF"/>
    <w:rsid w:val="44366C11"/>
    <w:rsid w:val="44A21BB1"/>
    <w:rsid w:val="44C22253"/>
    <w:rsid w:val="44EC6C3B"/>
    <w:rsid w:val="455E1F7C"/>
    <w:rsid w:val="45837C34"/>
    <w:rsid w:val="4594599D"/>
    <w:rsid w:val="459736E0"/>
    <w:rsid w:val="45A858ED"/>
    <w:rsid w:val="45B47DEE"/>
    <w:rsid w:val="46072613"/>
    <w:rsid w:val="46326F64"/>
    <w:rsid w:val="464B69A4"/>
    <w:rsid w:val="476F0470"/>
    <w:rsid w:val="47E65854"/>
    <w:rsid w:val="47FE35A2"/>
    <w:rsid w:val="488241D3"/>
    <w:rsid w:val="488F069E"/>
    <w:rsid w:val="493C0826"/>
    <w:rsid w:val="49543DC1"/>
    <w:rsid w:val="497A75A0"/>
    <w:rsid w:val="4A235542"/>
    <w:rsid w:val="4A4A0D21"/>
    <w:rsid w:val="4A712751"/>
    <w:rsid w:val="4AE66C9B"/>
    <w:rsid w:val="4AEA6060"/>
    <w:rsid w:val="4B2E419E"/>
    <w:rsid w:val="4B475260"/>
    <w:rsid w:val="4B5736F5"/>
    <w:rsid w:val="4B756271"/>
    <w:rsid w:val="4BB74194"/>
    <w:rsid w:val="4BCD7E5B"/>
    <w:rsid w:val="4BF21670"/>
    <w:rsid w:val="4BFE0015"/>
    <w:rsid w:val="4C1635B0"/>
    <w:rsid w:val="4C63431C"/>
    <w:rsid w:val="4C806DC0"/>
    <w:rsid w:val="4C8524E4"/>
    <w:rsid w:val="4CF51418"/>
    <w:rsid w:val="4D783DF7"/>
    <w:rsid w:val="4D924EB8"/>
    <w:rsid w:val="4D9F1383"/>
    <w:rsid w:val="4DBF37D4"/>
    <w:rsid w:val="4E197388"/>
    <w:rsid w:val="4E3917D8"/>
    <w:rsid w:val="4E7E368F"/>
    <w:rsid w:val="4E9C7DD7"/>
    <w:rsid w:val="4EF86F9D"/>
    <w:rsid w:val="4F251D5C"/>
    <w:rsid w:val="4F3E697A"/>
    <w:rsid w:val="4FF5172F"/>
    <w:rsid w:val="4FFF6109"/>
    <w:rsid w:val="500D0826"/>
    <w:rsid w:val="506863A4"/>
    <w:rsid w:val="509E5922"/>
    <w:rsid w:val="50E772C9"/>
    <w:rsid w:val="50F1639A"/>
    <w:rsid w:val="511D2CEB"/>
    <w:rsid w:val="51361FFF"/>
    <w:rsid w:val="51672AA3"/>
    <w:rsid w:val="518F170F"/>
    <w:rsid w:val="519A433C"/>
    <w:rsid w:val="51B657BF"/>
    <w:rsid w:val="52097713"/>
    <w:rsid w:val="52701540"/>
    <w:rsid w:val="5292615B"/>
    <w:rsid w:val="52B14033"/>
    <w:rsid w:val="52BC6534"/>
    <w:rsid w:val="52CD24EF"/>
    <w:rsid w:val="53364D10"/>
    <w:rsid w:val="533D58C6"/>
    <w:rsid w:val="533D7674"/>
    <w:rsid w:val="53682217"/>
    <w:rsid w:val="537D5CC3"/>
    <w:rsid w:val="53E43F94"/>
    <w:rsid w:val="54085ED4"/>
    <w:rsid w:val="54191E1F"/>
    <w:rsid w:val="54992FD0"/>
    <w:rsid w:val="54AB2D04"/>
    <w:rsid w:val="54AF45A2"/>
    <w:rsid w:val="54B5148C"/>
    <w:rsid w:val="54F226E1"/>
    <w:rsid w:val="551C775D"/>
    <w:rsid w:val="55466588"/>
    <w:rsid w:val="556F1F83"/>
    <w:rsid w:val="55911EF9"/>
    <w:rsid w:val="559353B9"/>
    <w:rsid w:val="55CC4CE0"/>
    <w:rsid w:val="55EF09CE"/>
    <w:rsid w:val="56332FB1"/>
    <w:rsid w:val="564451BE"/>
    <w:rsid w:val="56941CA1"/>
    <w:rsid w:val="56B955FB"/>
    <w:rsid w:val="56BA722E"/>
    <w:rsid w:val="56D007FF"/>
    <w:rsid w:val="56D20E7E"/>
    <w:rsid w:val="570411F8"/>
    <w:rsid w:val="571F7091"/>
    <w:rsid w:val="57203535"/>
    <w:rsid w:val="57452494"/>
    <w:rsid w:val="575F0777"/>
    <w:rsid w:val="57835872"/>
    <w:rsid w:val="57AC4DC9"/>
    <w:rsid w:val="57BB14B0"/>
    <w:rsid w:val="57CE11E3"/>
    <w:rsid w:val="57D416AD"/>
    <w:rsid w:val="581F4005"/>
    <w:rsid w:val="58501BF8"/>
    <w:rsid w:val="58656A9C"/>
    <w:rsid w:val="587C29ED"/>
    <w:rsid w:val="58BC54DF"/>
    <w:rsid w:val="590166B9"/>
    <w:rsid w:val="596A0A97"/>
    <w:rsid w:val="59722042"/>
    <w:rsid w:val="59FD5DAF"/>
    <w:rsid w:val="5A250E62"/>
    <w:rsid w:val="5A5B2AD6"/>
    <w:rsid w:val="5A5F6122"/>
    <w:rsid w:val="5A7106E7"/>
    <w:rsid w:val="5A8D7133"/>
    <w:rsid w:val="5A9658BC"/>
    <w:rsid w:val="5AB75F5E"/>
    <w:rsid w:val="5ABB5323"/>
    <w:rsid w:val="5AEE74A6"/>
    <w:rsid w:val="5AF2343A"/>
    <w:rsid w:val="5B1530FC"/>
    <w:rsid w:val="5B1A64ED"/>
    <w:rsid w:val="5B4F43E9"/>
    <w:rsid w:val="5B8A71CF"/>
    <w:rsid w:val="5B8F47E5"/>
    <w:rsid w:val="5BAD7361"/>
    <w:rsid w:val="5BBD57F6"/>
    <w:rsid w:val="5BC70423"/>
    <w:rsid w:val="5BD54B6C"/>
    <w:rsid w:val="5C224E2A"/>
    <w:rsid w:val="5C2D3FFE"/>
    <w:rsid w:val="5C34538D"/>
    <w:rsid w:val="5C5D0D87"/>
    <w:rsid w:val="5C62639E"/>
    <w:rsid w:val="5C891B7C"/>
    <w:rsid w:val="5C896AC0"/>
    <w:rsid w:val="5CA02E52"/>
    <w:rsid w:val="5CB07109"/>
    <w:rsid w:val="5CD526CC"/>
    <w:rsid w:val="5CDD77D2"/>
    <w:rsid w:val="5D292A17"/>
    <w:rsid w:val="5D4B5084"/>
    <w:rsid w:val="5D6B74D4"/>
    <w:rsid w:val="5D8D2FA6"/>
    <w:rsid w:val="5D9A3915"/>
    <w:rsid w:val="5D9E6F62"/>
    <w:rsid w:val="5DBE5856"/>
    <w:rsid w:val="5E4E4E2C"/>
    <w:rsid w:val="5E6A778C"/>
    <w:rsid w:val="5E6F6B50"/>
    <w:rsid w:val="5E954808"/>
    <w:rsid w:val="5EB86749"/>
    <w:rsid w:val="5EC23124"/>
    <w:rsid w:val="5EC462B4"/>
    <w:rsid w:val="5EC62C14"/>
    <w:rsid w:val="5F092B01"/>
    <w:rsid w:val="5F1B4DDD"/>
    <w:rsid w:val="5F742670"/>
    <w:rsid w:val="5FC8476A"/>
    <w:rsid w:val="5FFE1F39"/>
    <w:rsid w:val="60011A2A"/>
    <w:rsid w:val="6014175D"/>
    <w:rsid w:val="60522285"/>
    <w:rsid w:val="605E6E7C"/>
    <w:rsid w:val="608933FF"/>
    <w:rsid w:val="609641FE"/>
    <w:rsid w:val="60AA20C1"/>
    <w:rsid w:val="61776447"/>
    <w:rsid w:val="617C1CB0"/>
    <w:rsid w:val="61D5316E"/>
    <w:rsid w:val="621E2D67"/>
    <w:rsid w:val="62976675"/>
    <w:rsid w:val="62C84A81"/>
    <w:rsid w:val="62EF025F"/>
    <w:rsid w:val="62FE04A2"/>
    <w:rsid w:val="62FF66F4"/>
    <w:rsid w:val="63067BED"/>
    <w:rsid w:val="6324615B"/>
    <w:rsid w:val="633F11E7"/>
    <w:rsid w:val="63A66B70"/>
    <w:rsid w:val="63D57455"/>
    <w:rsid w:val="63E61662"/>
    <w:rsid w:val="63FB5820"/>
    <w:rsid w:val="64030466"/>
    <w:rsid w:val="643248A8"/>
    <w:rsid w:val="643F5A4B"/>
    <w:rsid w:val="646560DB"/>
    <w:rsid w:val="64C37BF6"/>
    <w:rsid w:val="64EF2799"/>
    <w:rsid w:val="6574668A"/>
    <w:rsid w:val="657809E0"/>
    <w:rsid w:val="65DF280D"/>
    <w:rsid w:val="65F362B8"/>
    <w:rsid w:val="65FA13F5"/>
    <w:rsid w:val="66126CA5"/>
    <w:rsid w:val="66D47E98"/>
    <w:rsid w:val="66E520A5"/>
    <w:rsid w:val="67010561"/>
    <w:rsid w:val="67242BCD"/>
    <w:rsid w:val="675863D3"/>
    <w:rsid w:val="675D7E8D"/>
    <w:rsid w:val="67931B01"/>
    <w:rsid w:val="683F3A37"/>
    <w:rsid w:val="68B63CF9"/>
    <w:rsid w:val="692E7D33"/>
    <w:rsid w:val="69AB1384"/>
    <w:rsid w:val="6A2627B9"/>
    <w:rsid w:val="6A350C4E"/>
    <w:rsid w:val="6A3A44B6"/>
    <w:rsid w:val="6A5135AE"/>
    <w:rsid w:val="6A5437CA"/>
    <w:rsid w:val="6A7B729C"/>
    <w:rsid w:val="6AB43C86"/>
    <w:rsid w:val="6B794984"/>
    <w:rsid w:val="6BA37E39"/>
    <w:rsid w:val="6BC8789F"/>
    <w:rsid w:val="6C315445"/>
    <w:rsid w:val="6C517895"/>
    <w:rsid w:val="6C845EBC"/>
    <w:rsid w:val="6CE95D1F"/>
    <w:rsid w:val="6CFA617E"/>
    <w:rsid w:val="6D056FFD"/>
    <w:rsid w:val="6D142D9C"/>
    <w:rsid w:val="6D463172"/>
    <w:rsid w:val="6D9C0EEE"/>
    <w:rsid w:val="6DCF4F15"/>
    <w:rsid w:val="6E3336F6"/>
    <w:rsid w:val="6EB011EB"/>
    <w:rsid w:val="6EC9405A"/>
    <w:rsid w:val="6F094457"/>
    <w:rsid w:val="6F26325B"/>
    <w:rsid w:val="6F8306AD"/>
    <w:rsid w:val="6F8C5944"/>
    <w:rsid w:val="6F8F0E00"/>
    <w:rsid w:val="6FA81EC2"/>
    <w:rsid w:val="6FE319E5"/>
    <w:rsid w:val="6FF670D1"/>
    <w:rsid w:val="700C41FF"/>
    <w:rsid w:val="70926DFA"/>
    <w:rsid w:val="709A5EB2"/>
    <w:rsid w:val="70DD3DED"/>
    <w:rsid w:val="71245578"/>
    <w:rsid w:val="7164006A"/>
    <w:rsid w:val="716A5681"/>
    <w:rsid w:val="71C823A7"/>
    <w:rsid w:val="71F15DA2"/>
    <w:rsid w:val="720A0C12"/>
    <w:rsid w:val="72273572"/>
    <w:rsid w:val="729D55E2"/>
    <w:rsid w:val="72C139C6"/>
    <w:rsid w:val="736F05BE"/>
    <w:rsid w:val="73C3376E"/>
    <w:rsid w:val="740F0761"/>
    <w:rsid w:val="74123DAE"/>
    <w:rsid w:val="744D4DE6"/>
    <w:rsid w:val="74CC21AE"/>
    <w:rsid w:val="75226272"/>
    <w:rsid w:val="754461E9"/>
    <w:rsid w:val="75A80AB4"/>
    <w:rsid w:val="75CB06B8"/>
    <w:rsid w:val="764A782F"/>
    <w:rsid w:val="764F1663"/>
    <w:rsid w:val="768A40CF"/>
    <w:rsid w:val="76A74C81"/>
    <w:rsid w:val="76CC2007"/>
    <w:rsid w:val="76D87530"/>
    <w:rsid w:val="76DB0DCF"/>
    <w:rsid w:val="76E01F41"/>
    <w:rsid w:val="77040325"/>
    <w:rsid w:val="772E0EFE"/>
    <w:rsid w:val="777F79AC"/>
    <w:rsid w:val="77AB07A1"/>
    <w:rsid w:val="77B21B30"/>
    <w:rsid w:val="77EF4B32"/>
    <w:rsid w:val="77F263D0"/>
    <w:rsid w:val="781E5417"/>
    <w:rsid w:val="785051F5"/>
    <w:rsid w:val="78C23FF4"/>
    <w:rsid w:val="79621333"/>
    <w:rsid w:val="79C142AC"/>
    <w:rsid w:val="79C30024"/>
    <w:rsid w:val="79ED6E4F"/>
    <w:rsid w:val="7A13262E"/>
    <w:rsid w:val="7A3B22B0"/>
    <w:rsid w:val="7A5549F4"/>
    <w:rsid w:val="7AA775B3"/>
    <w:rsid w:val="7B4A207F"/>
    <w:rsid w:val="7B5829EE"/>
    <w:rsid w:val="7B672C31"/>
    <w:rsid w:val="7B735A7A"/>
    <w:rsid w:val="7B9854E0"/>
    <w:rsid w:val="7B9D0BEA"/>
    <w:rsid w:val="7BA07EF1"/>
    <w:rsid w:val="7BAB6FC2"/>
    <w:rsid w:val="7C647170"/>
    <w:rsid w:val="7C7F3FAA"/>
    <w:rsid w:val="7C9A0DE4"/>
    <w:rsid w:val="7D5F62B6"/>
    <w:rsid w:val="7DB83C18"/>
    <w:rsid w:val="7DC97BD3"/>
    <w:rsid w:val="7E0B1F99"/>
    <w:rsid w:val="7E470AF8"/>
    <w:rsid w:val="7EAA7A04"/>
    <w:rsid w:val="7EB20667"/>
    <w:rsid w:val="7ECB1729"/>
    <w:rsid w:val="7ECE4213"/>
    <w:rsid w:val="7F141322"/>
    <w:rsid w:val="7F5B2AAD"/>
    <w:rsid w:val="7F6D27E0"/>
    <w:rsid w:val="7F6D458E"/>
    <w:rsid w:val="7F8C2C66"/>
    <w:rsid w:val="7FDF723A"/>
    <w:rsid w:val="7FE458E5"/>
    <w:rsid w:val="7FFA40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7"/>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9">
    <w:name w:val="heading 3"/>
    <w:basedOn w:val="1"/>
    <w:next w:val="7"/>
    <w:qFormat/>
    <w:uiPriority w:val="0"/>
    <w:pPr>
      <w:keepNext/>
      <w:keepLines/>
      <w:spacing w:before="260" w:after="260" w:line="360" w:lineRule="auto"/>
      <w:ind w:firstLine="602" w:firstLineChars="200"/>
      <w:outlineLvl w:val="2"/>
    </w:pPr>
    <w:rPr>
      <w:rFonts w:ascii="仿宋_GB2312" w:hAnsi="Times New Roman" w:eastAsia="仿宋_GB2312" w:cs="Times New Roman"/>
      <w:b/>
      <w:bCs/>
      <w:sz w:val="30"/>
      <w:szCs w:val="20"/>
    </w:rPr>
  </w:style>
  <w:style w:type="character" w:default="1" w:styleId="21">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4"/>
    <w:qFormat/>
    <w:uiPriority w:val="0"/>
    <w:pPr>
      <w:tabs>
        <w:tab w:val="left" w:pos="208"/>
      </w:tabs>
      <w:spacing w:after="120" w:line="240" w:lineRule="auto"/>
      <w:ind w:firstLine="420"/>
    </w:pPr>
    <w:rPr>
      <w:rFonts w:ascii="Times New Roman" w:hAnsi="Times New Roman" w:eastAsia="宋体" w:cs="Times New Roman"/>
      <w:lang w:val="zh-CN"/>
    </w:rPr>
  </w:style>
  <w:style w:type="paragraph" w:styleId="3">
    <w:name w:val="Body Text"/>
    <w:basedOn w:val="1"/>
    <w:next w:val="2"/>
    <w:qFormat/>
    <w:uiPriority w:val="0"/>
    <w:pPr>
      <w:tabs>
        <w:tab w:val="left" w:pos="208"/>
      </w:tabs>
      <w:spacing w:line="432" w:lineRule="auto"/>
    </w:pPr>
    <w:rPr>
      <w:rFonts w:ascii="仿宋_GB2312" w:hAnsi="Times New Roman" w:eastAsia="仿宋_GB2312" w:cs="Times New Roman"/>
      <w:sz w:val="28"/>
    </w:rPr>
  </w:style>
  <w:style w:type="paragraph" w:styleId="4">
    <w:name w:val="toc 6"/>
    <w:basedOn w:val="1"/>
    <w:next w:val="1"/>
    <w:qFormat/>
    <w:uiPriority w:val="0"/>
    <w:pPr>
      <w:ind w:left="2100" w:leftChars="1000"/>
    </w:pPr>
    <w:rPr>
      <w:rFonts w:ascii="Calibri" w:hAnsi="Calibri" w:eastAsia="宋体" w:cs="Times New Roman"/>
      <w:szCs w:val="22"/>
    </w:rPr>
  </w:style>
  <w:style w:type="paragraph" w:styleId="7">
    <w:name w:val="Normal Indent"/>
    <w:basedOn w:val="1"/>
    <w:next w:val="8"/>
    <w:qFormat/>
    <w:uiPriority w:val="0"/>
    <w:pPr>
      <w:widowControl/>
      <w:snapToGrid w:val="0"/>
      <w:spacing w:line="480" w:lineRule="exact"/>
      <w:ind w:firstLine="567"/>
    </w:pPr>
    <w:rPr>
      <w:rFonts w:ascii="宋体"/>
      <w:snapToGrid w:val="0"/>
      <w:color w:val="000000"/>
      <w:kern w:val="28"/>
      <w:sz w:val="28"/>
      <w:szCs w:val="20"/>
    </w:rPr>
  </w:style>
  <w:style w:type="paragraph" w:styleId="8">
    <w:name w:val="Body Text Indent"/>
    <w:basedOn w:val="1"/>
    <w:next w:val="7"/>
    <w:unhideWhenUsed/>
    <w:qFormat/>
    <w:uiPriority w:val="0"/>
    <w:pPr>
      <w:spacing w:beforeLines="0" w:afterLines="0" w:line="480" w:lineRule="exact"/>
      <w:ind w:firstLine="480" w:firstLineChars="200"/>
    </w:pPr>
    <w:rPr>
      <w:rFonts w:hint="eastAsia" w:ascii="宋体" w:hAnsi="宋体"/>
      <w:sz w:val="24"/>
      <w:szCs w:val="24"/>
    </w:rPr>
  </w:style>
  <w:style w:type="paragraph" w:styleId="10">
    <w:name w:val="Plain Text"/>
    <w:basedOn w:val="1"/>
    <w:next w:val="11"/>
    <w:qFormat/>
    <w:uiPriority w:val="0"/>
    <w:rPr>
      <w:rFonts w:ascii="宋体" w:hAnsi="Courier New" w:cs="Arial"/>
      <w:snapToGrid w:val="0"/>
      <w:szCs w:val="21"/>
    </w:rPr>
  </w:style>
  <w:style w:type="paragraph" w:styleId="11">
    <w:name w:val="Date"/>
    <w:basedOn w:val="1"/>
    <w:next w:val="1"/>
    <w:qFormat/>
    <w:uiPriority w:val="0"/>
    <w:pPr>
      <w:ind w:left="100" w:leftChars="2500"/>
    </w:pPr>
    <w:rPr>
      <w:rFonts w:ascii="宋体"/>
      <w:sz w:val="24"/>
      <w:szCs w:val="21"/>
      <w:lang w:val="zh-CN"/>
    </w:rPr>
  </w:style>
  <w:style w:type="paragraph" w:styleId="12">
    <w:name w:val="Body Text Indent 2"/>
    <w:basedOn w:val="1"/>
    <w:qFormat/>
    <w:uiPriority w:val="0"/>
    <w:pPr>
      <w:snapToGrid w:val="0"/>
      <w:spacing w:line="400" w:lineRule="exact"/>
      <w:ind w:firstLine="480"/>
    </w:pPr>
    <w:rPr>
      <w:rFonts w:eastAsia="仿宋_GB2312"/>
      <w:sz w:val="24"/>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qFormat/>
    <w:uiPriority w:val="39"/>
    <w:pPr>
      <w:tabs>
        <w:tab w:val="right" w:leader="dot" w:pos="9060"/>
      </w:tabs>
      <w:spacing w:before="40" w:after="40"/>
      <w:jc w:val="left"/>
    </w:pPr>
    <w:rPr>
      <w:rFonts w:ascii="Calibri" w:hAnsi="Calibri" w:eastAsia="仿宋_GB2312"/>
      <w:b/>
      <w:bCs/>
      <w:caps/>
      <w:sz w:val="20"/>
      <w:szCs w:val="20"/>
    </w:rPr>
  </w:style>
  <w:style w:type="paragraph" w:styleId="16">
    <w:name w:val="toc 2"/>
    <w:basedOn w:val="1"/>
    <w:next w:val="1"/>
    <w:qFormat/>
    <w:uiPriority w:val="39"/>
    <w:pPr>
      <w:tabs>
        <w:tab w:val="right" w:leader="dot" w:pos="9060"/>
      </w:tabs>
    </w:pPr>
    <w:rPr>
      <w:rFonts w:ascii="宋体" w:hAnsi="宋体"/>
      <w:b/>
      <w:bCs/>
      <w:sz w:val="24"/>
    </w:rPr>
  </w:style>
  <w:style w:type="paragraph" w:styleId="17">
    <w:name w:val="Body Text 2"/>
    <w:basedOn w:val="1"/>
    <w:qFormat/>
    <w:uiPriority w:val="0"/>
    <w:pPr>
      <w:spacing w:line="560" w:lineRule="exact"/>
    </w:pPr>
    <w:rPr>
      <w:rFonts w:ascii="Times New Roman" w:hAnsi="Times New Roman" w:eastAsia="宋体" w:cs="Times New Roman"/>
      <w:kern w:val="0"/>
      <w:sz w:val="24"/>
      <w:szCs w:val="20"/>
      <w:lang w:val="en-GB"/>
    </w:rPr>
  </w:style>
  <w:style w:type="paragraph" w:styleId="18">
    <w:name w:val="Title"/>
    <w:basedOn w:val="1"/>
    <w:next w:val="1"/>
    <w:unhideWhenUsed/>
    <w:qFormat/>
    <w:uiPriority w:val="10"/>
    <w:pPr>
      <w:widowControl/>
      <w:overflowPunct w:val="0"/>
      <w:autoSpaceDE w:val="0"/>
      <w:autoSpaceDN w:val="0"/>
      <w:spacing w:beforeLines="0" w:afterLines="0"/>
      <w:jc w:val="center"/>
      <w:textAlignment w:val="baseline"/>
    </w:pPr>
    <w:rPr>
      <w:rFonts w:hint="default"/>
      <w:b/>
      <w:kern w:val="0"/>
      <w:sz w:val="24"/>
      <w:szCs w:val="20"/>
      <w:lang w:val="en-GB"/>
    </w:rPr>
  </w:style>
  <w:style w:type="paragraph" w:styleId="19">
    <w:name w:val="Body Text First Indent 2"/>
    <w:basedOn w:val="8"/>
    <w:next w:val="2"/>
    <w:unhideWhenUsed/>
    <w:qFormat/>
    <w:uiPriority w:val="0"/>
    <w:pPr>
      <w:adjustRightInd/>
      <w:spacing w:beforeLines="0" w:after="120" w:afterLines="0" w:line="240" w:lineRule="auto"/>
      <w:ind w:left="420" w:leftChars="200" w:firstLine="210"/>
    </w:pPr>
    <w:rPr>
      <w:rFonts w:hint="eastAsia"/>
      <w:sz w:val="21"/>
      <w:szCs w:val="24"/>
    </w:rPr>
  </w:style>
  <w:style w:type="character" w:styleId="22">
    <w:name w:val="page number"/>
    <w:basedOn w:val="21"/>
    <w:unhideWhenUsed/>
    <w:qFormat/>
    <w:uiPriority w:val="0"/>
    <w:rPr>
      <w:rFonts w:hint="default" w:ascii="Arial" w:hAnsi="Arial" w:eastAsia="黑体" w:cs="Arial"/>
      <w:snapToGrid w:val="0"/>
      <w:sz w:val="24"/>
      <w:szCs w:val="21"/>
    </w:rPr>
  </w:style>
  <w:style w:type="character" w:styleId="23">
    <w:name w:val="Hyperlink"/>
    <w:qFormat/>
    <w:uiPriority w:val="0"/>
    <w:rPr>
      <w:rFonts w:ascii="Times New Roman" w:hAnsi="Times New Roman" w:eastAsia="宋体" w:cs="Times New Roman"/>
      <w:color w:val="0000FF"/>
      <w:u w:val="single"/>
    </w:rPr>
  </w:style>
  <w:style w:type="character" w:styleId="24">
    <w:name w:val="annotation reference"/>
    <w:qFormat/>
    <w:uiPriority w:val="99"/>
    <w:rPr>
      <w:sz w:val="21"/>
      <w:szCs w:val="21"/>
    </w:rPr>
  </w:style>
  <w:style w:type="paragraph" w:customStyle="1" w:styleId="25">
    <w:name w:val="表格文字"/>
    <w:basedOn w:val="10"/>
    <w:next w:val="3"/>
    <w:qFormat/>
    <w:uiPriority w:val="0"/>
    <w:pPr>
      <w:adjustRightInd w:val="0"/>
      <w:spacing w:line="420" w:lineRule="atLeast"/>
      <w:jc w:val="left"/>
      <w:textAlignment w:val="baseline"/>
    </w:pPr>
    <w:rPr>
      <w:rFonts w:ascii="Times New Roman" w:hAnsi="Times New Roman" w:eastAsia="宋体" w:cs="Times New Roman"/>
      <w:kern w:val="0"/>
      <w:szCs w:val="24"/>
    </w:rPr>
  </w:style>
  <w:style w:type="paragraph" w:customStyle="1" w:styleId="26">
    <w:name w:val="正文2"/>
    <w:basedOn w:val="1"/>
    <w:autoRedefine/>
    <w:qFormat/>
    <w:uiPriority w:val="0"/>
    <w:pPr>
      <w:spacing w:before="156" w:line="360" w:lineRule="auto"/>
      <w:ind w:firstLine="510" w:firstLineChars="200"/>
    </w:pPr>
    <w:rPr>
      <w:sz w:val="24"/>
      <w:szCs w:val="20"/>
    </w:rPr>
  </w:style>
  <w:style w:type="paragraph" w:customStyle="1" w:styleId="2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9">
    <w:name w:val="正文空2字"/>
    <w:basedOn w:val="30"/>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30">
    <w:name w:val="左对齐正文"/>
    <w:autoRedefine/>
    <w:qFormat/>
    <w:uiPriority w:val="99"/>
    <w:rPr>
      <w:rFonts w:ascii="Calibri" w:hAnsi="Calibri" w:eastAsia="仿宋_GB2312" w:cs="Calibri"/>
      <w:kern w:val="2"/>
      <w:sz w:val="32"/>
      <w:szCs w:val="32"/>
      <w:lang w:val="en-US" w:eastAsia="zh-CN" w:bidi="ar-SA"/>
    </w:rPr>
  </w:style>
  <w:style w:type="paragraph" w:customStyle="1" w:styleId="31">
    <w:name w:val="Table Paragraph"/>
    <w:basedOn w:val="1"/>
    <w:qFormat/>
    <w:uiPriority w:val="1"/>
    <w:rPr>
      <w:rFonts w:ascii="仿宋" w:hAnsi="仿宋" w:eastAsia="仿宋" w:cs="仿宋"/>
      <w:lang w:val="zh-CN" w:eastAsia="zh-CN" w:bidi="zh-CN"/>
    </w:rPr>
  </w:style>
  <w:style w:type="paragraph" w:customStyle="1" w:styleId="32">
    <w:name w:val="正文缩进1"/>
    <w:basedOn w:val="1"/>
    <w:next w:val="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3">
    <w:name w:val="索引 11"/>
    <w:basedOn w:val="1"/>
    <w:next w:val="1"/>
    <w:qFormat/>
    <w:uiPriority w:val="99"/>
    <w:pPr>
      <w:adjustRightInd/>
      <w:spacing w:line="360" w:lineRule="auto"/>
    </w:pPr>
    <w:rPr>
      <w:rFonts w:ascii="仿宋_GB2312" w:eastAsia="仿宋_GB2312"/>
      <w:sz w:val="24"/>
      <w:szCs w:val="20"/>
    </w:rPr>
  </w:style>
  <w:style w:type="paragraph" w:customStyle="1" w:styleId="34">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5">
    <w:name w:val="纯文本1"/>
    <w:basedOn w:val="1"/>
    <w:qFormat/>
    <w:uiPriority w:val="0"/>
    <w:pPr>
      <w:adjustRightInd/>
    </w:pPr>
    <w:rPr>
      <w:rFonts w:ascii="宋体" w:hAnsi="Courier New"/>
      <w:kern w:val="0"/>
      <w:sz w:val="20"/>
      <w:szCs w:val="20"/>
    </w:rPr>
  </w:style>
  <w:style w:type="paragraph" w:customStyle="1" w:styleId="3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纯文本_0"/>
    <w:basedOn w:val="1"/>
    <w:unhideWhenUsed/>
    <w:qFormat/>
    <w:uiPriority w:val="0"/>
    <w:rPr>
      <w:rFonts w:ascii="宋体" w:hAnsi="Courier New"/>
      <w:szCs w:val="22"/>
    </w:rPr>
  </w:style>
  <w:style w:type="paragraph" w:customStyle="1" w:styleId="38">
    <w:name w:val="纯文本_1"/>
    <w:basedOn w:val="1"/>
    <w:qFormat/>
    <w:uiPriority w:val="0"/>
    <w:rPr>
      <w:rFonts w:ascii="宋体" w:hAnsi="Courier New"/>
      <w:szCs w:val="20"/>
    </w:rPr>
  </w:style>
  <w:style w:type="paragraph" w:customStyle="1" w:styleId="39">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纯文本_3"/>
    <w:basedOn w:val="39"/>
    <w:qFormat/>
    <w:uiPriority w:val="0"/>
    <w:rPr>
      <w:rFonts w:ascii="宋体" w:hAnsi="Courier New"/>
      <w:szCs w:val="20"/>
    </w:rPr>
  </w:style>
  <w:style w:type="paragraph" w:customStyle="1" w:styleId="41">
    <w:name w:val="p0"/>
    <w:basedOn w:val="1"/>
    <w:qFormat/>
    <w:uiPriority w:val="0"/>
    <w:pPr>
      <w:widowControl/>
      <w:spacing w:before="100" w:beforeAutospacing="1" w:after="100" w:afterAutospacing="1"/>
      <w:jc w:val="left"/>
    </w:pPr>
    <w:rPr>
      <w:rFonts w:ascii="宋体" w:hAnsi="宋体" w:cs="宋体"/>
      <w:kern w:val="0"/>
      <w:sz w:val="24"/>
    </w:rPr>
  </w:style>
  <w:style w:type="character" w:customStyle="1" w:styleId="42">
    <w:name w:val="NormalCharacter"/>
    <w:semiHidden/>
    <w:qFormat/>
    <w:uiPriority w:val="0"/>
  </w:style>
  <w:style w:type="paragraph" w:customStyle="1" w:styleId="43">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4">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48">
    <w:name w:val="文章正文"/>
    <w:basedOn w:val="1"/>
    <w:qFormat/>
    <w:uiPriority w:val="99"/>
    <w:pPr>
      <w:spacing w:line="360" w:lineRule="auto"/>
      <w:ind w:firstLine="200" w:firstLineChars="200"/>
    </w:pPr>
    <w:rPr>
      <w:sz w:val="24"/>
      <w:szCs w:val="24"/>
    </w:rPr>
  </w:style>
  <w:style w:type="paragraph" w:customStyle="1" w:styleId="49">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Body Text First Indent 21"/>
    <w:basedOn w:val="51"/>
    <w:qFormat/>
    <w:uiPriority w:val="0"/>
    <w:pPr>
      <w:widowControl w:val="0"/>
      <w:autoSpaceDE w:val="0"/>
      <w:autoSpaceDN w:val="0"/>
      <w:adjustRightInd w:val="0"/>
      <w:spacing w:after="120"/>
      <w:ind w:left="200" w:leftChars="200" w:firstLine="420"/>
    </w:pPr>
    <w:rPr>
      <w:rFonts w:ascii="宋体" w:hAnsi="Times New Roman" w:eastAsia="宋体" w:cs="宋体"/>
      <w:sz w:val="24"/>
      <w:szCs w:val="21"/>
    </w:rPr>
  </w:style>
  <w:style w:type="paragraph" w:customStyle="1" w:styleId="51">
    <w:name w:val="Body Text Indent1"/>
    <w:basedOn w:val="1"/>
    <w:qFormat/>
    <w:uiPriority w:val="0"/>
    <w:pPr>
      <w:spacing w:line="200" w:lineRule="exact"/>
      <w:ind w:firstLine="301"/>
    </w:pPr>
    <w:rPr>
      <w:rFonts w:ascii="宋体" w:hAnsi="Courier New"/>
      <w:spacing w:val="-4"/>
      <w:sz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78</Pages>
  <Words>24964</Words>
  <Characters>28121</Characters>
  <Lines>1</Lines>
  <Paragraphs>1</Paragraphs>
  <TotalTime>76</TotalTime>
  <ScaleCrop>false</ScaleCrop>
  <LinksUpToDate>false</LinksUpToDate>
  <CharactersWithSpaces>28879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2025-01-08T11:41:00Z</dcterms:created>
  <dc:creator>华莉瑛</dc:creator>
  <cp:lastModifiedBy>华莉瑛</cp:lastModifiedBy>
  <cp:lastPrinted>2025-02-27T12:36:00Z</cp:lastPrinted>
  <dcterms:modified xsi:type="dcterms:W3CDTF">2025-02-28T05:12:45Z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E66FC6BEF8F8467499536C3CAB8C0DA0_13</vt:lpwstr>
  </property>
  <property fmtid="{D5CDD505-2E9C-101B-9397-08002B2CF9AE}" pid="4" name="KSOTemplateDocerSaveRecord">
    <vt:lpwstr>eyJoZGlkIjoiZmMzZTMzZmU0ODYxYzQ1ZDUwNzJmZDVhOGE2NDViMDEiLCJ1c2VySWQiOiI0MzUyMzQxNDgifQ==</vt:lpwstr>
  </property>
</Properties>
</file>