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10B5E2">
      <w:pPr>
        <w:pStyle w:val="9"/>
        <w:jc w:val="center"/>
        <w:rPr>
          <w:rFonts w:hint="eastAsia" w:ascii="宋体" w:hAnsi="宋体" w:eastAsia="宋体" w:cs="宋体"/>
          <w:b/>
          <w:bCs/>
          <w:spacing w:val="-17"/>
          <w:sz w:val="44"/>
          <w:szCs w:val="44"/>
          <w:lang w:eastAsia="zh-CN"/>
        </w:rPr>
      </w:pPr>
    </w:p>
    <w:p w14:paraId="5FAB9D69">
      <w:pPr>
        <w:pStyle w:val="9"/>
        <w:jc w:val="center"/>
        <w:rPr>
          <w:rFonts w:hint="eastAsia" w:ascii="宋体" w:hAnsi="宋体" w:cs="宋体"/>
          <w:b/>
          <w:bCs/>
          <w:spacing w:val="-17"/>
          <w:sz w:val="44"/>
          <w:szCs w:val="44"/>
          <w:lang w:eastAsia="zh-CN"/>
        </w:rPr>
      </w:pPr>
    </w:p>
    <w:p w14:paraId="470B1F2E">
      <w:pPr>
        <w:pStyle w:val="9"/>
        <w:jc w:val="center"/>
        <w:rPr>
          <w:rFonts w:hint="eastAsia" w:ascii="宋体" w:hAnsi="宋体" w:eastAsia="宋体" w:cs="宋体"/>
          <w:b/>
          <w:bCs/>
          <w:spacing w:val="-17"/>
          <w:sz w:val="44"/>
          <w:szCs w:val="44"/>
          <w:lang w:eastAsia="zh-CN"/>
        </w:rPr>
      </w:pPr>
      <w:r>
        <w:rPr>
          <w:rFonts w:hint="eastAsia" w:ascii="宋体" w:hAnsi="宋体" w:cs="宋体"/>
          <w:b/>
          <w:bCs/>
          <w:spacing w:val="-17"/>
          <w:sz w:val="44"/>
          <w:szCs w:val="44"/>
          <w:lang w:eastAsia="zh-CN"/>
        </w:rPr>
        <w:t>常山县2025年度产品质量监督抽查服务采购项目</w:t>
      </w:r>
    </w:p>
    <w:p w14:paraId="0642AEFE">
      <w:pPr>
        <w:pStyle w:val="27"/>
        <w:rPr>
          <w:rFonts w:hint="eastAsia" w:hAnsi="宋体"/>
          <w:b/>
          <w:bCs/>
          <w:color w:val="auto"/>
          <w:spacing w:val="-17"/>
          <w:sz w:val="48"/>
          <w:szCs w:val="48"/>
        </w:rPr>
      </w:pPr>
    </w:p>
    <w:p w14:paraId="5BAC27CE">
      <w:pPr>
        <w:pStyle w:val="28"/>
        <w:rPr>
          <w:rFonts w:hint="eastAsia"/>
        </w:rPr>
      </w:pPr>
    </w:p>
    <w:p w14:paraId="39103398">
      <w:pPr>
        <w:pStyle w:val="7"/>
        <w:ind w:left="840" w:hanging="420"/>
        <w:rPr>
          <w:rFonts w:hint="eastAsia" w:ascii="宋体" w:hAnsi="宋体"/>
        </w:rPr>
      </w:pPr>
    </w:p>
    <w:p w14:paraId="01E7E78A">
      <w:pPr>
        <w:pStyle w:val="10"/>
        <w:rPr>
          <w:rFonts w:hint="eastAsia" w:ascii="宋体" w:hAnsi="宋体"/>
        </w:rPr>
      </w:pPr>
    </w:p>
    <w:p w14:paraId="4B76B407">
      <w:pPr>
        <w:rPr>
          <w:rFonts w:hint="eastAsia"/>
        </w:rPr>
      </w:pPr>
    </w:p>
    <w:p w14:paraId="3B81EC3F">
      <w:pPr>
        <w:adjustRightInd w:val="0"/>
        <w:snapToGrid w:val="0"/>
        <w:spacing w:line="500" w:lineRule="exact"/>
        <w:jc w:val="center"/>
        <w:rPr>
          <w:rFonts w:hint="eastAsia" w:ascii="宋体" w:hAnsi="宋体" w:cs="宋体"/>
          <w:b/>
          <w:sz w:val="48"/>
          <w:szCs w:val="48"/>
        </w:rPr>
      </w:pPr>
      <w:r>
        <w:rPr>
          <w:rFonts w:hint="eastAsia" w:ascii="宋体" w:hAnsi="宋体" w:cs="宋体"/>
          <w:b/>
          <w:sz w:val="48"/>
          <w:szCs w:val="48"/>
        </w:rPr>
        <w:t>公 开 招 标 文 件</w:t>
      </w:r>
    </w:p>
    <w:p w14:paraId="35213281">
      <w:pPr>
        <w:pStyle w:val="2"/>
        <w:rPr>
          <w:rFonts w:hint="eastAsia" w:ascii="宋体" w:hAnsi="宋体" w:cs="宋体"/>
          <w:b w:val="0"/>
          <w:sz w:val="84"/>
          <w:szCs w:val="84"/>
          <w14:shadow w14:blurRad="50800" w14:dist="38100" w14:dir="2700000" w14:sx="100000" w14:sy="100000" w14:kx="0" w14:ky="0" w14:algn="tl">
            <w14:srgbClr w14:val="000000">
              <w14:alpha w14:val="60000"/>
            </w14:srgbClr>
          </w14:shadow>
        </w:rPr>
      </w:pPr>
    </w:p>
    <w:p w14:paraId="3787F27F">
      <w:pPr>
        <w:rPr>
          <w:rFonts w:hint="eastAsia" w:ascii="宋体" w:hAnsi="宋体" w:cs="宋体"/>
        </w:rPr>
      </w:pPr>
    </w:p>
    <w:p w14:paraId="245BC0DB">
      <w:pPr>
        <w:pStyle w:val="29"/>
        <w:snapToGrid w:val="0"/>
        <w:spacing w:after="0" w:line="240" w:lineRule="auto"/>
        <w:ind w:firstLine="0"/>
        <w:jc w:val="center"/>
        <w:rPr>
          <w:rFonts w:hint="eastAsia" w:ascii="宋体" w:hAnsi="宋体" w:cs="宋体"/>
          <w:sz w:val="44"/>
          <w:szCs w:val="44"/>
        </w:rPr>
      </w:pPr>
    </w:p>
    <w:p w14:paraId="0A9D5BC9">
      <w:pPr>
        <w:pStyle w:val="29"/>
        <w:snapToGrid w:val="0"/>
        <w:spacing w:after="0" w:line="240" w:lineRule="auto"/>
        <w:ind w:firstLine="0"/>
        <w:jc w:val="center"/>
        <w:rPr>
          <w:rFonts w:hint="eastAsia" w:ascii="宋体" w:hAnsi="宋体" w:cs="宋体"/>
          <w:sz w:val="44"/>
          <w:szCs w:val="44"/>
        </w:rPr>
      </w:pPr>
    </w:p>
    <w:p w14:paraId="2B3B6FA6">
      <w:pPr>
        <w:pStyle w:val="29"/>
        <w:snapToGrid w:val="0"/>
        <w:spacing w:after="0" w:line="240" w:lineRule="auto"/>
        <w:ind w:firstLine="0"/>
        <w:jc w:val="center"/>
        <w:rPr>
          <w:rFonts w:hint="eastAsia" w:ascii="宋体" w:hAnsi="宋体" w:cs="宋体"/>
          <w:sz w:val="44"/>
          <w:szCs w:val="44"/>
        </w:rPr>
      </w:pPr>
    </w:p>
    <w:p w14:paraId="25DE6F0F">
      <w:pPr>
        <w:pStyle w:val="29"/>
        <w:snapToGrid w:val="0"/>
        <w:spacing w:after="0" w:line="240" w:lineRule="auto"/>
        <w:ind w:firstLine="0"/>
        <w:jc w:val="center"/>
        <w:rPr>
          <w:rFonts w:hint="eastAsia" w:ascii="宋体" w:hAnsi="宋体" w:cs="宋体"/>
          <w:sz w:val="44"/>
          <w:szCs w:val="44"/>
        </w:rPr>
      </w:pPr>
    </w:p>
    <w:p w14:paraId="5B7B6D66">
      <w:pPr>
        <w:spacing w:line="760" w:lineRule="exact"/>
        <w:jc w:val="both"/>
        <w:textAlignment w:val="baseline"/>
        <w:outlineLvl w:val="0"/>
        <w:rPr>
          <w:rFonts w:hint="eastAsia" w:ascii="宋体" w:hAnsi="宋体" w:cs="宋体"/>
          <w:b/>
          <w:spacing w:val="2"/>
          <w:position w:val="-3"/>
          <w:sz w:val="30"/>
          <w:szCs w:val="30"/>
        </w:rPr>
      </w:pPr>
      <w:bookmarkStart w:id="0" w:name="_Toc23957"/>
    </w:p>
    <w:p w14:paraId="51021228">
      <w:pPr>
        <w:spacing w:line="760" w:lineRule="exact"/>
        <w:ind w:firstLine="2736" w:firstLineChars="900"/>
        <w:jc w:val="both"/>
        <w:textAlignment w:val="baseline"/>
        <w:outlineLvl w:val="0"/>
        <w:rPr>
          <w:rFonts w:hint="eastAsia" w:ascii="宋体" w:hAnsi="宋体" w:eastAsia="宋体" w:cs="宋体"/>
          <w:b w:val="0"/>
          <w:bCs/>
          <w:spacing w:val="2"/>
          <w:position w:val="-3"/>
          <w:sz w:val="30"/>
          <w:szCs w:val="30"/>
          <w:lang w:eastAsia="zh-CN"/>
        </w:rPr>
      </w:pPr>
    </w:p>
    <w:p w14:paraId="4EE26AF1">
      <w:pPr>
        <w:spacing w:line="760" w:lineRule="exact"/>
        <w:ind w:firstLine="3040" w:firstLineChars="1000"/>
        <w:jc w:val="both"/>
        <w:textAlignment w:val="baseline"/>
        <w:outlineLvl w:val="0"/>
        <w:rPr>
          <w:rFonts w:hint="eastAsia" w:ascii="宋体" w:hAnsi="宋体" w:cs="宋体"/>
          <w:b/>
          <w:spacing w:val="2"/>
          <w:position w:val="-3"/>
          <w:sz w:val="30"/>
          <w:szCs w:val="30"/>
        </w:rPr>
      </w:pPr>
      <w:r>
        <w:rPr>
          <w:rFonts w:hint="eastAsia" w:ascii="宋体" w:hAnsi="宋体" w:eastAsia="宋体" w:cs="宋体"/>
          <w:b w:val="0"/>
          <w:bCs/>
          <w:spacing w:val="2"/>
          <w:position w:val="-3"/>
          <w:sz w:val="30"/>
          <w:szCs w:val="30"/>
          <w:lang w:eastAsia="zh-CN"/>
        </w:rPr>
        <w:t>项目编号：ZJCD-GK-2025003</w:t>
      </w:r>
    </w:p>
    <w:p w14:paraId="704B3626">
      <w:pPr>
        <w:spacing w:line="760" w:lineRule="exact"/>
        <w:ind w:firstLine="2736" w:firstLineChars="900"/>
        <w:jc w:val="both"/>
        <w:textAlignment w:val="baseline"/>
        <w:outlineLvl w:val="0"/>
        <w:rPr>
          <w:rFonts w:hint="eastAsia" w:ascii="宋体" w:hAnsi="宋体" w:cs="宋体"/>
          <w:b w:val="0"/>
          <w:bCs/>
          <w:spacing w:val="2"/>
          <w:position w:val="-3"/>
          <w:sz w:val="30"/>
          <w:szCs w:val="30"/>
          <w:lang w:eastAsia="zh-CN"/>
        </w:rPr>
      </w:pPr>
      <w:r>
        <w:rPr>
          <w:rFonts w:hint="eastAsia" w:ascii="宋体" w:hAnsi="宋体" w:cs="宋体"/>
          <w:b w:val="0"/>
          <w:bCs/>
          <w:spacing w:val="2"/>
          <w:position w:val="-3"/>
          <w:sz w:val="30"/>
          <w:szCs w:val="30"/>
        </w:rPr>
        <w:t>采购单位：</w:t>
      </w:r>
      <w:bookmarkEnd w:id="0"/>
      <w:r>
        <w:rPr>
          <w:rFonts w:hint="eastAsia" w:ascii="宋体" w:hAnsi="宋体" w:cs="宋体"/>
          <w:b w:val="0"/>
          <w:bCs/>
          <w:spacing w:val="2"/>
          <w:position w:val="-3"/>
          <w:sz w:val="30"/>
          <w:szCs w:val="30"/>
          <w:lang w:eastAsia="zh-CN"/>
        </w:rPr>
        <w:t>常山县市场监督管理局</w:t>
      </w:r>
    </w:p>
    <w:p w14:paraId="52F62C4F">
      <w:pPr>
        <w:spacing w:line="760" w:lineRule="exact"/>
        <w:ind w:firstLine="2128" w:firstLineChars="700"/>
        <w:jc w:val="both"/>
        <w:textAlignment w:val="baseline"/>
        <w:rPr>
          <w:rFonts w:hint="eastAsia" w:ascii="宋体" w:hAnsi="宋体" w:cs="宋体"/>
          <w:b w:val="0"/>
          <w:bCs/>
          <w:spacing w:val="2"/>
          <w:position w:val="-3"/>
          <w:sz w:val="32"/>
          <w:szCs w:val="32"/>
        </w:rPr>
      </w:pPr>
      <w:r>
        <w:rPr>
          <w:rFonts w:hint="eastAsia" w:ascii="宋体" w:hAnsi="宋体" w:cs="宋体"/>
          <w:b w:val="0"/>
          <w:bCs/>
          <w:spacing w:val="2"/>
          <w:position w:val="-3"/>
          <w:sz w:val="30"/>
          <w:szCs w:val="30"/>
        </w:rPr>
        <w:t>采购代理机构：</w:t>
      </w:r>
      <w:r>
        <w:rPr>
          <w:rFonts w:hint="eastAsia" w:ascii="宋体" w:hAnsi="宋体" w:cs="宋体"/>
          <w:b w:val="0"/>
          <w:bCs/>
          <w:spacing w:val="2"/>
          <w:position w:val="-3"/>
          <w:sz w:val="30"/>
          <w:szCs w:val="30"/>
          <w:lang w:eastAsia="zh-CN"/>
        </w:rPr>
        <w:t>浙江策鼎工程项目管理有限公司</w:t>
      </w:r>
    </w:p>
    <w:p w14:paraId="6DF02AA0">
      <w:pPr>
        <w:spacing w:line="360" w:lineRule="auto"/>
        <w:ind w:firstLine="972" w:firstLineChars="300"/>
        <w:jc w:val="center"/>
        <w:textAlignment w:val="baseline"/>
        <w:rPr>
          <w:rFonts w:hint="eastAsia" w:ascii="宋体" w:hAnsi="宋体" w:cs="宋体"/>
          <w:b w:val="0"/>
          <w:bCs/>
          <w:spacing w:val="2"/>
          <w:position w:val="-3"/>
          <w:sz w:val="32"/>
          <w:szCs w:val="32"/>
        </w:rPr>
      </w:pPr>
    </w:p>
    <w:p w14:paraId="115CDE06">
      <w:pPr>
        <w:spacing w:line="360" w:lineRule="auto"/>
        <w:ind w:firstLine="4212" w:firstLineChars="1300"/>
        <w:jc w:val="both"/>
        <w:textAlignment w:val="baseline"/>
        <w:rPr>
          <w:rFonts w:hint="eastAsia" w:ascii="宋体" w:hAnsi="宋体" w:cs="宋体"/>
          <w:b w:val="0"/>
          <w:bCs/>
          <w:spacing w:val="2"/>
          <w:position w:val="-3"/>
          <w:sz w:val="32"/>
          <w:szCs w:val="32"/>
        </w:rPr>
        <w:sectPr>
          <w:headerReference r:id="rId5" w:type="first"/>
          <w:headerReference r:id="rId3" w:type="default"/>
          <w:footerReference r:id="rId6" w:type="default"/>
          <w:headerReference r:id="rId4" w:type="even"/>
          <w:footerReference r:id="rId7" w:type="even"/>
          <w:pgSz w:w="11906" w:h="16838"/>
          <w:pgMar w:top="1440" w:right="1077" w:bottom="1440" w:left="1077" w:header="851" w:footer="992" w:gutter="0"/>
          <w:pgNumType w:start="1"/>
          <w:cols w:space="720" w:num="1"/>
          <w:titlePg/>
          <w:docGrid w:type="lines" w:linePitch="312" w:charSpace="0"/>
        </w:sectPr>
      </w:pPr>
      <w:r>
        <w:rPr>
          <w:rFonts w:hint="eastAsia" w:ascii="宋体" w:hAnsi="宋体" w:cs="宋体"/>
          <w:b w:val="0"/>
          <w:bCs/>
          <w:spacing w:val="2"/>
          <w:position w:val="-3"/>
          <w:sz w:val="32"/>
          <w:szCs w:val="32"/>
          <w:lang w:val="en-US" w:eastAsia="zh-CN"/>
        </w:rPr>
        <w:t>2025年4</w:t>
      </w:r>
      <w:r>
        <w:rPr>
          <w:rFonts w:hint="eastAsia" w:ascii="宋体" w:hAnsi="宋体" w:cs="宋体"/>
          <w:b w:val="0"/>
          <w:bCs/>
          <w:spacing w:val="2"/>
          <w:position w:val="-3"/>
          <w:sz w:val="32"/>
          <w:szCs w:val="32"/>
        </w:rPr>
        <w:t>月</w:t>
      </w:r>
    </w:p>
    <w:p w14:paraId="4821FEAC">
      <w:pPr>
        <w:spacing w:line="600" w:lineRule="exact"/>
        <w:jc w:val="center"/>
        <w:outlineLvl w:val="0"/>
        <w:rPr>
          <w:rFonts w:hint="eastAsia" w:ascii="宋体" w:hAnsi="宋体" w:cs="宋体"/>
          <w:b/>
          <w:bCs/>
          <w:sz w:val="32"/>
          <w:szCs w:val="32"/>
        </w:rPr>
      </w:pPr>
      <w:bookmarkStart w:id="1" w:name="_Toc5885"/>
    </w:p>
    <w:p w14:paraId="5272A748">
      <w:pPr>
        <w:spacing w:line="600" w:lineRule="exact"/>
        <w:jc w:val="center"/>
        <w:outlineLvl w:val="0"/>
        <w:rPr>
          <w:rFonts w:hint="eastAsia" w:ascii="宋体" w:hAnsi="宋体" w:cs="宋体"/>
          <w:b/>
          <w:bCs/>
          <w:sz w:val="32"/>
          <w:szCs w:val="32"/>
        </w:rPr>
      </w:pPr>
      <w:r>
        <w:rPr>
          <w:rFonts w:hint="eastAsia" w:ascii="宋体" w:hAnsi="宋体" w:cs="宋体"/>
          <w:b/>
          <w:bCs/>
          <w:sz w:val="32"/>
          <w:szCs w:val="32"/>
        </w:rPr>
        <w:t>目    录</w:t>
      </w:r>
      <w:bookmarkEnd w:id="1"/>
    </w:p>
    <w:p w14:paraId="7D408C87">
      <w:pPr>
        <w:spacing w:line="600" w:lineRule="exact"/>
        <w:jc w:val="center"/>
        <w:rPr>
          <w:rFonts w:hint="eastAsia" w:ascii="宋体" w:hAnsi="宋体" w:cs="宋体"/>
          <w:b/>
          <w:bCs/>
          <w:sz w:val="32"/>
          <w:szCs w:val="32"/>
        </w:rPr>
      </w:pPr>
    </w:p>
    <w:p w14:paraId="6177A73E">
      <w:pPr>
        <w:pStyle w:val="30"/>
        <w:tabs>
          <w:tab w:val="right" w:leader="dot" w:pos="10206"/>
        </w:tabs>
        <w:spacing w:line="700" w:lineRule="exact"/>
        <w:rPr>
          <w:sz w:val="28"/>
          <w:szCs w:val="28"/>
        </w:rPr>
      </w:pPr>
      <w:r>
        <w:rPr>
          <w:rFonts w:hint="eastAsia" w:ascii="宋体" w:hAnsi="宋体" w:cs="宋体"/>
          <w:bCs/>
        </w:rPr>
        <w:fldChar w:fldCharType="begin"/>
      </w:r>
      <w:r>
        <w:rPr>
          <w:rFonts w:hint="eastAsia" w:ascii="宋体" w:hAnsi="宋体" w:cs="宋体"/>
          <w:bCs/>
        </w:rPr>
        <w:instrText xml:space="preserve">TOC \o "1-1" \h \u </w:instrText>
      </w:r>
      <w:r>
        <w:rPr>
          <w:rFonts w:hint="eastAsia" w:ascii="宋体" w:hAnsi="宋体" w:cs="宋体"/>
          <w:bCs/>
        </w:rPr>
        <w:fldChar w:fldCharType="separate"/>
      </w:r>
    </w:p>
    <w:p w14:paraId="3FF50076">
      <w:pPr>
        <w:pStyle w:val="30"/>
        <w:tabs>
          <w:tab w:val="right" w:leader="dot" w:pos="10206"/>
        </w:tabs>
        <w:spacing w:line="700" w:lineRule="exact"/>
        <w:rPr>
          <w:sz w:val="28"/>
          <w:szCs w:val="28"/>
        </w:rPr>
      </w:pPr>
      <w:r>
        <w:rPr>
          <w:rFonts w:hint="eastAsia" w:ascii="宋体" w:hAnsi="宋体" w:cs="宋体"/>
          <w:bCs/>
          <w:sz w:val="28"/>
          <w:szCs w:val="28"/>
        </w:rPr>
        <w:fldChar w:fldCharType="begin"/>
      </w:r>
      <w:r>
        <w:rPr>
          <w:rFonts w:hint="eastAsia" w:ascii="宋体" w:hAnsi="宋体" w:cs="宋体"/>
          <w:bCs/>
          <w:sz w:val="28"/>
          <w:szCs w:val="28"/>
        </w:rPr>
        <w:instrText xml:space="preserve"> HYPERLINK \l _Toc22317 </w:instrText>
      </w:r>
      <w:r>
        <w:rPr>
          <w:rFonts w:hint="eastAsia" w:ascii="宋体" w:hAnsi="宋体" w:cs="宋体"/>
          <w:bCs/>
          <w:sz w:val="28"/>
          <w:szCs w:val="28"/>
        </w:rPr>
        <w:fldChar w:fldCharType="separate"/>
      </w:r>
      <w:r>
        <w:rPr>
          <w:rFonts w:hint="eastAsia" w:ascii="宋体" w:hAnsi="宋体" w:cs="宋体"/>
          <w:sz w:val="28"/>
          <w:szCs w:val="28"/>
        </w:rPr>
        <w:t>第一章  招标公告</w:t>
      </w:r>
      <w:r>
        <w:rPr>
          <w:sz w:val="28"/>
          <w:szCs w:val="28"/>
        </w:rPr>
        <w:tab/>
      </w:r>
      <w:r>
        <w:rPr>
          <w:sz w:val="28"/>
          <w:szCs w:val="28"/>
        </w:rPr>
        <w:fldChar w:fldCharType="begin"/>
      </w:r>
      <w:r>
        <w:rPr>
          <w:sz w:val="28"/>
          <w:szCs w:val="28"/>
        </w:rPr>
        <w:instrText xml:space="preserve"> PAGEREF _Toc22317 \h </w:instrText>
      </w:r>
      <w:r>
        <w:rPr>
          <w:sz w:val="28"/>
          <w:szCs w:val="28"/>
        </w:rPr>
        <w:fldChar w:fldCharType="separate"/>
      </w:r>
      <w:r>
        <w:rPr>
          <w:sz w:val="28"/>
          <w:szCs w:val="28"/>
        </w:rPr>
        <w:t>- 1 -</w:t>
      </w:r>
      <w:r>
        <w:rPr>
          <w:sz w:val="28"/>
          <w:szCs w:val="28"/>
        </w:rPr>
        <w:fldChar w:fldCharType="end"/>
      </w:r>
      <w:r>
        <w:rPr>
          <w:rFonts w:hint="eastAsia" w:ascii="宋体" w:hAnsi="宋体" w:cs="宋体"/>
          <w:bCs/>
          <w:sz w:val="28"/>
          <w:szCs w:val="28"/>
        </w:rPr>
        <w:fldChar w:fldCharType="end"/>
      </w:r>
    </w:p>
    <w:p w14:paraId="01266098">
      <w:pPr>
        <w:pStyle w:val="30"/>
        <w:tabs>
          <w:tab w:val="right" w:leader="dot" w:pos="10206"/>
        </w:tabs>
        <w:spacing w:line="700" w:lineRule="exact"/>
        <w:rPr>
          <w:sz w:val="28"/>
          <w:szCs w:val="28"/>
        </w:rPr>
      </w:pPr>
      <w:r>
        <w:rPr>
          <w:rFonts w:hint="eastAsia" w:ascii="宋体" w:hAnsi="宋体" w:cs="宋体"/>
          <w:bCs/>
          <w:sz w:val="28"/>
          <w:szCs w:val="28"/>
        </w:rPr>
        <w:fldChar w:fldCharType="begin"/>
      </w:r>
      <w:r>
        <w:rPr>
          <w:rFonts w:hint="eastAsia" w:ascii="宋体" w:hAnsi="宋体" w:cs="宋体"/>
          <w:bCs/>
          <w:sz w:val="28"/>
          <w:szCs w:val="28"/>
        </w:rPr>
        <w:instrText xml:space="preserve"> HYPERLINK \l _Toc19026 </w:instrText>
      </w:r>
      <w:r>
        <w:rPr>
          <w:rFonts w:hint="eastAsia" w:ascii="宋体" w:hAnsi="宋体" w:cs="宋体"/>
          <w:bCs/>
          <w:sz w:val="28"/>
          <w:szCs w:val="28"/>
        </w:rPr>
        <w:fldChar w:fldCharType="separate"/>
      </w:r>
      <w:r>
        <w:rPr>
          <w:rFonts w:hint="eastAsia" w:ascii="宋体" w:hAnsi="宋体" w:cs="宋体"/>
          <w:sz w:val="28"/>
          <w:szCs w:val="28"/>
        </w:rPr>
        <w:t>第二章  投标人须知</w:t>
      </w:r>
      <w:r>
        <w:rPr>
          <w:sz w:val="28"/>
          <w:szCs w:val="28"/>
        </w:rPr>
        <w:tab/>
      </w:r>
      <w:r>
        <w:rPr>
          <w:sz w:val="28"/>
          <w:szCs w:val="28"/>
        </w:rPr>
        <w:fldChar w:fldCharType="begin"/>
      </w:r>
      <w:r>
        <w:rPr>
          <w:sz w:val="28"/>
          <w:szCs w:val="28"/>
        </w:rPr>
        <w:instrText xml:space="preserve"> PAGEREF _Toc19026 \h </w:instrText>
      </w:r>
      <w:r>
        <w:rPr>
          <w:sz w:val="28"/>
          <w:szCs w:val="28"/>
        </w:rPr>
        <w:fldChar w:fldCharType="separate"/>
      </w:r>
      <w:r>
        <w:rPr>
          <w:sz w:val="28"/>
          <w:szCs w:val="28"/>
        </w:rPr>
        <w:t>- 5 -</w:t>
      </w:r>
      <w:r>
        <w:rPr>
          <w:sz w:val="28"/>
          <w:szCs w:val="28"/>
        </w:rPr>
        <w:fldChar w:fldCharType="end"/>
      </w:r>
      <w:r>
        <w:rPr>
          <w:rFonts w:hint="eastAsia" w:ascii="宋体" w:hAnsi="宋体" w:cs="宋体"/>
          <w:bCs/>
          <w:sz w:val="28"/>
          <w:szCs w:val="28"/>
        </w:rPr>
        <w:fldChar w:fldCharType="end"/>
      </w:r>
    </w:p>
    <w:p w14:paraId="37E327DD">
      <w:pPr>
        <w:pStyle w:val="30"/>
        <w:tabs>
          <w:tab w:val="right" w:leader="dot" w:pos="10206"/>
        </w:tabs>
        <w:spacing w:line="700" w:lineRule="exact"/>
        <w:rPr>
          <w:sz w:val="28"/>
          <w:szCs w:val="28"/>
        </w:rPr>
      </w:pPr>
      <w:r>
        <w:rPr>
          <w:rFonts w:hint="eastAsia" w:ascii="宋体" w:hAnsi="宋体" w:cs="宋体"/>
          <w:bCs/>
          <w:sz w:val="28"/>
          <w:szCs w:val="28"/>
        </w:rPr>
        <w:fldChar w:fldCharType="begin"/>
      </w:r>
      <w:r>
        <w:rPr>
          <w:rFonts w:hint="eastAsia" w:ascii="宋体" w:hAnsi="宋体" w:cs="宋体"/>
          <w:bCs/>
          <w:sz w:val="28"/>
          <w:szCs w:val="28"/>
        </w:rPr>
        <w:instrText xml:space="preserve"> HYPERLINK \l _Toc10999 </w:instrText>
      </w:r>
      <w:r>
        <w:rPr>
          <w:rFonts w:hint="eastAsia" w:ascii="宋体" w:hAnsi="宋体" w:cs="宋体"/>
          <w:bCs/>
          <w:sz w:val="28"/>
          <w:szCs w:val="28"/>
        </w:rPr>
        <w:fldChar w:fldCharType="separate"/>
      </w:r>
      <w:r>
        <w:rPr>
          <w:rFonts w:hint="eastAsia" w:ascii="宋体" w:hAnsi="宋体" w:cs="宋体"/>
          <w:sz w:val="28"/>
          <w:szCs w:val="28"/>
        </w:rPr>
        <w:t>第三章  采购内容及要求</w:t>
      </w:r>
      <w:r>
        <w:rPr>
          <w:sz w:val="28"/>
          <w:szCs w:val="28"/>
        </w:rPr>
        <w:tab/>
      </w:r>
      <w:r>
        <w:rPr>
          <w:sz w:val="28"/>
          <w:szCs w:val="28"/>
        </w:rPr>
        <w:fldChar w:fldCharType="begin"/>
      </w:r>
      <w:r>
        <w:rPr>
          <w:sz w:val="28"/>
          <w:szCs w:val="28"/>
        </w:rPr>
        <w:instrText xml:space="preserve"> PAGEREF _Toc10999 \h </w:instrText>
      </w:r>
      <w:r>
        <w:rPr>
          <w:sz w:val="28"/>
          <w:szCs w:val="28"/>
        </w:rPr>
        <w:fldChar w:fldCharType="separate"/>
      </w:r>
      <w:r>
        <w:rPr>
          <w:sz w:val="28"/>
          <w:szCs w:val="28"/>
        </w:rPr>
        <w:t>- 24 -</w:t>
      </w:r>
      <w:r>
        <w:rPr>
          <w:sz w:val="28"/>
          <w:szCs w:val="28"/>
        </w:rPr>
        <w:fldChar w:fldCharType="end"/>
      </w:r>
      <w:r>
        <w:rPr>
          <w:rFonts w:hint="eastAsia" w:ascii="宋体" w:hAnsi="宋体" w:cs="宋体"/>
          <w:bCs/>
          <w:sz w:val="28"/>
          <w:szCs w:val="28"/>
        </w:rPr>
        <w:fldChar w:fldCharType="end"/>
      </w:r>
    </w:p>
    <w:p w14:paraId="6AA36A0A">
      <w:pPr>
        <w:pStyle w:val="30"/>
        <w:tabs>
          <w:tab w:val="right" w:leader="dot" w:pos="10206"/>
        </w:tabs>
        <w:spacing w:line="700" w:lineRule="exact"/>
        <w:rPr>
          <w:sz w:val="28"/>
          <w:szCs w:val="28"/>
        </w:rPr>
      </w:pPr>
      <w:r>
        <w:rPr>
          <w:rFonts w:hint="eastAsia" w:ascii="宋体" w:hAnsi="宋体" w:cs="宋体"/>
          <w:bCs/>
          <w:sz w:val="28"/>
          <w:szCs w:val="28"/>
        </w:rPr>
        <w:fldChar w:fldCharType="begin"/>
      </w:r>
      <w:r>
        <w:rPr>
          <w:rFonts w:hint="eastAsia" w:ascii="宋体" w:hAnsi="宋体" w:cs="宋体"/>
          <w:bCs/>
          <w:sz w:val="28"/>
          <w:szCs w:val="28"/>
        </w:rPr>
        <w:instrText xml:space="preserve"> HYPERLINK \l _Toc6155 </w:instrText>
      </w:r>
      <w:r>
        <w:rPr>
          <w:rFonts w:hint="eastAsia" w:ascii="宋体" w:hAnsi="宋体" w:cs="宋体"/>
          <w:bCs/>
          <w:sz w:val="28"/>
          <w:szCs w:val="28"/>
        </w:rPr>
        <w:fldChar w:fldCharType="separate"/>
      </w:r>
      <w:r>
        <w:rPr>
          <w:rFonts w:hint="eastAsia" w:ascii="宋体" w:hAnsi="宋体" w:cs="宋体"/>
          <w:sz w:val="28"/>
          <w:szCs w:val="28"/>
        </w:rPr>
        <w:t>第四章  合同文本（参考）</w:t>
      </w:r>
      <w:r>
        <w:rPr>
          <w:sz w:val="28"/>
          <w:szCs w:val="28"/>
        </w:rPr>
        <w:tab/>
      </w:r>
      <w:r>
        <w:rPr>
          <w:sz w:val="28"/>
          <w:szCs w:val="28"/>
        </w:rPr>
        <w:fldChar w:fldCharType="begin"/>
      </w:r>
      <w:r>
        <w:rPr>
          <w:sz w:val="28"/>
          <w:szCs w:val="28"/>
        </w:rPr>
        <w:instrText xml:space="preserve"> PAGEREF _Toc6155 \h </w:instrText>
      </w:r>
      <w:r>
        <w:rPr>
          <w:sz w:val="28"/>
          <w:szCs w:val="28"/>
        </w:rPr>
        <w:fldChar w:fldCharType="separate"/>
      </w:r>
      <w:r>
        <w:rPr>
          <w:sz w:val="28"/>
          <w:szCs w:val="28"/>
        </w:rPr>
        <w:t>- 64 -</w:t>
      </w:r>
      <w:r>
        <w:rPr>
          <w:sz w:val="28"/>
          <w:szCs w:val="28"/>
        </w:rPr>
        <w:fldChar w:fldCharType="end"/>
      </w:r>
      <w:r>
        <w:rPr>
          <w:rFonts w:hint="eastAsia" w:ascii="宋体" w:hAnsi="宋体" w:cs="宋体"/>
          <w:bCs/>
          <w:sz w:val="28"/>
          <w:szCs w:val="28"/>
        </w:rPr>
        <w:fldChar w:fldCharType="end"/>
      </w:r>
    </w:p>
    <w:p w14:paraId="489DA7A8">
      <w:pPr>
        <w:pStyle w:val="30"/>
        <w:tabs>
          <w:tab w:val="right" w:leader="dot" w:pos="10206"/>
        </w:tabs>
        <w:spacing w:line="700" w:lineRule="exact"/>
        <w:rPr>
          <w:rFonts w:hint="eastAsia" w:eastAsia="宋体"/>
          <w:sz w:val="28"/>
          <w:szCs w:val="28"/>
          <w:lang w:val="en-US" w:eastAsia="zh-CN"/>
        </w:rPr>
      </w:pPr>
      <w:r>
        <w:rPr>
          <w:rFonts w:hint="eastAsia" w:ascii="宋体" w:hAnsi="宋体" w:cs="宋体"/>
          <w:bCs/>
          <w:sz w:val="28"/>
          <w:szCs w:val="28"/>
        </w:rPr>
        <w:fldChar w:fldCharType="begin"/>
      </w:r>
      <w:r>
        <w:rPr>
          <w:rFonts w:hint="eastAsia" w:ascii="宋体" w:hAnsi="宋体" w:cs="宋体"/>
          <w:bCs/>
          <w:sz w:val="28"/>
          <w:szCs w:val="28"/>
        </w:rPr>
        <w:instrText xml:space="preserve"> HYPERLINK \l _Toc14638 </w:instrText>
      </w:r>
      <w:r>
        <w:rPr>
          <w:rFonts w:hint="eastAsia" w:ascii="宋体" w:hAnsi="宋体" w:cs="宋体"/>
          <w:bCs/>
          <w:sz w:val="28"/>
          <w:szCs w:val="28"/>
        </w:rPr>
        <w:fldChar w:fldCharType="separate"/>
      </w:r>
      <w:r>
        <w:rPr>
          <w:rFonts w:hint="eastAsia" w:ascii="宋体" w:hAnsi="宋体" w:cs="宋体"/>
          <w:sz w:val="28"/>
          <w:szCs w:val="28"/>
        </w:rPr>
        <w:t>第五章  评标原则及方法</w:t>
      </w:r>
      <w:r>
        <w:rPr>
          <w:sz w:val="28"/>
          <w:szCs w:val="28"/>
        </w:rPr>
        <w:tab/>
      </w:r>
      <w:r>
        <w:rPr>
          <w:sz w:val="28"/>
          <w:szCs w:val="28"/>
        </w:rPr>
        <w:fldChar w:fldCharType="begin"/>
      </w:r>
      <w:r>
        <w:rPr>
          <w:sz w:val="28"/>
          <w:szCs w:val="28"/>
        </w:rPr>
        <w:instrText xml:space="preserve"> PAGEREF _Toc6155 \h </w:instrText>
      </w:r>
      <w:r>
        <w:rPr>
          <w:sz w:val="28"/>
          <w:szCs w:val="28"/>
        </w:rPr>
        <w:fldChar w:fldCharType="separate"/>
      </w:r>
      <w:r>
        <w:rPr>
          <w:sz w:val="28"/>
          <w:szCs w:val="28"/>
        </w:rPr>
        <w:t xml:space="preserve">- </w:t>
      </w:r>
      <w:r>
        <w:rPr>
          <w:rFonts w:hint="eastAsia"/>
          <w:sz w:val="28"/>
          <w:szCs w:val="28"/>
          <w:lang w:val="en-US" w:eastAsia="zh-CN"/>
        </w:rPr>
        <w:t>75</w:t>
      </w:r>
      <w:r>
        <w:rPr>
          <w:sz w:val="28"/>
          <w:szCs w:val="28"/>
        </w:rPr>
        <w:t xml:space="preserve"> -</w:t>
      </w:r>
      <w:r>
        <w:rPr>
          <w:sz w:val="28"/>
          <w:szCs w:val="28"/>
        </w:rPr>
        <w:fldChar w:fldCharType="end"/>
      </w:r>
      <w:r>
        <w:rPr>
          <w:rFonts w:hint="eastAsia" w:ascii="宋体" w:hAnsi="宋体" w:cs="宋体"/>
          <w:bCs/>
          <w:sz w:val="28"/>
          <w:szCs w:val="28"/>
        </w:rPr>
        <w:fldChar w:fldCharType="end"/>
      </w:r>
    </w:p>
    <w:p w14:paraId="5541AAE9">
      <w:pPr>
        <w:pStyle w:val="30"/>
        <w:tabs>
          <w:tab w:val="right" w:leader="dot" w:pos="10206"/>
        </w:tabs>
        <w:spacing w:line="700" w:lineRule="exact"/>
      </w:pPr>
      <w:r>
        <w:rPr>
          <w:rFonts w:hint="eastAsia" w:ascii="宋体" w:hAnsi="宋体" w:cs="宋体"/>
          <w:bCs/>
          <w:sz w:val="28"/>
          <w:szCs w:val="28"/>
        </w:rPr>
        <w:fldChar w:fldCharType="begin"/>
      </w:r>
      <w:r>
        <w:rPr>
          <w:rFonts w:hint="eastAsia" w:ascii="宋体" w:hAnsi="宋体" w:cs="宋体"/>
          <w:bCs/>
          <w:sz w:val="28"/>
          <w:szCs w:val="28"/>
        </w:rPr>
        <w:instrText xml:space="preserve"> HYPERLINK \l _Toc9390 </w:instrText>
      </w:r>
      <w:r>
        <w:rPr>
          <w:rFonts w:hint="eastAsia" w:ascii="宋体" w:hAnsi="宋体" w:cs="宋体"/>
          <w:bCs/>
          <w:sz w:val="28"/>
          <w:szCs w:val="28"/>
        </w:rPr>
        <w:fldChar w:fldCharType="separate"/>
      </w:r>
      <w:r>
        <w:rPr>
          <w:rFonts w:hint="eastAsia" w:ascii="宋体" w:hAnsi="宋体" w:cs="宋体"/>
          <w:sz w:val="28"/>
          <w:szCs w:val="28"/>
        </w:rPr>
        <w:t>第六章  投标文件格式</w:t>
      </w:r>
      <w:r>
        <w:rPr>
          <w:sz w:val="28"/>
          <w:szCs w:val="28"/>
        </w:rPr>
        <w:tab/>
      </w:r>
      <w:r>
        <w:rPr>
          <w:sz w:val="28"/>
          <w:szCs w:val="28"/>
        </w:rPr>
        <w:fldChar w:fldCharType="begin"/>
      </w:r>
      <w:r>
        <w:rPr>
          <w:sz w:val="28"/>
          <w:szCs w:val="28"/>
        </w:rPr>
        <w:instrText xml:space="preserve"> PAGEREF _Toc6155 \h </w:instrText>
      </w:r>
      <w:r>
        <w:rPr>
          <w:sz w:val="28"/>
          <w:szCs w:val="28"/>
        </w:rPr>
        <w:fldChar w:fldCharType="separate"/>
      </w:r>
      <w:r>
        <w:rPr>
          <w:sz w:val="28"/>
          <w:szCs w:val="28"/>
        </w:rPr>
        <w:t xml:space="preserve">- </w:t>
      </w:r>
      <w:r>
        <w:rPr>
          <w:rFonts w:hint="eastAsia"/>
          <w:sz w:val="28"/>
          <w:szCs w:val="28"/>
          <w:lang w:val="en-US" w:eastAsia="zh-CN"/>
        </w:rPr>
        <w:t>79</w:t>
      </w:r>
      <w:r>
        <w:rPr>
          <w:sz w:val="28"/>
          <w:szCs w:val="28"/>
        </w:rPr>
        <w:t xml:space="preserve"> -</w:t>
      </w:r>
      <w:r>
        <w:rPr>
          <w:sz w:val="28"/>
          <w:szCs w:val="28"/>
        </w:rPr>
        <w:fldChar w:fldCharType="end"/>
      </w:r>
      <w:r>
        <w:rPr>
          <w:rFonts w:hint="eastAsia" w:ascii="宋体" w:hAnsi="宋体" w:cs="宋体"/>
          <w:bCs/>
          <w:sz w:val="28"/>
          <w:szCs w:val="28"/>
        </w:rPr>
        <w:fldChar w:fldCharType="end"/>
      </w:r>
    </w:p>
    <w:p w14:paraId="5CD75340">
      <w:pPr>
        <w:spacing w:line="400" w:lineRule="exact"/>
        <w:jc w:val="center"/>
        <w:rPr>
          <w:rFonts w:hint="eastAsia" w:ascii="宋体" w:hAnsi="宋体" w:cs="宋体"/>
          <w:bCs/>
        </w:rPr>
        <w:sectPr>
          <w:headerReference r:id="rId8" w:type="default"/>
          <w:footerReference r:id="rId9" w:type="default"/>
          <w:pgSz w:w="11906" w:h="16838"/>
          <w:pgMar w:top="1440" w:right="850" w:bottom="1440" w:left="850" w:header="851" w:footer="992" w:gutter="0"/>
          <w:pgNumType w:start="1"/>
          <w:cols w:space="720" w:num="1"/>
          <w:docGrid w:type="lines" w:linePitch="318" w:charSpace="0"/>
        </w:sectPr>
      </w:pPr>
      <w:r>
        <w:rPr>
          <w:rFonts w:hint="eastAsia" w:ascii="宋体" w:hAnsi="宋体" w:cs="宋体"/>
          <w:bCs/>
        </w:rPr>
        <w:fldChar w:fldCharType="end"/>
      </w:r>
      <w:bookmarkStart w:id="2" w:name="_Toc22317"/>
      <w:bookmarkStart w:id="3" w:name="_Toc249758860"/>
      <w:bookmarkStart w:id="4" w:name="_Toc223715994"/>
      <w:bookmarkStart w:id="5" w:name="_Toc249758708"/>
      <w:bookmarkStart w:id="6" w:name="_Toc262049414"/>
      <w:bookmarkStart w:id="7" w:name="_Toc245191310"/>
      <w:bookmarkStart w:id="8" w:name="_Toc222114875"/>
      <w:bookmarkStart w:id="9" w:name="_Toc221356947"/>
      <w:bookmarkStart w:id="10" w:name="_Toc241404198"/>
      <w:bookmarkStart w:id="11" w:name="_Toc221423615"/>
      <w:bookmarkStart w:id="12" w:name="_Toc246261261"/>
      <w:bookmarkStart w:id="13" w:name="_Toc245722277"/>
      <w:bookmarkStart w:id="14" w:name="_Toc221374622"/>
      <w:bookmarkStart w:id="15" w:name="_Toc17187"/>
      <w:bookmarkStart w:id="16" w:name="_Toc239145350"/>
      <w:bookmarkStart w:id="17" w:name="_Toc262105499"/>
      <w:bookmarkStart w:id="18" w:name="_Toc221356882"/>
    </w:p>
    <w:p w14:paraId="2DED9F8C">
      <w:pPr>
        <w:spacing w:line="360" w:lineRule="auto"/>
        <w:ind w:firstLine="3213" w:firstLineChars="1000"/>
        <w:jc w:val="both"/>
        <w:outlineLvl w:val="0"/>
        <w:rPr>
          <w:rFonts w:hint="eastAsia" w:ascii="宋体" w:hAnsi="宋体" w:cs="宋体"/>
          <w:b/>
          <w:sz w:val="32"/>
          <w:szCs w:val="32"/>
          <w:lang w:eastAsia="zh-CN"/>
        </w:rPr>
      </w:pPr>
      <w:r>
        <w:rPr>
          <w:rFonts w:hint="eastAsia" w:ascii="宋体" w:hAnsi="宋体" w:cs="宋体"/>
          <w:b/>
          <w:sz w:val="32"/>
          <w:szCs w:val="32"/>
          <w:lang w:eastAsia="zh-CN"/>
        </w:rPr>
        <w:t>第一章  招标公告</w:t>
      </w:r>
      <w:bookmarkEnd w:id="2"/>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62"/>
      </w:tblGrid>
      <w:tr w14:paraId="2EE0F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62" w:type="dxa"/>
            <w:noWrap w:val="0"/>
            <w:vAlign w:val="top"/>
          </w:tcPr>
          <w:p w14:paraId="4EF56E1B">
            <w:pPr>
              <w:spacing w:line="440" w:lineRule="exact"/>
              <w:rPr>
                <w:rFonts w:hint="eastAsia" w:ascii="宋体" w:hAnsi="宋体" w:eastAsia="宋体" w:cs="宋体"/>
                <w:b/>
                <w:bCs/>
                <w:szCs w:val="21"/>
                <w:u w:val="single"/>
              </w:rPr>
            </w:pPr>
            <w:r>
              <w:rPr>
                <w:rFonts w:hint="eastAsia" w:ascii="宋体" w:hAnsi="宋体" w:eastAsia="宋体" w:cs="宋体"/>
                <w:b/>
                <w:bCs/>
                <w:szCs w:val="21"/>
                <w:u w:val="single"/>
              </w:rPr>
              <w:t>项目概况</w:t>
            </w:r>
          </w:p>
          <w:p w14:paraId="4AF9CC3D">
            <w:pPr>
              <w:spacing w:line="440" w:lineRule="exact"/>
              <w:ind w:firstLine="420" w:firstLineChars="200"/>
              <w:rPr>
                <w:rFonts w:hint="eastAsia" w:ascii="宋体" w:hAnsi="宋体" w:eastAsia="宋体" w:cs="宋体"/>
                <w:b/>
                <w:bCs/>
                <w:szCs w:val="21"/>
                <w:u w:val="single"/>
              </w:rPr>
            </w:pPr>
            <w:r>
              <w:rPr>
                <w:rFonts w:hint="eastAsia" w:ascii="宋体" w:hAnsi="宋体" w:eastAsia="宋体" w:cs="宋体"/>
                <w:szCs w:val="21"/>
                <w:u w:val="single"/>
              </w:rPr>
              <w:t xml:space="preserve"> </w:t>
            </w:r>
            <w:r>
              <w:rPr>
                <w:rFonts w:hint="eastAsia" w:ascii="宋体" w:hAnsi="宋体" w:eastAsia="宋体" w:cs="宋体"/>
                <w:szCs w:val="21"/>
                <w:u w:val="single"/>
                <w:lang w:eastAsia="zh-CN"/>
              </w:rPr>
              <w:t>常山县2025年度产品质量监督抽查服务采购项目</w:t>
            </w:r>
            <w:r>
              <w:rPr>
                <w:rFonts w:hint="eastAsia" w:ascii="宋体" w:hAnsi="宋体" w:eastAsia="宋体" w:cs="宋体"/>
                <w:szCs w:val="21"/>
              </w:rPr>
              <w:t>招标项目的潜在投标人应在</w:t>
            </w:r>
            <w:r>
              <w:rPr>
                <w:rFonts w:hint="eastAsia" w:ascii="宋体" w:hAnsi="宋体" w:eastAsia="宋体" w:cs="宋体"/>
                <w:color w:val="auto"/>
                <w:szCs w:val="21"/>
                <w:u w:val="single"/>
              </w:rPr>
              <w:t>政府采购云平台（www.zcygov.cn）</w:t>
            </w:r>
            <w:r>
              <w:rPr>
                <w:rFonts w:hint="eastAsia" w:ascii="宋体" w:hAnsi="宋体" w:eastAsia="宋体" w:cs="宋体"/>
                <w:color w:val="auto"/>
                <w:szCs w:val="21"/>
              </w:rPr>
              <w:t>获取招标文件</w:t>
            </w:r>
            <w:r>
              <w:rPr>
                <w:rFonts w:hint="eastAsia" w:ascii="宋体" w:hAnsi="宋体" w:eastAsia="宋体" w:cs="宋体"/>
                <w:szCs w:val="21"/>
              </w:rPr>
              <w:t>，并于</w:t>
            </w:r>
            <w:r>
              <w:rPr>
                <w:rFonts w:hint="eastAsia" w:ascii="宋体" w:hAnsi="宋体" w:eastAsia="宋体" w:cs="宋体"/>
                <w:b/>
                <w:bCs/>
                <w:szCs w:val="21"/>
                <w:u w:val="single"/>
                <w:lang w:val="en-US" w:eastAsia="zh-CN"/>
              </w:rPr>
              <w:t>2025</w:t>
            </w:r>
            <w:r>
              <w:rPr>
                <w:rFonts w:hint="eastAsia" w:ascii="宋体" w:hAnsi="宋体" w:cs="宋体"/>
                <w:b/>
                <w:bCs/>
                <w:szCs w:val="21"/>
                <w:u w:val="single"/>
              </w:rPr>
              <w:t>年</w:t>
            </w:r>
            <w:r>
              <w:rPr>
                <w:rFonts w:hint="eastAsia" w:ascii="宋体" w:hAnsi="宋体" w:cs="宋体"/>
                <w:b/>
                <w:bCs/>
                <w:szCs w:val="21"/>
                <w:u w:val="single"/>
                <w:lang w:val="en-US" w:eastAsia="zh-CN"/>
              </w:rPr>
              <w:t>5</w:t>
            </w:r>
            <w:r>
              <w:rPr>
                <w:rFonts w:hint="eastAsia" w:ascii="宋体" w:hAnsi="宋体" w:cs="宋体"/>
                <w:b/>
                <w:bCs/>
                <w:color w:val="auto"/>
                <w:szCs w:val="21"/>
                <w:u w:val="single"/>
              </w:rPr>
              <w:t>月</w:t>
            </w:r>
            <w:r>
              <w:rPr>
                <w:rFonts w:hint="eastAsia" w:ascii="宋体" w:hAnsi="宋体" w:cs="宋体"/>
                <w:b/>
                <w:bCs/>
                <w:color w:val="auto"/>
                <w:szCs w:val="21"/>
                <w:u w:val="single"/>
                <w:lang w:val="en-US" w:eastAsia="zh-CN"/>
              </w:rPr>
              <w:t>8</w:t>
            </w:r>
            <w:r>
              <w:rPr>
                <w:rFonts w:hint="eastAsia" w:ascii="宋体" w:hAnsi="宋体" w:cs="宋体"/>
                <w:b/>
                <w:bCs/>
                <w:color w:val="auto"/>
                <w:szCs w:val="21"/>
                <w:u w:val="single"/>
              </w:rPr>
              <w:t>日</w:t>
            </w:r>
            <w:r>
              <w:rPr>
                <w:rFonts w:hint="eastAsia" w:ascii="宋体" w:hAnsi="宋体" w:cs="宋体"/>
                <w:b/>
                <w:bCs/>
                <w:color w:val="auto"/>
                <w:szCs w:val="21"/>
                <w:u w:val="single"/>
                <w:lang w:val="en-US" w:eastAsia="zh-CN"/>
              </w:rPr>
              <w:t>9</w:t>
            </w:r>
            <w:r>
              <w:rPr>
                <w:rFonts w:hint="eastAsia" w:ascii="宋体" w:hAnsi="宋体" w:cs="宋体"/>
                <w:b/>
                <w:bCs/>
                <w:color w:val="auto"/>
                <w:szCs w:val="21"/>
                <w:u w:val="single"/>
              </w:rPr>
              <w:t>时</w:t>
            </w:r>
            <w:r>
              <w:rPr>
                <w:rFonts w:hint="eastAsia" w:ascii="宋体" w:hAnsi="宋体" w:cs="宋体"/>
                <w:b/>
                <w:bCs/>
                <w:color w:val="auto"/>
                <w:szCs w:val="21"/>
                <w:u w:val="single"/>
                <w:lang w:val="en-US" w:eastAsia="zh-CN"/>
              </w:rPr>
              <w:t>30</w:t>
            </w:r>
            <w:r>
              <w:rPr>
                <w:rFonts w:hint="eastAsia" w:ascii="宋体" w:hAnsi="宋体" w:cs="宋体"/>
                <w:b/>
                <w:bCs/>
                <w:color w:val="auto"/>
                <w:szCs w:val="21"/>
                <w:u w:val="single"/>
              </w:rPr>
              <w:t>分</w:t>
            </w:r>
            <w:r>
              <w:rPr>
                <w:rFonts w:hint="eastAsia" w:ascii="宋体" w:hAnsi="宋体" w:eastAsia="宋体" w:cs="宋体"/>
                <w:bCs/>
                <w:szCs w:val="21"/>
                <w:u w:val="single"/>
              </w:rPr>
              <w:t>（</w:t>
            </w:r>
            <w:r>
              <w:rPr>
                <w:rFonts w:hint="eastAsia" w:ascii="宋体" w:hAnsi="宋体" w:eastAsia="宋体" w:cs="宋体"/>
                <w:bCs/>
                <w:szCs w:val="21"/>
              </w:rPr>
              <w:t>北京时间）前递交投标文件</w:t>
            </w:r>
            <w:r>
              <w:rPr>
                <w:rFonts w:hint="eastAsia" w:ascii="宋体" w:hAnsi="宋体" w:eastAsia="宋体" w:cs="宋体"/>
                <w:szCs w:val="21"/>
              </w:rPr>
              <w:t>。</w:t>
            </w:r>
          </w:p>
        </w:tc>
      </w:tr>
    </w:tbl>
    <w:p w14:paraId="00C55EB2">
      <w:pPr>
        <w:widowControl/>
        <w:spacing w:line="440" w:lineRule="exact"/>
        <w:ind w:firstLine="422" w:firstLineChars="200"/>
        <w:rPr>
          <w:rFonts w:hint="eastAsia" w:ascii="宋体" w:hAnsi="宋体" w:cs="宋体"/>
          <w:b/>
          <w:bCs/>
        </w:rPr>
      </w:pPr>
      <w:bookmarkStart w:id="19" w:name="_Toc35393629"/>
      <w:bookmarkStart w:id="20" w:name="_Toc35393798"/>
      <w:bookmarkStart w:id="21" w:name="_Toc28359012"/>
      <w:bookmarkStart w:id="22" w:name="_Toc28359089"/>
      <w:bookmarkStart w:id="23" w:name="_Toc28359080"/>
      <w:bookmarkStart w:id="24" w:name="_Toc28359003"/>
      <w:bookmarkStart w:id="25" w:name="_Toc35393791"/>
      <w:bookmarkStart w:id="26" w:name="_Toc35393622"/>
      <w:r>
        <w:rPr>
          <w:rFonts w:hint="eastAsia" w:ascii="宋体" w:hAnsi="宋体" w:cs="宋体"/>
          <w:b/>
          <w:bCs/>
        </w:rPr>
        <w:t>一、项目基本情况</w:t>
      </w:r>
      <w:bookmarkEnd w:id="19"/>
      <w:bookmarkEnd w:id="20"/>
      <w:bookmarkEnd w:id="21"/>
      <w:bookmarkEnd w:id="22"/>
    </w:p>
    <w:p w14:paraId="2C216C9A">
      <w:pPr>
        <w:spacing w:line="440" w:lineRule="exact"/>
        <w:ind w:firstLine="420" w:firstLineChars="200"/>
        <w:rPr>
          <w:rFonts w:hint="eastAsia" w:ascii="宋体" w:hAnsi="宋体" w:eastAsia="宋体" w:cs="宋体"/>
          <w:szCs w:val="21"/>
          <w:lang w:eastAsia="zh-CN"/>
        </w:rPr>
      </w:pPr>
      <w:r>
        <w:rPr>
          <w:rFonts w:hint="eastAsia" w:ascii="宋体" w:hAnsi="宋体" w:cs="宋体"/>
          <w:szCs w:val="21"/>
        </w:rPr>
        <w:t>项目编号：</w:t>
      </w:r>
      <w:r>
        <w:rPr>
          <w:rFonts w:hint="eastAsia" w:ascii="宋体" w:hAnsi="宋体" w:cs="宋体"/>
          <w:szCs w:val="21"/>
          <w:lang w:eastAsia="zh-CN"/>
        </w:rPr>
        <w:t>ZJCD-GK-2025003</w:t>
      </w:r>
    </w:p>
    <w:p w14:paraId="3B25D4F6">
      <w:pPr>
        <w:spacing w:line="440" w:lineRule="exact"/>
        <w:ind w:firstLine="420" w:firstLineChars="200"/>
        <w:rPr>
          <w:rFonts w:hint="eastAsia" w:ascii="宋体" w:hAnsi="宋体" w:eastAsia="宋体" w:cs="宋体"/>
          <w:szCs w:val="21"/>
          <w:lang w:eastAsia="zh-CN"/>
        </w:rPr>
      </w:pPr>
      <w:r>
        <w:rPr>
          <w:rFonts w:hint="eastAsia" w:ascii="宋体" w:hAnsi="宋体" w:cs="宋体"/>
          <w:szCs w:val="21"/>
        </w:rPr>
        <w:t xml:space="preserve">项目名称： </w:t>
      </w:r>
      <w:r>
        <w:rPr>
          <w:rFonts w:hint="eastAsia" w:ascii="宋体" w:hAnsi="宋体" w:cs="宋体"/>
          <w:szCs w:val="21"/>
          <w:lang w:eastAsia="zh-CN"/>
        </w:rPr>
        <w:t>常山县2025年度产品质量监督抽查服务采购项目</w:t>
      </w:r>
    </w:p>
    <w:p w14:paraId="66EE3D01">
      <w:pPr>
        <w:spacing w:line="440" w:lineRule="exact"/>
        <w:ind w:firstLine="420" w:firstLineChars="200"/>
        <w:rPr>
          <w:rFonts w:hint="eastAsia" w:ascii="宋体" w:hAnsi="宋体" w:cs="宋体"/>
          <w:szCs w:val="21"/>
        </w:rPr>
      </w:pPr>
      <w:r>
        <w:rPr>
          <w:rFonts w:hint="eastAsia" w:ascii="宋体" w:hAnsi="宋体" w:cs="宋体"/>
          <w:szCs w:val="21"/>
        </w:rPr>
        <w:t>采购方式：公开招标</w:t>
      </w:r>
    </w:p>
    <w:p w14:paraId="58771D2B">
      <w:pPr>
        <w:spacing w:line="4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rPr>
        <w:t>预算金额（元）：</w:t>
      </w:r>
      <w:r>
        <w:rPr>
          <w:rFonts w:hint="eastAsia" w:ascii="宋体" w:hAnsi="宋体" w:eastAsia="宋体" w:cs="宋体"/>
          <w:szCs w:val="21"/>
          <w:lang w:val="en-US" w:eastAsia="zh-CN"/>
        </w:rPr>
        <w:t>586000</w:t>
      </w:r>
    </w:p>
    <w:p w14:paraId="708FB332">
      <w:pPr>
        <w:spacing w:line="440" w:lineRule="exact"/>
        <w:ind w:firstLine="420" w:firstLineChars="200"/>
        <w:rPr>
          <w:rFonts w:hint="default" w:ascii="宋体" w:hAnsi="宋体" w:eastAsia="宋体" w:cs="宋体"/>
          <w:szCs w:val="21"/>
          <w:lang w:val="en-US" w:eastAsia="zh-CN"/>
        </w:rPr>
      </w:pPr>
      <w:r>
        <w:rPr>
          <w:rFonts w:hint="eastAsia" w:ascii="宋体" w:hAnsi="宋体" w:eastAsia="宋体" w:cs="宋体"/>
          <w:szCs w:val="21"/>
        </w:rPr>
        <w:t>最高限价（元）：</w:t>
      </w:r>
      <w:r>
        <w:rPr>
          <w:rFonts w:hint="eastAsia" w:ascii="宋体" w:hAnsi="宋体" w:eastAsia="宋体" w:cs="宋体"/>
          <w:szCs w:val="21"/>
          <w:lang w:val="en-US" w:eastAsia="zh-CN"/>
        </w:rPr>
        <w:t>575800</w:t>
      </w:r>
    </w:p>
    <w:p w14:paraId="5FF0C4FA">
      <w:pPr>
        <w:spacing w:line="440" w:lineRule="exact"/>
        <w:ind w:firstLine="420" w:firstLineChars="200"/>
        <w:rPr>
          <w:rFonts w:hint="eastAsia" w:ascii="宋体" w:hAnsi="宋体" w:cs="宋体"/>
          <w:szCs w:val="21"/>
        </w:rPr>
      </w:pPr>
      <w:r>
        <w:rPr>
          <w:rFonts w:hint="eastAsia" w:ascii="宋体" w:hAnsi="宋体" w:cs="宋体"/>
          <w:szCs w:val="21"/>
        </w:rPr>
        <w:t>采购需求：</w:t>
      </w:r>
    </w:p>
    <w:p w14:paraId="0FB698D9">
      <w:pPr>
        <w:spacing w:line="440" w:lineRule="exact"/>
        <w:ind w:firstLine="420" w:firstLineChars="200"/>
        <w:rPr>
          <w:rFonts w:hint="eastAsia" w:ascii="宋体" w:hAnsi="宋体" w:cs="宋体"/>
          <w:szCs w:val="21"/>
        </w:rPr>
      </w:pPr>
      <w:r>
        <w:rPr>
          <w:rFonts w:hint="eastAsia" w:ascii="宋体" w:hAnsi="宋体" w:cs="宋体"/>
          <w:szCs w:val="21"/>
        </w:rPr>
        <w:t>标项一</w:t>
      </w:r>
    </w:p>
    <w:p w14:paraId="4E5C8A52">
      <w:pPr>
        <w:spacing w:line="440" w:lineRule="exact"/>
        <w:ind w:firstLine="420" w:firstLineChars="200"/>
        <w:rPr>
          <w:rFonts w:hint="eastAsia" w:ascii="宋体" w:hAnsi="宋体" w:cs="宋体"/>
          <w:szCs w:val="21"/>
        </w:rPr>
      </w:pPr>
      <w:r>
        <w:rPr>
          <w:rFonts w:hint="eastAsia" w:ascii="宋体" w:hAnsi="宋体" w:cs="宋体"/>
          <w:szCs w:val="21"/>
        </w:rPr>
        <w:t>数量：1</w:t>
      </w:r>
    </w:p>
    <w:p w14:paraId="40C241BF">
      <w:pPr>
        <w:spacing w:line="440" w:lineRule="exact"/>
        <w:ind w:firstLine="420" w:firstLineChars="200"/>
        <w:rPr>
          <w:rFonts w:hint="eastAsia" w:ascii="宋体" w:hAnsi="宋体" w:eastAsia="宋体" w:cs="宋体"/>
          <w:szCs w:val="21"/>
          <w:lang w:eastAsia="zh-CN"/>
        </w:rPr>
      </w:pPr>
      <w:r>
        <w:rPr>
          <w:rFonts w:hint="eastAsia" w:ascii="宋体" w:hAnsi="宋体" w:cs="宋体"/>
          <w:szCs w:val="21"/>
        </w:rPr>
        <w:t>预算金额（元）：</w:t>
      </w:r>
      <w:r>
        <w:rPr>
          <w:rFonts w:hint="eastAsia" w:ascii="宋体" w:hAnsi="宋体" w:eastAsia="宋体" w:cs="宋体"/>
          <w:szCs w:val="21"/>
          <w:lang w:val="en-US" w:eastAsia="zh-CN"/>
        </w:rPr>
        <w:t>586000</w:t>
      </w:r>
    </w:p>
    <w:p w14:paraId="6A146B60">
      <w:pPr>
        <w:spacing w:line="440" w:lineRule="exact"/>
        <w:ind w:firstLine="420" w:firstLineChars="200"/>
        <w:rPr>
          <w:rFonts w:hint="eastAsia" w:ascii="宋体" w:hAnsi="宋体" w:cs="宋体"/>
          <w:szCs w:val="21"/>
        </w:rPr>
      </w:pPr>
      <w:r>
        <w:rPr>
          <w:rFonts w:hint="eastAsia" w:ascii="宋体" w:hAnsi="宋体" w:cs="宋体"/>
          <w:szCs w:val="21"/>
        </w:rPr>
        <w:t>单位：年</w:t>
      </w:r>
    </w:p>
    <w:p w14:paraId="3EF355FC">
      <w:pPr>
        <w:spacing w:line="440" w:lineRule="exact"/>
        <w:ind w:firstLine="420" w:firstLineChars="200"/>
        <w:rPr>
          <w:rFonts w:hint="eastAsia" w:ascii="宋体" w:hAnsi="宋体" w:cs="宋体"/>
          <w:szCs w:val="21"/>
        </w:rPr>
      </w:pPr>
      <w:r>
        <w:rPr>
          <w:rFonts w:hint="eastAsia" w:ascii="宋体" w:hAnsi="宋体" w:cs="宋体"/>
          <w:szCs w:val="21"/>
        </w:rPr>
        <w:t>简要规格描述：详见采购文件第三章。</w:t>
      </w:r>
    </w:p>
    <w:p w14:paraId="2594C868">
      <w:pPr>
        <w:spacing w:line="440" w:lineRule="exact"/>
        <w:ind w:firstLine="420" w:firstLineChars="200"/>
        <w:rPr>
          <w:rFonts w:hint="eastAsia" w:ascii="宋体" w:hAnsi="宋体" w:cs="宋体"/>
          <w:szCs w:val="21"/>
        </w:rPr>
      </w:pPr>
      <w:r>
        <w:rPr>
          <w:rFonts w:hint="eastAsia" w:ascii="宋体" w:hAnsi="宋体" w:cs="宋体"/>
          <w:szCs w:val="21"/>
        </w:rPr>
        <w:t>备注：</w:t>
      </w:r>
    </w:p>
    <w:p w14:paraId="28197160">
      <w:pPr>
        <w:spacing w:line="440" w:lineRule="exact"/>
        <w:ind w:firstLine="420" w:firstLineChars="200"/>
        <w:rPr>
          <w:rFonts w:hint="eastAsia" w:ascii="宋体" w:hAnsi="宋体" w:cs="宋体"/>
          <w:szCs w:val="21"/>
        </w:rPr>
      </w:pPr>
      <w:r>
        <w:rPr>
          <w:rFonts w:hint="eastAsia" w:ascii="宋体" w:hAnsi="宋体" w:cs="宋体"/>
          <w:szCs w:val="21"/>
        </w:rPr>
        <w:t>合同履约期限：</w:t>
      </w:r>
      <w:r>
        <w:rPr>
          <w:rFonts w:hint="eastAsia" w:ascii="宋体" w:hAnsi="宋体" w:eastAsia="宋体" w:cs="宋体"/>
          <w:szCs w:val="21"/>
        </w:rPr>
        <w:t>标项 1，详见采购文件第三章。</w:t>
      </w:r>
    </w:p>
    <w:p w14:paraId="1B9340E3">
      <w:pPr>
        <w:spacing w:line="440" w:lineRule="exact"/>
        <w:ind w:firstLine="420" w:firstLineChars="200"/>
        <w:rPr>
          <w:rFonts w:hint="eastAsia" w:ascii="宋体" w:hAnsi="宋体" w:cs="宋体"/>
          <w:szCs w:val="21"/>
        </w:rPr>
      </w:pPr>
      <w:r>
        <w:rPr>
          <w:rFonts w:hint="eastAsia" w:ascii="宋体" w:hAnsi="宋体" w:cs="宋体"/>
          <w:szCs w:val="21"/>
        </w:rPr>
        <w:t>本项目（否）接受联合体。</w:t>
      </w:r>
    </w:p>
    <w:p w14:paraId="2FC327FE">
      <w:pPr>
        <w:spacing w:line="440" w:lineRule="exact"/>
        <w:ind w:firstLine="422" w:firstLineChars="200"/>
        <w:rPr>
          <w:rFonts w:hint="eastAsia" w:ascii="宋体" w:hAnsi="宋体" w:cs="宋体"/>
          <w:b/>
          <w:bCs/>
          <w:szCs w:val="21"/>
        </w:rPr>
      </w:pPr>
      <w:r>
        <w:rPr>
          <w:rFonts w:hint="eastAsia" w:ascii="宋体" w:hAnsi="宋体" w:cs="宋体"/>
          <w:b/>
          <w:bCs/>
          <w:szCs w:val="21"/>
        </w:rPr>
        <w:t>二、申请人的资格要求：</w:t>
      </w:r>
      <w:bookmarkEnd w:id="23"/>
      <w:bookmarkEnd w:id="24"/>
      <w:bookmarkEnd w:id="25"/>
      <w:bookmarkEnd w:id="26"/>
    </w:p>
    <w:p w14:paraId="65B3E9C3">
      <w:pPr>
        <w:spacing w:line="440" w:lineRule="exact"/>
        <w:ind w:firstLine="420" w:firstLineChars="200"/>
        <w:rPr>
          <w:rFonts w:hint="eastAsia" w:ascii="宋体" w:hAnsi="宋体" w:cs="宋体"/>
          <w:szCs w:val="21"/>
        </w:rPr>
      </w:pPr>
      <w:r>
        <w:rPr>
          <w:rFonts w:hint="eastAsia" w:ascii="宋体" w:hAnsi="宋体" w:cs="宋体"/>
          <w:szCs w:val="21"/>
        </w:rPr>
        <w:t xml:space="preserve">1.满足《中华人民共和国政府采购法》第二十二条规定；未被“信用中国”（www.creditchina.gov.cn)、中国政府采购网（www.ccgp.gov.cn）列入失信被执行人、重大税收违法案件当事人名单、政府采购严重违法失信行为记录名单。 </w:t>
      </w:r>
    </w:p>
    <w:p w14:paraId="6BA616C4">
      <w:pPr>
        <w:spacing w:line="440" w:lineRule="exact"/>
        <w:ind w:firstLine="420" w:firstLineChars="200"/>
        <w:rPr>
          <w:rFonts w:hint="eastAsia" w:ascii="宋体" w:hAnsi="宋体" w:cs="宋体"/>
          <w:szCs w:val="21"/>
        </w:rPr>
      </w:pPr>
      <w:bookmarkStart w:id="27" w:name="_Toc28359004"/>
      <w:bookmarkStart w:id="28" w:name="_Toc28359081"/>
      <w:r>
        <w:rPr>
          <w:rFonts w:hint="eastAsia" w:ascii="宋体" w:hAnsi="宋体" w:cs="宋体"/>
          <w:szCs w:val="21"/>
          <w:lang w:val="en-US" w:eastAsia="zh-CN"/>
        </w:rPr>
        <w:t>2</w:t>
      </w:r>
      <w:r>
        <w:rPr>
          <w:rFonts w:hint="eastAsia" w:ascii="宋体" w:hAnsi="宋体" w:cs="宋体"/>
          <w:szCs w:val="21"/>
        </w:rPr>
        <w:t>.落实政府采购政策需满足的资格要求：</w:t>
      </w:r>
      <w:r>
        <w:rPr>
          <w:rFonts w:hint="eastAsia" w:ascii="宋体" w:hAnsi="宋体" w:cs="宋体"/>
          <w:szCs w:val="21"/>
          <w:lang w:val="en-US" w:eastAsia="zh-CN"/>
        </w:rPr>
        <w:t>无。</w:t>
      </w:r>
    </w:p>
    <w:p w14:paraId="25B9FEBE">
      <w:pPr>
        <w:spacing w:line="440" w:lineRule="exact"/>
        <w:ind w:firstLine="420" w:firstLineChars="200"/>
        <w:rPr>
          <w:rFonts w:hint="eastAsia" w:ascii="宋体" w:hAnsi="宋体" w:eastAsia="宋体" w:cs="宋体"/>
          <w:b/>
          <w:bCs/>
          <w:szCs w:val="21"/>
        </w:rPr>
      </w:pPr>
      <w:r>
        <w:rPr>
          <w:rFonts w:hint="eastAsia" w:ascii="宋体" w:hAnsi="宋体" w:cs="宋体"/>
          <w:szCs w:val="21"/>
          <w:lang w:val="en-US" w:eastAsia="zh-CN"/>
        </w:rPr>
        <w:t>3</w:t>
      </w:r>
      <w:r>
        <w:rPr>
          <w:rFonts w:hint="eastAsia" w:ascii="宋体" w:hAnsi="宋体" w:cs="宋体"/>
          <w:szCs w:val="21"/>
        </w:rPr>
        <w:t>.</w:t>
      </w:r>
      <w:r>
        <w:rPr>
          <w:rFonts w:hint="eastAsia" w:ascii="宋体" w:hAnsi="宋体" w:cs="宋体"/>
          <w:b/>
          <w:bCs/>
          <w:szCs w:val="21"/>
        </w:rPr>
        <w:t>投标人特定资格条件：</w:t>
      </w:r>
      <w:r>
        <w:rPr>
          <w:rFonts w:hint="eastAsia" w:ascii="宋体" w:hAnsi="宋体" w:eastAsia="宋体" w:cs="宋体"/>
          <w:b/>
          <w:bCs/>
          <w:szCs w:val="21"/>
        </w:rPr>
        <w:t>投标人具备与国家有关认证认可的规定相适</w:t>
      </w:r>
      <w:bookmarkStart w:id="171" w:name="_GoBack"/>
      <w:bookmarkEnd w:id="171"/>
      <w:r>
        <w:rPr>
          <w:rFonts w:hint="eastAsia" w:ascii="宋体" w:hAnsi="宋体" w:eastAsia="宋体" w:cs="宋体"/>
          <w:b/>
          <w:bCs/>
          <w:szCs w:val="21"/>
        </w:rPr>
        <w:t>应的检验资质，具备《检验检测机构资质认定证书》（CMA），且证书合法有效；</w:t>
      </w:r>
    </w:p>
    <w:p w14:paraId="7E09486A">
      <w:pPr>
        <w:spacing w:line="440" w:lineRule="exact"/>
        <w:ind w:firstLine="422" w:firstLineChars="200"/>
        <w:rPr>
          <w:rFonts w:hint="eastAsia" w:ascii="宋体" w:hAnsi="宋体" w:cs="宋体"/>
          <w:b/>
          <w:bCs/>
          <w:szCs w:val="21"/>
        </w:rPr>
      </w:pPr>
      <w:bookmarkStart w:id="29" w:name="_Toc35393623"/>
      <w:bookmarkStart w:id="30" w:name="_Toc35393792"/>
      <w:r>
        <w:rPr>
          <w:rFonts w:hint="eastAsia" w:ascii="宋体" w:hAnsi="宋体" w:cs="宋体"/>
          <w:b/>
          <w:bCs/>
          <w:szCs w:val="21"/>
        </w:rPr>
        <w:t>三、获取招标文件</w:t>
      </w:r>
      <w:bookmarkEnd w:id="27"/>
      <w:bookmarkEnd w:id="28"/>
      <w:bookmarkEnd w:id="29"/>
      <w:bookmarkEnd w:id="30"/>
    </w:p>
    <w:p w14:paraId="0C0754D3">
      <w:pPr>
        <w:spacing w:line="440" w:lineRule="exact"/>
        <w:ind w:firstLine="420" w:firstLineChars="200"/>
        <w:rPr>
          <w:rFonts w:hint="eastAsia" w:ascii="宋体" w:hAnsi="宋体" w:cs="宋体"/>
          <w:szCs w:val="21"/>
        </w:rPr>
      </w:pPr>
      <w:bookmarkStart w:id="31" w:name="_Toc28359082"/>
      <w:bookmarkStart w:id="32" w:name="_Toc28359005"/>
      <w:bookmarkStart w:id="33" w:name="_Toc35393793"/>
      <w:bookmarkStart w:id="34" w:name="_Toc35393624"/>
      <w:r>
        <w:rPr>
          <w:rFonts w:hint="eastAsia" w:ascii="宋体" w:hAnsi="宋体" w:cs="宋体"/>
          <w:szCs w:val="21"/>
        </w:rPr>
        <w:t>时间：</w:t>
      </w:r>
      <w:r>
        <w:rPr>
          <w:rFonts w:hint="eastAsia" w:ascii="宋体" w:hAnsi="宋体" w:cs="宋体"/>
          <w:szCs w:val="21"/>
          <w:u w:val="single"/>
        </w:rPr>
        <w:t>/</w:t>
      </w:r>
      <w:r>
        <w:rPr>
          <w:rFonts w:hint="eastAsia" w:ascii="宋体" w:hAnsi="宋体" w:cs="宋体"/>
          <w:szCs w:val="21"/>
        </w:rPr>
        <w:t>至</w:t>
      </w:r>
      <w:r>
        <w:rPr>
          <w:rFonts w:hint="eastAsia" w:ascii="宋体" w:hAnsi="宋体" w:cs="宋体"/>
          <w:color w:val="auto"/>
          <w:szCs w:val="21"/>
          <w:lang w:val="en-US" w:eastAsia="zh-CN"/>
        </w:rPr>
        <w:t>2025</w:t>
      </w:r>
      <w:r>
        <w:rPr>
          <w:rFonts w:hint="eastAsia" w:ascii="宋体" w:hAnsi="宋体" w:cs="宋体"/>
          <w:color w:val="auto"/>
          <w:szCs w:val="21"/>
        </w:rPr>
        <w:t>年</w:t>
      </w:r>
      <w:r>
        <w:rPr>
          <w:rFonts w:hint="eastAsia" w:ascii="宋体" w:hAnsi="宋体" w:cs="宋体"/>
          <w:color w:val="auto"/>
          <w:szCs w:val="21"/>
          <w:lang w:val="en-US" w:eastAsia="zh-CN"/>
        </w:rPr>
        <w:t>5</w:t>
      </w:r>
      <w:r>
        <w:rPr>
          <w:rFonts w:hint="eastAsia" w:ascii="宋体" w:hAnsi="宋体" w:cs="宋体"/>
          <w:color w:val="auto"/>
          <w:szCs w:val="21"/>
        </w:rPr>
        <w:t>月</w:t>
      </w:r>
      <w:r>
        <w:rPr>
          <w:rFonts w:hint="eastAsia" w:ascii="宋体" w:hAnsi="宋体" w:cs="宋体"/>
          <w:color w:val="auto"/>
          <w:szCs w:val="21"/>
          <w:lang w:val="en-US" w:eastAsia="zh-CN"/>
        </w:rPr>
        <w:t>8</w:t>
      </w:r>
      <w:r>
        <w:rPr>
          <w:rFonts w:hint="eastAsia" w:ascii="宋体" w:hAnsi="宋体" w:cs="宋体"/>
          <w:color w:val="auto"/>
          <w:szCs w:val="21"/>
        </w:rPr>
        <w:t>日</w:t>
      </w:r>
      <w:r>
        <w:rPr>
          <w:rFonts w:hint="eastAsia" w:ascii="宋体" w:hAnsi="宋体" w:cs="宋体"/>
          <w:szCs w:val="21"/>
        </w:rPr>
        <w:t>，每天上午00:00至12:00，下午12:00至23:59（北京时间，线上获取法定节假日均可，线下获取文件法定节假日除外）</w:t>
      </w:r>
    </w:p>
    <w:p w14:paraId="637EE6E2">
      <w:pPr>
        <w:spacing w:line="440" w:lineRule="exact"/>
        <w:ind w:firstLine="420" w:firstLineChars="200"/>
        <w:rPr>
          <w:rFonts w:hint="eastAsia" w:ascii="宋体" w:hAnsi="宋体" w:cs="宋体"/>
          <w:szCs w:val="21"/>
          <w:u w:val="single"/>
        </w:rPr>
      </w:pPr>
      <w:r>
        <w:rPr>
          <w:rFonts w:hint="eastAsia" w:ascii="宋体" w:hAnsi="宋体" w:cs="宋体"/>
          <w:szCs w:val="21"/>
        </w:rPr>
        <w:t>地点（网址）：政府采购云平台（www.zcygov.cn）</w:t>
      </w:r>
    </w:p>
    <w:p w14:paraId="29C9E8D0">
      <w:pPr>
        <w:spacing w:line="440" w:lineRule="exact"/>
        <w:ind w:firstLine="420" w:firstLineChars="200"/>
        <w:rPr>
          <w:rFonts w:hint="eastAsia" w:ascii="宋体" w:hAnsi="宋体" w:cs="宋体"/>
          <w:szCs w:val="21"/>
          <w:u w:val="single"/>
        </w:rPr>
      </w:pPr>
      <w:r>
        <w:rPr>
          <w:rFonts w:hint="eastAsia" w:ascii="宋体" w:hAnsi="宋体" w:cs="宋体"/>
          <w:szCs w:val="21"/>
        </w:rPr>
        <w:t>方式：网上下载。拟参加本项目采购活动的潜在供应商直接登录“政采云”平台（www.zcygov.cn）或点击浙江政府采购网本项目公告附件“潜在供应商--获取采购文件”链接跳转登录后，在线申请获取采购文件（进入“项目采购”应用，在“获取采购文件”菜单中选择本项目并申请获取采购文件）。仅需浏览采购文件的供应商可点击“游客--浏览采购文件”直接下载采购文件用于浏览。</w:t>
      </w:r>
    </w:p>
    <w:p w14:paraId="6982DDFF">
      <w:pPr>
        <w:spacing w:line="440" w:lineRule="exact"/>
        <w:ind w:firstLine="420" w:firstLineChars="200"/>
        <w:rPr>
          <w:rFonts w:hint="eastAsia" w:ascii="宋体" w:hAnsi="宋体" w:cs="宋体"/>
          <w:szCs w:val="21"/>
        </w:rPr>
      </w:pPr>
      <w:r>
        <w:rPr>
          <w:rFonts w:hint="eastAsia" w:ascii="宋体" w:hAnsi="宋体" w:cs="宋体"/>
          <w:szCs w:val="21"/>
        </w:rPr>
        <w:t>售价（元）：0</w:t>
      </w:r>
    </w:p>
    <w:p w14:paraId="21A5624D">
      <w:pPr>
        <w:spacing w:line="440" w:lineRule="exact"/>
        <w:ind w:firstLine="422" w:firstLineChars="200"/>
        <w:rPr>
          <w:rFonts w:hint="eastAsia" w:ascii="宋体" w:hAnsi="宋体" w:cs="宋体"/>
          <w:b/>
          <w:bCs/>
          <w:szCs w:val="21"/>
        </w:rPr>
      </w:pPr>
      <w:r>
        <w:rPr>
          <w:rFonts w:hint="eastAsia" w:ascii="宋体" w:hAnsi="宋体" w:cs="宋体"/>
          <w:b/>
          <w:bCs/>
          <w:szCs w:val="21"/>
        </w:rPr>
        <w:t>四、提交投标文件</w:t>
      </w:r>
      <w:bookmarkEnd w:id="31"/>
      <w:bookmarkEnd w:id="32"/>
      <w:r>
        <w:rPr>
          <w:rFonts w:hint="eastAsia" w:ascii="宋体" w:hAnsi="宋体" w:cs="宋体"/>
          <w:b/>
          <w:bCs/>
          <w:szCs w:val="21"/>
        </w:rPr>
        <w:t>截止时间、开标时间和地点</w:t>
      </w:r>
      <w:bookmarkEnd w:id="33"/>
      <w:bookmarkEnd w:id="34"/>
    </w:p>
    <w:p w14:paraId="1E3459EC">
      <w:pPr>
        <w:spacing w:line="440" w:lineRule="exact"/>
        <w:ind w:firstLine="420" w:firstLineChars="200"/>
        <w:rPr>
          <w:rFonts w:hint="eastAsia" w:ascii="宋体" w:hAnsi="宋体" w:cs="宋体"/>
          <w:szCs w:val="21"/>
        </w:rPr>
      </w:pPr>
      <w:r>
        <w:rPr>
          <w:rFonts w:hint="eastAsia" w:ascii="宋体" w:hAnsi="宋体" w:cs="宋体"/>
          <w:szCs w:val="21"/>
        </w:rPr>
        <w:t>1.投标截止时间：</w:t>
      </w:r>
      <w:r>
        <w:rPr>
          <w:rFonts w:hint="eastAsia" w:ascii="宋体" w:hAnsi="宋体" w:cs="宋体"/>
          <w:b/>
          <w:bCs/>
          <w:szCs w:val="21"/>
          <w:u w:val="single"/>
          <w:lang w:val="en-US" w:eastAsia="zh-CN"/>
        </w:rPr>
        <w:t>2025</w:t>
      </w:r>
      <w:r>
        <w:rPr>
          <w:rFonts w:hint="eastAsia" w:ascii="宋体" w:hAnsi="宋体" w:cs="宋体"/>
          <w:b/>
          <w:bCs/>
          <w:szCs w:val="21"/>
          <w:u w:val="single"/>
        </w:rPr>
        <w:t>年</w:t>
      </w:r>
      <w:r>
        <w:rPr>
          <w:rFonts w:hint="eastAsia" w:ascii="宋体" w:hAnsi="宋体" w:cs="宋体"/>
          <w:b/>
          <w:bCs/>
          <w:szCs w:val="21"/>
          <w:u w:val="single"/>
          <w:lang w:val="en-US" w:eastAsia="zh-CN"/>
        </w:rPr>
        <w:t>5</w:t>
      </w:r>
      <w:r>
        <w:rPr>
          <w:rFonts w:hint="eastAsia" w:ascii="宋体" w:hAnsi="宋体" w:cs="宋体"/>
          <w:b/>
          <w:bCs/>
          <w:color w:val="auto"/>
          <w:szCs w:val="21"/>
          <w:u w:val="single"/>
        </w:rPr>
        <w:t>月</w:t>
      </w:r>
      <w:r>
        <w:rPr>
          <w:rFonts w:hint="eastAsia" w:ascii="宋体" w:hAnsi="宋体" w:cs="宋体"/>
          <w:b/>
          <w:bCs/>
          <w:color w:val="auto"/>
          <w:szCs w:val="21"/>
          <w:u w:val="single"/>
          <w:lang w:val="en-US" w:eastAsia="zh-CN"/>
        </w:rPr>
        <w:t>8</w:t>
      </w:r>
      <w:r>
        <w:rPr>
          <w:rFonts w:hint="eastAsia" w:ascii="宋体" w:hAnsi="宋体" w:cs="宋体"/>
          <w:b/>
          <w:bCs/>
          <w:color w:val="auto"/>
          <w:szCs w:val="21"/>
          <w:u w:val="single"/>
        </w:rPr>
        <w:t>日</w:t>
      </w:r>
      <w:r>
        <w:rPr>
          <w:rFonts w:hint="eastAsia" w:ascii="宋体" w:hAnsi="宋体" w:cs="宋体"/>
          <w:b/>
          <w:bCs/>
          <w:color w:val="auto"/>
          <w:szCs w:val="21"/>
          <w:u w:val="single"/>
          <w:lang w:val="en-US" w:eastAsia="zh-CN"/>
        </w:rPr>
        <w:t>9</w:t>
      </w:r>
      <w:r>
        <w:rPr>
          <w:rFonts w:hint="eastAsia" w:ascii="宋体" w:hAnsi="宋体" w:cs="宋体"/>
          <w:b/>
          <w:bCs/>
          <w:color w:val="auto"/>
          <w:szCs w:val="21"/>
          <w:u w:val="single"/>
        </w:rPr>
        <w:t>时</w:t>
      </w:r>
      <w:r>
        <w:rPr>
          <w:rFonts w:hint="eastAsia" w:ascii="宋体" w:hAnsi="宋体" w:cs="宋体"/>
          <w:b/>
          <w:bCs/>
          <w:color w:val="auto"/>
          <w:szCs w:val="21"/>
          <w:u w:val="single"/>
          <w:lang w:val="en-US" w:eastAsia="zh-CN"/>
        </w:rPr>
        <w:t>30</w:t>
      </w:r>
      <w:r>
        <w:rPr>
          <w:rFonts w:hint="eastAsia" w:ascii="宋体" w:hAnsi="宋体" w:cs="宋体"/>
          <w:b/>
          <w:bCs/>
          <w:color w:val="auto"/>
          <w:szCs w:val="21"/>
          <w:u w:val="single"/>
        </w:rPr>
        <w:t>分</w:t>
      </w:r>
      <w:r>
        <w:rPr>
          <w:rFonts w:hint="eastAsia" w:ascii="宋体" w:hAnsi="宋体" w:cs="宋体"/>
          <w:szCs w:val="21"/>
        </w:rPr>
        <w:t>（北京时间）</w:t>
      </w:r>
    </w:p>
    <w:p w14:paraId="6F21F6BE">
      <w:pPr>
        <w:spacing w:line="440" w:lineRule="exact"/>
        <w:ind w:firstLine="420" w:firstLineChars="200"/>
        <w:rPr>
          <w:rFonts w:hint="eastAsia" w:ascii="宋体" w:hAnsi="宋体" w:cs="宋体"/>
          <w:szCs w:val="21"/>
        </w:rPr>
      </w:pPr>
      <w:r>
        <w:rPr>
          <w:rFonts w:hint="eastAsia" w:ascii="宋体" w:hAnsi="宋体" w:cs="宋体"/>
          <w:szCs w:val="21"/>
        </w:rPr>
        <w:t>2.投标地点：“政府采购云平台（www.zcygov.cn）”在线递交。</w:t>
      </w:r>
    </w:p>
    <w:p w14:paraId="166C7156">
      <w:pPr>
        <w:spacing w:line="440" w:lineRule="exact"/>
        <w:ind w:firstLine="420" w:firstLineChars="200"/>
        <w:rPr>
          <w:rFonts w:hint="eastAsia" w:ascii="宋体" w:hAnsi="宋体" w:cs="宋体"/>
          <w:szCs w:val="21"/>
        </w:rPr>
      </w:pPr>
      <w:r>
        <w:rPr>
          <w:rFonts w:hint="eastAsia" w:ascii="宋体" w:hAnsi="宋体" w:cs="宋体"/>
          <w:szCs w:val="21"/>
        </w:rPr>
        <w:t>3.开标时间：</w:t>
      </w:r>
      <w:r>
        <w:rPr>
          <w:rFonts w:hint="eastAsia" w:ascii="宋体" w:hAnsi="宋体" w:eastAsia="宋体" w:cs="宋体"/>
          <w:b/>
          <w:bCs/>
          <w:szCs w:val="21"/>
          <w:u w:val="single"/>
          <w:lang w:val="en-US" w:eastAsia="zh-CN"/>
        </w:rPr>
        <w:t xml:space="preserve"> </w:t>
      </w:r>
      <w:r>
        <w:rPr>
          <w:rFonts w:hint="eastAsia" w:ascii="宋体" w:hAnsi="宋体" w:cs="宋体"/>
          <w:b/>
          <w:bCs/>
          <w:szCs w:val="21"/>
          <w:u w:val="single"/>
          <w:lang w:val="en-US" w:eastAsia="zh-CN"/>
        </w:rPr>
        <w:t>2025</w:t>
      </w:r>
      <w:r>
        <w:rPr>
          <w:rFonts w:hint="eastAsia" w:ascii="宋体" w:hAnsi="宋体" w:cs="宋体"/>
          <w:b/>
          <w:bCs/>
          <w:szCs w:val="21"/>
          <w:u w:val="single"/>
        </w:rPr>
        <w:t>年</w:t>
      </w:r>
      <w:r>
        <w:rPr>
          <w:rFonts w:hint="eastAsia" w:ascii="宋体" w:hAnsi="宋体" w:cs="宋体"/>
          <w:b/>
          <w:bCs/>
          <w:szCs w:val="21"/>
          <w:u w:val="single"/>
          <w:lang w:val="en-US" w:eastAsia="zh-CN"/>
        </w:rPr>
        <w:t>5</w:t>
      </w:r>
      <w:r>
        <w:rPr>
          <w:rFonts w:hint="eastAsia" w:ascii="宋体" w:hAnsi="宋体" w:cs="宋体"/>
          <w:b/>
          <w:bCs/>
          <w:color w:val="auto"/>
          <w:szCs w:val="21"/>
          <w:u w:val="single"/>
        </w:rPr>
        <w:t>月</w:t>
      </w:r>
      <w:r>
        <w:rPr>
          <w:rFonts w:hint="eastAsia" w:ascii="宋体" w:hAnsi="宋体" w:cs="宋体"/>
          <w:b/>
          <w:bCs/>
          <w:color w:val="auto"/>
          <w:szCs w:val="21"/>
          <w:u w:val="single"/>
          <w:lang w:val="en-US" w:eastAsia="zh-CN"/>
        </w:rPr>
        <w:t>8</w:t>
      </w:r>
      <w:r>
        <w:rPr>
          <w:rFonts w:hint="eastAsia" w:ascii="宋体" w:hAnsi="宋体" w:cs="宋体"/>
          <w:b/>
          <w:bCs/>
          <w:color w:val="auto"/>
          <w:szCs w:val="21"/>
          <w:u w:val="single"/>
        </w:rPr>
        <w:t>日</w:t>
      </w:r>
      <w:r>
        <w:rPr>
          <w:rFonts w:hint="eastAsia" w:ascii="宋体" w:hAnsi="宋体" w:cs="宋体"/>
          <w:b/>
          <w:bCs/>
          <w:color w:val="auto"/>
          <w:szCs w:val="21"/>
          <w:u w:val="single"/>
          <w:lang w:val="en-US" w:eastAsia="zh-CN"/>
        </w:rPr>
        <w:t xml:space="preserve"> 9</w:t>
      </w:r>
      <w:r>
        <w:rPr>
          <w:rFonts w:hint="eastAsia" w:ascii="宋体" w:hAnsi="宋体" w:cs="宋体"/>
          <w:b/>
          <w:bCs/>
          <w:color w:val="auto"/>
          <w:szCs w:val="21"/>
          <w:u w:val="single"/>
        </w:rPr>
        <w:t>时</w:t>
      </w:r>
      <w:r>
        <w:rPr>
          <w:rFonts w:hint="eastAsia" w:ascii="宋体" w:hAnsi="宋体" w:cs="宋体"/>
          <w:b/>
          <w:bCs/>
          <w:color w:val="auto"/>
          <w:szCs w:val="21"/>
          <w:u w:val="single"/>
          <w:lang w:val="en-US" w:eastAsia="zh-CN"/>
        </w:rPr>
        <w:t>30</w:t>
      </w:r>
      <w:r>
        <w:rPr>
          <w:rFonts w:hint="eastAsia" w:ascii="宋体" w:hAnsi="宋体" w:cs="宋体"/>
          <w:b/>
          <w:bCs/>
          <w:color w:val="auto"/>
          <w:szCs w:val="21"/>
          <w:u w:val="single"/>
        </w:rPr>
        <w:t>分</w:t>
      </w:r>
      <w:r>
        <w:rPr>
          <w:rFonts w:hint="eastAsia" w:ascii="宋体" w:hAnsi="宋体" w:cs="宋体"/>
          <w:szCs w:val="21"/>
        </w:rPr>
        <w:t>（北京时间）</w:t>
      </w:r>
    </w:p>
    <w:p w14:paraId="1AE5CE56">
      <w:pPr>
        <w:spacing w:line="440" w:lineRule="exact"/>
        <w:ind w:firstLine="420" w:firstLineChars="200"/>
        <w:rPr>
          <w:rFonts w:hint="eastAsia" w:ascii="宋体" w:hAnsi="宋体" w:cs="宋体"/>
          <w:szCs w:val="21"/>
        </w:rPr>
      </w:pPr>
      <w:bookmarkStart w:id="35" w:name="_Toc28359084"/>
      <w:bookmarkStart w:id="36" w:name="_Toc28359007"/>
      <w:bookmarkStart w:id="37" w:name="_Toc35393794"/>
      <w:bookmarkStart w:id="38" w:name="_Toc35393625"/>
      <w:r>
        <w:rPr>
          <w:rFonts w:hint="eastAsia" w:ascii="宋体" w:hAnsi="宋体" w:cs="宋体"/>
          <w:szCs w:val="21"/>
        </w:rPr>
        <w:t>开标地点：衢州市公共资源交易常山分中心【常山县紫港路2号常山县行政服务中心东边附属楼2楼】 。同步在“政采云远程开标大厅”在线开标。</w:t>
      </w:r>
    </w:p>
    <w:p w14:paraId="372C10F0">
      <w:pPr>
        <w:spacing w:line="440" w:lineRule="exact"/>
        <w:ind w:firstLine="422" w:firstLineChars="200"/>
        <w:rPr>
          <w:rFonts w:hint="eastAsia" w:ascii="宋体" w:hAnsi="宋体" w:cs="宋体"/>
          <w:b/>
          <w:bCs/>
          <w:szCs w:val="21"/>
        </w:rPr>
      </w:pPr>
      <w:r>
        <w:rPr>
          <w:rFonts w:hint="eastAsia" w:ascii="宋体" w:hAnsi="宋体" w:cs="宋体"/>
          <w:b/>
          <w:bCs/>
          <w:szCs w:val="21"/>
        </w:rPr>
        <w:t>五、公告期限</w:t>
      </w:r>
      <w:bookmarkEnd w:id="35"/>
      <w:bookmarkEnd w:id="36"/>
      <w:bookmarkEnd w:id="37"/>
      <w:bookmarkEnd w:id="38"/>
    </w:p>
    <w:p w14:paraId="40D271AE">
      <w:pPr>
        <w:spacing w:line="440" w:lineRule="exact"/>
        <w:ind w:firstLine="420" w:firstLineChars="200"/>
        <w:rPr>
          <w:rFonts w:hint="eastAsia" w:ascii="宋体" w:hAnsi="宋体" w:cs="宋体"/>
          <w:szCs w:val="21"/>
        </w:rPr>
      </w:pPr>
      <w:r>
        <w:rPr>
          <w:rFonts w:hint="eastAsia" w:ascii="宋体" w:hAnsi="宋体" w:cs="宋体"/>
          <w:szCs w:val="21"/>
        </w:rPr>
        <w:t>自本公告发布之日起5个工作日。</w:t>
      </w:r>
    </w:p>
    <w:p w14:paraId="14DE67AC">
      <w:pPr>
        <w:spacing w:line="440" w:lineRule="exact"/>
        <w:ind w:firstLine="422" w:firstLineChars="200"/>
        <w:rPr>
          <w:rFonts w:hint="eastAsia" w:ascii="宋体" w:hAnsi="宋体" w:cs="宋体"/>
          <w:b/>
          <w:bCs/>
          <w:szCs w:val="21"/>
        </w:rPr>
      </w:pPr>
      <w:bookmarkStart w:id="39" w:name="_Toc35393626"/>
      <w:bookmarkStart w:id="40" w:name="_Toc35393795"/>
      <w:bookmarkStart w:id="41" w:name="_Toc28359085"/>
      <w:bookmarkStart w:id="42" w:name="_Toc35393627"/>
      <w:bookmarkStart w:id="43" w:name="_Toc28359008"/>
      <w:bookmarkStart w:id="44" w:name="_Toc35393796"/>
      <w:r>
        <w:rPr>
          <w:rFonts w:hint="eastAsia" w:ascii="宋体" w:hAnsi="宋体" w:cs="宋体"/>
          <w:b/>
          <w:bCs/>
          <w:szCs w:val="21"/>
        </w:rPr>
        <w:t>六、其他补充事宜</w:t>
      </w:r>
      <w:bookmarkEnd w:id="39"/>
      <w:bookmarkEnd w:id="40"/>
    </w:p>
    <w:p w14:paraId="453F53B1">
      <w:pPr>
        <w:spacing w:line="4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1.《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2C8EF1CD">
      <w:pPr>
        <w:spacing w:line="4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53DDA2C1">
      <w:pPr>
        <w:spacing w:line="4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E020323">
      <w:pPr>
        <w:spacing w:line="4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4.在线投标（电子交易）说明</w:t>
      </w:r>
    </w:p>
    <w:p w14:paraId="27886887">
      <w:pPr>
        <w:spacing w:line="4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4.1供应商应在投标前完成CA数字证书办理。（办理流程详见http://zfcg.czt.zj.gov.cn/bidClientTemplate/2019-05-27/12945.html，或登录“浙江政府采购网-下载专区-电子投标客户端-CA驱动和申领流程”）。完成CA数字证书办理预计一周左右，建议各供应商抓紧时间办理。</w:t>
      </w:r>
    </w:p>
    <w:p w14:paraId="18E9BF93">
      <w:pPr>
        <w:spacing w:line="4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4.2供应商通过“政采云电子交易客户端”制作响应文件。（“政采云电子交易客户端”下载详见</w:t>
      </w:r>
      <w:r>
        <w:rPr>
          <w:rFonts w:hint="eastAsia" w:ascii="宋体" w:hAnsi="宋体" w:eastAsia="宋体" w:cs="宋体"/>
          <w:szCs w:val="21"/>
          <w:lang w:val="en-US" w:eastAsia="zh-CN"/>
        </w:rPr>
        <w:fldChar w:fldCharType="begin"/>
      </w:r>
      <w:r>
        <w:rPr>
          <w:rFonts w:hint="eastAsia" w:ascii="宋体" w:hAnsi="宋体" w:eastAsia="宋体" w:cs="宋体"/>
          <w:szCs w:val="21"/>
          <w:lang w:val="en-US" w:eastAsia="zh-CN"/>
        </w:rPr>
        <w:instrText xml:space="preserve"> HYPERLINK "http://zfcg.czt.zj.gov.cn/bidClientTemplate/2019-09-24/12975.html" </w:instrText>
      </w:r>
      <w:r>
        <w:rPr>
          <w:rFonts w:hint="eastAsia" w:ascii="宋体" w:hAnsi="宋体" w:eastAsia="宋体" w:cs="宋体"/>
          <w:szCs w:val="21"/>
          <w:lang w:val="en-US" w:eastAsia="zh-CN"/>
        </w:rPr>
        <w:fldChar w:fldCharType="separate"/>
      </w:r>
      <w:r>
        <w:rPr>
          <w:rFonts w:hint="eastAsia" w:ascii="宋体" w:hAnsi="宋体" w:eastAsia="宋体" w:cs="宋体"/>
          <w:szCs w:val="21"/>
          <w:lang w:val="en-US" w:eastAsia="zh-CN"/>
        </w:rPr>
        <w:t>http://zfcg.czt.zj.gov.cn/bidClientTemplate/2019-09-24/12975.html</w:t>
      </w:r>
      <w:r>
        <w:rPr>
          <w:rFonts w:hint="eastAsia" w:ascii="宋体" w:hAnsi="宋体" w:eastAsia="宋体" w:cs="宋体"/>
          <w:szCs w:val="21"/>
          <w:lang w:val="en-US" w:eastAsia="zh-CN"/>
        </w:rPr>
        <w:fldChar w:fldCharType="end"/>
      </w:r>
      <w:r>
        <w:rPr>
          <w:rFonts w:hint="eastAsia" w:ascii="宋体" w:hAnsi="宋体" w:eastAsia="宋体" w:cs="宋体"/>
          <w:szCs w:val="21"/>
          <w:lang w:val="en-US" w:eastAsia="zh-CN"/>
        </w:rPr>
        <w:t>或登录“ 浙江政府采购网-下载专区－ 电子投标客户端－ 政采云电子交易客户端”）。</w:t>
      </w:r>
    </w:p>
    <w:p w14:paraId="33FE68D5">
      <w:pPr>
        <w:spacing w:line="4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4.3电子投标制作具体流程详见政府采购项目电子交易管理操作指南：【请投标供应商点击链接https://service.zcygov.cn/#/knowledges/CW1EtGwBFdiHxlNd6I3m/6IMVAG0BFdiHxlNdQ8Na或登录“政府采购云平台（www.zcygov.cn）”，从首页-服务中心-帮助文档-项目采购-操作流程-电子招投标，查看文档和视频】。供应商在使用系统进行投标的过程中遇到涉及平台使用的任何问题，可致电政府采购云平台技术支持热线咨询，联系方式：95763。</w:t>
      </w:r>
    </w:p>
    <w:p w14:paraId="4BBA95D3">
      <w:pPr>
        <w:spacing w:line="4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4.4本项目投标文件的解密、报价文件确认等所使用的CA必须和制作电子加密投标文件时使用的CA为同一个。为确保网上操作合法、有效和安全，投标供应商应当在投标截止时间前完成在“政府采购云平台”的身份认证，确保在电子投标过程中能够对相关数据电文进行加密和使用电子签章。</w:t>
      </w:r>
    </w:p>
    <w:p w14:paraId="3C05F296">
      <w:pPr>
        <w:spacing w:line="4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4.5本项目采用电子投标，供应商代表无需出席开标现场会议。开标时间前供应商登录“政府采购云平台”进入开标大厅等候开标。</w:t>
      </w:r>
    </w:p>
    <w:p w14:paraId="44ED5CFF">
      <w:pPr>
        <w:spacing w:line="4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5.政采贷</w:t>
      </w:r>
    </w:p>
    <w:p w14:paraId="13B003DD">
      <w:pPr>
        <w:spacing w:line="4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本项目成交供应商与采购人签订的政府采购合同适用衢州市常山县政府采购贷款政策，简称“政采贷”，具体内容可参阅《常山县“政采贷”办理指引》，http://www.zjcs.gov.cn/art/2022/1/10/art_1229091236_4857590.html。</w:t>
      </w:r>
    </w:p>
    <w:p w14:paraId="59B96D25">
      <w:pPr>
        <w:spacing w:line="4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6.采购信息发布媒介：浙江政府采购网（http://zfcg.czt.zj.gov.cn/）、常山县政府网（http://www.zjcs.gov.cn/col/col1229635770/index.html）。</w:t>
      </w:r>
    </w:p>
    <w:p w14:paraId="21EB74C0">
      <w:pPr>
        <w:spacing w:line="440" w:lineRule="exact"/>
        <w:ind w:firstLine="422" w:firstLineChars="200"/>
        <w:rPr>
          <w:rFonts w:hint="eastAsia" w:ascii="宋体" w:hAnsi="宋体" w:cs="宋体"/>
          <w:b/>
          <w:bCs/>
          <w:szCs w:val="21"/>
        </w:rPr>
      </w:pPr>
      <w:r>
        <w:rPr>
          <w:rFonts w:hint="eastAsia" w:ascii="宋体" w:hAnsi="宋体" w:cs="宋体"/>
          <w:b/>
          <w:bCs/>
          <w:szCs w:val="21"/>
          <w:lang w:val="en-US" w:eastAsia="zh-CN"/>
        </w:rPr>
        <w:t>七</w:t>
      </w:r>
      <w:r>
        <w:rPr>
          <w:rFonts w:hint="eastAsia" w:ascii="宋体" w:hAnsi="宋体" w:cs="宋体"/>
          <w:b/>
          <w:bCs/>
          <w:szCs w:val="21"/>
        </w:rPr>
        <w:t>、</w:t>
      </w:r>
      <w:bookmarkEnd w:id="41"/>
      <w:bookmarkEnd w:id="42"/>
      <w:bookmarkEnd w:id="43"/>
      <w:bookmarkEnd w:id="44"/>
      <w:r>
        <w:rPr>
          <w:rFonts w:hint="eastAsia" w:ascii="宋体" w:hAnsi="宋体" w:cs="宋体"/>
          <w:b/>
          <w:bCs/>
          <w:szCs w:val="21"/>
        </w:rPr>
        <w:t>对本次招标提出询问、质疑、投诉，请按以下方式联系。　　　</w:t>
      </w:r>
    </w:p>
    <w:p w14:paraId="13EBF4A0">
      <w:pPr>
        <w:spacing w:line="440" w:lineRule="exact"/>
        <w:ind w:firstLine="420" w:firstLineChars="200"/>
        <w:rPr>
          <w:rFonts w:hint="eastAsia" w:ascii="宋体" w:hAnsi="宋体" w:cs="宋体"/>
          <w:szCs w:val="21"/>
        </w:rPr>
      </w:pPr>
      <w:bookmarkStart w:id="45" w:name="_Toc28359009"/>
      <w:bookmarkStart w:id="46" w:name="_Toc28359086"/>
      <w:r>
        <w:rPr>
          <w:rFonts w:hint="eastAsia" w:ascii="宋体" w:hAnsi="宋体" w:cs="宋体"/>
          <w:szCs w:val="21"/>
        </w:rPr>
        <w:t>1.采购人信息</w:t>
      </w:r>
    </w:p>
    <w:p w14:paraId="74EBDEDA">
      <w:pPr>
        <w:spacing w:line="440" w:lineRule="exact"/>
        <w:ind w:firstLine="420" w:firstLineChars="200"/>
        <w:rPr>
          <w:rFonts w:hint="eastAsia" w:ascii="宋体" w:hAnsi="宋体" w:eastAsia="宋体" w:cs="宋体"/>
          <w:szCs w:val="21"/>
          <w:lang w:eastAsia="zh-CN"/>
        </w:rPr>
      </w:pPr>
      <w:r>
        <w:rPr>
          <w:rFonts w:hint="eastAsia" w:ascii="宋体" w:hAnsi="宋体" w:cs="宋体"/>
          <w:szCs w:val="21"/>
        </w:rPr>
        <w:t>名称：</w:t>
      </w:r>
      <w:r>
        <w:rPr>
          <w:rFonts w:hint="eastAsia" w:ascii="宋体" w:hAnsi="宋体" w:cs="宋体"/>
          <w:szCs w:val="21"/>
          <w:lang w:eastAsia="zh-CN"/>
        </w:rPr>
        <w:t>常山县市场监督管理局</w:t>
      </w:r>
    </w:p>
    <w:p w14:paraId="3F79F524">
      <w:pPr>
        <w:spacing w:line="400" w:lineRule="exact"/>
        <w:ind w:firstLine="420" w:firstLineChars="200"/>
        <w:rPr>
          <w:rFonts w:ascii="宋体" w:hAnsi="宋体" w:cs="宋体"/>
          <w:szCs w:val="21"/>
        </w:rPr>
      </w:pPr>
      <w:r>
        <w:rPr>
          <w:rFonts w:hint="eastAsia" w:ascii="宋体" w:hAnsi="宋体" w:cs="宋体"/>
          <w:szCs w:val="21"/>
        </w:rPr>
        <w:t>地址：常山县紫港街道体教园区市场监管大楼</w:t>
      </w:r>
    </w:p>
    <w:p w14:paraId="3E09EB27">
      <w:pPr>
        <w:spacing w:line="440" w:lineRule="exact"/>
        <w:ind w:firstLine="420" w:firstLineChars="200"/>
        <w:rPr>
          <w:rFonts w:hint="eastAsia" w:ascii="宋体" w:hAnsi="宋体" w:cs="宋体"/>
          <w:szCs w:val="21"/>
        </w:rPr>
      </w:pPr>
      <w:r>
        <w:rPr>
          <w:rFonts w:hint="eastAsia" w:ascii="宋体" w:hAnsi="宋体" w:cs="宋体"/>
          <w:szCs w:val="21"/>
        </w:rPr>
        <w:t>传真：/</w:t>
      </w:r>
    </w:p>
    <w:p w14:paraId="7091641D">
      <w:pPr>
        <w:spacing w:line="440" w:lineRule="exact"/>
        <w:ind w:firstLine="420" w:firstLineChars="200"/>
        <w:rPr>
          <w:rFonts w:hint="default" w:ascii="宋体" w:hAnsi="宋体" w:eastAsia="宋体" w:cs="宋体"/>
          <w:szCs w:val="21"/>
          <w:lang w:val="en-US" w:eastAsia="zh-CN"/>
        </w:rPr>
      </w:pPr>
      <w:r>
        <w:rPr>
          <w:rFonts w:hint="eastAsia" w:ascii="宋体" w:hAnsi="宋体" w:cs="宋体"/>
          <w:szCs w:val="21"/>
        </w:rPr>
        <w:t>项目联系人（询问）：</w:t>
      </w:r>
      <w:r>
        <w:rPr>
          <w:rFonts w:hint="eastAsia" w:ascii="宋体" w:hAnsi="宋体" w:cs="宋体"/>
          <w:szCs w:val="21"/>
          <w:lang w:val="en-US" w:eastAsia="zh-CN"/>
        </w:rPr>
        <w:t>胡科</w:t>
      </w:r>
    </w:p>
    <w:p w14:paraId="7D37A6BB">
      <w:pPr>
        <w:spacing w:line="440" w:lineRule="exact"/>
        <w:ind w:firstLine="420" w:firstLineChars="200"/>
        <w:rPr>
          <w:rFonts w:hint="eastAsia" w:ascii="宋体" w:hAnsi="宋体" w:cs="宋体"/>
          <w:szCs w:val="21"/>
          <w:lang w:val="en-US" w:eastAsia="zh-CN"/>
        </w:rPr>
      </w:pPr>
      <w:r>
        <w:rPr>
          <w:rFonts w:hint="eastAsia" w:ascii="宋体" w:hAnsi="宋体" w:cs="宋体"/>
          <w:szCs w:val="21"/>
        </w:rPr>
        <w:t>项目联系方式（询问）：</w:t>
      </w:r>
      <w:r>
        <w:rPr>
          <w:rFonts w:hint="eastAsia" w:ascii="宋体" w:hAnsi="宋体" w:cs="宋体"/>
          <w:szCs w:val="21"/>
          <w:lang w:val="en-US" w:eastAsia="zh-CN"/>
        </w:rPr>
        <w:t>0570-5669629</w:t>
      </w:r>
    </w:p>
    <w:p w14:paraId="720B9A3B">
      <w:pPr>
        <w:spacing w:line="440" w:lineRule="exact"/>
        <w:ind w:firstLine="420" w:firstLineChars="200"/>
        <w:rPr>
          <w:rFonts w:hint="default" w:ascii="宋体" w:hAnsi="宋体" w:cs="宋体"/>
          <w:szCs w:val="21"/>
          <w:lang w:val="en-US" w:eastAsia="zh-CN"/>
        </w:rPr>
      </w:pPr>
      <w:r>
        <w:rPr>
          <w:rFonts w:hint="default" w:ascii="宋体" w:hAnsi="宋体" w:cs="宋体"/>
          <w:szCs w:val="21"/>
          <w:lang w:val="en-US" w:eastAsia="zh-CN"/>
        </w:rPr>
        <w:t>质疑联系人：</w:t>
      </w:r>
      <w:r>
        <w:rPr>
          <w:rFonts w:hint="eastAsia" w:ascii="宋体" w:hAnsi="宋体" w:cs="宋体"/>
          <w:szCs w:val="21"/>
          <w:lang w:val="en-US" w:eastAsia="zh-CN"/>
        </w:rPr>
        <w:t>胡科</w:t>
      </w:r>
    </w:p>
    <w:p w14:paraId="74911CC6">
      <w:pPr>
        <w:spacing w:line="440" w:lineRule="exact"/>
        <w:ind w:firstLine="420" w:firstLineChars="200"/>
        <w:rPr>
          <w:rFonts w:hint="default" w:ascii="宋体" w:hAnsi="宋体" w:eastAsia="宋体" w:cs="宋体"/>
          <w:szCs w:val="21"/>
          <w:lang w:val="en-US" w:eastAsia="zh-CN"/>
        </w:rPr>
      </w:pPr>
      <w:r>
        <w:rPr>
          <w:rFonts w:hint="eastAsia" w:ascii="宋体" w:hAnsi="宋体" w:cs="宋体"/>
          <w:szCs w:val="21"/>
          <w:lang w:val="en-US" w:eastAsia="zh-CN"/>
        </w:rPr>
        <w:t>质疑联系方式：0570-5669629</w:t>
      </w:r>
    </w:p>
    <w:p w14:paraId="735DD443">
      <w:pPr>
        <w:spacing w:line="440" w:lineRule="exact"/>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2.采购代理机构信息</w:t>
      </w:r>
      <w:bookmarkEnd w:id="45"/>
      <w:bookmarkEnd w:id="46"/>
    </w:p>
    <w:p w14:paraId="7D59B2C1">
      <w:pPr>
        <w:spacing w:line="440" w:lineRule="exact"/>
        <w:ind w:firstLine="420" w:firstLineChars="200"/>
        <w:rPr>
          <w:rFonts w:hint="eastAsia" w:ascii="宋体" w:hAnsi="宋体" w:cs="宋体"/>
          <w:szCs w:val="21"/>
        </w:rPr>
      </w:pPr>
      <w:r>
        <w:rPr>
          <w:rFonts w:hint="eastAsia" w:ascii="宋体" w:hAnsi="宋体" w:cs="宋体"/>
          <w:szCs w:val="21"/>
        </w:rPr>
        <w:t>名 称：</w:t>
      </w:r>
      <w:r>
        <w:rPr>
          <w:rFonts w:hint="eastAsia" w:ascii="宋体" w:hAnsi="宋体" w:cs="宋体"/>
          <w:szCs w:val="21"/>
          <w:lang w:eastAsia="zh-CN"/>
        </w:rPr>
        <w:t>浙江策鼎工程项目管理有限公司</w:t>
      </w:r>
      <w:r>
        <w:rPr>
          <w:rFonts w:hint="eastAsia" w:ascii="宋体" w:hAnsi="宋体" w:cs="宋体"/>
          <w:szCs w:val="21"/>
        </w:rPr>
        <w:t>　　　　　　　　　</w:t>
      </w:r>
    </w:p>
    <w:p w14:paraId="7A31273A">
      <w:pPr>
        <w:spacing w:line="440" w:lineRule="exact"/>
        <w:ind w:firstLine="420" w:firstLineChars="200"/>
        <w:rPr>
          <w:rFonts w:hint="eastAsia" w:ascii="宋体" w:hAnsi="宋体" w:eastAsia="宋体" w:cs="宋体"/>
          <w:szCs w:val="21"/>
          <w:lang w:eastAsia="zh-CN"/>
        </w:rPr>
      </w:pPr>
      <w:r>
        <w:rPr>
          <w:rFonts w:hint="eastAsia" w:ascii="宋体" w:hAnsi="宋体" w:cs="宋体"/>
          <w:szCs w:val="21"/>
        </w:rPr>
        <w:t>地　址：</w:t>
      </w:r>
      <w:r>
        <w:rPr>
          <w:rFonts w:hint="eastAsia" w:ascii="宋体" w:hAnsi="宋体" w:cs="宋体"/>
          <w:szCs w:val="21"/>
          <w:lang w:eastAsia="zh-CN"/>
        </w:rPr>
        <w:t>浙江省常山县天马街道定阳南路859幢336号</w:t>
      </w:r>
    </w:p>
    <w:p w14:paraId="00A2B1D1">
      <w:pPr>
        <w:spacing w:line="440" w:lineRule="exact"/>
        <w:ind w:firstLine="420" w:firstLineChars="200"/>
        <w:rPr>
          <w:rFonts w:hint="eastAsia" w:ascii="宋体" w:hAnsi="宋体" w:cs="宋体"/>
          <w:szCs w:val="21"/>
        </w:rPr>
      </w:pPr>
      <w:r>
        <w:rPr>
          <w:rFonts w:hint="eastAsia" w:ascii="宋体" w:hAnsi="宋体" w:cs="宋体"/>
          <w:szCs w:val="21"/>
        </w:rPr>
        <w:t xml:space="preserve">联系人： </w:t>
      </w:r>
      <w:r>
        <w:rPr>
          <w:rFonts w:hint="eastAsia" w:ascii="宋体" w:hAnsi="宋体" w:cs="宋体"/>
          <w:szCs w:val="21"/>
          <w:lang w:eastAsia="zh-CN"/>
        </w:rPr>
        <w:t>何思思</w:t>
      </w:r>
      <w:r>
        <w:rPr>
          <w:rFonts w:hint="eastAsia" w:ascii="宋体" w:hAnsi="宋体" w:cs="宋体"/>
          <w:szCs w:val="21"/>
        </w:rPr>
        <w:t> 　   　　　　　　　　　　　</w:t>
      </w:r>
    </w:p>
    <w:p w14:paraId="4309E5C7">
      <w:pPr>
        <w:spacing w:line="440" w:lineRule="exact"/>
        <w:ind w:firstLine="420" w:firstLineChars="200"/>
        <w:rPr>
          <w:rFonts w:hint="eastAsia" w:ascii="宋体" w:hAnsi="宋体" w:cs="宋体"/>
          <w:szCs w:val="21"/>
          <w:lang w:val="en-US" w:eastAsia="zh-CN"/>
        </w:rPr>
      </w:pPr>
      <w:r>
        <w:rPr>
          <w:rFonts w:hint="eastAsia" w:ascii="宋体" w:hAnsi="宋体" w:cs="宋体"/>
          <w:szCs w:val="21"/>
        </w:rPr>
        <w:t xml:space="preserve">联系方式： </w:t>
      </w:r>
      <w:r>
        <w:rPr>
          <w:rFonts w:hint="eastAsia" w:ascii="宋体" w:hAnsi="宋体" w:cs="宋体"/>
          <w:szCs w:val="21"/>
          <w:lang w:val="en-US" w:eastAsia="zh-CN"/>
        </w:rPr>
        <w:t>15157083636</w:t>
      </w:r>
    </w:p>
    <w:p w14:paraId="778AE32A">
      <w:pPr>
        <w:spacing w:line="440" w:lineRule="exact"/>
        <w:ind w:firstLine="420" w:firstLineChars="200"/>
        <w:rPr>
          <w:rFonts w:hint="eastAsia" w:ascii="宋体" w:hAnsi="宋体" w:eastAsia="宋体" w:cs="宋体"/>
          <w:szCs w:val="21"/>
          <w:lang w:val="en-US" w:eastAsia="zh-CN"/>
        </w:rPr>
      </w:pPr>
      <w:r>
        <w:rPr>
          <w:rFonts w:hint="eastAsia" w:ascii="宋体" w:hAnsi="宋体" w:cs="宋体"/>
          <w:szCs w:val="21"/>
        </w:rPr>
        <w:t>质疑联系人：</w:t>
      </w:r>
      <w:r>
        <w:rPr>
          <w:rFonts w:hint="eastAsia" w:ascii="宋体" w:hAnsi="宋体" w:cs="宋体"/>
          <w:szCs w:val="21"/>
          <w:lang w:val="en-US" w:eastAsia="zh-CN"/>
        </w:rPr>
        <w:t>何先生</w:t>
      </w:r>
    </w:p>
    <w:p w14:paraId="37318C41">
      <w:pPr>
        <w:spacing w:line="440" w:lineRule="exact"/>
        <w:ind w:firstLine="420" w:firstLineChars="200"/>
        <w:rPr>
          <w:rFonts w:hint="eastAsia" w:ascii="宋体" w:hAnsi="宋体" w:eastAsia="宋体" w:cs="宋体"/>
          <w:lang w:eastAsia="zh-CN"/>
        </w:rPr>
      </w:pPr>
      <w:r>
        <w:rPr>
          <w:rFonts w:hint="eastAsia" w:ascii="宋体" w:hAnsi="宋体" w:cs="宋体"/>
          <w:szCs w:val="21"/>
        </w:rPr>
        <w:t>质疑联系方式：0570-5568286</w:t>
      </w:r>
    </w:p>
    <w:p w14:paraId="5A0CA063">
      <w:pPr>
        <w:spacing w:line="440" w:lineRule="exact"/>
        <w:ind w:firstLine="420" w:firstLineChars="200"/>
        <w:rPr>
          <w:rFonts w:hint="eastAsia" w:ascii="宋体" w:hAnsi="宋体" w:cs="宋体"/>
          <w:szCs w:val="21"/>
        </w:rPr>
      </w:pPr>
      <w:r>
        <w:rPr>
          <w:rFonts w:hint="eastAsia" w:ascii="宋体" w:hAnsi="宋体" w:cs="宋体"/>
          <w:szCs w:val="21"/>
        </w:rPr>
        <w:t>3.同级政府采购监管部门：</w:t>
      </w:r>
    </w:p>
    <w:p w14:paraId="01789085">
      <w:pPr>
        <w:spacing w:line="440" w:lineRule="exact"/>
        <w:ind w:firstLine="420" w:firstLineChars="200"/>
        <w:rPr>
          <w:rFonts w:hint="eastAsia" w:ascii="宋体" w:hAnsi="宋体" w:cs="宋体"/>
          <w:szCs w:val="21"/>
        </w:rPr>
      </w:pPr>
      <w:r>
        <w:rPr>
          <w:rFonts w:hint="eastAsia" w:ascii="宋体" w:hAnsi="宋体" w:cs="宋体"/>
          <w:szCs w:val="21"/>
        </w:rPr>
        <w:t>名 称：常山县财政局政府采购监管科</w:t>
      </w:r>
    </w:p>
    <w:p w14:paraId="259A7561">
      <w:pPr>
        <w:spacing w:line="440" w:lineRule="exact"/>
        <w:ind w:firstLine="420" w:firstLineChars="200"/>
        <w:rPr>
          <w:rFonts w:hint="eastAsia" w:ascii="宋体" w:hAnsi="宋体" w:cs="宋体"/>
          <w:szCs w:val="21"/>
        </w:rPr>
      </w:pPr>
      <w:r>
        <w:rPr>
          <w:rFonts w:hint="eastAsia" w:ascii="宋体" w:hAnsi="宋体" w:cs="宋体"/>
          <w:szCs w:val="21"/>
        </w:rPr>
        <w:t>地址：常山县天马街道定阳北路415号</w:t>
      </w:r>
    </w:p>
    <w:p w14:paraId="6F1437A7">
      <w:pPr>
        <w:spacing w:line="440" w:lineRule="exact"/>
        <w:ind w:firstLine="420" w:firstLineChars="200"/>
        <w:rPr>
          <w:rFonts w:hint="eastAsia" w:ascii="宋体" w:hAnsi="宋体" w:cs="宋体"/>
          <w:szCs w:val="21"/>
        </w:rPr>
      </w:pPr>
      <w:r>
        <w:rPr>
          <w:rFonts w:hint="eastAsia" w:ascii="宋体" w:hAnsi="宋体" w:cs="宋体"/>
          <w:szCs w:val="21"/>
        </w:rPr>
        <w:t>联系人：李科长</w:t>
      </w:r>
    </w:p>
    <w:p w14:paraId="35AFF062">
      <w:pPr>
        <w:spacing w:line="440" w:lineRule="exact"/>
        <w:ind w:firstLine="420" w:firstLineChars="200"/>
        <w:rPr>
          <w:rFonts w:hint="eastAsia" w:ascii="宋体" w:hAnsi="宋体" w:cs="宋体"/>
          <w:szCs w:val="21"/>
        </w:rPr>
      </w:pPr>
      <w:r>
        <w:rPr>
          <w:rFonts w:hint="eastAsia" w:ascii="宋体" w:hAnsi="宋体" w:cs="宋体"/>
          <w:szCs w:val="21"/>
        </w:rPr>
        <w:t>监督投诉电话：0570-5015373</w:t>
      </w:r>
    </w:p>
    <w:p w14:paraId="0306344E">
      <w:pPr>
        <w:pStyle w:val="7"/>
        <w:widowControl/>
        <w:adjustRightInd w:val="0"/>
        <w:snapToGrid w:val="0"/>
        <w:spacing w:after="0" w:line="440" w:lineRule="exact"/>
        <w:ind w:leftChars="0" w:hanging="420"/>
        <w:jc w:val="right"/>
        <w:rPr>
          <w:rFonts w:hint="eastAsia" w:ascii="宋体" w:hAnsi="宋体"/>
        </w:rPr>
      </w:pPr>
    </w:p>
    <w:p w14:paraId="3257A391">
      <w:pPr>
        <w:pStyle w:val="7"/>
        <w:widowControl/>
        <w:adjustRightInd w:val="0"/>
        <w:snapToGrid w:val="0"/>
        <w:spacing w:after="0" w:line="440" w:lineRule="exact"/>
        <w:ind w:leftChars="0" w:hanging="420"/>
        <w:jc w:val="right"/>
        <w:rPr>
          <w:rFonts w:hint="eastAsia" w:ascii="宋体" w:hAnsi="宋体"/>
          <w:lang w:eastAsia="zh-CN"/>
        </w:rPr>
      </w:pPr>
    </w:p>
    <w:p w14:paraId="7B906EF0">
      <w:pPr>
        <w:pStyle w:val="7"/>
        <w:widowControl/>
        <w:adjustRightInd w:val="0"/>
        <w:snapToGrid w:val="0"/>
        <w:spacing w:after="0" w:line="440" w:lineRule="exact"/>
        <w:ind w:leftChars="0" w:hanging="420"/>
        <w:jc w:val="right"/>
        <w:rPr>
          <w:rFonts w:hint="eastAsia" w:ascii="宋体" w:hAnsi="宋体"/>
        </w:rPr>
      </w:pPr>
      <w:r>
        <w:rPr>
          <w:rFonts w:hint="eastAsia" w:ascii="宋体" w:hAnsi="宋体"/>
          <w:lang w:eastAsia="zh-CN"/>
        </w:rPr>
        <w:t>常山县市场监督管理局</w:t>
      </w:r>
      <w:r>
        <w:rPr>
          <w:rFonts w:hint="eastAsia" w:ascii="宋体" w:hAnsi="宋体"/>
        </w:rPr>
        <w:t xml:space="preserve">               </w:t>
      </w:r>
    </w:p>
    <w:p w14:paraId="3F5A0D04">
      <w:pPr>
        <w:pStyle w:val="7"/>
        <w:widowControl/>
        <w:adjustRightInd w:val="0"/>
        <w:snapToGrid w:val="0"/>
        <w:spacing w:after="0" w:line="440" w:lineRule="exact"/>
        <w:ind w:leftChars="0" w:hanging="420"/>
        <w:jc w:val="right"/>
        <w:rPr>
          <w:rFonts w:hint="eastAsia" w:ascii="宋体" w:hAnsi="宋体"/>
          <w:lang w:eastAsia="zh-CN"/>
        </w:rPr>
      </w:pPr>
      <w:r>
        <w:rPr>
          <w:rFonts w:hint="eastAsia" w:ascii="宋体" w:hAnsi="宋体"/>
        </w:rPr>
        <w:t xml:space="preserve"> </w:t>
      </w:r>
      <w:r>
        <w:rPr>
          <w:rFonts w:hint="eastAsia" w:ascii="宋体" w:hAnsi="宋体"/>
          <w:lang w:eastAsia="zh-CN"/>
        </w:rPr>
        <w:t>浙江策鼎工程项目管理有限公司</w:t>
      </w:r>
      <w:r>
        <w:rPr>
          <w:rFonts w:hint="eastAsia" w:ascii="宋体" w:hAnsi="宋体"/>
        </w:rPr>
        <w:t>　</w:t>
      </w:r>
    </w:p>
    <w:p w14:paraId="4E12D164">
      <w:pPr>
        <w:pStyle w:val="7"/>
        <w:widowControl/>
        <w:adjustRightInd w:val="0"/>
        <w:snapToGrid w:val="0"/>
        <w:spacing w:after="0" w:line="440" w:lineRule="exact"/>
        <w:ind w:left="0" w:leftChars="0" w:firstLine="0" w:firstLineChars="0"/>
        <w:jc w:val="right"/>
        <w:rPr>
          <w:rFonts w:ascii="宋体" w:hAnsi="宋体"/>
        </w:rPr>
      </w:pPr>
      <w:r>
        <w:rPr>
          <w:rFonts w:hint="eastAsia" w:ascii="宋体" w:hAnsi="宋体"/>
          <w:lang w:val="en-US" w:eastAsia="zh-CN"/>
        </w:rPr>
        <w:t>2025</w:t>
      </w:r>
      <w:r>
        <w:rPr>
          <w:rFonts w:hint="eastAsia" w:ascii="宋体" w:hAnsi="宋体"/>
        </w:rPr>
        <w:t>年</w:t>
      </w:r>
      <w:r>
        <w:rPr>
          <w:rFonts w:hint="eastAsia" w:ascii="宋体" w:hAnsi="宋体"/>
          <w:lang w:val="en-US" w:eastAsia="zh-CN"/>
        </w:rPr>
        <w:t>4</w:t>
      </w:r>
      <w:r>
        <w:rPr>
          <w:rFonts w:hint="eastAsia" w:ascii="宋体" w:hAnsi="宋体"/>
        </w:rPr>
        <w:t>月</w:t>
      </w:r>
    </w:p>
    <w:p w14:paraId="147D31FC">
      <w:pPr>
        <w:pStyle w:val="10"/>
        <w:ind w:firstLine="300"/>
        <w:rPr>
          <w:rFonts w:hint="eastAsia" w:ascii="宋体" w:hAnsi="宋体" w:cs="宋体"/>
        </w:rPr>
      </w:pPr>
      <w:r>
        <w:br w:type="page"/>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p>
    <w:p w14:paraId="59D451FB">
      <w:pPr>
        <w:pStyle w:val="2"/>
        <w:spacing w:line="500" w:lineRule="exact"/>
        <w:rPr>
          <w:rStyle w:val="31"/>
          <w:rFonts w:hint="eastAsia" w:ascii="宋体" w:hAnsi="宋体" w:cs="宋体"/>
          <w:b/>
          <w:bCs/>
        </w:rPr>
      </w:pPr>
      <w:bookmarkStart w:id="47" w:name="_Toc19026"/>
      <w:r>
        <w:rPr>
          <w:rFonts w:hint="eastAsia" w:ascii="宋体" w:hAnsi="宋体" w:cs="宋体"/>
        </w:rPr>
        <w:t>第二章  投标人须知</w:t>
      </w:r>
      <w:bookmarkEnd w:id="47"/>
    </w:p>
    <w:p w14:paraId="65B5A59F">
      <w:pPr>
        <w:pStyle w:val="3"/>
        <w:spacing w:before="0" w:after="0" w:line="500" w:lineRule="exact"/>
        <w:rPr>
          <w:rFonts w:hint="eastAsia" w:ascii="宋体" w:hAnsi="宋体" w:cs="宋体"/>
        </w:rPr>
      </w:pPr>
      <w:r>
        <w:rPr>
          <w:rFonts w:hint="eastAsia" w:ascii="宋体" w:hAnsi="宋体" w:cs="宋体"/>
        </w:rPr>
        <w:t>一、投标人须知前附表</w:t>
      </w:r>
    </w:p>
    <w:tbl>
      <w:tblPr>
        <w:tblStyle w:val="22"/>
        <w:tblW w:w="98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2265"/>
        <w:gridCol w:w="6749"/>
      </w:tblGrid>
      <w:tr w14:paraId="5A4FB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 w:type="dxa"/>
            <w:noWrap w:val="0"/>
            <w:vAlign w:val="center"/>
          </w:tcPr>
          <w:p w14:paraId="3E905261">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b/>
                <w:kern w:val="0"/>
                <w:szCs w:val="21"/>
                <w:lang w:val="zh-CN"/>
              </w:rPr>
              <w:t>序号</w:t>
            </w:r>
          </w:p>
        </w:tc>
        <w:tc>
          <w:tcPr>
            <w:tcW w:w="2265" w:type="dxa"/>
            <w:noWrap w:val="0"/>
            <w:vAlign w:val="center"/>
          </w:tcPr>
          <w:p w14:paraId="0329FDFC">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b/>
                <w:kern w:val="0"/>
                <w:szCs w:val="21"/>
                <w:lang w:val="zh-CN"/>
              </w:rPr>
              <w:t>项  目</w:t>
            </w:r>
          </w:p>
        </w:tc>
        <w:tc>
          <w:tcPr>
            <w:tcW w:w="6749" w:type="dxa"/>
            <w:noWrap w:val="0"/>
            <w:vAlign w:val="center"/>
          </w:tcPr>
          <w:p w14:paraId="106E9A01">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b/>
                <w:kern w:val="0"/>
                <w:szCs w:val="21"/>
                <w:lang w:val="zh-CN"/>
              </w:rPr>
              <w:t>内   容</w:t>
            </w:r>
          </w:p>
        </w:tc>
      </w:tr>
      <w:tr w14:paraId="0C4ED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 w:type="dxa"/>
            <w:noWrap w:val="0"/>
            <w:vAlign w:val="center"/>
          </w:tcPr>
          <w:p w14:paraId="394DA015">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kern w:val="0"/>
                <w:szCs w:val="21"/>
                <w:lang w:val="zh-CN"/>
              </w:rPr>
              <w:t>1</w:t>
            </w:r>
          </w:p>
        </w:tc>
        <w:tc>
          <w:tcPr>
            <w:tcW w:w="2265" w:type="dxa"/>
            <w:noWrap w:val="0"/>
            <w:vAlign w:val="center"/>
          </w:tcPr>
          <w:p w14:paraId="5A4569B8">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kern w:val="0"/>
                <w:szCs w:val="21"/>
                <w:lang w:val="zh-CN"/>
              </w:rPr>
              <w:t>项目名称</w:t>
            </w:r>
          </w:p>
        </w:tc>
        <w:tc>
          <w:tcPr>
            <w:tcW w:w="6749" w:type="dxa"/>
            <w:noWrap w:val="0"/>
            <w:vAlign w:val="center"/>
          </w:tcPr>
          <w:p w14:paraId="42F915F1">
            <w:pPr>
              <w:autoSpaceDE w:val="0"/>
              <w:autoSpaceDN w:val="0"/>
              <w:adjustRightInd w:val="0"/>
              <w:spacing w:line="360" w:lineRule="auto"/>
              <w:rPr>
                <w:rFonts w:hint="eastAsia" w:ascii="宋体" w:hAnsi="宋体" w:eastAsia="宋体" w:cs="宋体"/>
                <w:kern w:val="0"/>
                <w:szCs w:val="21"/>
                <w:lang w:eastAsia="zh-CN"/>
              </w:rPr>
            </w:pPr>
            <w:r>
              <w:rPr>
                <w:rFonts w:hint="eastAsia" w:ascii="宋体" w:hAnsi="宋体" w:eastAsia="宋体" w:cs="宋体"/>
                <w:kern w:val="0"/>
                <w:szCs w:val="21"/>
                <w:lang w:eastAsia="zh-CN"/>
              </w:rPr>
              <w:t>常山县2025年度产品质量监督抽查服务采购项目</w:t>
            </w:r>
          </w:p>
        </w:tc>
      </w:tr>
      <w:tr w14:paraId="170F0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 w:type="dxa"/>
            <w:noWrap w:val="0"/>
            <w:vAlign w:val="center"/>
          </w:tcPr>
          <w:p w14:paraId="61C61BAD">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kern w:val="0"/>
                <w:szCs w:val="21"/>
                <w:lang w:val="zh-CN"/>
              </w:rPr>
              <w:t>2</w:t>
            </w:r>
          </w:p>
        </w:tc>
        <w:tc>
          <w:tcPr>
            <w:tcW w:w="2265" w:type="dxa"/>
            <w:noWrap w:val="0"/>
            <w:vAlign w:val="center"/>
          </w:tcPr>
          <w:p w14:paraId="407754B4">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kern w:val="0"/>
                <w:szCs w:val="21"/>
                <w:lang w:val="zh-CN"/>
              </w:rPr>
              <w:t>招标内容及需求</w:t>
            </w:r>
          </w:p>
        </w:tc>
        <w:tc>
          <w:tcPr>
            <w:tcW w:w="6749" w:type="dxa"/>
            <w:noWrap w:val="0"/>
            <w:vAlign w:val="center"/>
          </w:tcPr>
          <w:p w14:paraId="3BCD682E">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kern w:val="0"/>
                <w:szCs w:val="21"/>
                <w:lang w:eastAsia="zh-CN"/>
              </w:rPr>
              <w:t>常山县2025年度产品质量监督抽查服务采购项目</w:t>
            </w:r>
            <w:r>
              <w:rPr>
                <w:rFonts w:hint="eastAsia" w:ascii="宋体" w:hAnsi="宋体" w:eastAsia="宋体" w:cs="宋体"/>
                <w:kern w:val="0"/>
                <w:szCs w:val="21"/>
              </w:rPr>
              <w:t>，</w:t>
            </w:r>
            <w:r>
              <w:rPr>
                <w:rFonts w:hint="eastAsia" w:ascii="宋体" w:hAnsi="宋体" w:eastAsia="宋体" w:cs="宋体"/>
                <w:color w:val="auto"/>
                <w:kern w:val="0"/>
                <w:szCs w:val="21"/>
                <w:lang w:eastAsia="zh-CN"/>
              </w:rPr>
              <w:t>整</w:t>
            </w:r>
            <w:r>
              <w:rPr>
                <w:rFonts w:hint="eastAsia" w:ascii="宋体" w:hAnsi="宋体" w:eastAsia="宋体" w:cs="宋体"/>
                <w:color w:val="000000" w:themeColor="text1"/>
                <w:kern w:val="0"/>
                <w:szCs w:val="21"/>
                <w:lang w:eastAsia="zh-CN"/>
                <w14:textFill>
                  <w14:solidFill>
                    <w14:schemeClr w14:val="tx1"/>
                  </w14:solidFill>
                </w14:textFill>
              </w:rPr>
              <w:t>个服务在</w:t>
            </w:r>
            <w:r>
              <w:rPr>
                <w:rFonts w:hint="eastAsia" w:ascii="宋体" w:hAnsi="宋体" w:eastAsia="宋体" w:cs="宋体"/>
                <w:color w:val="000000" w:themeColor="text1"/>
                <w:kern w:val="0"/>
                <w:szCs w:val="21"/>
                <w:lang w:val="en-US" w:eastAsia="zh-CN"/>
                <w14:textFill>
                  <w14:solidFill>
                    <w14:schemeClr w14:val="tx1"/>
                  </w14:solidFill>
                </w14:textFill>
              </w:rPr>
              <w:t>2025</w:t>
            </w:r>
            <w:r>
              <w:rPr>
                <w:rFonts w:hint="eastAsia" w:ascii="宋体" w:hAnsi="宋体" w:eastAsia="宋体" w:cs="宋体"/>
                <w:color w:val="000000" w:themeColor="text1"/>
                <w:kern w:val="0"/>
                <w:szCs w:val="21"/>
                <w:lang w:eastAsia="zh-CN"/>
                <w14:textFill>
                  <w14:solidFill>
                    <w14:schemeClr w14:val="tx1"/>
                  </w14:solidFill>
                </w14:textFill>
              </w:rPr>
              <w:t>年11月底前完成</w:t>
            </w:r>
            <w:r>
              <w:rPr>
                <w:rFonts w:hint="eastAsia" w:ascii="宋体" w:hAnsi="宋体" w:eastAsia="宋体" w:cs="宋体"/>
                <w:color w:val="000000" w:themeColor="text1"/>
                <w:kern w:val="0"/>
                <w:szCs w:val="21"/>
                <w14:textFill>
                  <w14:solidFill>
                    <w14:schemeClr w14:val="tx1"/>
                  </w14:solidFill>
                </w14:textFill>
              </w:rPr>
              <w:t>，</w:t>
            </w:r>
            <w:r>
              <w:rPr>
                <w:rFonts w:hint="eastAsia" w:ascii="宋体" w:hAnsi="宋体" w:eastAsia="宋体" w:cs="宋体"/>
                <w:color w:val="000000" w:themeColor="text1"/>
                <w:kern w:val="0"/>
                <w:szCs w:val="21"/>
                <w:lang w:val="zh-CN"/>
                <w14:textFill>
                  <w14:solidFill>
                    <w14:schemeClr w14:val="tx1"/>
                  </w14:solidFill>
                </w14:textFill>
              </w:rPr>
              <w:t>具体详见招标文件第</w:t>
            </w:r>
            <w:r>
              <w:rPr>
                <w:rFonts w:hint="eastAsia" w:ascii="宋体" w:hAnsi="宋体" w:eastAsia="宋体" w:cs="宋体"/>
                <w:color w:val="000000" w:themeColor="text1"/>
                <w:kern w:val="0"/>
                <w:szCs w:val="21"/>
                <w14:textFill>
                  <w14:solidFill>
                    <w14:schemeClr w14:val="tx1"/>
                  </w14:solidFill>
                </w14:textFill>
              </w:rPr>
              <w:t>三章“招标内容及要求”。</w:t>
            </w:r>
          </w:p>
        </w:tc>
      </w:tr>
      <w:tr w14:paraId="4B3F6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 w:type="dxa"/>
            <w:noWrap w:val="0"/>
            <w:vAlign w:val="center"/>
          </w:tcPr>
          <w:p w14:paraId="4098DAC3">
            <w:pPr>
              <w:autoSpaceDE w:val="0"/>
              <w:autoSpaceDN w:val="0"/>
              <w:adjustRightInd w:val="0"/>
              <w:spacing w:line="360" w:lineRule="auto"/>
              <w:jc w:val="center"/>
              <w:rPr>
                <w:rFonts w:hint="eastAsia" w:ascii="宋体" w:hAnsi="宋体" w:eastAsia="宋体" w:cs="宋体"/>
                <w:kern w:val="0"/>
                <w:szCs w:val="21"/>
                <w:lang w:eastAsia="zh-CN"/>
              </w:rPr>
            </w:pPr>
            <w:r>
              <w:rPr>
                <w:rFonts w:hint="eastAsia" w:ascii="宋体" w:hAnsi="宋体" w:cs="宋体"/>
                <w:kern w:val="0"/>
                <w:szCs w:val="21"/>
                <w:lang w:val="en-US" w:eastAsia="zh-CN"/>
              </w:rPr>
              <w:t>3</w:t>
            </w:r>
          </w:p>
        </w:tc>
        <w:tc>
          <w:tcPr>
            <w:tcW w:w="2265" w:type="dxa"/>
            <w:noWrap w:val="0"/>
            <w:vAlign w:val="center"/>
          </w:tcPr>
          <w:p w14:paraId="49EFD579">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kern w:val="0"/>
                <w:szCs w:val="21"/>
                <w:lang w:val="zh-CN"/>
              </w:rPr>
              <w:t>投标有效期</w:t>
            </w:r>
          </w:p>
        </w:tc>
        <w:tc>
          <w:tcPr>
            <w:tcW w:w="6749" w:type="dxa"/>
            <w:noWrap w:val="0"/>
            <w:vAlign w:val="center"/>
          </w:tcPr>
          <w:p w14:paraId="18A95FF9">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kern w:val="0"/>
                <w:szCs w:val="21"/>
                <w:lang w:val="zh-CN"/>
              </w:rPr>
              <w:t>投标书递交</w:t>
            </w:r>
            <w:r>
              <w:rPr>
                <w:rFonts w:hint="eastAsia" w:ascii="宋体" w:hAnsi="宋体" w:eastAsia="宋体" w:cs="宋体"/>
                <w:kern w:val="0"/>
                <w:szCs w:val="21"/>
              </w:rPr>
              <w:t>90</w:t>
            </w:r>
            <w:r>
              <w:rPr>
                <w:rFonts w:hint="eastAsia" w:ascii="宋体" w:hAnsi="宋体" w:eastAsia="宋体" w:cs="宋体"/>
                <w:kern w:val="0"/>
                <w:szCs w:val="21"/>
                <w:lang w:val="zh-CN"/>
              </w:rPr>
              <w:t>天内有效。</w:t>
            </w:r>
          </w:p>
        </w:tc>
      </w:tr>
      <w:tr w14:paraId="2FDF6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 w:type="dxa"/>
            <w:noWrap w:val="0"/>
            <w:vAlign w:val="center"/>
          </w:tcPr>
          <w:p w14:paraId="25081D9C">
            <w:pPr>
              <w:autoSpaceDE w:val="0"/>
              <w:autoSpaceDN w:val="0"/>
              <w:adjustRightInd w:val="0"/>
              <w:spacing w:line="360" w:lineRule="auto"/>
              <w:jc w:val="center"/>
              <w:rPr>
                <w:rFonts w:hint="eastAsia" w:ascii="宋体" w:hAnsi="宋体" w:eastAsia="宋体" w:cs="宋体"/>
                <w:kern w:val="0"/>
                <w:szCs w:val="21"/>
                <w:lang w:eastAsia="zh-CN"/>
              </w:rPr>
            </w:pPr>
            <w:r>
              <w:rPr>
                <w:rFonts w:hint="eastAsia" w:ascii="宋体" w:hAnsi="宋体" w:cs="宋体"/>
                <w:kern w:val="0"/>
                <w:szCs w:val="21"/>
                <w:lang w:val="en-US" w:eastAsia="zh-CN"/>
              </w:rPr>
              <w:t>4</w:t>
            </w:r>
          </w:p>
        </w:tc>
        <w:tc>
          <w:tcPr>
            <w:tcW w:w="2265" w:type="dxa"/>
            <w:noWrap w:val="0"/>
            <w:vAlign w:val="center"/>
          </w:tcPr>
          <w:p w14:paraId="40B913A9">
            <w:pPr>
              <w:pStyle w:val="20"/>
              <w:tabs>
                <w:tab w:val="left" w:pos="6930"/>
              </w:tabs>
              <w:spacing w:beforeAutospacing="0" w:afterAutospacing="0" w:line="300" w:lineRule="auto"/>
              <w:jc w:val="center"/>
              <w:rPr>
                <w:rFonts w:hint="eastAsia" w:eastAsia="宋体" w:cs="宋体"/>
                <w:szCs w:val="21"/>
                <w:lang w:val="zh-CN"/>
              </w:rPr>
            </w:pPr>
            <w:r>
              <w:rPr>
                <w:rFonts w:hint="eastAsia" w:eastAsia="宋体" w:cs="宋体"/>
                <w:bCs/>
                <w:sz w:val="21"/>
                <w:szCs w:val="21"/>
              </w:rPr>
              <w:t>现场踏勘</w:t>
            </w:r>
          </w:p>
        </w:tc>
        <w:tc>
          <w:tcPr>
            <w:tcW w:w="6749" w:type="dxa"/>
            <w:noWrap w:val="0"/>
            <w:vAlign w:val="center"/>
          </w:tcPr>
          <w:p w14:paraId="6DEAE160">
            <w:pPr>
              <w:pStyle w:val="20"/>
              <w:tabs>
                <w:tab w:val="left" w:pos="6930"/>
              </w:tabs>
              <w:spacing w:beforeAutospacing="0" w:afterAutospacing="0" w:line="300" w:lineRule="auto"/>
              <w:rPr>
                <w:rFonts w:hint="eastAsia" w:eastAsia="宋体" w:cs="宋体"/>
                <w:szCs w:val="21"/>
                <w:lang w:val="zh-CN"/>
              </w:rPr>
            </w:pPr>
            <w:r>
              <w:rPr>
                <w:rFonts w:hint="eastAsia" w:eastAsia="宋体" w:cs="宋体"/>
                <w:kern w:val="2"/>
                <w:sz w:val="21"/>
              </w:rPr>
              <w:t>本项目不</w:t>
            </w:r>
            <w:r>
              <w:rPr>
                <w:rFonts w:hint="eastAsia" w:eastAsia="宋体" w:cs="宋体"/>
                <w:bCs/>
                <w:sz w:val="21"/>
                <w:szCs w:val="21"/>
              </w:rPr>
              <w:t>组织</w:t>
            </w:r>
            <w:r>
              <w:rPr>
                <w:rFonts w:hint="eastAsia" w:eastAsia="宋体" w:cs="宋体"/>
                <w:kern w:val="2"/>
                <w:sz w:val="21"/>
              </w:rPr>
              <w:t>潜在</w:t>
            </w:r>
            <w:r>
              <w:rPr>
                <w:rFonts w:hint="eastAsia" w:cs="宋体"/>
                <w:bCs/>
                <w:sz w:val="21"/>
                <w:szCs w:val="21"/>
              </w:rPr>
              <w:t>投标</w:t>
            </w:r>
            <w:r>
              <w:rPr>
                <w:rFonts w:hint="eastAsia" w:eastAsia="宋体" w:cs="宋体"/>
                <w:kern w:val="2"/>
                <w:sz w:val="21"/>
              </w:rPr>
              <w:t>人踏勘现场</w:t>
            </w:r>
            <w:r>
              <w:rPr>
                <w:rFonts w:hint="eastAsia" w:cs="宋体"/>
                <w:kern w:val="2"/>
                <w:sz w:val="21"/>
              </w:rPr>
              <w:t>。需了解现场情况的潜在投标人可自行前往踏勘。</w:t>
            </w:r>
          </w:p>
        </w:tc>
      </w:tr>
      <w:tr w14:paraId="52EEE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 w:type="dxa"/>
            <w:noWrap w:val="0"/>
            <w:vAlign w:val="center"/>
          </w:tcPr>
          <w:p w14:paraId="79F876CB">
            <w:pPr>
              <w:autoSpaceDE w:val="0"/>
              <w:autoSpaceDN w:val="0"/>
              <w:adjustRightInd w:val="0"/>
              <w:spacing w:line="360" w:lineRule="auto"/>
              <w:jc w:val="center"/>
              <w:rPr>
                <w:rFonts w:hint="eastAsia" w:ascii="宋体" w:hAnsi="宋体" w:eastAsia="宋体" w:cs="宋体"/>
                <w:kern w:val="0"/>
                <w:szCs w:val="21"/>
                <w:lang w:eastAsia="zh-CN"/>
              </w:rPr>
            </w:pPr>
            <w:r>
              <w:rPr>
                <w:rFonts w:hint="eastAsia" w:ascii="宋体" w:hAnsi="宋体" w:cs="宋体"/>
                <w:kern w:val="0"/>
                <w:szCs w:val="21"/>
                <w:lang w:val="en-US" w:eastAsia="zh-CN"/>
              </w:rPr>
              <w:t>5</w:t>
            </w:r>
          </w:p>
        </w:tc>
        <w:tc>
          <w:tcPr>
            <w:tcW w:w="2265" w:type="dxa"/>
            <w:noWrap w:val="0"/>
            <w:vAlign w:val="center"/>
          </w:tcPr>
          <w:p w14:paraId="1CFFEDD1">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rPr>
              <w:t>评标办法</w:t>
            </w:r>
          </w:p>
        </w:tc>
        <w:tc>
          <w:tcPr>
            <w:tcW w:w="6749" w:type="dxa"/>
            <w:noWrap w:val="0"/>
            <w:vAlign w:val="center"/>
          </w:tcPr>
          <w:p w14:paraId="571130CF">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rPr>
              <w:t>综合评分法。</w:t>
            </w:r>
          </w:p>
        </w:tc>
      </w:tr>
      <w:tr w14:paraId="2B3CC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 w:type="dxa"/>
            <w:noWrap w:val="0"/>
            <w:vAlign w:val="center"/>
          </w:tcPr>
          <w:p w14:paraId="64A881E3">
            <w:pPr>
              <w:autoSpaceDE w:val="0"/>
              <w:autoSpaceDN w:val="0"/>
              <w:adjustRightInd w:val="0"/>
              <w:spacing w:line="360" w:lineRule="auto"/>
              <w:jc w:val="center"/>
              <w:rPr>
                <w:rFonts w:hint="eastAsia" w:ascii="宋体" w:hAnsi="宋体" w:eastAsia="宋体" w:cs="宋体"/>
                <w:kern w:val="0"/>
                <w:szCs w:val="21"/>
                <w:lang w:eastAsia="zh-CN"/>
              </w:rPr>
            </w:pPr>
            <w:r>
              <w:rPr>
                <w:rFonts w:hint="eastAsia" w:ascii="宋体" w:hAnsi="宋体" w:cs="宋体"/>
                <w:kern w:val="0"/>
                <w:szCs w:val="21"/>
                <w:lang w:val="en-US" w:eastAsia="zh-CN"/>
              </w:rPr>
              <w:t>6</w:t>
            </w:r>
          </w:p>
        </w:tc>
        <w:tc>
          <w:tcPr>
            <w:tcW w:w="2265" w:type="dxa"/>
            <w:noWrap w:val="0"/>
            <w:vAlign w:val="center"/>
          </w:tcPr>
          <w:p w14:paraId="691AFF55">
            <w:pPr>
              <w:autoSpaceDE w:val="0"/>
              <w:autoSpaceDN w:val="0"/>
              <w:adjustRightInd w:val="0"/>
              <w:spacing w:line="360" w:lineRule="auto"/>
              <w:ind w:left="210" w:hanging="210" w:hangingChars="100"/>
              <w:jc w:val="center"/>
              <w:rPr>
                <w:rFonts w:hint="eastAsia" w:ascii="宋体" w:hAnsi="宋体" w:eastAsia="宋体" w:cs="宋体"/>
                <w:kern w:val="0"/>
                <w:szCs w:val="21"/>
              </w:rPr>
            </w:pPr>
            <w:r>
              <w:rPr>
                <w:rFonts w:hint="eastAsia" w:ascii="宋体" w:hAnsi="宋体" w:eastAsia="宋体" w:cs="宋体"/>
                <w:kern w:val="0"/>
                <w:szCs w:val="21"/>
                <w:lang w:val="zh-CN"/>
              </w:rPr>
              <w:t>投标文件</w:t>
            </w:r>
            <w:r>
              <w:rPr>
                <w:rFonts w:hint="eastAsia" w:ascii="宋体" w:hAnsi="宋体" w:eastAsia="宋体" w:cs="宋体"/>
                <w:bCs/>
                <w:kern w:val="0"/>
                <w:szCs w:val="21"/>
              </w:rPr>
              <w:t>的组成、编制及在线投标响应（电子投标）说明</w:t>
            </w:r>
          </w:p>
        </w:tc>
        <w:tc>
          <w:tcPr>
            <w:tcW w:w="6749" w:type="dxa"/>
            <w:noWrap w:val="0"/>
            <w:vAlign w:val="center"/>
          </w:tcPr>
          <w:p w14:paraId="7F9782A0">
            <w:pPr>
              <w:pStyle w:val="7"/>
              <w:numPr>
                <w:ilvl w:val="0"/>
                <w:numId w:val="2"/>
              </w:numPr>
              <w:spacing w:line="360" w:lineRule="auto"/>
              <w:ind w:left="0" w:leftChars="0" w:firstLine="0" w:firstLineChars="0"/>
              <w:rPr>
                <w:rFonts w:hint="eastAsia" w:ascii="宋体" w:hAnsi="宋体" w:eastAsia="宋体"/>
                <w:lang w:val="en-US" w:eastAsia="zh-CN"/>
              </w:rPr>
            </w:pPr>
            <w:r>
              <w:rPr>
                <w:rFonts w:hint="eastAsia" w:ascii="宋体" w:hAnsi="宋体" w:eastAsia="宋体"/>
                <w:lang w:val="en-US" w:eastAsia="zh-CN"/>
              </w:rPr>
              <w:t>投标文件由资格审查文件、商务技术文件、报价文件组成。</w:t>
            </w:r>
          </w:p>
          <w:p w14:paraId="1959C939">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2、投标文件编制：供应商应先安装“政采云电子交易客户端”，并按照本采购文件和“政府采购云平台”的要求，通过“政采云电子交易客户端”编制并加密投标文件。</w:t>
            </w:r>
          </w:p>
          <w:p w14:paraId="579C6212">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3、投标文件的形式：☑电子投标文件（包括“电子加密投标文件”和“备份投标文件”，在投标文件编制完成后同时生成）；</w:t>
            </w:r>
          </w:p>
          <w:p w14:paraId="47C98938">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（1）“电子加密投标文件”是指通过“政采云电子交易客户端”完成投标文件编制后生成并加密的数据电文形式的投标文件。</w:t>
            </w:r>
          </w:p>
          <w:p w14:paraId="0DA9BA2B">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（2）“备份投标文件”是指与“电子加密投标文件”同时生成的数据电文形式的电子文件（备份标书），其他方式编制的备份投标文件视为无效备份投标文件。</w:t>
            </w:r>
          </w:p>
          <w:p w14:paraId="4C7528E5">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4、投标文件份数：（1）“电子加密投标文件”：在线上传递交、一份。（2）“备份投标文件”：发送至邮箱：</w:t>
            </w:r>
            <w:r>
              <w:rPr>
                <w:rFonts w:hint="eastAsia" w:ascii="宋体" w:hAnsi="宋体" w:eastAsia="宋体" w:cs="宋体"/>
                <w:b/>
                <w:bCs/>
                <w:kern w:val="0"/>
                <w:szCs w:val="21"/>
                <w:u w:val="single"/>
                <w:lang w:eastAsia="zh-CN"/>
              </w:rPr>
              <w:t>1360921946</w:t>
            </w:r>
            <w:r>
              <w:rPr>
                <w:rFonts w:hint="eastAsia" w:ascii="宋体" w:hAnsi="宋体" w:eastAsia="宋体" w:cs="宋体"/>
                <w:b/>
                <w:bCs/>
                <w:kern w:val="0"/>
                <w:szCs w:val="21"/>
                <w:u w:val="single"/>
              </w:rPr>
              <w:t>@qq.com，</w:t>
            </w:r>
            <w:r>
              <w:rPr>
                <w:rFonts w:hint="eastAsia" w:ascii="宋体" w:hAnsi="宋体" w:eastAsia="宋体" w:cs="宋体"/>
                <w:kern w:val="0"/>
                <w:szCs w:val="21"/>
              </w:rPr>
              <w:t>按接收方邮箱收件箱所显示时间为准</w:t>
            </w:r>
            <w:r>
              <w:rPr>
                <w:rFonts w:hint="eastAsia" w:ascii="宋体" w:hAnsi="宋体" w:eastAsia="宋体" w:cs="宋体"/>
                <w:lang w:val="zh-CN"/>
              </w:rPr>
              <w:t>。</w:t>
            </w:r>
          </w:p>
          <w:p w14:paraId="349CDF2F">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5、投标文件的上传和递交：</w:t>
            </w:r>
          </w:p>
          <w:p w14:paraId="7571198A">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（1）“电子加密投标文件”的上传、递交：</w:t>
            </w:r>
          </w:p>
          <w:p w14:paraId="606D7661">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供应商应在投标截止时间前将“电子加密投标文件”成功上传递交至“政府采购云平台”，否则投标无效。</w:t>
            </w:r>
          </w:p>
          <w:p w14:paraId="74FCE308">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（2）“备份投标文件”的递交：</w:t>
            </w:r>
          </w:p>
          <w:p w14:paraId="4EB96FC1">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a.供应商在“政府采购云平台”完成“电子加密投标文件”的上传递交后，还可以（以</w:t>
            </w:r>
            <w:r>
              <w:rPr>
                <w:rFonts w:hint="eastAsia" w:ascii="宋体" w:hAnsi="宋体" w:eastAsia="宋体" w:cs="宋体"/>
              </w:rPr>
              <w:t>电子邮件的</w:t>
            </w:r>
            <w:r>
              <w:rPr>
                <w:rFonts w:hint="eastAsia" w:ascii="宋体" w:hAnsi="宋体" w:eastAsia="宋体" w:cs="宋体"/>
                <w:lang w:val="zh-CN"/>
              </w:rPr>
              <w:t>形式）在投标截止时间前发送一份加密压缩文件的 “备份投标文件”（一份）；</w:t>
            </w:r>
          </w:p>
          <w:p w14:paraId="26768FBC">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b.“备份投标文件”以压缩文件形式加密发送至邮箱：</w:t>
            </w:r>
            <w:r>
              <w:rPr>
                <w:rFonts w:hint="eastAsia" w:ascii="宋体" w:hAnsi="宋体" w:eastAsia="宋体" w:cs="宋体"/>
                <w:b/>
                <w:bCs/>
                <w:kern w:val="0"/>
                <w:szCs w:val="21"/>
                <w:u w:val="single"/>
                <w:lang w:eastAsia="zh-CN"/>
              </w:rPr>
              <w:t>1360921946</w:t>
            </w:r>
            <w:r>
              <w:rPr>
                <w:rFonts w:hint="eastAsia" w:ascii="宋体" w:hAnsi="宋体" w:eastAsia="宋体" w:cs="宋体"/>
                <w:b/>
                <w:bCs/>
                <w:kern w:val="0"/>
                <w:szCs w:val="21"/>
                <w:u w:val="single"/>
              </w:rPr>
              <w:t>@qq.com，</w:t>
            </w:r>
            <w:r>
              <w:rPr>
                <w:rFonts w:hint="eastAsia" w:ascii="宋体" w:hAnsi="宋体" w:eastAsia="宋体" w:cs="宋体"/>
                <w:kern w:val="0"/>
                <w:szCs w:val="21"/>
              </w:rPr>
              <w:t>压缩文件命名为</w:t>
            </w:r>
            <w:r>
              <w:rPr>
                <w:rFonts w:hint="eastAsia" w:ascii="宋体" w:hAnsi="宋体" w:eastAsia="宋体" w:cs="宋体"/>
                <w:lang w:val="zh-CN"/>
              </w:rPr>
              <w:t>投标项目编号和投标单位简称。开标时间起半小时内发送压缩文件密码至邮箱：</w:t>
            </w:r>
            <w:r>
              <w:rPr>
                <w:rFonts w:hint="eastAsia" w:ascii="宋体" w:hAnsi="宋体" w:eastAsia="宋体" w:cs="宋体"/>
                <w:b/>
                <w:bCs/>
                <w:kern w:val="0"/>
                <w:szCs w:val="21"/>
                <w:u w:val="single"/>
                <w:lang w:eastAsia="zh-CN"/>
              </w:rPr>
              <w:t>1360921946</w:t>
            </w:r>
            <w:r>
              <w:rPr>
                <w:rFonts w:hint="eastAsia" w:ascii="宋体" w:hAnsi="宋体" w:eastAsia="宋体" w:cs="宋体"/>
                <w:b/>
                <w:bCs/>
                <w:kern w:val="0"/>
                <w:szCs w:val="21"/>
                <w:u w:val="single"/>
              </w:rPr>
              <w:t>@qq.com</w:t>
            </w:r>
            <w:r>
              <w:rPr>
                <w:rFonts w:hint="eastAsia" w:ascii="宋体" w:hAnsi="宋体" w:eastAsia="宋体" w:cs="宋体"/>
                <w:lang w:val="zh-CN"/>
              </w:rPr>
              <w:t>。</w:t>
            </w:r>
          </w:p>
          <w:p w14:paraId="5D427907">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c.通过“政府采购云平台”成功上传递交的“电子加密投标文件”已按时解密的，“备份投标文件”自动失效。投标截止时间前，供应商仅递交了“备份投标文件”而未将“电子加密投标文件”成功上传至“政府采购云平台”的，投标无效。</w:t>
            </w:r>
          </w:p>
          <w:p w14:paraId="389694F6">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6、电子加密投标文件的解密和异常情况处理：</w:t>
            </w:r>
          </w:p>
          <w:p w14:paraId="0BE01B22">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（1）开标后，采购组织机构将向各供应商发出“电子加密投标文件”的解密通知，各供应商代表应当在接到解密通知后</w:t>
            </w:r>
            <w:r>
              <w:rPr>
                <w:rFonts w:hint="eastAsia" w:ascii="宋体" w:hAnsi="宋体" w:eastAsia="宋体" w:cs="宋体"/>
                <w:b/>
                <w:bCs/>
              </w:rPr>
              <w:t>30</w:t>
            </w:r>
            <w:r>
              <w:rPr>
                <w:rFonts w:hint="eastAsia" w:ascii="宋体" w:hAnsi="宋体" w:eastAsia="宋体" w:cs="宋体"/>
                <w:b/>
                <w:bCs/>
                <w:lang w:val="zh-CN"/>
              </w:rPr>
              <w:t>分钟内</w:t>
            </w:r>
            <w:r>
              <w:rPr>
                <w:rFonts w:hint="eastAsia" w:ascii="宋体" w:hAnsi="宋体" w:eastAsia="宋体" w:cs="宋体"/>
                <w:lang w:val="zh-CN"/>
              </w:rPr>
              <w:t>自行完成“电子加密投标文件”的在线解密，超过解密时限，默认供应商自动放弃。</w:t>
            </w:r>
          </w:p>
          <w:p w14:paraId="40892BBD">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2）通过“政府采购云平台”成功上传递交的“电子加密投标文件”无法按时解密，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7DF7BBCD">
            <w:pPr>
              <w:autoSpaceDE w:val="0"/>
              <w:autoSpaceDN w:val="0"/>
              <w:adjustRightInd w:val="0"/>
              <w:spacing w:line="360" w:lineRule="auto"/>
              <w:rPr>
                <w:rFonts w:hint="eastAsia" w:ascii="宋体" w:hAnsi="宋体" w:eastAsia="宋体" w:cs="宋体"/>
                <w:lang w:val="zh-CN"/>
              </w:rPr>
            </w:pPr>
            <w:r>
              <w:rPr>
                <w:rFonts w:hint="eastAsia" w:ascii="宋体" w:hAnsi="宋体" w:eastAsia="宋体" w:cs="宋体"/>
                <w:lang w:val="zh-CN"/>
              </w:rPr>
              <w:t>（3）投标截止时间前，供应商仅递交了“备份投标文件”而未将电子加密投标文件上传至“政府采购云平台”的，投标无效。</w:t>
            </w:r>
          </w:p>
          <w:p w14:paraId="519CCF3E">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lang w:val="zh-CN"/>
              </w:rPr>
              <w:t>7、投标截止后，在投标有效期内，供应商不能撤销投标文件。供应商强行撤销投标文件的，应按预算金额的2%赔偿对招标代理机构造成的损失。</w:t>
            </w:r>
          </w:p>
        </w:tc>
      </w:tr>
      <w:tr w14:paraId="1B272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 w:type="dxa"/>
            <w:noWrap w:val="0"/>
            <w:vAlign w:val="center"/>
          </w:tcPr>
          <w:p w14:paraId="2637D578">
            <w:pPr>
              <w:autoSpaceDE w:val="0"/>
              <w:autoSpaceDN w:val="0"/>
              <w:adjustRightInd w:val="0"/>
              <w:spacing w:line="360" w:lineRule="auto"/>
              <w:jc w:val="center"/>
              <w:rPr>
                <w:rFonts w:hint="eastAsia" w:ascii="宋体" w:hAnsi="宋体" w:eastAsia="宋体" w:cs="宋体"/>
                <w:kern w:val="0"/>
                <w:szCs w:val="21"/>
                <w:lang w:eastAsia="zh-CN"/>
              </w:rPr>
            </w:pPr>
            <w:r>
              <w:rPr>
                <w:rFonts w:hint="eastAsia" w:ascii="宋体" w:hAnsi="宋体" w:cs="宋体"/>
                <w:kern w:val="0"/>
                <w:szCs w:val="21"/>
                <w:lang w:val="en-US" w:eastAsia="zh-CN"/>
              </w:rPr>
              <w:t>7</w:t>
            </w:r>
          </w:p>
        </w:tc>
        <w:tc>
          <w:tcPr>
            <w:tcW w:w="2265" w:type="dxa"/>
            <w:noWrap w:val="0"/>
            <w:vAlign w:val="center"/>
          </w:tcPr>
          <w:p w14:paraId="0231AC96">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kern w:val="0"/>
                <w:szCs w:val="21"/>
                <w:lang w:val="zh-CN"/>
              </w:rPr>
              <w:t>投标文件</w:t>
            </w:r>
            <w:r>
              <w:rPr>
                <w:rFonts w:hint="eastAsia" w:ascii="宋体" w:hAnsi="宋体" w:eastAsia="宋体" w:cs="宋体"/>
                <w:kern w:val="0"/>
                <w:szCs w:val="21"/>
              </w:rPr>
              <w:t>递交</w:t>
            </w:r>
            <w:r>
              <w:rPr>
                <w:rFonts w:hint="eastAsia" w:ascii="宋体" w:hAnsi="宋体" w:eastAsia="宋体" w:cs="宋体"/>
                <w:kern w:val="0"/>
                <w:szCs w:val="21"/>
                <w:lang w:val="zh-CN"/>
              </w:rPr>
              <w:t>截止时间及地点</w:t>
            </w:r>
          </w:p>
        </w:tc>
        <w:tc>
          <w:tcPr>
            <w:tcW w:w="6749" w:type="dxa"/>
            <w:noWrap w:val="0"/>
            <w:vAlign w:val="center"/>
          </w:tcPr>
          <w:p w14:paraId="6A9186C5">
            <w:pPr>
              <w:snapToGrid w:val="0"/>
              <w:spacing w:line="360" w:lineRule="auto"/>
              <w:rPr>
                <w:rFonts w:hint="eastAsia" w:ascii="宋体" w:hAnsi="宋体" w:eastAsia="宋体" w:cs="宋体"/>
                <w:kern w:val="0"/>
                <w:szCs w:val="21"/>
              </w:rPr>
            </w:pPr>
            <w:r>
              <w:rPr>
                <w:rFonts w:hint="eastAsia" w:ascii="宋体" w:hAnsi="宋体" w:eastAsia="宋体" w:cs="宋体"/>
                <w:szCs w:val="21"/>
              </w:rPr>
              <w:t>详见招标公告</w:t>
            </w:r>
          </w:p>
        </w:tc>
      </w:tr>
      <w:tr w14:paraId="769A9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870" w:type="dxa"/>
            <w:noWrap w:val="0"/>
            <w:vAlign w:val="center"/>
          </w:tcPr>
          <w:p w14:paraId="6A46E2C0">
            <w:pPr>
              <w:autoSpaceDE w:val="0"/>
              <w:autoSpaceDN w:val="0"/>
              <w:adjustRightInd w:val="0"/>
              <w:spacing w:line="360" w:lineRule="auto"/>
              <w:jc w:val="center"/>
              <w:rPr>
                <w:rFonts w:hint="eastAsia" w:ascii="宋体" w:hAnsi="宋体" w:eastAsia="宋体" w:cs="宋体"/>
                <w:kern w:val="0"/>
                <w:szCs w:val="21"/>
                <w:lang w:eastAsia="zh-CN"/>
              </w:rPr>
            </w:pPr>
            <w:r>
              <w:rPr>
                <w:rFonts w:hint="eastAsia" w:ascii="宋体" w:hAnsi="宋体" w:cs="宋体"/>
                <w:kern w:val="0"/>
                <w:szCs w:val="21"/>
                <w:lang w:val="en-US" w:eastAsia="zh-CN"/>
              </w:rPr>
              <w:t>8</w:t>
            </w:r>
          </w:p>
        </w:tc>
        <w:tc>
          <w:tcPr>
            <w:tcW w:w="2265" w:type="dxa"/>
            <w:noWrap w:val="0"/>
            <w:vAlign w:val="center"/>
          </w:tcPr>
          <w:p w14:paraId="7B2B90BE">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kern w:val="0"/>
                <w:szCs w:val="21"/>
                <w:lang w:val="zh-CN"/>
              </w:rPr>
              <w:t>开标时间及地址</w:t>
            </w:r>
          </w:p>
        </w:tc>
        <w:tc>
          <w:tcPr>
            <w:tcW w:w="6749" w:type="dxa"/>
            <w:noWrap w:val="0"/>
            <w:vAlign w:val="center"/>
          </w:tcPr>
          <w:p w14:paraId="2D505D60">
            <w:pPr>
              <w:snapToGrid w:val="0"/>
              <w:spacing w:line="360" w:lineRule="auto"/>
              <w:rPr>
                <w:rFonts w:hint="eastAsia" w:ascii="宋体" w:hAnsi="宋体" w:eastAsia="宋体" w:cs="宋体"/>
                <w:kern w:val="0"/>
                <w:szCs w:val="21"/>
              </w:rPr>
            </w:pPr>
            <w:r>
              <w:rPr>
                <w:rFonts w:hint="eastAsia" w:ascii="宋体" w:hAnsi="宋体" w:eastAsia="宋体" w:cs="宋体"/>
                <w:kern w:val="0"/>
                <w:szCs w:val="21"/>
              </w:rPr>
              <w:t>详见招标公告</w:t>
            </w:r>
          </w:p>
        </w:tc>
      </w:tr>
      <w:tr w14:paraId="07D5A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870" w:type="dxa"/>
            <w:noWrap w:val="0"/>
            <w:vAlign w:val="center"/>
          </w:tcPr>
          <w:p w14:paraId="2E0072CB">
            <w:pPr>
              <w:autoSpaceDE w:val="0"/>
              <w:autoSpaceDN w:val="0"/>
              <w:adjustRightInd w:val="0"/>
              <w:spacing w:line="360" w:lineRule="auto"/>
              <w:jc w:val="center"/>
              <w:rPr>
                <w:rFonts w:hint="eastAsia" w:ascii="宋体" w:hAnsi="宋体" w:eastAsia="宋体" w:cs="宋体"/>
                <w:kern w:val="0"/>
                <w:szCs w:val="21"/>
                <w:lang w:eastAsia="zh-CN"/>
              </w:rPr>
            </w:pPr>
            <w:r>
              <w:rPr>
                <w:rFonts w:hint="eastAsia" w:ascii="宋体" w:hAnsi="宋体" w:cs="宋体"/>
                <w:kern w:val="0"/>
                <w:szCs w:val="21"/>
                <w:lang w:val="en-US" w:eastAsia="zh-CN"/>
              </w:rPr>
              <w:t>9</w:t>
            </w:r>
          </w:p>
        </w:tc>
        <w:tc>
          <w:tcPr>
            <w:tcW w:w="2265" w:type="dxa"/>
            <w:noWrap w:val="0"/>
            <w:vAlign w:val="center"/>
          </w:tcPr>
          <w:p w14:paraId="66D8D4BE">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kern w:val="0"/>
                <w:szCs w:val="21"/>
                <w:lang w:val="zh-CN"/>
              </w:rPr>
              <w:t>投标保证金</w:t>
            </w:r>
          </w:p>
        </w:tc>
        <w:tc>
          <w:tcPr>
            <w:tcW w:w="6749" w:type="dxa"/>
            <w:noWrap w:val="0"/>
            <w:vAlign w:val="center"/>
          </w:tcPr>
          <w:p w14:paraId="48364601">
            <w:pPr>
              <w:spacing w:line="360" w:lineRule="auto"/>
              <w:rPr>
                <w:rFonts w:hint="eastAsia" w:ascii="宋体" w:hAnsi="宋体" w:eastAsia="宋体" w:cs="宋体"/>
                <w:szCs w:val="21"/>
              </w:rPr>
            </w:pPr>
            <w:r>
              <w:rPr>
                <w:rFonts w:hint="eastAsia" w:ascii="宋体" w:hAnsi="宋体" w:eastAsia="宋体" w:cs="宋体"/>
                <w:szCs w:val="21"/>
              </w:rPr>
              <w:t>1.根据《浙江省财政厅关于明确政府采购保证金管理工作的通知》（浙财采监〔2019〕5号）规定，本项目无需缴纳投标保证金。</w:t>
            </w:r>
          </w:p>
          <w:p w14:paraId="732F3584">
            <w:pPr>
              <w:spacing w:line="360" w:lineRule="auto"/>
              <w:rPr>
                <w:rFonts w:hint="eastAsia" w:ascii="宋体" w:hAnsi="宋体" w:eastAsia="宋体" w:cs="宋体"/>
                <w:kern w:val="0"/>
                <w:szCs w:val="21"/>
              </w:rPr>
            </w:pPr>
            <w:r>
              <w:rPr>
                <w:rFonts w:hint="eastAsia" w:ascii="宋体" w:hAnsi="宋体" w:eastAsia="宋体" w:cs="宋体"/>
                <w:szCs w:val="21"/>
              </w:rPr>
              <w:t>2.投标人在投标有效期内撤回投标文件或者中标人在法定期限内无正当理由不与采购单位签订合同的，应当按照本项目采购预算价2%的标准承担因此给采购单位造成的损失的赔偿责任及相应的法律责任。</w:t>
            </w:r>
          </w:p>
        </w:tc>
      </w:tr>
      <w:tr w14:paraId="4342E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870" w:type="dxa"/>
            <w:noWrap w:val="0"/>
            <w:vAlign w:val="center"/>
          </w:tcPr>
          <w:p w14:paraId="2ED70845">
            <w:pPr>
              <w:autoSpaceDE w:val="0"/>
              <w:autoSpaceDN w:val="0"/>
              <w:adjustRightInd w:val="0"/>
              <w:spacing w:line="360" w:lineRule="auto"/>
              <w:jc w:val="center"/>
              <w:rPr>
                <w:rFonts w:hint="eastAsia" w:ascii="宋体" w:hAnsi="宋体" w:eastAsia="宋体" w:cs="宋体"/>
                <w:kern w:val="0"/>
                <w:szCs w:val="21"/>
                <w:lang w:eastAsia="zh-CN"/>
              </w:rPr>
            </w:pPr>
            <w:r>
              <w:rPr>
                <w:rFonts w:hint="eastAsia" w:ascii="宋体" w:hAnsi="宋体" w:eastAsia="宋体" w:cs="宋体"/>
                <w:kern w:val="0"/>
                <w:szCs w:val="21"/>
              </w:rPr>
              <w:t>1</w:t>
            </w:r>
            <w:r>
              <w:rPr>
                <w:rFonts w:hint="eastAsia" w:ascii="宋体" w:hAnsi="宋体" w:cs="宋体"/>
                <w:kern w:val="0"/>
                <w:szCs w:val="21"/>
                <w:lang w:val="en-US" w:eastAsia="zh-CN"/>
              </w:rPr>
              <w:t>0</w:t>
            </w:r>
          </w:p>
        </w:tc>
        <w:tc>
          <w:tcPr>
            <w:tcW w:w="2265" w:type="dxa"/>
            <w:noWrap w:val="0"/>
            <w:vAlign w:val="center"/>
          </w:tcPr>
          <w:p w14:paraId="385FF8CD">
            <w:pPr>
              <w:adjustRightInd w:val="0"/>
              <w:snapToGrid w:val="0"/>
              <w:spacing w:line="360" w:lineRule="auto"/>
              <w:jc w:val="center"/>
              <w:rPr>
                <w:rFonts w:hint="eastAsia" w:ascii="宋体" w:hAnsi="宋体" w:eastAsia="宋体" w:cs="宋体"/>
                <w:kern w:val="0"/>
                <w:szCs w:val="21"/>
                <w:lang w:val="zh-CN"/>
              </w:rPr>
            </w:pPr>
            <w:r>
              <w:rPr>
                <w:rFonts w:hint="eastAsia" w:ascii="宋体" w:hAnsi="宋体" w:eastAsia="宋体" w:cs="宋体"/>
                <w:szCs w:val="21"/>
              </w:rPr>
              <w:t>资格审查</w:t>
            </w:r>
          </w:p>
        </w:tc>
        <w:tc>
          <w:tcPr>
            <w:tcW w:w="6749" w:type="dxa"/>
            <w:noWrap w:val="0"/>
            <w:vAlign w:val="center"/>
          </w:tcPr>
          <w:p w14:paraId="7AF668D7">
            <w:pPr>
              <w:pStyle w:val="20"/>
              <w:tabs>
                <w:tab w:val="left" w:pos="6930"/>
              </w:tabs>
              <w:spacing w:before="0" w:beforeAutospacing="0" w:after="0" w:afterAutospacing="0" w:line="360" w:lineRule="auto"/>
              <w:rPr>
                <w:rFonts w:hint="eastAsia" w:eastAsia="宋体" w:cs="宋体"/>
                <w:szCs w:val="21"/>
              </w:rPr>
            </w:pPr>
            <w:r>
              <w:rPr>
                <w:rFonts w:hint="eastAsia" w:eastAsia="宋体" w:cs="宋体"/>
                <w:bCs/>
                <w:sz w:val="21"/>
                <w:szCs w:val="21"/>
              </w:rPr>
              <w:t>采购人或采购代理机构依法对投标人的资格进行审查。审查内容详见招标文件。</w:t>
            </w:r>
          </w:p>
        </w:tc>
      </w:tr>
      <w:tr w14:paraId="0A6C6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 w:type="dxa"/>
            <w:noWrap w:val="0"/>
            <w:vAlign w:val="center"/>
          </w:tcPr>
          <w:p w14:paraId="74E78C99">
            <w:pPr>
              <w:autoSpaceDE w:val="0"/>
              <w:autoSpaceDN w:val="0"/>
              <w:adjustRightInd w:val="0"/>
              <w:spacing w:line="360" w:lineRule="auto"/>
              <w:jc w:val="center"/>
              <w:rPr>
                <w:rFonts w:hint="eastAsia" w:ascii="宋体" w:hAnsi="宋体" w:eastAsia="宋体" w:cs="宋体"/>
                <w:bCs/>
                <w:kern w:val="0"/>
                <w:szCs w:val="21"/>
                <w:lang w:eastAsia="zh-CN"/>
              </w:rPr>
            </w:pPr>
            <w:r>
              <w:rPr>
                <w:rFonts w:hint="eastAsia" w:ascii="宋体" w:hAnsi="宋体" w:eastAsia="宋体" w:cs="宋体"/>
                <w:bCs/>
                <w:kern w:val="0"/>
                <w:szCs w:val="21"/>
              </w:rPr>
              <w:t>1</w:t>
            </w:r>
            <w:r>
              <w:rPr>
                <w:rFonts w:hint="eastAsia" w:ascii="宋体" w:hAnsi="宋体" w:cs="宋体"/>
                <w:bCs/>
                <w:kern w:val="0"/>
                <w:szCs w:val="21"/>
                <w:lang w:val="en-US" w:eastAsia="zh-CN"/>
              </w:rPr>
              <w:t>1</w:t>
            </w:r>
          </w:p>
        </w:tc>
        <w:tc>
          <w:tcPr>
            <w:tcW w:w="2265" w:type="dxa"/>
            <w:noWrap w:val="0"/>
            <w:vAlign w:val="center"/>
          </w:tcPr>
          <w:p w14:paraId="6D1FA48B">
            <w:pPr>
              <w:autoSpaceDE w:val="0"/>
              <w:autoSpaceDN w:val="0"/>
              <w:adjustRightInd w:val="0"/>
              <w:spacing w:line="360" w:lineRule="auto"/>
              <w:jc w:val="center"/>
              <w:rPr>
                <w:rFonts w:hint="eastAsia" w:ascii="宋体" w:hAnsi="宋体" w:eastAsia="宋体" w:cs="宋体"/>
                <w:bCs/>
                <w:kern w:val="0"/>
                <w:szCs w:val="21"/>
              </w:rPr>
            </w:pPr>
            <w:r>
              <w:rPr>
                <w:rFonts w:hint="eastAsia" w:ascii="宋体" w:hAnsi="宋体" w:eastAsia="宋体" w:cs="宋体"/>
                <w:bCs/>
                <w:kern w:val="0"/>
                <w:szCs w:val="21"/>
                <w:lang w:val="zh-CN"/>
              </w:rPr>
              <w:t>评标委员会的组建</w:t>
            </w:r>
          </w:p>
        </w:tc>
        <w:tc>
          <w:tcPr>
            <w:tcW w:w="6749" w:type="dxa"/>
            <w:noWrap w:val="0"/>
            <w:vAlign w:val="center"/>
          </w:tcPr>
          <w:p w14:paraId="4DDADF11">
            <w:pPr>
              <w:spacing w:line="360" w:lineRule="auto"/>
              <w:rPr>
                <w:rFonts w:hint="eastAsia" w:ascii="宋体" w:hAnsi="宋体" w:eastAsia="宋体" w:cs="宋体"/>
                <w:bCs/>
                <w:kern w:val="0"/>
                <w:szCs w:val="21"/>
              </w:rPr>
            </w:pPr>
            <w:r>
              <w:rPr>
                <w:rFonts w:hint="eastAsia" w:ascii="宋体" w:hAnsi="宋体" w:eastAsia="宋体" w:cs="宋体"/>
                <w:bCs/>
                <w:kern w:val="0"/>
                <w:szCs w:val="21"/>
              </w:rPr>
              <w:t>按规定组建评标委员会。</w:t>
            </w:r>
          </w:p>
          <w:p w14:paraId="4FD7E4E7">
            <w:pPr>
              <w:snapToGrid w:val="0"/>
              <w:spacing w:line="360" w:lineRule="auto"/>
              <w:rPr>
                <w:rFonts w:hint="eastAsia" w:ascii="宋体" w:hAnsi="宋体" w:eastAsia="宋体" w:cs="宋体"/>
                <w:bCs/>
                <w:kern w:val="0"/>
                <w:szCs w:val="21"/>
                <w:lang w:eastAsia="zh-CN"/>
              </w:rPr>
            </w:pPr>
            <w:r>
              <w:rPr>
                <w:rFonts w:hint="eastAsia" w:ascii="宋体" w:hAnsi="宋体" w:eastAsia="宋体" w:cs="宋体"/>
                <w:bCs/>
                <w:kern w:val="0"/>
                <w:szCs w:val="21"/>
              </w:rPr>
              <w:t>评标专家确定方式：</w:t>
            </w:r>
            <w:r>
              <w:rPr>
                <w:rFonts w:hint="eastAsia" w:ascii="宋体" w:hAnsi="宋体" w:eastAsia="宋体" w:cs="宋体"/>
                <w:szCs w:val="21"/>
                <w:lang w:eastAsia="zh-CN"/>
              </w:rPr>
              <w:t>评标专家确定方式：共5人组成，其中采购人代表1名，其余4名专家从政采云政府采购评审专家库中随机抽取产生。</w:t>
            </w:r>
          </w:p>
        </w:tc>
      </w:tr>
      <w:tr w14:paraId="7AE16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 w:type="dxa"/>
            <w:noWrap w:val="0"/>
            <w:vAlign w:val="center"/>
          </w:tcPr>
          <w:p w14:paraId="7CF9110A">
            <w:pPr>
              <w:autoSpaceDE w:val="0"/>
              <w:autoSpaceDN w:val="0"/>
              <w:adjustRightInd w:val="0"/>
              <w:spacing w:line="360" w:lineRule="auto"/>
              <w:jc w:val="center"/>
              <w:rPr>
                <w:rFonts w:hint="eastAsia" w:ascii="宋体" w:hAnsi="宋体" w:eastAsia="宋体" w:cs="宋体"/>
                <w:kern w:val="0"/>
                <w:szCs w:val="21"/>
                <w:lang w:eastAsia="zh-CN"/>
              </w:rPr>
            </w:pPr>
            <w:r>
              <w:rPr>
                <w:rFonts w:hint="eastAsia" w:ascii="宋体" w:hAnsi="宋体" w:eastAsia="宋体" w:cs="宋体"/>
                <w:kern w:val="0"/>
                <w:szCs w:val="21"/>
              </w:rPr>
              <w:t>1</w:t>
            </w:r>
            <w:r>
              <w:rPr>
                <w:rFonts w:hint="eastAsia" w:ascii="宋体" w:hAnsi="宋体" w:cs="宋体"/>
                <w:kern w:val="0"/>
                <w:szCs w:val="21"/>
                <w:lang w:val="en-US" w:eastAsia="zh-CN"/>
              </w:rPr>
              <w:t>2</w:t>
            </w:r>
          </w:p>
        </w:tc>
        <w:tc>
          <w:tcPr>
            <w:tcW w:w="2265" w:type="dxa"/>
            <w:noWrap w:val="0"/>
            <w:vAlign w:val="center"/>
          </w:tcPr>
          <w:p w14:paraId="4E3F182F">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rPr>
              <w:t>中标结果公告方式及期限</w:t>
            </w:r>
          </w:p>
        </w:tc>
        <w:tc>
          <w:tcPr>
            <w:tcW w:w="6749" w:type="dxa"/>
            <w:noWrap w:val="0"/>
            <w:vAlign w:val="center"/>
          </w:tcPr>
          <w:p w14:paraId="52860B56">
            <w:pPr>
              <w:snapToGrid w:val="0"/>
              <w:spacing w:line="360" w:lineRule="auto"/>
              <w:rPr>
                <w:rFonts w:hint="eastAsia" w:ascii="宋体" w:hAnsi="宋体" w:eastAsia="宋体" w:cs="宋体"/>
                <w:kern w:val="0"/>
                <w:szCs w:val="21"/>
              </w:rPr>
            </w:pPr>
            <w:r>
              <w:rPr>
                <w:rFonts w:hint="eastAsia" w:ascii="宋体" w:hAnsi="宋体" w:eastAsia="宋体" w:cs="宋体"/>
                <w:kern w:val="0"/>
                <w:szCs w:val="21"/>
              </w:rPr>
              <w:t>在原招标公告发布媒体进行中标结果公告，公告期限为发布之日起至第2个工作日止。</w:t>
            </w:r>
          </w:p>
        </w:tc>
      </w:tr>
      <w:tr w14:paraId="655E0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 w:type="dxa"/>
            <w:noWrap w:val="0"/>
            <w:vAlign w:val="center"/>
          </w:tcPr>
          <w:p w14:paraId="6E111DCC">
            <w:pPr>
              <w:autoSpaceDE w:val="0"/>
              <w:autoSpaceDN w:val="0"/>
              <w:adjustRightInd w:val="0"/>
              <w:spacing w:line="360" w:lineRule="auto"/>
              <w:jc w:val="center"/>
              <w:rPr>
                <w:rFonts w:hint="eastAsia" w:ascii="宋体" w:hAnsi="宋体" w:eastAsia="宋体" w:cs="宋体"/>
                <w:kern w:val="0"/>
                <w:szCs w:val="21"/>
                <w:lang w:eastAsia="zh-CN"/>
              </w:rPr>
            </w:pPr>
            <w:r>
              <w:rPr>
                <w:rFonts w:hint="eastAsia" w:ascii="宋体" w:hAnsi="宋体" w:eastAsia="宋体" w:cs="宋体"/>
                <w:kern w:val="0"/>
                <w:szCs w:val="21"/>
              </w:rPr>
              <w:t>1</w:t>
            </w:r>
            <w:r>
              <w:rPr>
                <w:rFonts w:hint="eastAsia" w:ascii="宋体" w:hAnsi="宋体" w:cs="宋体"/>
                <w:kern w:val="0"/>
                <w:szCs w:val="21"/>
                <w:lang w:val="en-US" w:eastAsia="zh-CN"/>
              </w:rPr>
              <w:t>3</w:t>
            </w:r>
          </w:p>
        </w:tc>
        <w:tc>
          <w:tcPr>
            <w:tcW w:w="2265" w:type="dxa"/>
            <w:noWrap w:val="0"/>
            <w:vAlign w:val="center"/>
          </w:tcPr>
          <w:p w14:paraId="47445E4A">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kern w:val="0"/>
                <w:szCs w:val="21"/>
              </w:rPr>
              <w:t>签订合同</w:t>
            </w:r>
          </w:p>
        </w:tc>
        <w:tc>
          <w:tcPr>
            <w:tcW w:w="6749" w:type="dxa"/>
            <w:noWrap w:val="0"/>
            <w:vAlign w:val="center"/>
          </w:tcPr>
          <w:p w14:paraId="7377BDA1">
            <w:pPr>
              <w:snapToGrid w:val="0"/>
              <w:spacing w:line="360" w:lineRule="auto"/>
              <w:rPr>
                <w:rFonts w:hint="eastAsia" w:ascii="宋体" w:hAnsi="宋体" w:eastAsia="宋体" w:cs="宋体"/>
                <w:kern w:val="0"/>
                <w:szCs w:val="21"/>
              </w:rPr>
            </w:pPr>
            <w:r>
              <w:rPr>
                <w:rFonts w:hint="eastAsia" w:ascii="宋体" w:hAnsi="宋体" w:eastAsia="宋体" w:cs="宋体"/>
                <w:kern w:val="0"/>
                <w:szCs w:val="21"/>
              </w:rPr>
              <w:t>公示期结束无异议后发出中标通知书30天内。</w:t>
            </w:r>
          </w:p>
        </w:tc>
      </w:tr>
      <w:tr w14:paraId="77598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 w:type="dxa"/>
            <w:noWrap w:val="0"/>
            <w:vAlign w:val="center"/>
          </w:tcPr>
          <w:p w14:paraId="79A3EBAF">
            <w:pPr>
              <w:autoSpaceDE w:val="0"/>
              <w:autoSpaceDN w:val="0"/>
              <w:adjustRightInd w:val="0"/>
              <w:spacing w:line="360" w:lineRule="auto"/>
              <w:jc w:val="center"/>
              <w:rPr>
                <w:rFonts w:hint="eastAsia" w:ascii="宋体" w:hAnsi="宋体" w:eastAsia="宋体" w:cs="宋体"/>
                <w:kern w:val="0"/>
                <w:szCs w:val="21"/>
                <w:lang w:eastAsia="zh-CN"/>
              </w:rPr>
            </w:pPr>
            <w:r>
              <w:rPr>
                <w:rFonts w:hint="eastAsia" w:ascii="宋体" w:hAnsi="宋体" w:eastAsia="宋体" w:cs="宋体"/>
                <w:kern w:val="0"/>
                <w:szCs w:val="21"/>
              </w:rPr>
              <w:t>1</w:t>
            </w:r>
            <w:r>
              <w:rPr>
                <w:rFonts w:hint="eastAsia" w:ascii="宋体" w:hAnsi="宋体" w:cs="宋体"/>
                <w:kern w:val="0"/>
                <w:szCs w:val="21"/>
                <w:lang w:val="en-US" w:eastAsia="zh-CN"/>
              </w:rPr>
              <w:t>4</w:t>
            </w:r>
          </w:p>
        </w:tc>
        <w:tc>
          <w:tcPr>
            <w:tcW w:w="2265" w:type="dxa"/>
            <w:noWrap w:val="0"/>
            <w:vAlign w:val="center"/>
          </w:tcPr>
          <w:p w14:paraId="741282A5">
            <w:pPr>
              <w:autoSpaceDE w:val="0"/>
              <w:autoSpaceDN w:val="0"/>
              <w:adjustRightInd w:val="0"/>
              <w:spacing w:line="360" w:lineRule="auto"/>
              <w:jc w:val="center"/>
              <w:rPr>
                <w:rFonts w:hint="eastAsia"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履约保证金交纳</w:t>
            </w:r>
          </w:p>
        </w:tc>
        <w:tc>
          <w:tcPr>
            <w:tcW w:w="6749" w:type="dxa"/>
            <w:noWrap w:val="0"/>
            <w:vAlign w:val="center"/>
          </w:tcPr>
          <w:p w14:paraId="038B353C">
            <w:pPr>
              <w:snapToGrid w:val="0"/>
              <w:spacing w:line="360" w:lineRule="auto"/>
              <w:rPr>
                <w:rFonts w:hint="eastAsia"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本项目无需缴纳履约保证金</w:t>
            </w:r>
          </w:p>
        </w:tc>
      </w:tr>
      <w:tr w14:paraId="2F9FE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 w:type="dxa"/>
            <w:noWrap w:val="0"/>
            <w:vAlign w:val="center"/>
          </w:tcPr>
          <w:p w14:paraId="2BBFF178">
            <w:pPr>
              <w:autoSpaceDE w:val="0"/>
              <w:autoSpaceDN w:val="0"/>
              <w:adjustRightInd w:val="0"/>
              <w:spacing w:line="360" w:lineRule="auto"/>
              <w:jc w:val="center"/>
              <w:rPr>
                <w:rFonts w:hint="eastAsia" w:ascii="宋体" w:hAnsi="宋体" w:eastAsia="宋体" w:cs="宋体"/>
                <w:kern w:val="0"/>
                <w:szCs w:val="21"/>
                <w:lang w:eastAsia="zh-CN"/>
              </w:rPr>
            </w:pPr>
            <w:r>
              <w:rPr>
                <w:rFonts w:hint="eastAsia" w:ascii="宋体" w:hAnsi="宋体" w:eastAsia="宋体" w:cs="宋体"/>
                <w:kern w:val="0"/>
                <w:szCs w:val="21"/>
              </w:rPr>
              <w:t>1</w:t>
            </w:r>
            <w:r>
              <w:rPr>
                <w:rFonts w:hint="eastAsia" w:ascii="宋体" w:hAnsi="宋体" w:cs="宋体"/>
                <w:kern w:val="0"/>
                <w:szCs w:val="21"/>
                <w:lang w:val="en-US" w:eastAsia="zh-CN"/>
              </w:rPr>
              <w:t>5</w:t>
            </w:r>
          </w:p>
        </w:tc>
        <w:tc>
          <w:tcPr>
            <w:tcW w:w="2265" w:type="dxa"/>
            <w:noWrap w:val="0"/>
            <w:vAlign w:val="center"/>
          </w:tcPr>
          <w:p w14:paraId="4398ED2A">
            <w:pPr>
              <w:autoSpaceDE w:val="0"/>
              <w:autoSpaceDN w:val="0"/>
              <w:adjustRightInd w:val="0"/>
              <w:spacing w:line="360" w:lineRule="auto"/>
              <w:jc w:val="center"/>
              <w:rPr>
                <w:rFonts w:hint="eastAsia"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履约保证金退还</w:t>
            </w:r>
          </w:p>
        </w:tc>
        <w:tc>
          <w:tcPr>
            <w:tcW w:w="6749" w:type="dxa"/>
            <w:noWrap w:val="0"/>
            <w:vAlign w:val="center"/>
          </w:tcPr>
          <w:p w14:paraId="11763922">
            <w:pPr>
              <w:autoSpaceDE w:val="0"/>
              <w:autoSpaceDN w:val="0"/>
              <w:adjustRightInd w:val="0"/>
              <w:spacing w:line="360" w:lineRule="auto"/>
              <w:jc w:val="left"/>
              <w:rPr>
                <w:rFonts w:hint="eastAsia" w:ascii="宋体" w:hAnsi="宋体" w:eastAsia="宋体" w:cs="宋体"/>
                <w:color w:val="000000" w:themeColor="text1"/>
                <w:kern w:val="0"/>
                <w:szCs w:val="21"/>
                <w14:textFill>
                  <w14:solidFill>
                    <w14:schemeClr w14:val="tx1"/>
                  </w14:solidFill>
                </w14:textFill>
              </w:rPr>
            </w:pPr>
            <w:r>
              <w:rPr>
                <w:rFonts w:hint="default" w:ascii="宋体" w:hAnsi="宋体" w:eastAsia="宋体" w:cs="宋体"/>
                <w:color w:val="000000" w:themeColor="text1"/>
                <w:kern w:val="0"/>
                <w:szCs w:val="21"/>
                <w:lang w:val="en-US" w:eastAsia="zh-CN"/>
                <w14:textFill>
                  <w14:solidFill>
                    <w14:schemeClr w14:val="tx1"/>
                  </w14:solidFill>
                </w14:textFill>
              </w:rPr>
              <w:t>无</w:t>
            </w:r>
          </w:p>
        </w:tc>
      </w:tr>
      <w:tr w14:paraId="49A50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 w:type="dxa"/>
            <w:noWrap w:val="0"/>
            <w:vAlign w:val="center"/>
          </w:tcPr>
          <w:p w14:paraId="48D57AB6">
            <w:pPr>
              <w:autoSpaceDE w:val="0"/>
              <w:autoSpaceDN w:val="0"/>
              <w:adjustRightInd w:val="0"/>
              <w:spacing w:line="360" w:lineRule="auto"/>
              <w:jc w:val="center"/>
              <w:rPr>
                <w:rFonts w:hint="eastAsia" w:ascii="宋体" w:hAnsi="宋体" w:eastAsia="宋体" w:cs="宋体"/>
                <w:kern w:val="0"/>
                <w:szCs w:val="21"/>
                <w:lang w:eastAsia="zh-CN"/>
              </w:rPr>
            </w:pPr>
            <w:r>
              <w:rPr>
                <w:rFonts w:hint="eastAsia" w:ascii="宋体" w:hAnsi="宋体" w:eastAsia="宋体" w:cs="宋体"/>
                <w:kern w:val="0"/>
                <w:szCs w:val="21"/>
              </w:rPr>
              <w:t>1</w:t>
            </w:r>
            <w:r>
              <w:rPr>
                <w:rFonts w:hint="eastAsia" w:ascii="宋体" w:hAnsi="宋体" w:cs="宋体"/>
                <w:kern w:val="0"/>
                <w:szCs w:val="21"/>
                <w:lang w:val="en-US" w:eastAsia="zh-CN"/>
              </w:rPr>
              <w:t>6</w:t>
            </w:r>
          </w:p>
        </w:tc>
        <w:tc>
          <w:tcPr>
            <w:tcW w:w="2265" w:type="dxa"/>
            <w:noWrap w:val="0"/>
            <w:vAlign w:val="center"/>
          </w:tcPr>
          <w:p w14:paraId="09B1F0B6">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kern w:val="0"/>
                <w:szCs w:val="21"/>
              </w:rPr>
              <w:t>公告、答疑澄清文件及中标结果公告发布媒体</w:t>
            </w:r>
          </w:p>
        </w:tc>
        <w:tc>
          <w:tcPr>
            <w:tcW w:w="6749" w:type="dxa"/>
            <w:noWrap w:val="0"/>
            <w:vAlign w:val="center"/>
          </w:tcPr>
          <w:p w14:paraId="75D62A35">
            <w:pPr>
              <w:snapToGrid w:val="0"/>
              <w:spacing w:line="360" w:lineRule="auto"/>
              <w:rPr>
                <w:rFonts w:hint="eastAsia" w:ascii="宋体" w:hAnsi="宋体" w:eastAsia="宋体" w:cs="宋体"/>
                <w:kern w:val="0"/>
                <w:szCs w:val="21"/>
              </w:rPr>
            </w:pPr>
            <w:r>
              <w:rPr>
                <w:rFonts w:hint="eastAsia" w:ascii="宋体" w:hAnsi="宋体" w:eastAsia="宋体" w:cs="宋体"/>
                <w:kern w:val="0"/>
                <w:szCs w:val="21"/>
              </w:rPr>
              <w:t>浙江政府采购网 http://www.zjzfcg.gov.cn/new/</w:t>
            </w:r>
          </w:p>
          <w:p w14:paraId="14069A50">
            <w:pPr>
              <w:snapToGrid w:val="0"/>
              <w:spacing w:line="360" w:lineRule="auto"/>
              <w:jc w:val="left"/>
              <w:rPr>
                <w:rFonts w:hint="eastAsia" w:ascii="宋体" w:hAnsi="宋体" w:eastAsia="宋体" w:cs="宋体"/>
                <w:kern w:val="0"/>
                <w:szCs w:val="21"/>
              </w:rPr>
            </w:pPr>
            <w:r>
              <w:rPr>
                <w:rFonts w:hint="eastAsia" w:ascii="宋体" w:hAnsi="宋体" w:eastAsia="宋体" w:cs="宋体"/>
                <w:kern w:val="0"/>
                <w:szCs w:val="21"/>
              </w:rPr>
              <w:t>常山县政府网http://www.zjcs.gov.cn/col/col1229635770/index.html。</w:t>
            </w:r>
          </w:p>
        </w:tc>
      </w:tr>
      <w:tr w14:paraId="028AD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0" w:type="dxa"/>
            <w:noWrap w:val="0"/>
            <w:vAlign w:val="center"/>
          </w:tcPr>
          <w:p w14:paraId="1F19EFB1">
            <w:pPr>
              <w:autoSpaceDE w:val="0"/>
              <w:autoSpaceDN w:val="0"/>
              <w:adjustRightInd w:val="0"/>
              <w:spacing w:line="360" w:lineRule="auto"/>
              <w:jc w:val="center"/>
              <w:rPr>
                <w:rFonts w:hint="eastAsia" w:ascii="宋体" w:hAnsi="宋体" w:eastAsia="宋体" w:cs="宋体"/>
                <w:kern w:val="0"/>
                <w:szCs w:val="21"/>
                <w:lang w:eastAsia="zh-CN"/>
              </w:rPr>
            </w:pPr>
            <w:bookmarkStart w:id="48" w:name="_Toc11875"/>
            <w:bookmarkStart w:id="49" w:name="_Toc221423616"/>
            <w:bookmarkStart w:id="50" w:name="_Toc221356883"/>
            <w:bookmarkStart w:id="51" w:name="_Toc245191311"/>
            <w:bookmarkStart w:id="52" w:name="_Toc262049415"/>
            <w:bookmarkStart w:id="53" w:name="_Toc221374623"/>
            <w:bookmarkStart w:id="54" w:name="_Toc241404199"/>
            <w:bookmarkStart w:id="55" w:name="_Toc410031813"/>
            <w:bookmarkStart w:id="56" w:name="_Toc249758709"/>
            <w:bookmarkStart w:id="57" w:name="_Toc246261262"/>
            <w:bookmarkStart w:id="58" w:name="_Toc239145351"/>
            <w:bookmarkStart w:id="59" w:name="_Toc249758861"/>
            <w:bookmarkStart w:id="60" w:name="_Toc223715995"/>
            <w:bookmarkStart w:id="61" w:name="_Toc245722278"/>
            <w:bookmarkStart w:id="62" w:name="_Toc222114876"/>
            <w:bookmarkStart w:id="63" w:name="_Toc221356948"/>
            <w:bookmarkStart w:id="64" w:name="_Toc262105500"/>
            <w:r>
              <w:rPr>
                <w:rFonts w:hint="eastAsia" w:ascii="宋体" w:hAnsi="宋体" w:eastAsia="宋体" w:cs="宋体"/>
                <w:kern w:val="0"/>
                <w:szCs w:val="21"/>
              </w:rPr>
              <w:t>1</w:t>
            </w:r>
            <w:r>
              <w:rPr>
                <w:rFonts w:hint="eastAsia" w:ascii="宋体" w:hAnsi="宋体" w:cs="宋体"/>
                <w:kern w:val="0"/>
                <w:szCs w:val="21"/>
                <w:lang w:val="en-US" w:eastAsia="zh-CN"/>
              </w:rPr>
              <w:t>7</w:t>
            </w:r>
          </w:p>
        </w:tc>
        <w:tc>
          <w:tcPr>
            <w:tcW w:w="2265" w:type="dxa"/>
            <w:noWrap w:val="0"/>
            <w:vAlign w:val="center"/>
          </w:tcPr>
          <w:p w14:paraId="20D82B51">
            <w:pPr>
              <w:autoSpaceDE w:val="0"/>
              <w:autoSpaceDN w:val="0"/>
              <w:adjustRightInd w:val="0"/>
              <w:spacing w:line="360" w:lineRule="auto"/>
              <w:jc w:val="center"/>
              <w:rPr>
                <w:rFonts w:hint="eastAsia" w:ascii="宋体" w:hAnsi="宋体" w:eastAsia="宋体" w:cs="宋体"/>
                <w:kern w:val="0"/>
                <w:szCs w:val="21"/>
              </w:rPr>
            </w:pPr>
            <w:r>
              <w:rPr>
                <w:rFonts w:hint="eastAsia" w:ascii="宋体" w:hAnsi="宋体" w:eastAsia="宋体" w:cs="宋体"/>
                <w:kern w:val="0"/>
                <w:szCs w:val="21"/>
              </w:rPr>
              <w:t>是否授权评标委员会确定中标人</w:t>
            </w:r>
          </w:p>
        </w:tc>
        <w:tc>
          <w:tcPr>
            <w:tcW w:w="6749" w:type="dxa"/>
            <w:noWrap w:val="0"/>
            <w:vAlign w:val="center"/>
          </w:tcPr>
          <w:p w14:paraId="23D1028E">
            <w:pPr>
              <w:snapToGrid w:val="0"/>
              <w:spacing w:line="360" w:lineRule="auto"/>
              <w:rPr>
                <w:rFonts w:hint="eastAsia" w:ascii="宋体" w:hAnsi="宋体" w:eastAsia="宋体" w:cs="宋体"/>
                <w:kern w:val="0"/>
                <w:szCs w:val="21"/>
              </w:rPr>
            </w:pPr>
            <w:r>
              <w:rPr>
                <w:rFonts w:hint="eastAsia" w:ascii="宋体" w:hAnsi="宋体" w:eastAsia="宋体" w:cs="宋体"/>
                <w:kern w:val="0"/>
                <w:szCs w:val="21"/>
              </w:rPr>
              <w:t>否。本项目由评标委员会推荐 1 名中标候选人。采购人收到评审报告后的5个工作日内确认中标人。</w:t>
            </w:r>
          </w:p>
        </w:tc>
      </w:tr>
      <w:tr w14:paraId="762A3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0" w:type="dxa"/>
            <w:noWrap w:val="0"/>
            <w:vAlign w:val="center"/>
          </w:tcPr>
          <w:p w14:paraId="48701E47">
            <w:pPr>
              <w:autoSpaceDE w:val="0"/>
              <w:autoSpaceDN w:val="0"/>
              <w:adjustRightInd w:val="0"/>
              <w:spacing w:line="360" w:lineRule="auto"/>
              <w:jc w:val="center"/>
              <w:rPr>
                <w:rFonts w:hint="default" w:ascii="宋体" w:hAnsi="宋体" w:eastAsia="宋体" w:cs="宋体"/>
                <w:kern w:val="0"/>
                <w:szCs w:val="21"/>
                <w:lang w:val="en-US" w:eastAsia="zh-CN"/>
              </w:rPr>
            </w:pPr>
            <w:r>
              <w:rPr>
                <w:rFonts w:hint="eastAsia" w:ascii="宋体" w:hAnsi="宋体" w:eastAsia="宋体" w:cs="宋体"/>
                <w:kern w:val="0"/>
                <w:szCs w:val="21"/>
                <w:lang w:val="en-US" w:eastAsia="zh-CN"/>
              </w:rPr>
              <w:t>1</w:t>
            </w:r>
            <w:r>
              <w:rPr>
                <w:rFonts w:hint="eastAsia" w:ascii="宋体" w:hAnsi="宋体" w:cs="宋体"/>
                <w:kern w:val="0"/>
                <w:szCs w:val="21"/>
                <w:lang w:val="en-US" w:eastAsia="zh-CN"/>
              </w:rPr>
              <w:t>8</w:t>
            </w:r>
          </w:p>
        </w:tc>
        <w:tc>
          <w:tcPr>
            <w:tcW w:w="2265" w:type="dxa"/>
            <w:noWrap w:val="0"/>
            <w:vAlign w:val="center"/>
          </w:tcPr>
          <w:p w14:paraId="5498EA8C">
            <w:pPr>
              <w:spacing w:line="360" w:lineRule="auto"/>
              <w:jc w:val="center"/>
              <w:rPr>
                <w:rFonts w:hint="eastAsia" w:ascii="宋体" w:hAnsi="宋体" w:eastAsia="宋体" w:cs="宋体"/>
                <w:kern w:val="0"/>
                <w:szCs w:val="21"/>
              </w:rPr>
            </w:pPr>
            <w:r>
              <w:rPr>
                <w:rFonts w:hint="eastAsia" w:ascii="宋体" w:hAnsi="宋体" w:eastAsia="宋体" w:cs="宋体"/>
                <w:kern w:val="0"/>
                <w:szCs w:val="21"/>
              </w:rPr>
              <w:t>特别说明</w:t>
            </w:r>
          </w:p>
        </w:tc>
        <w:tc>
          <w:tcPr>
            <w:tcW w:w="6749" w:type="dxa"/>
            <w:noWrap w:val="0"/>
            <w:vAlign w:val="center"/>
          </w:tcPr>
          <w:p w14:paraId="727267DF">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kern w:val="0"/>
                <w:szCs w:val="21"/>
              </w:rPr>
              <w:t>未注册加入浙江省政府采购投标人库的投标人一旦被确定为中标人的，应当在《中标通知书》发出前的三个工作日内按《关于印发浙江省政府投标人注册及诚信管理暂行办法通知》[浙财采监字〔2009〕28号]文件的规定进行注册申请，否则，采购单位将拒绝向其发出《中标通知书》，视为未中标。</w:t>
            </w:r>
          </w:p>
        </w:tc>
      </w:tr>
      <w:tr w14:paraId="1C895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3" w:hRule="atLeast"/>
          <w:jc w:val="center"/>
        </w:trPr>
        <w:tc>
          <w:tcPr>
            <w:tcW w:w="870" w:type="dxa"/>
            <w:noWrap w:val="0"/>
            <w:vAlign w:val="center"/>
          </w:tcPr>
          <w:p w14:paraId="028E6247">
            <w:pPr>
              <w:autoSpaceDE w:val="0"/>
              <w:autoSpaceDN w:val="0"/>
              <w:adjustRightInd w:val="0"/>
              <w:spacing w:line="360" w:lineRule="auto"/>
              <w:jc w:val="center"/>
              <w:rPr>
                <w:rFonts w:hint="default" w:ascii="宋体" w:hAnsi="宋体" w:eastAsia="宋体" w:cs="宋体"/>
                <w:bCs/>
                <w:kern w:val="0"/>
                <w:szCs w:val="21"/>
                <w:lang w:val="en-US" w:eastAsia="zh-CN"/>
              </w:rPr>
            </w:pPr>
            <w:r>
              <w:rPr>
                <w:rFonts w:hint="eastAsia" w:ascii="宋体" w:hAnsi="宋体" w:cs="宋体"/>
                <w:bCs/>
                <w:kern w:val="0"/>
                <w:szCs w:val="21"/>
                <w:lang w:val="en-US" w:eastAsia="zh-CN"/>
              </w:rPr>
              <w:t>19</w:t>
            </w:r>
          </w:p>
        </w:tc>
        <w:tc>
          <w:tcPr>
            <w:tcW w:w="2265" w:type="dxa"/>
            <w:noWrap w:val="0"/>
            <w:vAlign w:val="center"/>
          </w:tcPr>
          <w:p w14:paraId="1BBC17F9">
            <w:pPr>
              <w:pStyle w:val="8"/>
              <w:snapToGrid w:val="0"/>
              <w:spacing w:before="0" w:line="360" w:lineRule="auto"/>
              <w:jc w:val="center"/>
              <w:rPr>
                <w:rFonts w:hint="eastAsia" w:ascii="宋体" w:hAnsi="宋体" w:eastAsia="宋体" w:cs="宋体"/>
                <w:b w:val="0"/>
                <w:bCs w:val="0"/>
                <w:color w:val="auto"/>
              </w:rPr>
            </w:pPr>
            <w:r>
              <w:rPr>
                <w:rFonts w:hint="eastAsia" w:ascii="宋体" w:hAnsi="宋体" w:eastAsia="宋体" w:cs="宋体"/>
                <w:b w:val="0"/>
                <w:bCs w:val="0"/>
                <w:color w:val="auto"/>
                <w:kern w:val="2"/>
                <w:sz w:val="21"/>
              </w:rPr>
              <w:t>投标供应商信用查询</w:t>
            </w:r>
          </w:p>
        </w:tc>
        <w:tc>
          <w:tcPr>
            <w:tcW w:w="6749" w:type="dxa"/>
            <w:noWrap w:val="0"/>
            <w:vAlign w:val="center"/>
          </w:tcPr>
          <w:p w14:paraId="43D40F96">
            <w:pPr>
              <w:pStyle w:val="20"/>
              <w:tabs>
                <w:tab w:val="left" w:pos="6930"/>
              </w:tabs>
              <w:spacing w:before="0" w:beforeAutospacing="0" w:after="0" w:afterAutospacing="0" w:line="300" w:lineRule="auto"/>
              <w:rPr>
                <w:rFonts w:hint="eastAsia" w:eastAsia="宋体" w:cs="宋体"/>
                <w:bCs/>
                <w:sz w:val="21"/>
                <w:szCs w:val="21"/>
              </w:rPr>
            </w:pPr>
            <w:r>
              <w:rPr>
                <w:rFonts w:hint="eastAsia" w:eastAsia="宋体" w:cs="宋体"/>
                <w:bCs/>
                <w:sz w:val="21"/>
                <w:szCs w:val="21"/>
              </w:rPr>
              <w:t>根据《关于在政府采购活动中查询及使用信用记录有关问题的通知》财库[2016]125号的规定：</w:t>
            </w:r>
          </w:p>
          <w:p w14:paraId="70CA5EB3">
            <w:pPr>
              <w:pStyle w:val="20"/>
              <w:tabs>
                <w:tab w:val="left" w:pos="6930"/>
              </w:tabs>
              <w:spacing w:before="0" w:beforeAutospacing="0" w:after="0" w:afterAutospacing="0" w:line="300" w:lineRule="auto"/>
              <w:rPr>
                <w:rFonts w:hint="eastAsia" w:eastAsia="宋体" w:cs="宋体"/>
                <w:bCs/>
                <w:sz w:val="21"/>
                <w:szCs w:val="21"/>
              </w:rPr>
            </w:pPr>
            <w:r>
              <w:rPr>
                <w:rFonts w:hint="eastAsia" w:eastAsia="宋体" w:cs="宋体"/>
                <w:bCs/>
                <w:sz w:val="21"/>
                <w:szCs w:val="21"/>
              </w:rPr>
              <w:t>1）采购代理机构将对本项目响应供应商的信用信息进行查询和甄别；信用信息截止时点为响应文件递交截止日。</w:t>
            </w:r>
          </w:p>
          <w:p w14:paraId="19C76D2B">
            <w:pPr>
              <w:pStyle w:val="20"/>
              <w:tabs>
                <w:tab w:val="left" w:pos="6930"/>
              </w:tabs>
              <w:spacing w:before="0" w:beforeAutospacing="0" w:after="0" w:afterAutospacing="0" w:line="300" w:lineRule="auto"/>
              <w:rPr>
                <w:rFonts w:hint="eastAsia" w:eastAsia="宋体" w:cs="宋体"/>
                <w:bCs/>
                <w:sz w:val="21"/>
                <w:szCs w:val="21"/>
              </w:rPr>
            </w:pPr>
            <w:r>
              <w:rPr>
                <w:rFonts w:hint="eastAsia" w:eastAsia="宋体" w:cs="宋体"/>
                <w:bCs/>
                <w:sz w:val="21"/>
                <w:szCs w:val="21"/>
              </w:rPr>
              <w:t>2）查询渠道为信用中国网站（www.creditchina.gov.cn）、中国政府采购网（www.ccgp.gov.cn）。</w:t>
            </w:r>
          </w:p>
          <w:p w14:paraId="4D1499D3">
            <w:pPr>
              <w:pStyle w:val="20"/>
              <w:tabs>
                <w:tab w:val="left" w:pos="6930"/>
              </w:tabs>
              <w:spacing w:before="0" w:beforeAutospacing="0" w:after="0" w:afterAutospacing="0" w:line="300" w:lineRule="auto"/>
              <w:rPr>
                <w:rFonts w:hint="eastAsia" w:eastAsia="宋体" w:cs="宋体"/>
                <w:bCs/>
                <w:sz w:val="21"/>
                <w:szCs w:val="21"/>
              </w:rPr>
            </w:pPr>
            <w:r>
              <w:rPr>
                <w:rFonts w:hint="eastAsia" w:eastAsia="宋体" w:cs="宋体"/>
                <w:bCs/>
                <w:sz w:val="21"/>
                <w:szCs w:val="21"/>
              </w:rPr>
              <w:t>3）信用信息查询记录和证据以网页截图方式留存。</w:t>
            </w:r>
          </w:p>
          <w:p w14:paraId="721467A5">
            <w:pPr>
              <w:pStyle w:val="20"/>
              <w:tabs>
                <w:tab w:val="left" w:pos="6930"/>
              </w:tabs>
              <w:spacing w:before="0" w:beforeAutospacing="0" w:after="0" w:afterAutospacing="0" w:line="300" w:lineRule="auto"/>
              <w:rPr>
                <w:rFonts w:hint="eastAsia" w:eastAsia="宋体" w:cs="宋体"/>
                <w:bCs/>
                <w:sz w:val="21"/>
                <w:szCs w:val="21"/>
              </w:rPr>
            </w:pPr>
            <w:r>
              <w:rPr>
                <w:rFonts w:hint="eastAsia" w:eastAsia="宋体" w:cs="宋体"/>
                <w:bCs/>
                <w:sz w:val="21"/>
                <w:szCs w:val="21"/>
              </w:rPr>
              <w:t>4）不良信用记录指：1.被列入信用中国网站“失信被执行人”“ 重大税收违法案件当事人”名单；2.被列入中国政府采购网“政府采购严重违法失信行为记录名单”；</w:t>
            </w:r>
          </w:p>
          <w:p w14:paraId="57AFFFD6">
            <w:pPr>
              <w:pStyle w:val="20"/>
              <w:tabs>
                <w:tab w:val="left" w:pos="6930"/>
              </w:tabs>
              <w:spacing w:before="0" w:beforeAutospacing="0" w:after="0" w:afterAutospacing="0" w:line="300" w:lineRule="auto"/>
              <w:rPr>
                <w:rFonts w:hint="eastAsia" w:eastAsia="宋体" w:cs="宋体"/>
                <w:bCs/>
                <w:sz w:val="21"/>
                <w:szCs w:val="21"/>
              </w:rPr>
            </w:pPr>
            <w:r>
              <w:rPr>
                <w:rFonts w:hint="eastAsia" w:eastAsia="宋体" w:cs="宋体"/>
                <w:bCs/>
                <w:sz w:val="21"/>
                <w:szCs w:val="21"/>
              </w:rPr>
              <w:t>5）信用信息的使用规则：供应商存在不良信用记录的，其响应文件将被拒绝。</w:t>
            </w:r>
          </w:p>
          <w:p w14:paraId="75A1C560">
            <w:pPr>
              <w:autoSpaceDE w:val="0"/>
              <w:autoSpaceDN w:val="0"/>
              <w:adjustRightInd w:val="0"/>
              <w:spacing w:line="360" w:lineRule="auto"/>
              <w:rPr>
                <w:rFonts w:hint="eastAsia" w:ascii="宋体" w:hAnsi="宋体" w:eastAsia="宋体" w:cs="宋体"/>
                <w:szCs w:val="21"/>
                <w:shd w:val="clear" w:color="auto" w:fill="FFFFFF"/>
              </w:rPr>
            </w:pPr>
            <w:r>
              <w:rPr>
                <w:rFonts w:hint="eastAsia" w:ascii="宋体" w:hAnsi="宋体" w:eastAsia="宋体" w:cs="宋体"/>
                <w:bCs/>
                <w:szCs w:val="21"/>
              </w:rPr>
              <w:t>6）以联合体形式</w:t>
            </w:r>
            <w:r>
              <w:rPr>
                <w:rStyle w:val="32"/>
                <w:rFonts w:hint="eastAsia" w:ascii="宋体" w:hAnsi="宋体" w:eastAsia="宋体" w:cs="宋体"/>
                <w:bCs/>
                <w:szCs w:val="21"/>
              </w:rPr>
              <w:t>投标/响应的（如项目允许）</w:t>
            </w:r>
            <w:r>
              <w:rPr>
                <w:rFonts w:hint="eastAsia" w:ascii="宋体" w:hAnsi="宋体" w:eastAsia="宋体" w:cs="宋体"/>
                <w:bCs/>
                <w:szCs w:val="21"/>
              </w:rPr>
              <w:t>，联合体成员存在不良信用记录视同联合体存在不良信用记录。</w:t>
            </w:r>
          </w:p>
        </w:tc>
      </w:tr>
      <w:tr w14:paraId="44F6D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70" w:type="dxa"/>
            <w:noWrap w:val="0"/>
            <w:vAlign w:val="center"/>
          </w:tcPr>
          <w:p w14:paraId="4387AF16">
            <w:pPr>
              <w:autoSpaceDE w:val="0"/>
              <w:autoSpaceDN w:val="0"/>
              <w:adjustRightInd w:val="0"/>
              <w:spacing w:line="360" w:lineRule="auto"/>
              <w:jc w:val="center"/>
              <w:rPr>
                <w:rFonts w:hint="default" w:ascii="宋体" w:hAnsi="宋体" w:eastAsia="宋体" w:cs="宋体"/>
                <w:bCs/>
                <w:kern w:val="0"/>
                <w:szCs w:val="21"/>
                <w:lang w:val="en-US" w:eastAsia="zh-CN"/>
              </w:rPr>
            </w:pPr>
            <w:r>
              <w:rPr>
                <w:rFonts w:hint="eastAsia" w:ascii="宋体" w:hAnsi="宋体" w:eastAsia="宋体" w:cs="宋体"/>
                <w:bCs/>
                <w:kern w:val="0"/>
                <w:szCs w:val="21"/>
                <w:lang w:val="en-US" w:eastAsia="zh-CN"/>
              </w:rPr>
              <w:t>2</w:t>
            </w:r>
            <w:r>
              <w:rPr>
                <w:rFonts w:hint="eastAsia" w:ascii="宋体" w:hAnsi="宋体" w:cs="宋体"/>
                <w:bCs/>
                <w:kern w:val="0"/>
                <w:szCs w:val="21"/>
                <w:lang w:val="en-US" w:eastAsia="zh-CN"/>
              </w:rPr>
              <w:t>0</w:t>
            </w:r>
          </w:p>
        </w:tc>
        <w:tc>
          <w:tcPr>
            <w:tcW w:w="2265" w:type="dxa"/>
            <w:noWrap w:val="0"/>
            <w:vAlign w:val="center"/>
          </w:tcPr>
          <w:p w14:paraId="24F573E1">
            <w:pPr>
              <w:pStyle w:val="8"/>
              <w:snapToGrid w:val="0"/>
              <w:spacing w:before="0" w:line="360" w:lineRule="auto"/>
              <w:jc w:val="center"/>
              <w:rPr>
                <w:rFonts w:hint="eastAsia" w:ascii="宋体" w:hAnsi="宋体" w:eastAsia="宋体" w:cs="宋体"/>
                <w:b w:val="0"/>
                <w:bCs w:val="0"/>
                <w:color w:val="auto"/>
                <w:kern w:val="2"/>
                <w:sz w:val="21"/>
              </w:rPr>
            </w:pPr>
            <w:r>
              <w:rPr>
                <w:rFonts w:hint="eastAsia" w:ascii="宋体" w:hAnsi="宋体" w:eastAsia="宋体" w:cs="宋体"/>
                <w:b w:val="0"/>
                <w:bCs w:val="0"/>
                <w:color w:val="auto"/>
                <w:kern w:val="2"/>
                <w:sz w:val="21"/>
              </w:rPr>
              <w:t>投标人失信被执行人查询</w:t>
            </w:r>
          </w:p>
        </w:tc>
        <w:tc>
          <w:tcPr>
            <w:tcW w:w="6749" w:type="dxa"/>
            <w:noWrap w:val="0"/>
            <w:vAlign w:val="center"/>
          </w:tcPr>
          <w:p w14:paraId="0D7EF607">
            <w:pPr>
              <w:pStyle w:val="8"/>
              <w:adjustRightInd w:val="0"/>
              <w:snapToGrid w:val="0"/>
              <w:spacing w:before="0" w:line="360" w:lineRule="auto"/>
              <w:rPr>
                <w:rFonts w:hint="eastAsia" w:ascii="宋体" w:hAnsi="宋体" w:eastAsia="宋体" w:cs="宋体"/>
                <w:b w:val="0"/>
                <w:bCs w:val="0"/>
                <w:color w:val="auto"/>
                <w:kern w:val="2"/>
                <w:sz w:val="21"/>
              </w:rPr>
            </w:pPr>
            <w:r>
              <w:rPr>
                <w:rFonts w:hint="eastAsia" w:ascii="宋体" w:hAnsi="宋体" w:eastAsia="宋体" w:cs="宋体"/>
                <w:b w:val="0"/>
                <w:bCs w:val="0"/>
                <w:color w:val="auto"/>
                <w:kern w:val="2"/>
                <w:sz w:val="21"/>
              </w:rPr>
              <w:t>根据《关于在公共资源交易活动中对失信被执行人实施联合惩戒的通知》常监管办[2019]10号的规定：</w:t>
            </w:r>
          </w:p>
          <w:p w14:paraId="344626E5">
            <w:pPr>
              <w:pStyle w:val="8"/>
              <w:adjustRightInd w:val="0"/>
              <w:snapToGrid w:val="0"/>
              <w:spacing w:before="0" w:line="360" w:lineRule="auto"/>
              <w:rPr>
                <w:rFonts w:hint="eastAsia" w:ascii="宋体" w:hAnsi="宋体" w:eastAsia="宋体" w:cs="宋体"/>
                <w:b w:val="0"/>
                <w:bCs w:val="0"/>
                <w:color w:val="auto"/>
                <w:kern w:val="2"/>
                <w:sz w:val="21"/>
              </w:rPr>
            </w:pPr>
            <w:r>
              <w:rPr>
                <w:rFonts w:hint="eastAsia" w:ascii="宋体" w:hAnsi="宋体" w:eastAsia="宋体" w:cs="宋体"/>
                <w:b w:val="0"/>
                <w:bCs w:val="0"/>
                <w:color w:val="auto"/>
                <w:kern w:val="2"/>
                <w:sz w:val="21"/>
              </w:rPr>
              <w:t>1）采购组织机构将对本项目投标供应商的法定代表 人（或单位负责人）及拟派项目负责人的失信被执行信息进行查询和甄别，通过中国执行信息公开网（http://zxgk.court.gov.cn/）查询。</w:t>
            </w:r>
          </w:p>
          <w:p w14:paraId="702ACA21">
            <w:pPr>
              <w:pStyle w:val="8"/>
              <w:adjustRightInd w:val="0"/>
              <w:snapToGrid w:val="0"/>
              <w:spacing w:before="0" w:line="360" w:lineRule="auto"/>
              <w:rPr>
                <w:rFonts w:hint="eastAsia" w:ascii="宋体" w:hAnsi="宋体" w:eastAsia="宋体" w:cs="宋体"/>
                <w:b w:val="0"/>
                <w:bCs w:val="0"/>
                <w:color w:val="auto"/>
                <w:kern w:val="2"/>
                <w:sz w:val="21"/>
              </w:rPr>
            </w:pPr>
            <w:r>
              <w:rPr>
                <w:rFonts w:hint="eastAsia" w:ascii="宋体" w:hAnsi="宋体" w:eastAsia="宋体" w:cs="宋体"/>
                <w:b w:val="0"/>
                <w:bCs w:val="0"/>
                <w:color w:val="auto"/>
                <w:kern w:val="2"/>
                <w:sz w:val="21"/>
              </w:rPr>
              <w:t>2）失信被执行信息的使用规则：供应商存在失信被执行信息的，限制参与本项目。</w:t>
            </w:r>
          </w:p>
          <w:p w14:paraId="105DFD6D">
            <w:pPr>
              <w:autoSpaceDE w:val="0"/>
              <w:autoSpaceDN w:val="0"/>
              <w:adjustRightInd w:val="0"/>
              <w:spacing w:line="360" w:lineRule="auto"/>
              <w:jc w:val="left"/>
              <w:rPr>
                <w:rFonts w:hint="eastAsia" w:ascii="宋体" w:hAnsi="宋体" w:eastAsia="宋体" w:cs="宋体"/>
                <w:szCs w:val="22"/>
              </w:rPr>
            </w:pPr>
            <w:r>
              <w:rPr>
                <w:rFonts w:hint="eastAsia" w:ascii="宋体" w:hAnsi="宋体" w:eastAsia="宋体" w:cs="宋体"/>
              </w:rPr>
              <w:t>3）如允许联合体参加投标的，联合体成员存在失信被执行信息的，视同联合体存在失信被执行信息的。</w:t>
            </w:r>
          </w:p>
        </w:tc>
      </w:tr>
      <w:tr w14:paraId="069CC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70" w:type="dxa"/>
            <w:noWrap w:val="0"/>
            <w:vAlign w:val="center"/>
          </w:tcPr>
          <w:p w14:paraId="0F5EE4A0">
            <w:pPr>
              <w:autoSpaceDE w:val="0"/>
              <w:autoSpaceDN w:val="0"/>
              <w:adjustRightInd w:val="0"/>
              <w:spacing w:line="360" w:lineRule="auto"/>
              <w:jc w:val="center"/>
              <w:rPr>
                <w:rFonts w:hint="eastAsia" w:ascii="宋体" w:hAnsi="宋体" w:eastAsia="宋体" w:cs="宋体"/>
                <w:bCs/>
                <w:kern w:val="0"/>
                <w:szCs w:val="21"/>
                <w:lang w:eastAsia="zh-CN"/>
              </w:rPr>
            </w:pPr>
            <w:r>
              <w:rPr>
                <w:rFonts w:hint="eastAsia" w:ascii="宋体" w:hAnsi="宋体" w:eastAsia="宋体" w:cs="宋体"/>
                <w:bCs/>
                <w:kern w:val="0"/>
                <w:szCs w:val="21"/>
              </w:rPr>
              <w:t>2</w:t>
            </w:r>
            <w:r>
              <w:rPr>
                <w:rFonts w:hint="eastAsia" w:ascii="宋体" w:hAnsi="宋体" w:cs="宋体"/>
                <w:bCs/>
                <w:kern w:val="0"/>
                <w:szCs w:val="21"/>
                <w:lang w:val="en-US" w:eastAsia="zh-CN"/>
              </w:rPr>
              <w:t>1</w:t>
            </w:r>
          </w:p>
        </w:tc>
        <w:tc>
          <w:tcPr>
            <w:tcW w:w="2265" w:type="dxa"/>
            <w:noWrap w:val="0"/>
            <w:vAlign w:val="center"/>
          </w:tcPr>
          <w:p w14:paraId="30154089">
            <w:pPr>
              <w:pStyle w:val="8"/>
              <w:spacing w:before="0" w:line="300" w:lineRule="auto"/>
              <w:jc w:val="center"/>
              <w:rPr>
                <w:rFonts w:hint="eastAsia" w:ascii="宋体" w:hAnsi="宋体" w:eastAsia="宋体" w:cs="宋体"/>
                <w:b w:val="0"/>
                <w:bCs w:val="0"/>
                <w:color w:val="auto"/>
                <w:kern w:val="2"/>
                <w:sz w:val="21"/>
              </w:rPr>
            </w:pPr>
            <w:r>
              <w:rPr>
                <w:rFonts w:hint="eastAsia" w:ascii="宋体" w:hAnsi="宋体" w:eastAsia="宋体" w:cs="宋体"/>
                <w:b w:val="0"/>
                <w:bCs w:val="0"/>
                <w:color w:val="auto"/>
                <w:kern w:val="2"/>
                <w:sz w:val="21"/>
              </w:rPr>
              <w:t>中小企业优惠措施</w:t>
            </w:r>
          </w:p>
        </w:tc>
        <w:tc>
          <w:tcPr>
            <w:tcW w:w="6749" w:type="dxa"/>
            <w:noWrap w:val="0"/>
            <w:vAlign w:val="center"/>
          </w:tcPr>
          <w:p w14:paraId="5388DEAF">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kern w:val="0"/>
                <w:szCs w:val="21"/>
              </w:rPr>
              <w:t>采购标的名称：</w:t>
            </w:r>
            <w:r>
              <w:rPr>
                <w:rFonts w:hint="eastAsia" w:ascii="宋体" w:hAnsi="宋体" w:eastAsia="宋体" w:cs="宋体"/>
                <w:kern w:val="0"/>
                <w:szCs w:val="21"/>
                <w:lang w:val="en-US" w:eastAsia="zh-CN"/>
              </w:rPr>
              <w:t xml:space="preserve"> </w:t>
            </w:r>
            <w:r>
              <w:rPr>
                <w:rFonts w:hint="eastAsia" w:ascii="宋体" w:hAnsi="宋体" w:eastAsia="宋体" w:cs="宋体"/>
                <w:kern w:val="0"/>
                <w:szCs w:val="21"/>
                <w:u w:val="single"/>
                <w:lang w:val="en-US" w:eastAsia="zh-CN"/>
              </w:rPr>
              <w:t xml:space="preserve"> </w:t>
            </w:r>
            <w:r>
              <w:rPr>
                <w:rFonts w:hint="eastAsia" w:ascii="宋体" w:hAnsi="宋体" w:eastAsia="宋体" w:cs="宋体"/>
                <w:kern w:val="0"/>
                <w:szCs w:val="21"/>
                <w:u w:val="single"/>
                <w:lang w:eastAsia="zh-CN"/>
              </w:rPr>
              <w:t>常山县2025年度产品质量监督抽查服务采购项目</w:t>
            </w:r>
            <w:r>
              <w:rPr>
                <w:rFonts w:hint="eastAsia" w:ascii="宋体" w:hAnsi="宋体" w:cs="宋体"/>
                <w:kern w:val="0"/>
                <w:szCs w:val="21"/>
                <w:u w:val="none"/>
                <w:lang w:eastAsia="zh-CN"/>
              </w:rPr>
              <w:t>。</w:t>
            </w:r>
          </w:p>
          <w:p w14:paraId="6F9FBEAA">
            <w:pPr>
              <w:numPr>
                <w:ilvl w:val="0"/>
                <w:numId w:val="3"/>
              </w:num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kern w:val="0"/>
                <w:szCs w:val="21"/>
              </w:rPr>
              <w:t>项目属性:</w:t>
            </w:r>
            <w:r>
              <w:rPr>
                <w:rFonts w:hint="eastAsia" w:ascii="宋体" w:hAnsi="宋体" w:eastAsia="宋体" w:cs="宋体"/>
                <w:kern w:val="0"/>
                <w:szCs w:val="21"/>
                <w:lang w:val="zh-CN" w:eastAsia="zh-CN"/>
              </w:rPr>
              <w:t>□</w:t>
            </w:r>
            <w:r>
              <w:rPr>
                <w:rFonts w:hint="eastAsia" w:ascii="宋体" w:hAnsi="宋体" w:eastAsia="宋体" w:cs="宋体"/>
                <w:kern w:val="0"/>
                <w:szCs w:val="21"/>
              </w:rPr>
              <w:t>货物类</w:t>
            </w:r>
            <w:r>
              <w:rPr>
                <w:rFonts w:hint="eastAsia" w:ascii="宋体" w:hAnsi="宋体" w:eastAsia="宋体" w:cs="宋体"/>
                <w:kern w:val="0"/>
                <w:szCs w:val="21"/>
                <w:lang w:val="zh-CN" w:eastAsia="zh-CN"/>
              </w:rPr>
              <w:t>☑</w:t>
            </w:r>
            <w:r>
              <w:rPr>
                <w:rFonts w:hint="eastAsia" w:ascii="宋体" w:hAnsi="宋体" w:eastAsia="宋体" w:cs="宋体"/>
                <w:kern w:val="0"/>
                <w:szCs w:val="21"/>
              </w:rPr>
              <w:t>服务类</w:t>
            </w:r>
            <w:r>
              <w:rPr>
                <w:rFonts w:hint="eastAsia" w:ascii="宋体" w:hAnsi="宋体" w:eastAsia="宋体" w:cs="宋体"/>
                <w:kern w:val="0"/>
                <w:szCs w:val="21"/>
                <w:lang w:val="zh-CN" w:eastAsia="zh-CN"/>
              </w:rPr>
              <w:t>□</w:t>
            </w:r>
            <w:r>
              <w:rPr>
                <w:rFonts w:hint="eastAsia" w:ascii="宋体" w:hAnsi="宋体" w:eastAsia="宋体" w:cs="宋体"/>
                <w:kern w:val="0"/>
                <w:szCs w:val="21"/>
              </w:rPr>
              <w:t>工程类</w:t>
            </w:r>
          </w:p>
          <w:p w14:paraId="37DF0831">
            <w:pPr>
              <w:numPr>
                <w:ilvl w:val="0"/>
                <w:numId w:val="0"/>
              </w:numPr>
              <w:autoSpaceDE w:val="0"/>
              <w:autoSpaceDN w:val="0"/>
              <w:adjustRightInd w:val="0"/>
              <w:spacing w:line="360" w:lineRule="auto"/>
              <w:rPr>
                <w:rFonts w:hint="eastAsia" w:ascii="宋体" w:hAnsi="宋体" w:eastAsia="宋体" w:cs="宋体"/>
                <w:kern w:val="0"/>
                <w:szCs w:val="21"/>
              </w:rPr>
            </w:pPr>
            <w:r>
              <w:rPr>
                <w:rFonts w:hint="eastAsia" w:eastAsia="宋体" w:cs="宋体"/>
                <w:sz w:val="21"/>
                <w:szCs w:val="21"/>
              </w:rPr>
              <w:t>对应的中小企业划型标准所属行业均为</w:t>
            </w:r>
            <w:r>
              <w:rPr>
                <w:rFonts w:hint="eastAsia" w:eastAsia="宋体" w:cs="宋体"/>
                <w:sz w:val="21"/>
                <w:szCs w:val="21"/>
                <w:u w:val="single"/>
              </w:rPr>
              <w:t xml:space="preserve"> </w:t>
            </w:r>
            <w:r>
              <w:rPr>
                <w:rFonts w:hint="eastAsia" w:eastAsia="宋体" w:cs="宋体"/>
                <w:b/>
                <w:bCs/>
                <w:sz w:val="21"/>
                <w:szCs w:val="21"/>
                <w:u w:val="single"/>
              </w:rPr>
              <w:t xml:space="preserve">其他未列明行业 </w:t>
            </w:r>
            <w:r>
              <w:rPr>
                <w:rFonts w:hint="eastAsia" w:eastAsia="宋体" w:cs="宋体"/>
                <w:b/>
                <w:bCs/>
                <w:color w:val="auto"/>
                <w:sz w:val="21"/>
                <w:szCs w:val="21"/>
                <w:u w:val="single"/>
              </w:rPr>
              <w:t xml:space="preserve"> </w:t>
            </w:r>
            <w:r>
              <w:rPr>
                <w:rFonts w:hint="eastAsia" w:eastAsia="宋体" w:cs="宋体"/>
                <w:color w:val="auto"/>
                <w:sz w:val="21"/>
                <w:szCs w:val="21"/>
              </w:rPr>
              <w:t>。</w:t>
            </w:r>
          </w:p>
          <w:p w14:paraId="3BE09C4C">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kern w:val="0"/>
                <w:szCs w:val="21"/>
              </w:rPr>
              <w:t>2）中小企业划分标准所属行业根据《中小企业划型标准规定》执行。</w:t>
            </w:r>
          </w:p>
          <w:p w14:paraId="4B3E0A67">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kern w:val="0"/>
                <w:szCs w:val="21"/>
              </w:rPr>
              <w:t>3）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1A63A0FA">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kern w:val="0"/>
                <w:szCs w:val="21"/>
              </w:rPr>
              <w:t>4）以联合体形式参加政府采购活动，联合体各方均为小微企业的，联合体视同小微企业。（本项目不接受联合体）</w:t>
            </w:r>
          </w:p>
          <w:p w14:paraId="66ABD513">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kern w:val="0"/>
                <w:szCs w:val="21"/>
              </w:rPr>
              <w:t>5） 参加本次采购活动的供应商提供的服务全部由小微企业承接的，其报价给予</w:t>
            </w:r>
            <w:r>
              <w:rPr>
                <w:rFonts w:hint="eastAsia" w:ascii="宋体" w:hAnsi="宋体" w:eastAsia="宋体" w:cs="宋体"/>
                <w:kern w:val="0"/>
                <w:szCs w:val="21"/>
                <w:lang w:val="en-US" w:eastAsia="zh-CN"/>
              </w:rPr>
              <w:t>10</w:t>
            </w:r>
            <w:r>
              <w:rPr>
                <w:rFonts w:hint="eastAsia" w:ascii="宋体" w:hAnsi="宋体" w:eastAsia="宋体" w:cs="宋体"/>
                <w:kern w:val="0"/>
                <w:szCs w:val="21"/>
              </w:rPr>
              <w:t>%的扣除，用扣除后的价格参加评审。小微企业将合同分包给大中型企业的，其报价不予扣除。</w:t>
            </w:r>
          </w:p>
          <w:p w14:paraId="43CD5A9F">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kern w:val="0"/>
                <w:szCs w:val="21"/>
              </w:rPr>
              <w:t>6）符合小微企业划分标准的个体工商户，视同小微企业。</w:t>
            </w:r>
          </w:p>
          <w:p w14:paraId="1EEBBF66">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kern w:val="0"/>
                <w:szCs w:val="21"/>
              </w:rPr>
              <w:t>7）本项目不接受大中型企业与小微企业组成联合体。</w:t>
            </w:r>
          </w:p>
          <w:p w14:paraId="6DD0FB73">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kern w:val="0"/>
                <w:szCs w:val="21"/>
              </w:rPr>
              <w:t>8）允许大中型企业向一家或者多家小微企业分包。对于分包意向协议约定小微企业的合同份额占到合同总金额30%以上的，其报价给予6%的扣除，用扣除后的价格参加评审。接受分包的小微企业与分包企业之间存在直接控股、管理关系的，不享受价格扣除优惠政策。</w:t>
            </w:r>
          </w:p>
          <w:p w14:paraId="62B51C94">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kern w:val="0"/>
                <w:szCs w:val="21"/>
              </w:rPr>
              <w:t>9）小微企业（包括联合体内的小微企业和接受分包的小微企业）参加政府采购活动，应当出具《中小企业声明函》，否则其报价不予扣除。</w:t>
            </w:r>
          </w:p>
          <w:p w14:paraId="36EB7B40">
            <w:pPr>
              <w:spacing w:line="360" w:lineRule="auto"/>
              <w:jc w:val="left"/>
              <w:rPr>
                <w:rFonts w:hint="eastAsia" w:ascii="宋体" w:hAnsi="宋体" w:eastAsia="宋体" w:cs="宋体"/>
                <w:kern w:val="0"/>
                <w:szCs w:val="21"/>
              </w:rPr>
            </w:pPr>
            <w:r>
              <w:rPr>
                <w:rFonts w:hint="eastAsia" w:ascii="宋体" w:hAnsi="宋体" w:eastAsia="宋体" w:cs="宋体"/>
                <w:kern w:val="0"/>
                <w:szCs w:val="21"/>
              </w:rPr>
              <w:t>10）监狱企业和残疾人福利性单位视同小型、微型企业，按《财政部 司法部关于政府采购支持监狱企业发展有关问题的通知》(财库〔2014〕68 号)、《财政部民政部中国残疾人联合会关于促进残疾人就业政府采购政策的通知》（财库〔2017〕141号）的规定执行。</w:t>
            </w:r>
          </w:p>
        </w:tc>
      </w:tr>
      <w:tr w14:paraId="1A612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870" w:type="dxa"/>
            <w:noWrap w:val="0"/>
            <w:vAlign w:val="center"/>
          </w:tcPr>
          <w:p w14:paraId="3DFA9B67">
            <w:pPr>
              <w:autoSpaceDE w:val="0"/>
              <w:autoSpaceDN w:val="0"/>
              <w:adjustRightInd w:val="0"/>
              <w:spacing w:line="360" w:lineRule="auto"/>
              <w:jc w:val="center"/>
              <w:rPr>
                <w:rFonts w:hint="eastAsia" w:ascii="宋体" w:hAnsi="宋体" w:eastAsia="宋体" w:cs="宋体"/>
                <w:bCs/>
                <w:kern w:val="0"/>
                <w:szCs w:val="21"/>
              </w:rPr>
            </w:pPr>
            <w:r>
              <w:rPr>
                <w:rFonts w:hint="eastAsia" w:ascii="宋体" w:hAnsi="宋体" w:eastAsia="宋体" w:cs="宋体"/>
                <w:bCs/>
                <w:kern w:val="0"/>
                <w:szCs w:val="21"/>
              </w:rPr>
              <w:t>2</w:t>
            </w:r>
            <w:r>
              <w:rPr>
                <w:rFonts w:hint="eastAsia" w:ascii="宋体" w:hAnsi="宋体" w:cs="宋体"/>
                <w:bCs/>
                <w:kern w:val="0"/>
                <w:szCs w:val="21"/>
                <w:lang w:val="en-US" w:eastAsia="zh-CN"/>
              </w:rPr>
              <w:t>2</w:t>
            </w:r>
          </w:p>
        </w:tc>
        <w:tc>
          <w:tcPr>
            <w:tcW w:w="2265" w:type="dxa"/>
            <w:noWrap w:val="0"/>
            <w:vAlign w:val="center"/>
          </w:tcPr>
          <w:p w14:paraId="50AC50CF">
            <w:pPr>
              <w:pStyle w:val="8"/>
              <w:spacing w:before="0" w:line="300" w:lineRule="auto"/>
              <w:jc w:val="center"/>
              <w:rPr>
                <w:rFonts w:hint="eastAsia" w:ascii="宋体" w:hAnsi="宋体" w:eastAsia="宋体" w:cs="宋体"/>
                <w:b w:val="0"/>
                <w:bCs w:val="0"/>
                <w:color w:val="auto"/>
                <w:kern w:val="2"/>
                <w:sz w:val="21"/>
              </w:rPr>
            </w:pPr>
            <w:r>
              <w:rPr>
                <w:rFonts w:hint="eastAsia" w:ascii="宋体" w:hAnsi="宋体" w:eastAsia="宋体" w:cs="宋体"/>
                <w:b w:val="0"/>
                <w:bCs w:val="0"/>
                <w:color w:val="auto"/>
                <w:kern w:val="2"/>
                <w:sz w:val="21"/>
              </w:rPr>
              <w:t>中小企业预留份额情况</w:t>
            </w:r>
          </w:p>
        </w:tc>
        <w:tc>
          <w:tcPr>
            <w:tcW w:w="6749" w:type="dxa"/>
            <w:noWrap w:val="0"/>
            <w:vAlign w:val="center"/>
          </w:tcPr>
          <w:p w14:paraId="050DC331">
            <w:pPr>
              <w:pStyle w:val="20"/>
              <w:tabs>
                <w:tab w:val="left" w:pos="6930"/>
              </w:tabs>
              <w:wordWrap w:val="0"/>
              <w:spacing w:beforeAutospacing="0" w:after="0" w:afterAutospacing="0" w:line="300" w:lineRule="auto"/>
              <w:rPr>
                <w:rFonts w:hint="eastAsia" w:eastAsia="宋体" w:cs="宋体"/>
                <w:sz w:val="21"/>
                <w:szCs w:val="21"/>
              </w:rPr>
            </w:pPr>
            <w:r>
              <w:rPr>
                <w:rFonts w:hint="eastAsia" w:ascii="宋体" w:hAnsi="宋体" w:eastAsia="宋体" w:cs="宋体"/>
                <w:color w:val="000000"/>
                <w:sz w:val="21"/>
                <w:szCs w:val="21"/>
              </w:rPr>
              <w:t>根据《政府采购促进中小企业发展管理办法》财库【2020】46号文件的规定，本项目（</w:t>
            </w:r>
            <w:r>
              <w:rPr>
                <w:rFonts w:hint="eastAsia" w:ascii="宋体" w:hAnsi="宋体" w:eastAsia="宋体" w:cs="宋体"/>
                <w:color w:val="000000"/>
                <w:sz w:val="21"/>
                <w:szCs w:val="21"/>
              </w:rPr>
              <w:sym w:font="Wingdings" w:char="00A8"/>
            </w:r>
            <w:r>
              <w:rPr>
                <w:rFonts w:hint="eastAsia" w:ascii="宋体" w:hAnsi="宋体" w:eastAsia="宋体" w:cs="宋体"/>
                <w:color w:val="000000"/>
                <w:sz w:val="21"/>
                <w:szCs w:val="21"/>
              </w:rPr>
              <w:t xml:space="preserve">是 </w:t>
            </w:r>
            <w:r>
              <w:rPr>
                <w:rFonts w:hint="eastAsia" w:ascii="宋体" w:hAnsi="宋体" w:eastAsia="宋体" w:cs="宋体"/>
                <w:color w:val="000000"/>
                <w:sz w:val="21"/>
                <w:szCs w:val="21"/>
              </w:rPr>
              <w:sym w:font="Wingdings" w:char="00FE"/>
            </w:r>
            <w:r>
              <w:rPr>
                <w:rFonts w:hint="eastAsia" w:ascii="宋体" w:hAnsi="宋体" w:eastAsia="宋体" w:cs="宋体"/>
                <w:color w:val="000000"/>
                <w:sz w:val="21"/>
                <w:szCs w:val="21"/>
              </w:rPr>
              <w:t>否）属于预留份额专门面向中小企业采购的项目。</w:t>
            </w:r>
          </w:p>
        </w:tc>
      </w:tr>
      <w:tr w14:paraId="7EDCE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870" w:type="dxa"/>
            <w:noWrap w:val="0"/>
            <w:vAlign w:val="center"/>
          </w:tcPr>
          <w:p w14:paraId="3F050AE1">
            <w:pPr>
              <w:autoSpaceDE w:val="0"/>
              <w:autoSpaceDN w:val="0"/>
              <w:adjustRightInd w:val="0"/>
              <w:spacing w:line="360" w:lineRule="auto"/>
              <w:jc w:val="center"/>
              <w:rPr>
                <w:rFonts w:hint="default" w:ascii="宋体" w:hAnsi="宋体" w:eastAsia="宋体" w:cs="宋体"/>
                <w:bCs/>
                <w:kern w:val="0"/>
                <w:szCs w:val="21"/>
                <w:lang w:val="en-US" w:eastAsia="zh-CN"/>
              </w:rPr>
            </w:pPr>
            <w:r>
              <w:rPr>
                <w:rFonts w:hint="eastAsia" w:ascii="宋体" w:hAnsi="宋体" w:cs="宋体"/>
                <w:bCs/>
                <w:kern w:val="0"/>
                <w:szCs w:val="21"/>
                <w:lang w:val="en-US" w:eastAsia="zh-CN"/>
              </w:rPr>
              <w:t>23</w:t>
            </w:r>
          </w:p>
        </w:tc>
        <w:tc>
          <w:tcPr>
            <w:tcW w:w="2265" w:type="dxa"/>
            <w:noWrap w:val="0"/>
            <w:vAlign w:val="center"/>
          </w:tcPr>
          <w:p w14:paraId="0BB35159">
            <w:pPr>
              <w:pStyle w:val="8"/>
              <w:snapToGrid w:val="0"/>
              <w:spacing w:before="0" w:line="300" w:lineRule="auto"/>
              <w:jc w:val="center"/>
              <w:rPr>
                <w:rFonts w:hint="eastAsia" w:ascii="宋体" w:hAnsi="宋体" w:eastAsia="宋体" w:cs="宋体"/>
                <w:b w:val="0"/>
                <w:bCs w:val="0"/>
                <w:color w:val="000000"/>
                <w:kern w:val="2"/>
                <w:sz w:val="21"/>
              </w:rPr>
            </w:pPr>
            <w:r>
              <w:rPr>
                <w:rFonts w:hint="eastAsia" w:ascii="宋体" w:hAnsi="宋体" w:eastAsia="宋体" w:cs="宋体"/>
                <w:b w:val="0"/>
                <w:bCs w:val="0"/>
                <w:color w:val="000000"/>
                <w:kern w:val="2"/>
                <w:sz w:val="21"/>
              </w:rPr>
              <w:t>联合体投标</w:t>
            </w:r>
          </w:p>
        </w:tc>
        <w:tc>
          <w:tcPr>
            <w:tcW w:w="6749" w:type="dxa"/>
            <w:noWrap w:val="0"/>
            <w:vAlign w:val="center"/>
          </w:tcPr>
          <w:p w14:paraId="690BE14F">
            <w:pPr>
              <w:pStyle w:val="20"/>
              <w:tabs>
                <w:tab w:val="left" w:pos="6930"/>
              </w:tabs>
              <w:spacing w:beforeAutospacing="0" w:after="0" w:afterAutospacing="0" w:line="300" w:lineRule="auto"/>
              <w:rPr>
                <w:rFonts w:hint="eastAsia" w:eastAsia="宋体" w:cs="宋体"/>
                <w:color w:val="000000"/>
                <w:sz w:val="21"/>
                <w:szCs w:val="21"/>
              </w:rPr>
            </w:pPr>
            <w:r>
              <w:rPr>
                <w:rFonts w:hint="eastAsia" w:eastAsia="宋体" w:cs="宋体"/>
                <w:color w:val="000000"/>
                <w:sz w:val="21"/>
                <w:szCs w:val="21"/>
              </w:rPr>
              <w:t>1.本项目【（）</w:t>
            </w:r>
            <w:r>
              <w:rPr>
                <w:rFonts w:hint="eastAsia" w:eastAsia="宋体" w:cs="宋体"/>
                <w:bCs/>
                <w:color w:val="000000"/>
                <w:sz w:val="21"/>
                <w:szCs w:val="21"/>
              </w:rPr>
              <w:t>接受</w:t>
            </w:r>
            <w:r>
              <w:rPr>
                <w:rFonts w:hint="eastAsia" w:eastAsia="宋体" w:cs="宋体"/>
                <w:color w:val="000000"/>
                <w:sz w:val="21"/>
                <w:szCs w:val="21"/>
              </w:rPr>
              <w:t>（</w:t>
            </w:r>
            <w:r>
              <w:rPr>
                <w:rFonts w:hint="eastAsia" w:eastAsia="宋体" w:cs="宋体"/>
                <w:b/>
                <w:bCs/>
                <w:color w:val="000000"/>
                <w:sz w:val="21"/>
                <w:szCs w:val="21"/>
              </w:rPr>
              <w:t>√</w:t>
            </w:r>
            <w:r>
              <w:rPr>
                <w:rFonts w:hint="eastAsia" w:eastAsia="宋体" w:cs="宋体"/>
                <w:color w:val="000000"/>
                <w:sz w:val="21"/>
                <w:szCs w:val="21"/>
              </w:rPr>
              <w:t>）不接受】大中型企业与小微企业组成联合体；</w:t>
            </w:r>
          </w:p>
          <w:p w14:paraId="0FF9398F">
            <w:pPr>
              <w:pStyle w:val="20"/>
              <w:tabs>
                <w:tab w:val="left" w:pos="6930"/>
              </w:tabs>
              <w:spacing w:beforeAutospacing="0" w:after="0" w:afterAutospacing="0" w:line="300" w:lineRule="auto"/>
              <w:rPr>
                <w:rFonts w:hint="eastAsia" w:eastAsia="宋体" w:cs="宋体"/>
                <w:color w:val="000000"/>
              </w:rPr>
            </w:pPr>
            <w:r>
              <w:rPr>
                <w:rFonts w:hint="eastAsia" w:eastAsia="宋体" w:cs="宋体"/>
                <w:color w:val="000000"/>
                <w:sz w:val="21"/>
                <w:szCs w:val="21"/>
              </w:rPr>
              <w:t>2.本项目【（）</w:t>
            </w:r>
            <w:r>
              <w:rPr>
                <w:rFonts w:hint="eastAsia" w:eastAsia="宋体" w:cs="宋体"/>
                <w:bCs/>
                <w:color w:val="000000"/>
                <w:sz w:val="21"/>
                <w:szCs w:val="21"/>
              </w:rPr>
              <w:t>接受</w:t>
            </w:r>
            <w:r>
              <w:rPr>
                <w:rFonts w:hint="eastAsia" w:eastAsia="宋体" w:cs="宋体"/>
                <w:color w:val="000000"/>
                <w:sz w:val="21"/>
                <w:szCs w:val="21"/>
              </w:rPr>
              <w:t>（</w:t>
            </w:r>
            <w:r>
              <w:rPr>
                <w:rFonts w:hint="eastAsia" w:eastAsia="宋体" w:cs="宋体"/>
                <w:b/>
                <w:bCs/>
                <w:color w:val="000000"/>
                <w:sz w:val="21"/>
                <w:szCs w:val="21"/>
              </w:rPr>
              <w:t>√</w:t>
            </w:r>
            <w:r>
              <w:rPr>
                <w:rFonts w:hint="eastAsia" w:eastAsia="宋体" w:cs="宋体"/>
                <w:color w:val="000000"/>
                <w:sz w:val="21"/>
                <w:szCs w:val="21"/>
              </w:rPr>
              <w:t>）不接受】其他形式的联合体。</w:t>
            </w:r>
          </w:p>
        </w:tc>
      </w:tr>
      <w:tr w14:paraId="7A47F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870" w:type="dxa"/>
            <w:noWrap w:val="0"/>
            <w:vAlign w:val="center"/>
          </w:tcPr>
          <w:p w14:paraId="7EE00D0F">
            <w:pPr>
              <w:autoSpaceDE w:val="0"/>
              <w:autoSpaceDN w:val="0"/>
              <w:adjustRightInd w:val="0"/>
              <w:spacing w:line="360" w:lineRule="auto"/>
              <w:jc w:val="center"/>
              <w:rPr>
                <w:rFonts w:hint="default" w:ascii="宋体" w:hAnsi="宋体" w:eastAsia="宋体" w:cs="宋体"/>
                <w:bCs/>
                <w:kern w:val="0"/>
                <w:szCs w:val="21"/>
                <w:lang w:val="en-US" w:eastAsia="zh-CN"/>
              </w:rPr>
            </w:pPr>
            <w:r>
              <w:rPr>
                <w:rFonts w:hint="eastAsia" w:ascii="宋体" w:hAnsi="宋体" w:cs="宋体"/>
                <w:bCs/>
                <w:kern w:val="0"/>
                <w:szCs w:val="21"/>
                <w:lang w:val="en-US" w:eastAsia="zh-CN"/>
              </w:rPr>
              <w:t>24</w:t>
            </w:r>
          </w:p>
        </w:tc>
        <w:tc>
          <w:tcPr>
            <w:tcW w:w="2265" w:type="dxa"/>
            <w:noWrap w:val="0"/>
            <w:vAlign w:val="center"/>
          </w:tcPr>
          <w:p w14:paraId="603ECA12">
            <w:pPr>
              <w:pStyle w:val="8"/>
              <w:snapToGrid w:val="0"/>
              <w:spacing w:before="0" w:line="300" w:lineRule="auto"/>
              <w:jc w:val="center"/>
              <w:rPr>
                <w:rFonts w:hint="eastAsia" w:ascii="宋体" w:hAnsi="宋体" w:eastAsia="宋体" w:cs="宋体"/>
                <w:b w:val="0"/>
                <w:bCs w:val="0"/>
                <w:color w:val="000000"/>
                <w:kern w:val="0"/>
                <w:sz w:val="21"/>
                <w:szCs w:val="21"/>
                <w:lang w:val="en-US" w:eastAsia="zh-CN" w:bidi="ar-SA"/>
              </w:rPr>
            </w:pPr>
            <w:r>
              <w:rPr>
                <w:rFonts w:hint="eastAsia" w:ascii="宋体" w:hAnsi="宋体" w:eastAsia="宋体" w:cs="宋体"/>
                <w:b w:val="0"/>
                <w:bCs w:val="0"/>
                <w:color w:val="000000"/>
                <w:kern w:val="0"/>
                <w:sz w:val="21"/>
                <w:szCs w:val="21"/>
                <w:lang w:val="en-US" w:eastAsia="zh-CN" w:bidi="ar-SA"/>
              </w:rPr>
              <w:t>转包与分包</w:t>
            </w:r>
          </w:p>
        </w:tc>
        <w:tc>
          <w:tcPr>
            <w:tcW w:w="6749" w:type="dxa"/>
            <w:noWrap w:val="0"/>
            <w:vAlign w:val="center"/>
          </w:tcPr>
          <w:p w14:paraId="6652717D">
            <w:pPr>
              <w:pStyle w:val="20"/>
              <w:tabs>
                <w:tab w:val="left" w:pos="6930"/>
              </w:tabs>
              <w:wordWrap w:val="0"/>
              <w:spacing w:beforeAutospacing="0" w:afterAutospacing="0" w:line="300" w:lineRule="auto"/>
              <w:rPr>
                <w:rFonts w:hint="eastAsia" w:ascii="宋体" w:hAnsi="宋体" w:eastAsia="宋体" w:cs="宋体"/>
                <w:b w:val="0"/>
                <w:bCs w:val="0"/>
                <w:color w:val="000000"/>
                <w:kern w:val="0"/>
                <w:sz w:val="21"/>
                <w:szCs w:val="21"/>
                <w:lang w:val="en-US" w:eastAsia="zh-CN" w:bidi="ar-SA"/>
              </w:rPr>
            </w:pPr>
            <w:r>
              <w:rPr>
                <w:rFonts w:hint="eastAsia" w:ascii="宋体" w:hAnsi="宋体" w:eastAsia="宋体" w:cs="宋体"/>
                <w:b w:val="0"/>
                <w:bCs w:val="0"/>
                <w:color w:val="000000"/>
                <w:kern w:val="0"/>
                <w:sz w:val="21"/>
                <w:szCs w:val="21"/>
                <w:lang w:val="en-US" w:eastAsia="zh-CN" w:bidi="ar-SA"/>
              </w:rPr>
              <w:t>1.本项目【允许（</w:t>
            </w:r>
            <w:r>
              <w:rPr>
                <w:rFonts w:hint="eastAsia" w:eastAsia="宋体" w:cs="宋体"/>
                <w:b/>
                <w:bCs/>
                <w:color w:val="000000"/>
                <w:sz w:val="21"/>
                <w:szCs w:val="21"/>
              </w:rPr>
              <w:t>√</w:t>
            </w:r>
            <w:r>
              <w:rPr>
                <w:rFonts w:hint="eastAsia" w:ascii="宋体" w:hAnsi="宋体" w:eastAsia="宋体" w:cs="宋体"/>
                <w:b w:val="0"/>
                <w:bCs w:val="0"/>
                <w:color w:val="000000"/>
                <w:kern w:val="0"/>
                <w:sz w:val="21"/>
                <w:szCs w:val="21"/>
                <w:lang w:val="en-US" w:eastAsia="zh-CN" w:bidi="ar-SA"/>
              </w:rPr>
              <w:t>）不允许（）】转包；</w:t>
            </w:r>
          </w:p>
          <w:p w14:paraId="64C85441">
            <w:pPr>
              <w:pStyle w:val="13"/>
              <w:spacing w:line="400" w:lineRule="exact"/>
              <w:rPr>
                <w:rFonts w:hint="eastAsia" w:ascii="宋体" w:hAnsi="宋体" w:eastAsia="宋体" w:cs="宋体"/>
                <w:b w:val="0"/>
                <w:bCs w:val="0"/>
                <w:color w:val="000000"/>
                <w:kern w:val="0"/>
                <w:sz w:val="21"/>
                <w:szCs w:val="21"/>
                <w:lang w:val="en-US" w:eastAsia="zh-CN" w:bidi="ar-SA"/>
              </w:rPr>
            </w:pPr>
            <w:r>
              <w:rPr>
                <w:rFonts w:hint="eastAsia" w:ascii="宋体" w:hAnsi="宋体" w:eastAsia="宋体" w:cs="宋体"/>
                <w:b w:val="0"/>
                <w:bCs w:val="0"/>
                <w:color w:val="000000"/>
                <w:kern w:val="0"/>
                <w:sz w:val="21"/>
                <w:szCs w:val="21"/>
                <w:lang w:val="en-US" w:eastAsia="zh-CN" w:bidi="ar-SA"/>
              </w:rPr>
              <w:t>2.本项目【允许（</w:t>
            </w:r>
            <w:r>
              <w:rPr>
                <w:rFonts w:hint="eastAsia" w:eastAsia="宋体" w:cs="宋体"/>
                <w:b/>
                <w:bCs/>
                <w:color w:val="000000"/>
                <w:sz w:val="21"/>
                <w:szCs w:val="21"/>
              </w:rPr>
              <w:t>√</w:t>
            </w:r>
            <w:r>
              <w:rPr>
                <w:rFonts w:hint="eastAsia" w:ascii="宋体" w:hAnsi="宋体" w:eastAsia="宋体" w:cs="宋体"/>
                <w:b w:val="0"/>
                <w:bCs w:val="0"/>
                <w:color w:val="000000"/>
                <w:kern w:val="0"/>
                <w:sz w:val="21"/>
                <w:szCs w:val="21"/>
                <w:lang w:val="en-US" w:eastAsia="zh-CN" w:bidi="ar-SA"/>
              </w:rPr>
              <w:t>）不允许（）】大中型企业向小微企业合理分包。</w:t>
            </w:r>
          </w:p>
        </w:tc>
      </w:tr>
      <w:tr w14:paraId="66F14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jc w:val="center"/>
        </w:trPr>
        <w:tc>
          <w:tcPr>
            <w:tcW w:w="870" w:type="dxa"/>
            <w:noWrap w:val="0"/>
            <w:vAlign w:val="center"/>
          </w:tcPr>
          <w:p w14:paraId="0057848A">
            <w:pPr>
              <w:autoSpaceDE w:val="0"/>
              <w:autoSpaceDN w:val="0"/>
              <w:adjustRightInd w:val="0"/>
              <w:spacing w:line="360" w:lineRule="auto"/>
              <w:jc w:val="center"/>
              <w:rPr>
                <w:rFonts w:hint="default" w:ascii="宋体" w:hAnsi="宋体" w:eastAsia="宋体" w:cs="宋体"/>
                <w:bCs/>
                <w:kern w:val="0"/>
                <w:szCs w:val="21"/>
                <w:lang w:val="en-US" w:eastAsia="zh-CN"/>
              </w:rPr>
            </w:pPr>
            <w:r>
              <w:rPr>
                <w:rFonts w:hint="eastAsia" w:ascii="宋体" w:hAnsi="宋体" w:cs="宋体"/>
                <w:bCs/>
                <w:kern w:val="0"/>
                <w:szCs w:val="21"/>
                <w:lang w:val="en-US" w:eastAsia="zh-CN"/>
              </w:rPr>
              <w:t>25</w:t>
            </w:r>
          </w:p>
        </w:tc>
        <w:tc>
          <w:tcPr>
            <w:tcW w:w="2265" w:type="dxa"/>
            <w:noWrap w:val="0"/>
            <w:vAlign w:val="center"/>
          </w:tcPr>
          <w:p w14:paraId="09474E4D">
            <w:pPr>
              <w:pStyle w:val="8"/>
              <w:snapToGrid w:val="0"/>
              <w:spacing w:before="0" w:line="360" w:lineRule="auto"/>
              <w:jc w:val="center"/>
              <w:rPr>
                <w:rFonts w:hint="eastAsia" w:ascii="宋体" w:hAnsi="宋体" w:eastAsia="宋体" w:cs="宋体"/>
                <w:b w:val="0"/>
                <w:color w:val="auto"/>
              </w:rPr>
            </w:pPr>
            <w:r>
              <w:rPr>
                <w:rFonts w:hint="eastAsia" w:ascii="宋体" w:hAnsi="宋体" w:eastAsia="宋体" w:cs="宋体"/>
                <w:b w:val="0"/>
                <w:bCs w:val="0"/>
                <w:color w:val="auto"/>
                <w:kern w:val="2"/>
                <w:sz w:val="21"/>
              </w:rPr>
              <w:t>采购文件答疑</w:t>
            </w:r>
          </w:p>
        </w:tc>
        <w:tc>
          <w:tcPr>
            <w:tcW w:w="6749" w:type="dxa"/>
            <w:noWrap w:val="0"/>
            <w:vAlign w:val="center"/>
          </w:tcPr>
          <w:p w14:paraId="737D7211">
            <w:pPr>
              <w:snapToGrid w:val="0"/>
              <w:spacing w:line="360" w:lineRule="auto"/>
              <w:rPr>
                <w:rFonts w:hint="eastAsia" w:ascii="宋体" w:hAnsi="宋体" w:eastAsia="宋体" w:cs="宋体"/>
              </w:rPr>
            </w:pPr>
            <w:r>
              <w:rPr>
                <w:rFonts w:hint="eastAsia" w:ascii="宋体" w:hAnsi="宋体" w:eastAsia="宋体" w:cs="宋体"/>
              </w:rPr>
              <w:t>如认为采购文件存在含糊不清、相互矛盾、多种含义以及歧视性不公正条款或违法违规等内容时，请在收到采购文件之日或者采购文件公告期限届满之日起7个工作日内将要求答疑的内容署名并盖章后以扫描件形式发送至</w:t>
            </w:r>
            <w:r>
              <w:rPr>
                <w:rFonts w:hint="eastAsia" w:ascii="宋体" w:hAnsi="宋体" w:eastAsia="宋体" w:cs="宋体"/>
              </w:rPr>
              <w:fldChar w:fldCharType="begin"/>
            </w:r>
            <w:r>
              <w:rPr>
                <w:rFonts w:hint="eastAsia" w:ascii="宋体" w:hAnsi="宋体" w:eastAsia="宋体" w:cs="宋体"/>
              </w:rPr>
              <w:instrText xml:space="preserve"> HYPERLINK "mailto:1653374491@qq.com" </w:instrText>
            </w:r>
            <w:r>
              <w:rPr>
                <w:rFonts w:hint="eastAsia" w:ascii="宋体" w:hAnsi="宋体" w:eastAsia="宋体" w:cs="宋体"/>
              </w:rPr>
              <w:fldChar w:fldCharType="separate"/>
            </w:r>
            <w:r>
              <w:rPr>
                <w:rFonts w:hint="eastAsia" w:ascii="宋体" w:hAnsi="宋体" w:eastAsia="宋体" w:cs="宋体"/>
                <w:lang w:eastAsia="zh-CN"/>
              </w:rPr>
              <w:t>1360921946</w:t>
            </w:r>
            <w:r>
              <w:rPr>
                <w:rFonts w:hint="eastAsia" w:ascii="宋体" w:hAnsi="宋体" w:eastAsia="宋体" w:cs="宋体"/>
              </w:rPr>
              <w:t>@qq.com</w:t>
            </w:r>
            <w:r>
              <w:rPr>
                <w:rFonts w:hint="eastAsia" w:ascii="宋体" w:hAnsi="宋体" w:eastAsia="宋体" w:cs="宋体"/>
              </w:rPr>
              <w:fldChar w:fldCharType="end"/>
            </w:r>
            <w:r>
              <w:rPr>
                <w:rFonts w:hint="eastAsia" w:ascii="宋体" w:hAnsi="宋体" w:eastAsia="宋体" w:cs="宋体"/>
              </w:rPr>
              <w:t>，同时将要求答疑内容的纸质版邮寄至</w:t>
            </w:r>
            <w:r>
              <w:rPr>
                <w:rFonts w:hint="eastAsia" w:ascii="宋体" w:hAnsi="宋体" w:eastAsia="宋体" w:cs="宋体"/>
                <w:lang w:eastAsia="zh-CN"/>
              </w:rPr>
              <w:t>浙江省常山县天马街道定阳南路859幢336号</w:t>
            </w:r>
            <w:r>
              <w:rPr>
                <w:rFonts w:hint="eastAsia" w:ascii="宋体" w:hAnsi="宋体" w:eastAsia="宋体" w:cs="宋体"/>
              </w:rPr>
              <w:t xml:space="preserve"> </w:t>
            </w:r>
            <w:r>
              <w:rPr>
                <w:rFonts w:hint="eastAsia" w:ascii="宋体" w:hAnsi="宋体" w:eastAsia="宋体" w:cs="宋体"/>
                <w:lang w:eastAsia="zh-CN"/>
              </w:rPr>
              <w:t>何思思</w:t>
            </w:r>
            <w:r>
              <w:rPr>
                <w:rFonts w:hint="eastAsia" w:ascii="宋体" w:hAnsi="宋体" w:eastAsia="宋体" w:cs="宋体"/>
              </w:rPr>
              <w:t>收 （电子邮件与纸质文件有不一致的，一律以纸质文件为准）。逾期提出的答疑要求将不予受理、答复。</w:t>
            </w:r>
          </w:p>
          <w:p w14:paraId="18E813CE">
            <w:pPr>
              <w:snapToGrid w:val="0"/>
              <w:spacing w:line="360" w:lineRule="auto"/>
              <w:rPr>
                <w:rFonts w:hint="eastAsia" w:ascii="宋体" w:hAnsi="宋体" w:eastAsia="宋体" w:cs="宋体"/>
                <w:kern w:val="0"/>
                <w:szCs w:val="21"/>
              </w:rPr>
            </w:pPr>
            <w:r>
              <w:rPr>
                <w:rFonts w:hint="eastAsia" w:ascii="宋体" w:hAnsi="宋体" w:eastAsia="宋体" w:cs="宋体"/>
                <w:kern w:val="0"/>
                <w:szCs w:val="21"/>
              </w:rPr>
              <w:t>质疑的提出与答复均按《政府采购质疑和投诉办法》（财政部令第 94 号）</w:t>
            </w:r>
          </w:p>
          <w:p w14:paraId="3306BC70">
            <w:pPr>
              <w:snapToGrid w:val="0"/>
              <w:spacing w:line="360" w:lineRule="auto"/>
              <w:rPr>
                <w:rFonts w:hint="eastAsia" w:ascii="宋体" w:hAnsi="宋体" w:eastAsia="宋体" w:cs="宋体"/>
                <w:b/>
                <w:szCs w:val="21"/>
              </w:rPr>
            </w:pPr>
            <w:r>
              <w:rPr>
                <w:rFonts w:hint="eastAsia" w:ascii="宋体" w:hAnsi="宋体" w:eastAsia="宋体" w:cs="宋体"/>
                <w:kern w:val="0"/>
                <w:szCs w:val="21"/>
              </w:rPr>
              <w:t>规定执行。针对同一采购程序环节的质疑，供应商应在法定期限内一次性提出（即针对同一采购程序环节的质疑采购人或采购代理机构仅受理一次），逾期提出或针对同一采购程序环节多次提出的质疑将不予受理、答</w:t>
            </w:r>
            <w:r>
              <w:rPr>
                <w:rFonts w:hint="eastAsia" w:ascii="宋体" w:hAnsi="宋体" w:eastAsia="宋体" w:cs="宋体"/>
                <w:szCs w:val="21"/>
              </w:rPr>
              <w:t>复。</w:t>
            </w:r>
          </w:p>
        </w:tc>
      </w:tr>
      <w:tr w14:paraId="4AFC3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870" w:type="dxa"/>
            <w:noWrap w:val="0"/>
            <w:vAlign w:val="center"/>
          </w:tcPr>
          <w:p w14:paraId="2E6774BE">
            <w:pPr>
              <w:autoSpaceDE w:val="0"/>
              <w:autoSpaceDN w:val="0"/>
              <w:adjustRightInd w:val="0"/>
              <w:spacing w:line="360" w:lineRule="auto"/>
              <w:jc w:val="center"/>
              <w:rPr>
                <w:rFonts w:hint="default" w:ascii="宋体" w:hAnsi="宋体" w:eastAsia="宋体" w:cs="宋体"/>
                <w:bCs/>
                <w:kern w:val="0"/>
                <w:szCs w:val="21"/>
                <w:lang w:val="en-US" w:eastAsia="zh-CN"/>
              </w:rPr>
            </w:pPr>
            <w:r>
              <w:rPr>
                <w:rFonts w:hint="eastAsia" w:ascii="宋体" w:hAnsi="宋体" w:eastAsia="宋体" w:cs="宋体"/>
                <w:bCs/>
                <w:kern w:val="0"/>
                <w:szCs w:val="21"/>
                <w:lang w:val="en-US" w:eastAsia="zh-CN"/>
              </w:rPr>
              <w:t>2</w:t>
            </w:r>
            <w:r>
              <w:rPr>
                <w:rFonts w:hint="eastAsia" w:ascii="宋体" w:hAnsi="宋体" w:cs="宋体"/>
                <w:bCs/>
                <w:kern w:val="0"/>
                <w:szCs w:val="21"/>
                <w:lang w:val="en-US" w:eastAsia="zh-CN"/>
              </w:rPr>
              <w:t>6</w:t>
            </w:r>
          </w:p>
        </w:tc>
        <w:tc>
          <w:tcPr>
            <w:tcW w:w="2265" w:type="dxa"/>
            <w:noWrap w:val="0"/>
            <w:vAlign w:val="center"/>
          </w:tcPr>
          <w:p w14:paraId="5C141C45">
            <w:pPr>
              <w:spacing w:line="360" w:lineRule="auto"/>
              <w:jc w:val="center"/>
              <w:rPr>
                <w:rFonts w:hint="eastAsia" w:ascii="宋体" w:hAnsi="宋体" w:eastAsia="宋体" w:cs="宋体"/>
                <w:bCs/>
                <w:kern w:val="0"/>
                <w:szCs w:val="21"/>
              </w:rPr>
            </w:pPr>
            <w:r>
              <w:rPr>
                <w:rFonts w:hint="eastAsia" w:ascii="宋体" w:hAnsi="宋体" w:eastAsia="宋体" w:cs="宋体"/>
                <w:bCs/>
                <w:kern w:val="0"/>
                <w:szCs w:val="21"/>
              </w:rPr>
              <w:t>采购代理服务费</w:t>
            </w:r>
          </w:p>
        </w:tc>
        <w:tc>
          <w:tcPr>
            <w:tcW w:w="6749" w:type="dxa"/>
            <w:noWrap w:val="0"/>
            <w:vAlign w:val="center"/>
          </w:tcPr>
          <w:p w14:paraId="0CAE8145">
            <w:pPr>
              <w:snapToGrid w:val="0"/>
              <w:spacing w:line="360" w:lineRule="auto"/>
              <w:rPr>
                <w:rFonts w:hint="eastAsia" w:ascii="宋体" w:hAnsi="宋体" w:eastAsia="宋体" w:cs="宋体"/>
              </w:rPr>
            </w:pPr>
            <w:r>
              <w:rPr>
                <w:rFonts w:hint="eastAsia" w:ascii="宋体" w:hAnsi="宋体" w:eastAsia="宋体" w:cs="宋体"/>
              </w:rPr>
              <w:t xml:space="preserve">本项目招标代理费(招标代理费收费标准按照国家计委关于印发《招标代理服务费管理暂行办法》的通知（计价格【2002】1980号）规定的收费标准执行，按服务招标计算），由中标人支付给代理机构。各投标人在投标报价时自行考虑在投标报价中，由中标人在领取中标通知书前一次性支付给代理机构。 </w:t>
            </w:r>
          </w:p>
          <w:p w14:paraId="72DCC3DC">
            <w:pPr>
              <w:snapToGrid w:val="0"/>
              <w:spacing w:line="360" w:lineRule="auto"/>
              <w:rPr>
                <w:rFonts w:hint="eastAsia" w:ascii="宋体" w:hAnsi="宋体" w:eastAsia="宋体" w:cs="宋体"/>
              </w:rPr>
            </w:pPr>
            <w:r>
              <w:rPr>
                <w:rFonts w:hint="eastAsia" w:ascii="宋体" w:hAnsi="宋体" w:eastAsia="宋体" w:cs="宋体"/>
              </w:rPr>
              <w:t>《招标代理服务费管理暂行办法》的通知规定的收费标准</w:t>
            </w:r>
          </w:p>
          <w:tbl>
            <w:tblPr>
              <w:tblStyle w:val="22"/>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92"/>
              <w:gridCol w:w="2293"/>
              <w:gridCol w:w="2280"/>
            </w:tblGrid>
            <w:tr w14:paraId="2AD31C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2292" w:type="dxa"/>
                  <w:noWrap w:val="0"/>
                  <w:vAlign w:val="top"/>
                </w:tcPr>
                <w:p w14:paraId="0F97A0F2">
                  <w:pPr>
                    <w:snapToGrid w:val="0"/>
                    <w:spacing w:before="100" w:beforeAutospacing="1" w:after="100" w:afterAutospacing="1" w:line="276" w:lineRule="auto"/>
                    <w:jc w:val="center"/>
                    <w:rPr>
                      <w:rFonts w:hint="eastAsia" w:ascii="宋体" w:hAnsi="宋体" w:eastAsia="宋体" w:cs="宋体"/>
                      <w:bCs/>
                      <w:szCs w:val="21"/>
                    </w:rPr>
                  </w:pPr>
                  <w:r>
                    <w:rPr>
                      <w:rFonts w:hint="eastAsia" w:ascii="宋体" w:hAnsi="宋体" w:eastAsia="宋体" w:cs="宋体"/>
                      <w:bCs/>
                      <w:szCs w:val="21"/>
                    </w:rPr>
                    <w:t>中标金额（万元）</w:t>
                  </w:r>
                </w:p>
              </w:tc>
              <w:tc>
                <w:tcPr>
                  <w:tcW w:w="2293" w:type="dxa"/>
                  <w:noWrap w:val="0"/>
                  <w:vAlign w:val="top"/>
                </w:tcPr>
                <w:p w14:paraId="2FDCDDC2">
                  <w:pPr>
                    <w:snapToGrid w:val="0"/>
                    <w:spacing w:before="100" w:beforeAutospacing="1" w:after="100" w:afterAutospacing="1" w:line="276" w:lineRule="auto"/>
                    <w:jc w:val="center"/>
                    <w:rPr>
                      <w:rFonts w:hint="eastAsia" w:ascii="宋体" w:hAnsi="宋体" w:eastAsia="宋体" w:cs="宋体"/>
                      <w:bCs/>
                      <w:szCs w:val="21"/>
                    </w:rPr>
                  </w:pPr>
                  <w:r>
                    <w:rPr>
                      <w:rFonts w:hint="eastAsia" w:ascii="宋体" w:hAnsi="宋体" w:eastAsia="宋体" w:cs="宋体"/>
                      <w:bCs/>
                      <w:szCs w:val="21"/>
                    </w:rPr>
                    <w:t>货物费率</w:t>
                  </w:r>
                </w:p>
              </w:tc>
              <w:tc>
                <w:tcPr>
                  <w:tcW w:w="2280" w:type="dxa"/>
                  <w:noWrap w:val="0"/>
                  <w:vAlign w:val="top"/>
                </w:tcPr>
                <w:p w14:paraId="2BFB0C70">
                  <w:pPr>
                    <w:snapToGrid w:val="0"/>
                    <w:spacing w:before="100" w:beforeAutospacing="1" w:after="100" w:afterAutospacing="1" w:line="276" w:lineRule="auto"/>
                    <w:jc w:val="center"/>
                    <w:rPr>
                      <w:rFonts w:hint="eastAsia" w:ascii="宋体" w:hAnsi="宋体" w:eastAsia="宋体" w:cs="宋体"/>
                      <w:bCs/>
                      <w:szCs w:val="21"/>
                    </w:rPr>
                  </w:pPr>
                  <w:r>
                    <w:rPr>
                      <w:rFonts w:hint="eastAsia" w:ascii="宋体" w:hAnsi="宋体" w:eastAsia="宋体" w:cs="宋体"/>
                      <w:bCs/>
                      <w:szCs w:val="21"/>
                    </w:rPr>
                    <w:t>服务费率</w:t>
                  </w:r>
                </w:p>
              </w:tc>
            </w:tr>
            <w:tr w14:paraId="24A94C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noWrap w:val="0"/>
                  <w:vAlign w:val="top"/>
                </w:tcPr>
                <w:p w14:paraId="3FC8CE3B">
                  <w:pPr>
                    <w:snapToGrid w:val="0"/>
                    <w:spacing w:before="100" w:beforeAutospacing="1" w:after="100" w:afterAutospacing="1" w:line="276" w:lineRule="auto"/>
                    <w:jc w:val="center"/>
                    <w:rPr>
                      <w:rFonts w:hint="eastAsia" w:ascii="宋体" w:hAnsi="宋体" w:eastAsia="宋体" w:cs="宋体"/>
                      <w:bCs/>
                      <w:szCs w:val="21"/>
                    </w:rPr>
                  </w:pPr>
                  <w:r>
                    <w:rPr>
                      <w:rFonts w:hint="eastAsia" w:ascii="宋体" w:hAnsi="宋体" w:eastAsia="宋体" w:cs="宋体"/>
                      <w:bCs/>
                      <w:szCs w:val="21"/>
                    </w:rPr>
                    <w:t>100以下</w:t>
                  </w:r>
                </w:p>
              </w:tc>
              <w:tc>
                <w:tcPr>
                  <w:tcW w:w="2293" w:type="dxa"/>
                  <w:noWrap w:val="0"/>
                  <w:vAlign w:val="top"/>
                </w:tcPr>
                <w:p w14:paraId="2971E414">
                  <w:pPr>
                    <w:snapToGrid w:val="0"/>
                    <w:spacing w:before="100" w:beforeAutospacing="1" w:after="100" w:afterAutospacing="1" w:line="276" w:lineRule="auto"/>
                    <w:jc w:val="center"/>
                    <w:rPr>
                      <w:rFonts w:hint="eastAsia" w:ascii="宋体" w:hAnsi="宋体" w:eastAsia="宋体" w:cs="宋体"/>
                      <w:bCs/>
                      <w:szCs w:val="21"/>
                    </w:rPr>
                  </w:pPr>
                  <w:r>
                    <w:rPr>
                      <w:rFonts w:hint="eastAsia" w:ascii="宋体" w:hAnsi="宋体" w:eastAsia="宋体" w:cs="宋体"/>
                      <w:bCs/>
                      <w:szCs w:val="21"/>
                    </w:rPr>
                    <w:t>1.5%</w:t>
                  </w:r>
                </w:p>
              </w:tc>
              <w:tc>
                <w:tcPr>
                  <w:tcW w:w="2280" w:type="dxa"/>
                  <w:noWrap w:val="0"/>
                  <w:vAlign w:val="top"/>
                </w:tcPr>
                <w:p w14:paraId="005F88AF">
                  <w:pPr>
                    <w:snapToGrid w:val="0"/>
                    <w:spacing w:before="100" w:beforeAutospacing="1" w:after="100" w:afterAutospacing="1" w:line="276" w:lineRule="auto"/>
                    <w:jc w:val="center"/>
                    <w:rPr>
                      <w:rFonts w:hint="eastAsia" w:ascii="宋体" w:hAnsi="宋体" w:eastAsia="宋体" w:cs="宋体"/>
                      <w:bCs/>
                      <w:szCs w:val="21"/>
                    </w:rPr>
                  </w:pPr>
                  <w:r>
                    <w:rPr>
                      <w:rFonts w:hint="eastAsia" w:ascii="宋体" w:hAnsi="宋体" w:eastAsia="宋体" w:cs="宋体"/>
                      <w:bCs/>
                      <w:szCs w:val="21"/>
                    </w:rPr>
                    <w:t>1.5%</w:t>
                  </w:r>
                </w:p>
              </w:tc>
            </w:tr>
            <w:tr w14:paraId="7112EE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noWrap w:val="0"/>
                  <w:vAlign w:val="top"/>
                </w:tcPr>
                <w:p w14:paraId="56D90C00">
                  <w:pPr>
                    <w:snapToGrid w:val="0"/>
                    <w:spacing w:before="100" w:beforeAutospacing="1" w:after="100" w:afterAutospacing="1" w:line="276" w:lineRule="auto"/>
                    <w:jc w:val="center"/>
                    <w:rPr>
                      <w:rFonts w:hint="eastAsia" w:ascii="宋体" w:hAnsi="宋体" w:eastAsia="宋体" w:cs="宋体"/>
                      <w:bCs/>
                      <w:szCs w:val="21"/>
                    </w:rPr>
                  </w:pPr>
                  <w:r>
                    <w:rPr>
                      <w:rFonts w:hint="eastAsia" w:ascii="宋体" w:hAnsi="宋体" w:eastAsia="宋体" w:cs="宋体"/>
                      <w:bCs/>
                      <w:szCs w:val="21"/>
                    </w:rPr>
                    <w:t>100-500</w:t>
                  </w:r>
                </w:p>
              </w:tc>
              <w:tc>
                <w:tcPr>
                  <w:tcW w:w="2293" w:type="dxa"/>
                  <w:noWrap w:val="0"/>
                  <w:vAlign w:val="top"/>
                </w:tcPr>
                <w:p w14:paraId="2F3E2FD3">
                  <w:pPr>
                    <w:snapToGrid w:val="0"/>
                    <w:spacing w:before="100" w:beforeAutospacing="1" w:after="100" w:afterAutospacing="1" w:line="276" w:lineRule="auto"/>
                    <w:jc w:val="center"/>
                    <w:rPr>
                      <w:rFonts w:hint="eastAsia" w:ascii="宋体" w:hAnsi="宋体" w:eastAsia="宋体" w:cs="宋体"/>
                      <w:bCs/>
                      <w:szCs w:val="21"/>
                    </w:rPr>
                  </w:pPr>
                  <w:r>
                    <w:rPr>
                      <w:rFonts w:hint="eastAsia" w:ascii="宋体" w:hAnsi="宋体" w:eastAsia="宋体" w:cs="宋体"/>
                      <w:bCs/>
                      <w:szCs w:val="21"/>
                    </w:rPr>
                    <w:t>1.1%</w:t>
                  </w:r>
                </w:p>
              </w:tc>
              <w:tc>
                <w:tcPr>
                  <w:tcW w:w="2280" w:type="dxa"/>
                  <w:noWrap w:val="0"/>
                  <w:vAlign w:val="top"/>
                </w:tcPr>
                <w:p w14:paraId="7569010C">
                  <w:pPr>
                    <w:snapToGrid w:val="0"/>
                    <w:spacing w:before="100" w:beforeAutospacing="1" w:after="100" w:afterAutospacing="1" w:line="276" w:lineRule="auto"/>
                    <w:jc w:val="center"/>
                    <w:rPr>
                      <w:rFonts w:hint="eastAsia" w:ascii="宋体" w:hAnsi="宋体" w:eastAsia="宋体" w:cs="宋体"/>
                      <w:bCs/>
                      <w:szCs w:val="21"/>
                    </w:rPr>
                  </w:pPr>
                  <w:r>
                    <w:rPr>
                      <w:rFonts w:hint="eastAsia" w:ascii="宋体" w:hAnsi="宋体" w:eastAsia="宋体" w:cs="宋体"/>
                      <w:bCs/>
                      <w:szCs w:val="21"/>
                    </w:rPr>
                    <w:t>0.8%</w:t>
                  </w:r>
                </w:p>
              </w:tc>
            </w:tr>
            <w:tr w14:paraId="77EA9C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noWrap w:val="0"/>
                  <w:vAlign w:val="top"/>
                </w:tcPr>
                <w:p w14:paraId="732E8EAE">
                  <w:pPr>
                    <w:snapToGrid w:val="0"/>
                    <w:spacing w:before="100" w:beforeAutospacing="1" w:after="100" w:afterAutospacing="1" w:line="276" w:lineRule="auto"/>
                    <w:jc w:val="center"/>
                    <w:rPr>
                      <w:rFonts w:hint="eastAsia" w:ascii="宋体" w:hAnsi="宋体" w:eastAsia="宋体" w:cs="宋体"/>
                      <w:bCs/>
                      <w:szCs w:val="21"/>
                    </w:rPr>
                  </w:pPr>
                  <w:r>
                    <w:rPr>
                      <w:rFonts w:hint="eastAsia" w:ascii="宋体" w:hAnsi="宋体" w:eastAsia="宋体" w:cs="宋体"/>
                      <w:bCs/>
                      <w:szCs w:val="21"/>
                    </w:rPr>
                    <w:t>500-1000</w:t>
                  </w:r>
                </w:p>
              </w:tc>
              <w:tc>
                <w:tcPr>
                  <w:tcW w:w="2293" w:type="dxa"/>
                  <w:noWrap w:val="0"/>
                  <w:vAlign w:val="top"/>
                </w:tcPr>
                <w:p w14:paraId="04E61B99">
                  <w:pPr>
                    <w:snapToGrid w:val="0"/>
                    <w:spacing w:before="100" w:beforeAutospacing="1" w:after="100" w:afterAutospacing="1" w:line="276" w:lineRule="auto"/>
                    <w:jc w:val="center"/>
                    <w:rPr>
                      <w:rFonts w:hint="eastAsia" w:ascii="宋体" w:hAnsi="宋体" w:eastAsia="宋体" w:cs="宋体"/>
                      <w:bCs/>
                      <w:szCs w:val="21"/>
                    </w:rPr>
                  </w:pPr>
                  <w:r>
                    <w:rPr>
                      <w:rFonts w:hint="eastAsia" w:ascii="宋体" w:hAnsi="宋体" w:eastAsia="宋体" w:cs="宋体"/>
                      <w:bCs/>
                      <w:szCs w:val="21"/>
                    </w:rPr>
                    <w:t>0.8%</w:t>
                  </w:r>
                </w:p>
              </w:tc>
              <w:tc>
                <w:tcPr>
                  <w:tcW w:w="2280" w:type="dxa"/>
                  <w:noWrap w:val="0"/>
                  <w:vAlign w:val="top"/>
                </w:tcPr>
                <w:p w14:paraId="505100E8">
                  <w:pPr>
                    <w:snapToGrid w:val="0"/>
                    <w:spacing w:before="100" w:beforeAutospacing="1" w:after="100" w:afterAutospacing="1" w:line="276" w:lineRule="auto"/>
                    <w:jc w:val="center"/>
                    <w:rPr>
                      <w:rFonts w:hint="eastAsia" w:ascii="宋体" w:hAnsi="宋体" w:eastAsia="宋体" w:cs="宋体"/>
                      <w:bCs/>
                      <w:szCs w:val="21"/>
                    </w:rPr>
                  </w:pPr>
                  <w:r>
                    <w:rPr>
                      <w:rFonts w:hint="eastAsia" w:ascii="宋体" w:hAnsi="宋体" w:eastAsia="宋体" w:cs="宋体"/>
                      <w:bCs/>
                      <w:szCs w:val="21"/>
                    </w:rPr>
                    <w:t>0.45%</w:t>
                  </w:r>
                </w:p>
              </w:tc>
            </w:tr>
          </w:tbl>
          <w:p w14:paraId="0E7DC00E">
            <w:pPr>
              <w:spacing w:line="360" w:lineRule="auto"/>
              <w:jc w:val="left"/>
              <w:rPr>
                <w:rFonts w:hint="eastAsia" w:ascii="宋体" w:hAnsi="宋体" w:eastAsia="宋体" w:cs="宋体"/>
                <w:bCs/>
                <w:szCs w:val="21"/>
              </w:rPr>
            </w:pPr>
          </w:p>
        </w:tc>
      </w:tr>
      <w:tr w14:paraId="44596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jc w:val="center"/>
        </w:trPr>
        <w:tc>
          <w:tcPr>
            <w:tcW w:w="870" w:type="dxa"/>
            <w:noWrap w:val="0"/>
            <w:vAlign w:val="center"/>
          </w:tcPr>
          <w:p w14:paraId="4B456600">
            <w:pPr>
              <w:autoSpaceDE w:val="0"/>
              <w:autoSpaceDN w:val="0"/>
              <w:adjustRightInd w:val="0"/>
              <w:spacing w:line="360" w:lineRule="auto"/>
              <w:jc w:val="center"/>
              <w:rPr>
                <w:rFonts w:hint="default" w:ascii="宋体" w:hAnsi="宋体" w:eastAsia="宋体" w:cs="宋体"/>
                <w:bCs/>
                <w:kern w:val="0"/>
                <w:szCs w:val="21"/>
                <w:lang w:val="en-US" w:eastAsia="zh-CN"/>
              </w:rPr>
            </w:pPr>
            <w:r>
              <w:rPr>
                <w:rFonts w:hint="eastAsia" w:ascii="宋体" w:hAnsi="宋体" w:eastAsia="宋体" w:cs="宋体"/>
                <w:bCs/>
                <w:kern w:val="0"/>
                <w:szCs w:val="21"/>
                <w:lang w:val="en-US" w:eastAsia="zh-CN"/>
              </w:rPr>
              <w:t>2</w:t>
            </w:r>
            <w:r>
              <w:rPr>
                <w:rFonts w:hint="eastAsia" w:ascii="宋体" w:hAnsi="宋体" w:cs="宋体"/>
                <w:bCs/>
                <w:kern w:val="0"/>
                <w:szCs w:val="21"/>
                <w:lang w:val="en-US" w:eastAsia="zh-CN"/>
              </w:rPr>
              <w:t>7</w:t>
            </w:r>
          </w:p>
        </w:tc>
        <w:tc>
          <w:tcPr>
            <w:tcW w:w="2265" w:type="dxa"/>
            <w:noWrap w:val="0"/>
            <w:vAlign w:val="center"/>
          </w:tcPr>
          <w:p w14:paraId="688646A1">
            <w:pPr>
              <w:pStyle w:val="8"/>
              <w:snapToGrid w:val="0"/>
              <w:spacing w:before="0" w:line="360" w:lineRule="auto"/>
              <w:jc w:val="center"/>
              <w:rPr>
                <w:rFonts w:hint="eastAsia" w:ascii="宋体" w:hAnsi="宋体" w:eastAsia="宋体" w:cs="宋体"/>
                <w:b w:val="0"/>
                <w:color w:val="auto"/>
                <w:kern w:val="2"/>
                <w:sz w:val="21"/>
              </w:rPr>
            </w:pPr>
            <w:r>
              <w:rPr>
                <w:rFonts w:hint="eastAsia" w:ascii="宋体" w:hAnsi="宋体" w:eastAsia="宋体" w:cs="宋体"/>
                <w:b w:val="0"/>
                <w:color w:val="auto"/>
                <w:kern w:val="2"/>
                <w:sz w:val="21"/>
              </w:rPr>
              <w:t>特别说明</w:t>
            </w:r>
          </w:p>
        </w:tc>
        <w:tc>
          <w:tcPr>
            <w:tcW w:w="6749" w:type="dxa"/>
            <w:noWrap w:val="0"/>
            <w:vAlign w:val="center"/>
          </w:tcPr>
          <w:p w14:paraId="24EB18F4">
            <w:pPr>
              <w:pStyle w:val="33"/>
              <w:adjustRightInd w:val="0"/>
              <w:spacing w:line="360" w:lineRule="auto"/>
              <w:ind w:firstLine="0"/>
              <w:rPr>
                <w:rFonts w:hint="eastAsia" w:eastAsia="宋体" w:cs="宋体"/>
                <w:bCs/>
                <w:lang w:val="en-US" w:eastAsia="zh-CN"/>
              </w:rPr>
            </w:pPr>
            <w:r>
              <w:rPr>
                <w:rFonts w:hint="eastAsia" w:eastAsia="宋体" w:cs="宋体"/>
                <w:bCs/>
                <w:kern w:val="2"/>
                <w:sz w:val="21"/>
                <w:szCs w:val="24"/>
                <w:lang w:val="en-US" w:eastAsia="zh-CN"/>
              </w:rPr>
              <w:t>中标人应提供与电子投标文件内容一致的纸质投标文件（资格审查文件、商务技术文件、报价文件）一正三副。中标人在领取中标通知书时提供纸质投标文件。</w:t>
            </w:r>
          </w:p>
        </w:tc>
      </w:tr>
      <w:tr w14:paraId="1EE8B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jc w:val="center"/>
        </w:trPr>
        <w:tc>
          <w:tcPr>
            <w:tcW w:w="870" w:type="dxa"/>
            <w:noWrap w:val="0"/>
            <w:vAlign w:val="center"/>
          </w:tcPr>
          <w:p w14:paraId="623A00C3">
            <w:pPr>
              <w:autoSpaceDE w:val="0"/>
              <w:autoSpaceDN w:val="0"/>
              <w:adjustRightInd w:val="0"/>
              <w:spacing w:line="360" w:lineRule="auto"/>
              <w:jc w:val="center"/>
              <w:rPr>
                <w:rFonts w:hint="default" w:ascii="宋体" w:hAnsi="宋体" w:eastAsia="宋体" w:cs="宋体"/>
                <w:bCs/>
                <w:kern w:val="0"/>
                <w:szCs w:val="21"/>
                <w:lang w:val="en-US" w:eastAsia="zh-CN"/>
              </w:rPr>
            </w:pPr>
            <w:r>
              <w:rPr>
                <w:rFonts w:hint="eastAsia" w:ascii="宋体" w:hAnsi="宋体" w:cs="宋体"/>
                <w:bCs/>
                <w:kern w:val="0"/>
                <w:szCs w:val="21"/>
                <w:lang w:val="en-US" w:eastAsia="zh-CN"/>
              </w:rPr>
              <w:t>28</w:t>
            </w:r>
          </w:p>
        </w:tc>
        <w:tc>
          <w:tcPr>
            <w:tcW w:w="2265" w:type="dxa"/>
            <w:noWrap w:val="0"/>
            <w:vAlign w:val="center"/>
          </w:tcPr>
          <w:p w14:paraId="5D745F30">
            <w:pPr>
              <w:pStyle w:val="8"/>
              <w:spacing w:before="0" w:line="400" w:lineRule="exact"/>
              <w:jc w:val="center"/>
              <w:rPr>
                <w:rFonts w:hint="eastAsia" w:ascii="宋体" w:hAnsi="宋体" w:eastAsia="宋体" w:cs="宋体"/>
                <w:b w:val="0"/>
                <w:color w:val="auto"/>
                <w:kern w:val="2"/>
                <w:sz w:val="21"/>
              </w:rPr>
            </w:pPr>
            <w:r>
              <w:rPr>
                <w:rFonts w:hint="eastAsia" w:ascii="宋体" w:hAnsi="宋体" w:eastAsia="宋体" w:cs="宋体"/>
                <w:b w:val="0"/>
                <w:color w:val="auto"/>
                <w:kern w:val="2"/>
                <w:sz w:val="21"/>
              </w:rPr>
              <w:t>注意事项</w:t>
            </w:r>
          </w:p>
        </w:tc>
        <w:tc>
          <w:tcPr>
            <w:tcW w:w="6749" w:type="dxa"/>
            <w:noWrap w:val="0"/>
            <w:vAlign w:val="center"/>
          </w:tcPr>
          <w:p w14:paraId="6BA948F0">
            <w:pPr>
              <w:autoSpaceDE w:val="0"/>
              <w:autoSpaceDN w:val="0"/>
              <w:spacing w:line="400" w:lineRule="exact"/>
              <w:jc w:val="left"/>
              <w:rPr>
                <w:rFonts w:hint="eastAsia" w:ascii="宋体" w:hAnsi="宋体" w:eastAsia="宋体" w:cs="宋体"/>
                <w:bCs/>
              </w:rPr>
            </w:pPr>
            <w:r>
              <w:rPr>
                <w:rFonts w:hint="eastAsia" w:ascii="宋体" w:hAnsi="宋体" w:eastAsia="宋体" w:cs="宋体"/>
                <w:bCs/>
              </w:rPr>
              <w:t>由于本项目为电子标，供应商的法定代表人（或其委托代理人）无需出席开标现场会议，均应当准时在线参加</w:t>
            </w:r>
            <w:r>
              <w:rPr>
                <w:rFonts w:hint="eastAsia" w:ascii="宋体" w:hAnsi="宋体" w:eastAsia="宋体" w:cs="宋体"/>
                <w:bCs/>
                <w:lang w:val="zh-CN"/>
              </w:rPr>
              <w:t>，直至评审结束，且保证采购代理机构能够随时与其代表人取得联系。</w:t>
            </w:r>
          </w:p>
        </w:tc>
      </w:tr>
      <w:bookmarkEnd w:id="48"/>
    </w:tbl>
    <w:p w14:paraId="608F8940">
      <w:pPr>
        <w:rPr>
          <w:rFonts w:ascii="宋体" w:hAnsi="宋体" w:cs="宋体"/>
        </w:rPr>
      </w:pPr>
    </w:p>
    <w:p w14:paraId="5F3A1533">
      <w:pPr>
        <w:pStyle w:val="2"/>
        <w:rPr>
          <w:rFonts w:hint="eastAsia" w:ascii="宋体" w:hAnsi="宋体" w:cs="宋体"/>
        </w:rPr>
      </w:pPr>
      <w:r>
        <w:br w:type="page"/>
      </w:r>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Start w:id="65" w:name="_Toc6217"/>
      <w:bookmarkStart w:id="66" w:name="_Toc262105501"/>
      <w:bookmarkStart w:id="67" w:name="_Toc241404200"/>
      <w:bookmarkStart w:id="68" w:name="_Toc221356884"/>
      <w:bookmarkStart w:id="69" w:name="_Toc410031814"/>
      <w:bookmarkStart w:id="70" w:name="_Toc239145352"/>
      <w:bookmarkStart w:id="71" w:name="_Toc221356949"/>
      <w:bookmarkStart w:id="72" w:name="_Toc262049416"/>
      <w:bookmarkStart w:id="73" w:name="_Toc245191312"/>
      <w:bookmarkStart w:id="74" w:name="_Toc223715996"/>
      <w:bookmarkStart w:id="75" w:name="_Toc249758862"/>
      <w:bookmarkStart w:id="76" w:name="_Toc246261263"/>
      <w:bookmarkStart w:id="77" w:name="_Toc221423617"/>
      <w:bookmarkStart w:id="78" w:name="_Toc222114877"/>
      <w:bookmarkStart w:id="79" w:name="_Toc249758710"/>
      <w:bookmarkStart w:id="80" w:name="_Toc221374624"/>
      <w:bookmarkStart w:id="81" w:name="_Toc245722279"/>
      <w:r>
        <w:rPr>
          <w:rFonts w:hint="eastAsia" w:ascii="宋体" w:hAnsi="宋体" w:cs="宋体"/>
        </w:rPr>
        <w:t>二、投标须知</w:t>
      </w:r>
      <w:bookmarkEnd w:id="65"/>
    </w:p>
    <w:p w14:paraId="3DFDBE49">
      <w:pPr>
        <w:pStyle w:val="4"/>
        <w:spacing w:before="0" w:after="0" w:line="500" w:lineRule="exact"/>
        <w:ind w:firstLine="643" w:firstLineChars="200"/>
        <w:rPr>
          <w:rFonts w:hint="eastAsia" w:ascii="宋体" w:hAnsi="宋体" w:cs="宋体"/>
        </w:rPr>
      </w:pPr>
      <w:bookmarkStart w:id="82" w:name="_Toc5556"/>
      <w:r>
        <w:rPr>
          <w:rFonts w:hint="eastAsia" w:ascii="宋体" w:hAnsi="宋体" w:cs="宋体"/>
        </w:rPr>
        <w:t>（一）总则</w:t>
      </w:r>
      <w:bookmarkEnd w:id="82"/>
    </w:p>
    <w:p w14:paraId="2DDA8FC4">
      <w:pPr>
        <w:pStyle w:val="6"/>
        <w:spacing w:line="500" w:lineRule="exact"/>
        <w:ind w:left="0" w:firstLine="632" w:firstLineChars="300"/>
        <w:rPr>
          <w:rFonts w:hint="eastAsia" w:ascii="宋体" w:hAnsi="宋体" w:cs="宋体"/>
          <w:sz w:val="21"/>
          <w:szCs w:val="21"/>
        </w:rPr>
      </w:pPr>
      <w:r>
        <w:rPr>
          <w:rFonts w:hint="eastAsia" w:ascii="宋体" w:hAnsi="宋体" w:cs="宋体"/>
          <w:b/>
          <w:sz w:val="21"/>
          <w:szCs w:val="21"/>
        </w:rPr>
        <w:t>1.适用范围</w:t>
      </w:r>
    </w:p>
    <w:p w14:paraId="2B1C7822">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  1.1本招标文件仅适用于本次招标采购项目的招标、投标、评标、定标、验收、合同履约、付款等行为。</w:t>
      </w:r>
    </w:p>
    <w:p w14:paraId="41FE005D">
      <w:pPr>
        <w:pStyle w:val="6"/>
        <w:spacing w:line="500" w:lineRule="exact"/>
        <w:ind w:left="0" w:firstLine="632" w:firstLineChars="300"/>
        <w:rPr>
          <w:rFonts w:hint="eastAsia" w:ascii="宋体" w:hAnsi="宋体" w:cs="宋体"/>
          <w:b/>
          <w:sz w:val="21"/>
          <w:szCs w:val="21"/>
        </w:rPr>
      </w:pPr>
      <w:r>
        <w:rPr>
          <w:rFonts w:hint="eastAsia" w:ascii="宋体" w:hAnsi="宋体" w:cs="宋体"/>
          <w:b/>
          <w:sz w:val="21"/>
          <w:szCs w:val="21"/>
        </w:rPr>
        <w:t>2.定义解释</w:t>
      </w:r>
    </w:p>
    <w:p w14:paraId="60AA52DB">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  2.1“采购代理机构”是指</w:t>
      </w:r>
      <w:r>
        <w:rPr>
          <w:rFonts w:hint="eastAsia" w:ascii="宋体" w:hAnsi="宋体" w:cs="宋体"/>
          <w:sz w:val="21"/>
          <w:szCs w:val="21"/>
          <w:lang w:eastAsia="zh-CN"/>
        </w:rPr>
        <w:t>浙江策鼎工程项目管理有限公司</w:t>
      </w:r>
      <w:r>
        <w:rPr>
          <w:rFonts w:hint="eastAsia" w:ascii="宋体" w:hAnsi="宋体" w:cs="宋体"/>
          <w:sz w:val="21"/>
          <w:szCs w:val="21"/>
        </w:rPr>
        <w:t>。</w:t>
      </w:r>
    </w:p>
    <w:p w14:paraId="02E0468A">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  2.2“采购单位”是指</w:t>
      </w:r>
      <w:r>
        <w:rPr>
          <w:rFonts w:hint="eastAsia" w:ascii="宋体" w:hAnsi="宋体" w:cs="宋体"/>
          <w:sz w:val="21"/>
          <w:szCs w:val="21"/>
          <w:lang w:eastAsia="zh-CN"/>
        </w:rPr>
        <w:t>常山县市场监督管理局</w:t>
      </w:r>
      <w:r>
        <w:rPr>
          <w:rFonts w:hint="eastAsia" w:ascii="宋体" w:hAnsi="宋体" w:cs="宋体"/>
          <w:sz w:val="21"/>
          <w:szCs w:val="21"/>
        </w:rPr>
        <w:t>。</w:t>
      </w:r>
    </w:p>
    <w:p w14:paraId="16764BF9">
      <w:pPr>
        <w:pStyle w:val="6"/>
        <w:spacing w:line="500" w:lineRule="exact"/>
        <w:ind w:left="0" w:firstLine="420" w:firstLineChars="200"/>
        <w:rPr>
          <w:rFonts w:hint="eastAsia" w:ascii="宋体" w:hAnsi="宋体" w:cs="宋体"/>
          <w:kern w:val="0"/>
          <w:sz w:val="21"/>
          <w:szCs w:val="21"/>
        </w:rPr>
      </w:pPr>
      <w:r>
        <w:rPr>
          <w:rFonts w:hint="eastAsia" w:ascii="宋体" w:hAnsi="宋体" w:cs="宋体"/>
          <w:sz w:val="21"/>
          <w:szCs w:val="21"/>
        </w:rPr>
        <w:t xml:space="preserve">  2.3“采购项目”是指本招标文件所要求的</w:t>
      </w:r>
      <w:r>
        <w:rPr>
          <w:rFonts w:hint="eastAsia" w:ascii="宋体" w:hAnsi="宋体" w:cs="宋体"/>
          <w:sz w:val="21"/>
          <w:szCs w:val="21"/>
          <w:lang w:eastAsia="zh-CN"/>
        </w:rPr>
        <w:t>常山县2025年度产品质量监督抽查服务采购项目</w:t>
      </w:r>
      <w:r>
        <w:rPr>
          <w:rFonts w:hint="eastAsia" w:ascii="宋体" w:hAnsi="宋体" w:cs="宋体"/>
          <w:sz w:val="21"/>
          <w:szCs w:val="21"/>
        </w:rPr>
        <w:t>。</w:t>
      </w:r>
    </w:p>
    <w:p w14:paraId="33C193CD">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  2.4“投标人”是指获得招标文件并向采购代理机构提交投标文件的投标人 。</w:t>
      </w:r>
    </w:p>
    <w:p w14:paraId="6BEEC26C">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  2.5“潜在投标人”是指符合招标文件规定的投标人。</w:t>
      </w:r>
    </w:p>
    <w:p w14:paraId="3EFDE728">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  2.6 “中标人”是指经评标委员会审查通过，并经公示无异议的投标人。</w:t>
      </w:r>
    </w:p>
    <w:p w14:paraId="40B6858C">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  2.7“投标人代表”是指投标人法定代表人或投标人法定代表人授权委托的人。</w:t>
      </w:r>
    </w:p>
    <w:p w14:paraId="3ACA627B">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  2.8“招标采购单位”是指采购代理机构及采购单位。</w:t>
      </w:r>
    </w:p>
    <w:p w14:paraId="434B1C7E">
      <w:pPr>
        <w:pStyle w:val="6"/>
        <w:spacing w:line="500" w:lineRule="exact"/>
        <w:ind w:left="0" w:firstLine="630" w:firstLineChars="300"/>
        <w:rPr>
          <w:rFonts w:hint="eastAsia" w:ascii="宋体" w:hAnsi="宋体" w:cs="宋体"/>
          <w:sz w:val="21"/>
          <w:szCs w:val="21"/>
        </w:rPr>
      </w:pPr>
      <w:r>
        <w:rPr>
          <w:rFonts w:hint="eastAsia" w:ascii="宋体" w:hAnsi="宋体" w:cs="宋体"/>
          <w:sz w:val="21"/>
          <w:szCs w:val="21"/>
        </w:rPr>
        <w:t>2.9“产品（货物）”是指按采购文件要求配置的一切设备、机械、仪器仪表、备品备件、工具、手册及其它有关技术资料和文字材料；</w:t>
      </w:r>
    </w:p>
    <w:p w14:paraId="0BBFFDC4">
      <w:pPr>
        <w:pStyle w:val="6"/>
        <w:spacing w:line="500" w:lineRule="exact"/>
        <w:ind w:left="420" w:leftChars="200" w:firstLine="210" w:firstLineChars="100"/>
        <w:rPr>
          <w:rFonts w:hint="eastAsia" w:ascii="宋体" w:hAnsi="宋体" w:cs="宋体"/>
          <w:sz w:val="21"/>
          <w:szCs w:val="21"/>
        </w:rPr>
      </w:pPr>
      <w:r>
        <w:rPr>
          <w:rFonts w:hint="eastAsia" w:ascii="宋体" w:hAnsi="宋体" w:cs="宋体"/>
          <w:sz w:val="21"/>
          <w:szCs w:val="21"/>
        </w:rPr>
        <w:t>2.10“服务”在货物类采购项目中是指采购文件规定供方须承担的货物运输、操作使用、技术支持、培训、维修保养服务；在服务类采购项目是指采购采购内容本身及相关的售后技术支持、培训服务；</w:t>
      </w:r>
    </w:p>
    <w:p w14:paraId="1D270B9A">
      <w:pPr>
        <w:pStyle w:val="6"/>
        <w:spacing w:line="500" w:lineRule="exact"/>
        <w:ind w:left="420" w:leftChars="200" w:firstLine="210" w:firstLineChars="100"/>
        <w:rPr>
          <w:rFonts w:hint="eastAsia" w:ascii="宋体" w:hAnsi="宋体" w:cs="宋体"/>
          <w:sz w:val="21"/>
          <w:szCs w:val="21"/>
        </w:rPr>
      </w:pPr>
      <w:r>
        <w:rPr>
          <w:rFonts w:hint="eastAsia" w:ascii="宋体" w:hAnsi="宋体" w:cs="宋体"/>
          <w:sz w:val="21"/>
          <w:szCs w:val="21"/>
        </w:rPr>
        <w:t>2.11“书面形式”包括纸质文件、电子邮件、信函、传真等。</w:t>
      </w:r>
    </w:p>
    <w:p w14:paraId="746C349E">
      <w:pPr>
        <w:pStyle w:val="6"/>
        <w:spacing w:line="500" w:lineRule="exact"/>
        <w:ind w:left="0" w:firstLine="420" w:firstLineChars="200"/>
        <w:rPr>
          <w:rFonts w:hint="eastAsia" w:ascii="宋体" w:hAnsi="宋体" w:cs="宋体"/>
          <w:b/>
          <w:bCs/>
          <w:sz w:val="21"/>
          <w:szCs w:val="21"/>
        </w:rPr>
      </w:pPr>
      <w:r>
        <w:rPr>
          <w:rFonts w:hint="eastAsia" w:ascii="宋体" w:hAnsi="宋体" w:cs="宋体"/>
          <w:sz w:val="21"/>
          <w:szCs w:val="21"/>
        </w:rPr>
        <w:t>2.12实质性响应：</w:t>
      </w:r>
      <w:r>
        <w:rPr>
          <w:rFonts w:hint="eastAsia" w:ascii="宋体" w:hAnsi="宋体" w:cs="宋体"/>
          <w:b/>
          <w:bCs/>
          <w:sz w:val="21"/>
          <w:szCs w:val="21"/>
        </w:rPr>
        <w:t>采购文件中所有标示“▲”的均为采购人提出的实质性条款，如未实质性响应的，将按无效投标处理</w:t>
      </w:r>
      <w:r>
        <w:rPr>
          <w:rFonts w:hint="eastAsia" w:ascii="宋体" w:hAnsi="宋体" w:cs="宋体"/>
          <w:sz w:val="21"/>
          <w:szCs w:val="21"/>
        </w:rPr>
        <w:t>。</w:t>
      </w:r>
      <w:r>
        <w:rPr>
          <w:rFonts w:hint="eastAsia" w:ascii="宋体" w:hAnsi="宋体" w:cs="宋体"/>
          <w:b/>
          <w:bCs/>
          <w:sz w:val="21"/>
          <w:szCs w:val="21"/>
        </w:rPr>
        <w:t>标有“★”符号为重要指标。</w:t>
      </w:r>
    </w:p>
    <w:p w14:paraId="57F23B73">
      <w:pPr>
        <w:pStyle w:val="6"/>
        <w:spacing w:line="500" w:lineRule="exact"/>
        <w:ind w:left="420" w:leftChars="200" w:firstLine="0" w:firstLineChars="0"/>
        <w:rPr>
          <w:rFonts w:hint="eastAsia" w:ascii="宋体" w:hAnsi="宋体" w:cs="宋体"/>
          <w:b/>
          <w:bCs/>
          <w:sz w:val="21"/>
          <w:szCs w:val="21"/>
        </w:rPr>
      </w:pPr>
      <w:r>
        <w:rPr>
          <w:rFonts w:hint="eastAsia" w:ascii="宋体" w:hAnsi="宋体" w:cs="宋体"/>
          <w:b/>
          <w:bCs/>
          <w:sz w:val="21"/>
          <w:szCs w:val="21"/>
        </w:rPr>
        <w:t>2.13 “电子投标文件”系指投标人通过政采云电子投标工具编制的数据电文形式的加密标书。</w:t>
      </w:r>
    </w:p>
    <w:p w14:paraId="29494943">
      <w:pPr>
        <w:pStyle w:val="6"/>
        <w:spacing w:line="500" w:lineRule="exact"/>
        <w:ind w:left="0" w:firstLine="422" w:firstLineChars="200"/>
        <w:rPr>
          <w:rFonts w:hint="eastAsia" w:ascii="宋体" w:hAnsi="宋体" w:cs="宋体"/>
          <w:b/>
          <w:sz w:val="21"/>
          <w:szCs w:val="21"/>
        </w:rPr>
      </w:pPr>
      <w:r>
        <w:rPr>
          <w:rFonts w:hint="eastAsia" w:ascii="宋体" w:hAnsi="宋体" w:cs="宋体"/>
          <w:b/>
          <w:sz w:val="21"/>
          <w:szCs w:val="21"/>
        </w:rPr>
        <w:t>3.项目说明</w:t>
      </w:r>
    </w:p>
    <w:p w14:paraId="6DAAF26C">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3.1本采购项目按照《中华人民共和国政府采购法》等有关法律、行政法规和部门规章，通过公开招标方式选定中标人。</w:t>
      </w:r>
    </w:p>
    <w:p w14:paraId="3D4B3EBE">
      <w:pPr>
        <w:pStyle w:val="6"/>
        <w:spacing w:line="500" w:lineRule="exact"/>
        <w:ind w:left="0" w:firstLine="422" w:firstLineChars="200"/>
        <w:rPr>
          <w:rFonts w:hint="eastAsia" w:ascii="宋体" w:hAnsi="宋体" w:cs="宋体"/>
          <w:b/>
          <w:sz w:val="21"/>
          <w:szCs w:val="21"/>
        </w:rPr>
      </w:pPr>
      <w:r>
        <w:rPr>
          <w:rFonts w:hint="eastAsia" w:ascii="宋体" w:hAnsi="宋体" w:cs="宋体"/>
          <w:b/>
          <w:sz w:val="21"/>
          <w:szCs w:val="21"/>
        </w:rPr>
        <w:t>4.合格投标人的条件</w:t>
      </w:r>
    </w:p>
    <w:p w14:paraId="5E7E4DF3">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4.1凡符合本招标文件第一章招标公告投标人资格要求的均为合格的投标人。</w:t>
      </w:r>
    </w:p>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p w14:paraId="2B808C70">
      <w:pPr>
        <w:pStyle w:val="6"/>
        <w:spacing w:line="500" w:lineRule="exact"/>
        <w:ind w:left="0" w:firstLine="422" w:firstLineChars="200"/>
        <w:rPr>
          <w:rFonts w:hint="eastAsia" w:ascii="宋体" w:hAnsi="宋体" w:cs="宋体"/>
          <w:b/>
          <w:sz w:val="21"/>
          <w:szCs w:val="21"/>
        </w:rPr>
      </w:pPr>
      <w:bookmarkStart w:id="83" w:name="_Toc29188"/>
      <w:bookmarkStart w:id="84" w:name="_Toc410031815"/>
      <w:bookmarkStart w:id="85" w:name="_Toc221356885"/>
      <w:bookmarkStart w:id="86" w:name="_Toc223715997"/>
      <w:bookmarkStart w:id="87" w:name="_Toc221374625"/>
      <w:bookmarkStart w:id="88" w:name="_Toc249758711"/>
      <w:bookmarkStart w:id="89" w:name="_Toc222114878"/>
      <w:bookmarkStart w:id="90" w:name="_Toc249758863"/>
      <w:bookmarkStart w:id="91" w:name="_Toc241404201"/>
      <w:bookmarkStart w:id="92" w:name="_Toc262105502"/>
      <w:bookmarkStart w:id="93" w:name="_Toc239145353"/>
      <w:bookmarkStart w:id="94" w:name="_Toc245191313"/>
      <w:bookmarkStart w:id="95" w:name="_Toc221356950"/>
      <w:bookmarkStart w:id="96" w:name="_Toc262049417"/>
      <w:bookmarkStart w:id="97" w:name="_Toc245722280"/>
      <w:bookmarkStart w:id="98" w:name="_Toc246261264"/>
      <w:bookmarkStart w:id="99" w:name="_Toc221423618"/>
      <w:r>
        <w:rPr>
          <w:rFonts w:hint="eastAsia" w:ascii="宋体" w:hAnsi="宋体" w:cs="宋体"/>
          <w:b/>
          <w:sz w:val="21"/>
          <w:szCs w:val="21"/>
        </w:rPr>
        <w:t>5.投标费用</w:t>
      </w:r>
    </w:p>
    <w:p w14:paraId="6E405757">
      <w:pPr>
        <w:spacing w:line="500" w:lineRule="exact"/>
        <w:ind w:firstLine="420" w:firstLineChars="200"/>
        <w:rPr>
          <w:rFonts w:hint="eastAsia" w:ascii="宋体" w:hAnsi="宋体" w:cs="宋体"/>
          <w:szCs w:val="21"/>
        </w:rPr>
      </w:pPr>
      <w:r>
        <w:rPr>
          <w:rFonts w:hint="eastAsia" w:ascii="宋体" w:hAnsi="宋体" w:cs="宋体"/>
          <w:szCs w:val="21"/>
        </w:rPr>
        <w:t>5.1投标人应承担参加本次投标有关的全部费用，无论结果如何，采购单位和采购代理机构在任何情况下均无义务和责任承担这些费用。</w:t>
      </w:r>
    </w:p>
    <w:p w14:paraId="6643C49C">
      <w:pPr>
        <w:spacing w:line="500" w:lineRule="exact"/>
        <w:ind w:left="420" w:leftChars="200"/>
        <w:jc w:val="left"/>
        <w:rPr>
          <w:rFonts w:hint="eastAsia" w:ascii="宋体" w:hAnsi="宋体" w:cs="宋体"/>
          <w:b/>
          <w:bCs/>
          <w:szCs w:val="21"/>
        </w:rPr>
      </w:pPr>
      <w:r>
        <w:rPr>
          <w:rFonts w:hint="eastAsia" w:ascii="宋体" w:hAnsi="宋体" w:cs="宋体"/>
          <w:b/>
          <w:bCs/>
          <w:szCs w:val="21"/>
        </w:rPr>
        <w:t>6.特别说明</w:t>
      </w:r>
    </w:p>
    <w:p w14:paraId="3E9722C9">
      <w:pPr>
        <w:pStyle w:val="34"/>
        <w:spacing w:line="500" w:lineRule="exact"/>
        <w:ind w:firstLine="420" w:firstLineChars="200"/>
        <w:rPr>
          <w:rFonts w:hint="eastAsia" w:ascii="宋体" w:hAnsi="宋体" w:cs="宋体"/>
        </w:rPr>
      </w:pPr>
      <w:r>
        <w:rPr>
          <w:rFonts w:hint="eastAsia" w:ascii="宋体" w:hAnsi="宋体" w:cs="宋体"/>
        </w:rPr>
        <w:t>6.1投标人投标所使用的资格、信誉、荣誉、业绩与企业认证必须为本企业所拥有。投标人投标所使用的采购项目实施人员可以为其控股公司的工作人员。</w:t>
      </w:r>
    </w:p>
    <w:p w14:paraId="120D92AB">
      <w:pPr>
        <w:pStyle w:val="34"/>
        <w:spacing w:line="500" w:lineRule="exact"/>
        <w:ind w:firstLine="420" w:firstLineChars="200"/>
        <w:rPr>
          <w:rFonts w:hint="eastAsia" w:ascii="宋体" w:hAnsi="宋体" w:cs="宋体"/>
        </w:rPr>
      </w:pPr>
      <w:r>
        <w:rPr>
          <w:rFonts w:hint="eastAsia" w:ascii="宋体" w:hAnsi="宋体" w:cs="宋体"/>
        </w:rPr>
        <w:t>6.2投标人在投标活动中提供任何虚假材料或从事其他违法活动的,其投标无效，并报监管部门查处；成交后发现的，中标人须依照《中华人民共和国消费者权益保护法》之规定赔偿采购单位。且民事赔偿并不免除违法投标人的行政与刑事责任。</w:t>
      </w:r>
    </w:p>
    <w:p w14:paraId="35610C84">
      <w:pPr>
        <w:pStyle w:val="34"/>
        <w:spacing w:line="500" w:lineRule="exact"/>
        <w:ind w:firstLine="420" w:firstLineChars="200"/>
        <w:rPr>
          <w:rFonts w:hint="eastAsia" w:ascii="宋体" w:hAnsi="宋体" w:cs="宋体"/>
        </w:rPr>
      </w:pPr>
      <w:r>
        <w:rPr>
          <w:rFonts w:hint="eastAsia" w:ascii="宋体" w:hAnsi="宋体" w:cs="宋体"/>
        </w:rPr>
        <w:t>6.3投标人应仔细阅读招标文件的所有内容，按照招标文件的要求提交投标文件。投标文件应对招标文件的要求作出实质性响应，并对所提供的全部资料的真实性承担法律责任。</w:t>
      </w:r>
    </w:p>
    <w:p w14:paraId="42418EAB">
      <w:pPr>
        <w:pStyle w:val="34"/>
        <w:spacing w:line="500" w:lineRule="exact"/>
        <w:ind w:firstLine="422" w:firstLineChars="200"/>
        <w:rPr>
          <w:rFonts w:hint="eastAsia" w:ascii="宋体" w:hAnsi="宋体" w:cs="宋体"/>
          <w:b/>
          <w:bCs/>
        </w:rPr>
      </w:pPr>
      <w:r>
        <w:rPr>
          <w:rFonts w:hint="eastAsia" w:ascii="宋体" w:hAnsi="宋体" w:cs="宋体"/>
          <w:b/>
          <w:bCs/>
        </w:rPr>
        <w:t>6.4投标人法定代表人或单位负责人为同一人或者存在直接控股、管理关系的不同供应商，不得参加同一合同项下的政府采购活动。违反该款规定的，相关供应商均按投标无效处理。</w:t>
      </w:r>
    </w:p>
    <w:p w14:paraId="5B6B90EF">
      <w:pPr>
        <w:pStyle w:val="34"/>
        <w:spacing w:line="500" w:lineRule="exact"/>
        <w:ind w:firstLine="422" w:firstLineChars="200"/>
        <w:rPr>
          <w:rFonts w:hint="eastAsia" w:ascii="宋体" w:hAnsi="宋体" w:cs="宋体"/>
          <w:b/>
          <w:bCs/>
        </w:rPr>
      </w:pPr>
      <w:r>
        <w:rPr>
          <w:rFonts w:hint="eastAsia" w:ascii="宋体" w:hAnsi="宋体" w:cs="宋体"/>
          <w:b/>
          <w:bCs/>
        </w:rPr>
        <w:t>6.5有下列情形之一的，视为投标人串通投标 ，其投标无效 ：</w:t>
      </w:r>
    </w:p>
    <w:p w14:paraId="1E1AA119">
      <w:pPr>
        <w:pStyle w:val="34"/>
        <w:spacing w:line="500" w:lineRule="exact"/>
        <w:ind w:firstLine="422" w:firstLineChars="200"/>
        <w:rPr>
          <w:rFonts w:hint="eastAsia" w:ascii="宋体" w:hAnsi="宋体" w:cs="宋体"/>
          <w:b/>
          <w:bCs/>
        </w:rPr>
      </w:pPr>
      <w:r>
        <w:rPr>
          <w:rFonts w:hint="eastAsia" w:ascii="宋体" w:hAnsi="宋体" w:cs="宋体"/>
          <w:b/>
          <w:bCs/>
        </w:rPr>
        <w:t>（一）不同投标人的投标文件由同一单位或者个人编制；</w:t>
      </w:r>
    </w:p>
    <w:p w14:paraId="0353D477">
      <w:pPr>
        <w:pStyle w:val="34"/>
        <w:spacing w:line="500" w:lineRule="exact"/>
        <w:ind w:firstLine="422" w:firstLineChars="200"/>
        <w:rPr>
          <w:rFonts w:hint="eastAsia" w:ascii="宋体" w:hAnsi="宋体" w:cs="宋体"/>
          <w:b/>
          <w:bCs/>
        </w:rPr>
      </w:pPr>
      <w:r>
        <w:rPr>
          <w:rFonts w:hint="eastAsia" w:ascii="宋体" w:hAnsi="宋体" w:cs="宋体"/>
          <w:b/>
          <w:bCs/>
        </w:rPr>
        <w:t>（二）不同投标人委托同一单位或者个人办理投标事宜；</w:t>
      </w:r>
    </w:p>
    <w:p w14:paraId="2176A152">
      <w:pPr>
        <w:pStyle w:val="34"/>
        <w:spacing w:line="500" w:lineRule="exact"/>
        <w:ind w:firstLine="422" w:firstLineChars="200"/>
        <w:rPr>
          <w:rFonts w:hint="eastAsia" w:ascii="宋体" w:hAnsi="宋体" w:cs="宋体"/>
          <w:b/>
          <w:bCs/>
        </w:rPr>
      </w:pPr>
      <w:r>
        <w:rPr>
          <w:rFonts w:hint="eastAsia" w:ascii="宋体" w:hAnsi="宋体" w:cs="宋体"/>
          <w:b/>
          <w:bCs/>
        </w:rPr>
        <w:t>（三）不同投标人的投标文件载明的项目管理成员为同一人；</w:t>
      </w:r>
    </w:p>
    <w:p w14:paraId="6688D79B">
      <w:pPr>
        <w:pStyle w:val="34"/>
        <w:spacing w:line="500" w:lineRule="exact"/>
        <w:ind w:firstLine="422" w:firstLineChars="200"/>
        <w:rPr>
          <w:rFonts w:hint="eastAsia" w:ascii="宋体" w:hAnsi="宋体" w:cs="宋体"/>
          <w:b/>
          <w:bCs/>
        </w:rPr>
      </w:pPr>
      <w:r>
        <w:rPr>
          <w:rFonts w:hint="eastAsia" w:ascii="宋体" w:hAnsi="宋体" w:cs="宋体"/>
          <w:b/>
          <w:bCs/>
        </w:rPr>
        <w:t>（四）不同投标人的投标文件异常一致或者投标报价呈规律性差异；</w:t>
      </w:r>
    </w:p>
    <w:p w14:paraId="0F9D516F">
      <w:pPr>
        <w:pStyle w:val="34"/>
        <w:spacing w:line="500" w:lineRule="exact"/>
        <w:ind w:firstLine="422" w:firstLineChars="200"/>
        <w:rPr>
          <w:rFonts w:hint="eastAsia" w:ascii="宋体" w:hAnsi="宋体" w:cs="宋体"/>
          <w:b/>
          <w:bCs/>
        </w:rPr>
      </w:pPr>
      <w:r>
        <w:rPr>
          <w:rFonts w:hint="eastAsia" w:ascii="宋体" w:hAnsi="宋体" w:cs="宋体"/>
          <w:b/>
          <w:bCs/>
        </w:rPr>
        <w:t>6.6投标主要产品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2287357B">
      <w:pPr>
        <w:spacing w:line="440" w:lineRule="exact"/>
        <w:ind w:firstLine="422" w:firstLineChars="200"/>
        <w:jc w:val="left"/>
        <w:rPr>
          <w:rFonts w:hint="eastAsia" w:ascii="宋体" w:hAnsi="宋体" w:cs="宋体"/>
          <w:b/>
          <w:bCs/>
          <w:szCs w:val="21"/>
        </w:rPr>
      </w:pPr>
      <w:r>
        <w:rPr>
          <w:rFonts w:hint="eastAsia" w:ascii="宋体" w:hAnsi="宋体" w:cs="宋体"/>
          <w:b/>
          <w:bCs/>
        </w:rPr>
        <w:t>7.</w:t>
      </w:r>
      <w:r>
        <w:rPr>
          <w:rFonts w:hint="eastAsia" w:ascii="宋体" w:hAnsi="宋体" w:cs="宋体"/>
          <w:b/>
          <w:bCs/>
          <w:szCs w:val="21"/>
        </w:rPr>
        <w:t>质疑与投诉</w:t>
      </w:r>
    </w:p>
    <w:p w14:paraId="4B77BFF2">
      <w:pPr>
        <w:pStyle w:val="10"/>
        <w:autoSpaceDE w:val="0"/>
        <w:autoSpaceDN w:val="0"/>
        <w:adjustRightInd w:val="0"/>
        <w:spacing w:after="0" w:line="360" w:lineRule="auto"/>
        <w:ind w:firstLineChars="200"/>
        <w:textAlignment w:val="baseline"/>
        <w:rPr>
          <w:rFonts w:hint="eastAsia" w:ascii="宋体" w:hAnsi="宋体" w:eastAsia="宋体" w:cs="宋体"/>
          <w:kern w:val="0"/>
          <w:sz w:val="21"/>
          <w:szCs w:val="21"/>
        </w:rPr>
      </w:pPr>
      <w:r>
        <w:rPr>
          <w:rFonts w:hint="eastAsia" w:ascii="宋体" w:hAnsi="宋体" w:eastAsia="宋体" w:cs="宋体"/>
          <w:kern w:val="0"/>
          <w:sz w:val="21"/>
          <w:szCs w:val="21"/>
        </w:rPr>
        <w:t>政府采购供应商可以通过登录“浙江政务服务网”</w:t>
      </w:r>
      <w:r>
        <w:rPr>
          <w:rFonts w:hint="eastAsia" w:ascii="宋体" w:hAnsi="宋体" w:eastAsia="宋体" w:cs="宋体"/>
          <w:b/>
          <w:kern w:val="0"/>
          <w:sz w:val="21"/>
          <w:szCs w:val="21"/>
        </w:rPr>
        <w:t>（http://www.zjzwfw.gov.cn/）</w:t>
      </w:r>
      <w:r>
        <w:rPr>
          <w:rFonts w:hint="eastAsia" w:ascii="宋体" w:hAnsi="宋体" w:eastAsia="宋体" w:cs="宋体"/>
          <w:kern w:val="0"/>
          <w:sz w:val="21"/>
          <w:szCs w:val="21"/>
        </w:rPr>
        <w:t>，搜索关键字“政府采购投诉处理”，或者选择“部门窗口—省财政厅—行政裁决—政府采购投诉处理”，点击“在线办理”，即可进行在线投诉。财政部门审查受理、处理决定等政府采购投诉处理相关文书均在线送达，政府采购投诉供应商明确表示需要邮寄的除外。</w:t>
      </w:r>
    </w:p>
    <w:p w14:paraId="3CA68EA3">
      <w:pPr>
        <w:pStyle w:val="10"/>
        <w:autoSpaceDE w:val="0"/>
        <w:autoSpaceDN w:val="0"/>
        <w:adjustRightInd w:val="0"/>
        <w:spacing w:after="0" w:line="360" w:lineRule="auto"/>
        <w:ind w:firstLineChars="200"/>
        <w:textAlignment w:val="baseline"/>
        <w:rPr>
          <w:rFonts w:hint="eastAsia" w:ascii="宋体" w:hAnsi="宋体" w:eastAsia="宋体" w:cs="宋体"/>
          <w:kern w:val="0"/>
          <w:sz w:val="21"/>
          <w:szCs w:val="21"/>
        </w:rPr>
      </w:pPr>
      <w:r>
        <w:rPr>
          <w:rFonts w:hint="eastAsia" w:ascii="宋体" w:hAnsi="宋体" w:eastAsia="宋体" w:cs="宋体"/>
          <w:kern w:val="0"/>
          <w:sz w:val="21"/>
          <w:szCs w:val="21"/>
        </w:rPr>
        <w:t>供应商也可通过邮寄方式寄递政府采购投诉、举报材料，邮寄地址为涉及政府采购项目采购人预算级次相应的财政部门。政府采购投诉、举报材料中须写明邮箱地址、传真号码，财政部门审查受理、处理决定等相关文书可通过电子邮件、传真等形式送达 ，供应商明确表示需要邮寄的除外。</w:t>
      </w:r>
    </w:p>
    <w:p w14:paraId="66BCDCCB">
      <w:pPr>
        <w:pStyle w:val="10"/>
        <w:autoSpaceDE w:val="0"/>
        <w:autoSpaceDN w:val="0"/>
        <w:adjustRightInd w:val="0"/>
        <w:spacing w:after="0" w:line="360" w:lineRule="auto"/>
        <w:ind w:firstLineChars="200"/>
        <w:textAlignment w:val="baseline"/>
        <w:rPr>
          <w:rFonts w:hint="eastAsia" w:ascii="宋体" w:hAnsi="宋体" w:eastAsia="宋体" w:cs="宋体"/>
          <w:b/>
          <w:bCs w:val="0"/>
        </w:rPr>
      </w:pPr>
      <w:r>
        <w:rPr>
          <w:rFonts w:hint="eastAsia" w:ascii="宋体" w:hAnsi="宋体" w:eastAsia="宋体" w:cs="宋体"/>
          <w:kern w:val="0"/>
          <w:sz w:val="21"/>
          <w:szCs w:val="21"/>
        </w:rPr>
        <w:t>在线或者邮寄政府采购投诉举报材料当日下班时间点后收到的视为下一个工作日收到。</w:t>
      </w:r>
    </w:p>
    <w:p w14:paraId="572D1128">
      <w:pPr>
        <w:pStyle w:val="4"/>
        <w:spacing w:before="0" w:after="0" w:line="500" w:lineRule="exact"/>
        <w:ind w:firstLine="643" w:firstLineChars="200"/>
        <w:rPr>
          <w:rFonts w:hint="eastAsia" w:ascii="宋体" w:hAnsi="宋体" w:cs="宋体"/>
        </w:rPr>
      </w:pPr>
      <w:r>
        <w:rPr>
          <w:rFonts w:hint="eastAsia" w:ascii="宋体" w:hAnsi="宋体" w:cs="宋体"/>
        </w:rPr>
        <w:t>（二）招标文件</w:t>
      </w:r>
      <w:bookmarkEnd w:id="83"/>
    </w:p>
    <w:p w14:paraId="255CDFE7">
      <w:pPr>
        <w:pStyle w:val="6"/>
        <w:spacing w:line="500" w:lineRule="exact"/>
        <w:ind w:left="420" w:leftChars="200" w:firstLine="0" w:firstLineChars="0"/>
        <w:rPr>
          <w:rFonts w:hint="eastAsia" w:ascii="宋体" w:hAnsi="宋体" w:cs="宋体"/>
          <w:b/>
          <w:sz w:val="21"/>
          <w:szCs w:val="21"/>
        </w:rPr>
      </w:pPr>
      <w:r>
        <w:rPr>
          <w:rFonts w:hint="eastAsia" w:ascii="宋体" w:hAnsi="宋体" w:cs="宋体"/>
          <w:b/>
          <w:sz w:val="21"/>
          <w:szCs w:val="21"/>
        </w:rPr>
        <w:t>1.招标文件的组成</w:t>
      </w:r>
    </w:p>
    <w:p w14:paraId="2B413FB8">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 1.1招标文件共分为6部分，其内容如下：</w:t>
      </w:r>
    </w:p>
    <w:p w14:paraId="72DAE5EE">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    第一章  招标公告</w:t>
      </w:r>
    </w:p>
    <w:p w14:paraId="59ED6ACF">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    第二章  投标人须知</w:t>
      </w:r>
    </w:p>
    <w:p w14:paraId="20E248CC">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    第三章  招标内容及要求</w:t>
      </w:r>
    </w:p>
    <w:p w14:paraId="059CA2A8">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    第四章  合同主要条款</w:t>
      </w:r>
    </w:p>
    <w:p w14:paraId="3E55D765">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    第五章  评标原则及办法</w:t>
      </w:r>
    </w:p>
    <w:p w14:paraId="7EAAECED">
      <w:pPr>
        <w:pStyle w:val="6"/>
        <w:spacing w:line="500" w:lineRule="exact"/>
        <w:ind w:left="0" w:firstLine="840" w:firstLineChars="400"/>
        <w:rPr>
          <w:rFonts w:hint="eastAsia" w:ascii="宋体" w:hAnsi="宋体" w:cs="宋体"/>
          <w:sz w:val="21"/>
          <w:szCs w:val="21"/>
        </w:rPr>
      </w:pPr>
      <w:r>
        <w:rPr>
          <w:rFonts w:hint="eastAsia" w:ascii="宋体" w:hAnsi="宋体" w:cs="宋体"/>
          <w:sz w:val="21"/>
          <w:szCs w:val="21"/>
        </w:rPr>
        <w:t>第六章  投标文件格式</w:t>
      </w:r>
    </w:p>
    <w:p w14:paraId="603626AE">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1.2除上条1.1内容外，招标采购单位在规定时间前，以书面形式发出的对招标文件的澄清或修改内容，均为招标文件的组成部分。</w:t>
      </w:r>
    </w:p>
    <w:p w14:paraId="05F2348D">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1.3投标人获取招标文件后，应仔细检查招标文件的所有内容，如有残缺等问题，应在获得招标文件3日内向采购单位提出，否则，由此引起的损失由投标人自己承担。投标人同时应认真审阅招标文件中所有的事项、格式、条款和规范要求等，若投标人的投标文件没有按招标文件要求提交全部资料，或投标文件没有对招标文件做出实质性响应，并根据有关条款规定，其风险由投标人自行承担。</w:t>
      </w:r>
    </w:p>
    <w:p w14:paraId="34C2F8BD">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1.4招标采购单位允许潜在投标人在招标文件发售截止时间后至投标截止时间前允许潜在投标人前来认购招标文件，但该投标人如在法律、法规规定的时间内逾期对招标文件提出异议的，招标采购单位可不予受理、答复。</w:t>
      </w:r>
    </w:p>
    <w:p w14:paraId="16F49CB1">
      <w:pPr>
        <w:pStyle w:val="6"/>
        <w:spacing w:line="500" w:lineRule="exact"/>
        <w:ind w:left="0" w:firstLine="422" w:firstLineChars="200"/>
        <w:rPr>
          <w:rFonts w:hint="eastAsia" w:ascii="宋体" w:hAnsi="宋体" w:cs="宋体"/>
          <w:b/>
          <w:sz w:val="21"/>
          <w:szCs w:val="21"/>
        </w:rPr>
      </w:pPr>
      <w:r>
        <w:rPr>
          <w:rFonts w:hint="eastAsia" w:ascii="宋体" w:hAnsi="宋体" w:cs="宋体"/>
          <w:b/>
          <w:sz w:val="21"/>
          <w:szCs w:val="21"/>
        </w:rPr>
        <w:t>2.招标文件的澄清与修改</w:t>
      </w:r>
    </w:p>
    <w:p w14:paraId="06BCD7C3">
      <w:pPr>
        <w:pStyle w:val="13"/>
        <w:snapToGrid w:val="0"/>
        <w:spacing w:line="500" w:lineRule="exact"/>
        <w:ind w:firstLine="420" w:firstLineChars="200"/>
        <w:rPr>
          <w:rFonts w:hint="eastAsia" w:hAnsi="宋体" w:cs="宋体"/>
        </w:rPr>
      </w:pPr>
      <w:r>
        <w:rPr>
          <w:rFonts w:hint="eastAsia" w:hAnsi="宋体" w:cs="宋体"/>
        </w:rPr>
        <w:t>2.1</w:t>
      </w:r>
      <w:r>
        <w:rPr>
          <w:rFonts w:hint="eastAsia" w:hAnsi="宋体" w:cs="宋体"/>
          <w:bCs/>
        </w:rPr>
        <w:t>投标人应认真阅读本招标文件，发现其中有误或有不合理要求的，投标人必须在前附表规定的时间内以书面形式要求招标采购单位澄清</w:t>
      </w:r>
      <w:r>
        <w:rPr>
          <w:rFonts w:hint="eastAsia" w:hAnsi="宋体" w:cs="宋体"/>
        </w:rPr>
        <w:t>。采购代理机构对已发出的招标文件进行必要澄清、答复、修改或补充的，应当在招标文件要求提交投标文件截止时间十五日前，在财政部门指定的政府采购信息发布媒体上发布更正公告，并以书面形式通知所有招标文件收受人。</w:t>
      </w:r>
    </w:p>
    <w:p w14:paraId="192F5348">
      <w:pPr>
        <w:pStyle w:val="13"/>
        <w:snapToGrid w:val="0"/>
        <w:spacing w:line="500" w:lineRule="exact"/>
        <w:ind w:firstLine="420" w:firstLineChars="200"/>
        <w:rPr>
          <w:rFonts w:hint="eastAsia" w:hAnsi="宋体" w:cs="宋体"/>
        </w:rPr>
      </w:pPr>
      <w:r>
        <w:rPr>
          <w:rFonts w:hint="eastAsia" w:hAnsi="宋体" w:cs="宋体"/>
        </w:rPr>
        <w:t>2.2采购代理机构必须以书面形式答复投标人要求澄清的问题，并将不包含问题来源的答复书面通知所有购买招标文件的投标人；除书面答复以外的其他澄清方式及澄清内容均无效。</w:t>
      </w:r>
    </w:p>
    <w:p w14:paraId="20558AF5">
      <w:pPr>
        <w:pStyle w:val="13"/>
        <w:snapToGrid w:val="0"/>
        <w:spacing w:line="500" w:lineRule="exact"/>
        <w:ind w:firstLine="420" w:firstLineChars="200"/>
        <w:rPr>
          <w:rFonts w:hint="eastAsia" w:hAnsi="宋体" w:cs="宋体"/>
        </w:rPr>
      </w:pPr>
      <w:r>
        <w:rPr>
          <w:rFonts w:hint="eastAsia" w:hAnsi="宋体" w:cs="宋体"/>
        </w:rPr>
        <w:t>2.3招标文件澄清、答复、修改、补充的内容为招标文件的组成部分。当招标文件与招标文件的答复、澄清、修改、补充通知就同一内容的表述不一致时，以最后发出的书面文件为准。</w:t>
      </w:r>
    </w:p>
    <w:p w14:paraId="3D50ECC9">
      <w:pPr>
        <w:pStyle w:val="13"/>
        <w:snapToGrid w:val="0"/>
        <w:spacing w:line="500" w:lineRule="exact"/>
        <w:ind w:firstLine="420" w:firstLineChars="200"/>
        <w:rPr>
          <w:rFonts w:hint="eastAsia" w:hAnsi="宋体" w:cs="宋体"/>
        </w:rPr>
      </w:pPr>
      <w:r>
        <w:rPr>
          <w:rFonts w:hint="eastAsia" w:hAnsi="宋体" w:cs="宋体"/>
        </w:rPr>
        <w:t>2.4招标文件的澄清、答复、修改或补充都应该通过本代理机构以法定形式发布，采购单位非通过本机构，不得擅自澄清、答复、修改或补充招标文件。</w:t>
      </w:r>
    </w:p>
    <w:p w14:paraId="585F2328">
      <w:pPr>
        <w:pStyle w:val="4"/>
        <w:spacing w:before="0" w:after="0" w:line="500" w:lineRule="exact"/>
        <w:rPr>
          <w:rFonts w:hint="eastAsia" w:ascii="宋体" w:hAnsi="宋体" w:cs="宋体"/>
        </w:rPr>
      </w:pPr>
      <w:bookmarkStart w:id="100" w:name="_Toc2704"/>
      <w:r>
        <w:rPr>
          <w:rFonts w:hint="eastAsia" w:ascii="宋体" w:hAnsi="宋体" w:cs="宋体"/>
        </w:rPr>
        <w:t>（三）投标文件的编制</w:t>
      </w:r>
      <w:bookmarkEnd w:id="100"/>
    </w:p>
    <w:p w14:paraId="250BCFE0">
      <w:pPr>
        <w:pStyle w:val="6"/>
        <w:spacing w:line="500" w:lineRule="exact"/>
        <w:ind w:left="0" w:firstLine="422" w:firstLineChars="200"/>
        <w:rPr>
          <w:rFonts w:hint="eastAsia" w:ascii="宋体" w:hAnsi="宋体" w:cs="宋体"/>
          <w:b/>
          <w:sz w:val="21"/>
          <w:szCs w:val="21"/>
        </w:rPr>
      </w:pPr>
      <w:r>
        <w:rPr>
          <w:rFonts w:hint="eastAsia" w:ascii="宋体" w:hAnsi="宋体" w:cs="宋体"/>
          <w:b/>
          <w:sz w:val="21"/>
          <w:szCs w:val="21"/>
        </w:rPr>
        <w:t>1.投标文件的语言及度量衡单位</w:t>
      </w:r>
    </w:p>
    <w:p w14:paraId="4E3485EA">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1.1除采购货物有关专用名称外，投标文件和与投标有关的所有文件说明均应使用中文。</w:t>
      </w:r>
    </w:p>
    <w:p w14:paraId="20BB88AB">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1.2除采购项目规范另有规定外，投标文件使用的度量衡单位，均采用中华人民共和国法定计量单位。</w:t>
      </w:r>
    </w:p>
    <w:p w14:paraId="04CBBDFE">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2.投标文件的形式和效力</w:t>
      </w:r>
    </w:p>
    <w:p w14:paraId="5BAFC7A5">
      <w:pPr>
        <w:pStyle w:val="6"/>
        <w:spacing w:line="500" w:lineRule="exact"/>
        <w:ind w:left="0" w:firstLine="420" w:firstLineChars="200"/>
        <w:rPr>
          <w:rFonts w:hint="eastAsia" w:ascii="宋体" w:hAnsi="宋体" w:cs="宋体"/>
        </w:rPr>
      </w:pPr>
      <w:r>
        <w:rPr>
          <w:rFonts w:hint="eastAsia" w:ascii="宋体" w:hAnsi="宋体" w:cs="宋体"/>
          <w:sz w:val="21"/>
          <w:szCs w:val="21"/>
        </w:rPr>
        <w:t>2.1投标文件为电子投标文件。电子投标文件按政采云平台“供应商-政府采购项目电子交易操作指南”及本招标文件要求制作、加密并递交。</w:t>
      </w:r>
    </w:p>
    <w:p w14:paraId="6A8F2B45">
      <w:pPr>
        <w:pStyle w:val="6"/>
        <w:spacing w:line="500" w:lineRule="exact"/>
        <w:ind w:left="0" w:firstLine="422" w:firstLineChars="200"/>
        <w:rPr>
          <w:rFonts w:hint="eastAsia" w:ascii="宋体" w:hAnsi="宋体" w:cs="宋体"/>
          <w:b/>
          <w:sz w:val="21"/>
          <w:szCs w:val="21"/>
        </w:rPr>
      </w:pPr>
      <w:r>
        <w:rPr>
          <w:rFonts w:hint="eastAsia" w:ascii="宋体" w:hAnsi="宋体" w:cs="宋体"/>
          <w:b/>
          <w:sz w:val="21"/>
          <w:szCs w:val="21"/>
        </w:rPr>
        <w:t>3.投标文件的组成</w:t>
      </w:r>
    </w:p>
    <w:p w14:paraId="6932E5C8">
      <w:pPr>
        <w:pStyle w:val="6"/>
        <w:spacing w:line="500" w:lineRule="exact"/>
        <w:ind w:left="0" w:firstLine="420" w:firstLineChars="200"/>
        <w:rPr>
          <w:rFonts w:hint="eastAsia" w:ascii="宋体" w:hAnsi="宋体" w:cs="宋体"/>
          <w:b/>
          <w:bCs/>
          <w:sz w:val="21"/>
          <w:szCs w:val="21"/>
        </w:rPr>
      </w:pPr>
      <w:r>
        <w:rPr>
          <w:rFonts w:hint="eastAsia" w:ascii="宋体" w:hAnsi="宋体" w:cs="宋体"/>
          <w:sz w:val="21"/>
          <w:szCs w:val="21"/>
        </w:rPr>
        <w:t>（一）投标文件的组成</w:t>
      </w:r>
    </w:p>
    <w:p w14:paraId="72E036BF">
      <w:pPr>
        <w:tabs>
          <w:tab w:val="left" w:pos="0"/>
          <w:tab w:val="left" w:pos="900"/>
          <w:tab w:val="left" w:pos="7020"/>
          <w:tab w:val="left" w:pos="8460"/>
        </w:tabs>
        <w:snapToGrid w:val="0"/>
        <w:spacing w:line="500" w:lineRule="exact"/>
        <w:ind w:firstLine="422" w:firstLineChars="200"/>
        <w:rPr>
          <w:rFonts w:hint="eastAsia" w:ascii="宋体" w:hAnsi="宋体" w:cs="宋体"/>
          <w:b/>
          <w:bCs/>
          <w:szCs w:val="21"/>
        </w:rPr>
      </w:pPr>
      <w:r>
        <w:rPr>
          <w:rFonts w:hint="eastAsia" w:ascii="宋体" w:hAnsi="宋体" w:cs="宋体"/>
          <w:b/>
          <w:bCs/>
          <w:szCs w:val="21"/>
        </w:rPr>
        <w:t xml:space="preserve">投标文件（电子投标文件、备份电子投标文件）分为 【资格审查文件】 、【商务技术文件】 </w:t>
      </w:r>
      <w:r>
        <w:rPr>
          <w:rFonts w:hint="eastAsia" w:ascii="宋体" w:hAnsi="宋体" w:cs="宋体"/>
          <w:b/>
          <w:bCs/>
          <w:szCs w:val="21"/>
          <w:lang w:eastAsia="zh-CN"/>
        </w:rPr>
        <w:t>、</w:t>
      </w:r>
      <w:r>
        <w:rPr>
          <w:rFonts w:hint="eastAsia" w:ascii="宋体" w:hAnsi="宋体" w:cs="宋体"/>
          <w:b/>
          <w:bCs/>
          <w:szCs w:val="21"/>
        </w:rPr>
        <w:t>【报价文件】 三个类别 ，</w:t>
      </w:r>
      <w:r>
        <w:rPr>
          <w:rFonts w:hint="eastAsia" w:ascii="宋体" w:hAnsi="宋体" w:cs="宋体"/>
          <w:b/>
          <w:szCs w:val="21"/>
        </w:rPr>
        <w:t>电子投标文件中所须加盖公章部分均采用CA签章。</w:t>
      </w:r>
    </w:p>
    <w:p w14:paraId="1E8D0A84">
      <w:pPr>
        <w:pStyle w:val="6"/>
        <w:spacing w:line="500" w:lineRule="exact"/>
        <w:ind w:left="0" w:firstLine="422" w:firstLineChars="200"/>
        <w:rPr>
          <w:rFonts w:hint="eastAsia" w:ascii="宋体" w:hAnsi="宋体" w:cs="宋体"/>
          <w:b/>
          <w:bCs/>
          <w:sz w:val="21"/>
          <w:szCs w:val="21"/>
        </w:rPr>
      </w:pPr>
      <w:r>
        <w:rPr>
          <w:rFonts w:hint="eastAsia" w:ascii="宋体" w:hAnsi="宋体" w:cs="宋体"/>
          <w:b/>
          <w:bCs/>
          <w:sz w:val="21"/>
          <w:szCs w:val="21"/>
        </w:rPr>
        <w:t xml:space="preserve"> 资格审查文件</w:t>
      </w:r>
    </w:p>
    <w:p w14:paraId="52BD2719">
      <w:pPr>
        <w:keepNext w:val="0"/>
        <w:keepLines w:val="0"/>
        <w:pageBreakBefore w:val="0"/>
        <w:widowControl w:val="0"/>
        <w:tabs>
          <w:tab w:val="left" w:pos="720"/>
          <w:tab w:val="left" w:pos="5355"/>
        </w:tabs>
        <w:kinsoku/>
        <w:wordWrap/>
        <w:overflowPunct/>
        <w:topLinePunct w:val="0"/>
        <w:autoSpaceDE/>
        <w:autoSpaceDN/>
        <w:bidi w:val="0"/>
        <w:adjustRightInd/>
        <w:spacing w:line="400" w:lineRule="exact"/>
        <w:ind w:firstLine="422" w:firstLineChars="200"/>
        <w:textAlignment w:val="auto"/>
        <w:rPr>
          <w:rFonts w:hint="eastAsia" w:ascii="宋体" w:hAnsi="宋体" w:cs="宋体"/>
          <w:szCs w:val="21"/>
        </w:rPr>
      </w:pPr>
      <w:r>
        <w:rPr>
          <w:rFonts w:hint="eastAsia" w:ascii="宋体" w:hAnsi="宋体" w:cs="宋体"/>
          <w:b/>
          <w:bCs/>
          <w:sz w:val="21"/>
          <w:szCs w:val="21"/>
        </w:rPr>
        <w:t>▲</w:t>
      </w:r>
      <w:r>
        <w:rPr>
          <w:rFonts w:hint="eastAsia" w:ascii="宋体" w:hAnsi="宋体" w:cs="宋体"/>
          <w:szCs w:val="21"/>
        </w:rPr>
        <w:t>1）参与政府采购活动投标资格声明函【格式见附件】</w:t>
      </w:r>
      <w:r>
        <w:rPr>
          <w:rFonts w:hint="eastAsia" w:ascii="宋体" w:hAnsi="宋体" w:cs="宋体"/>
          <w:bCs/>
          <w:lang w:val="zh-CN"/>
        </w:rPr>
        <w:t>；</w:t>
      </w:r>
    </w:p>
    <w:p w14:paraId="44287D8E">
      <w:pPr>
        <w:keepNext w:val="0"/>
        <w:keepLines w:val="0"/>
        <w:pageBreakBefore w:val="0"/>
        <w:widowControl w:val="0"/>
        <w:tabs>
          <w:tab w:val="left" w:pos="0"/>
          <w:tab w:val="left" w:pos="900"/>
          <w:tab w:val="left" w:pos="7020"/>
          <w:tab w:val="left" w:pos="8460"/>
        </w:tabs>
        <w:kinsoku/>
        <w:wordWrap/>
        <w:overflowPunct/>
        <w:topLinePunct w:val="0"/>
        <w:autoSpaceDE/>
        <w:autoSpaceDN/>
        <w:bidi w:val="0"/>
        <w:adjustRightInd/>
        <w:snapToGrid w:val="0"/>
        <w:spacing w:line="400" w:lineRule="exact"/>
        <w:ind w:firstLine="422" w:firstLineChars="200"/>
        <w:textAlignment w:val="auto"/>
        <w:rPr>
          <w:rFonts w:hint="eastAsia" w:ascii="宋体" w:hAnsi="宋体" w:cs="宋体"/>
          <w:szCs w:val="21"/>
          <w:lang w:val="zh-CN"/>
        </w:rPr>
      </w:pPr>
      <w:r>
        <w:rPr>
          <w:rFonts w:hint="eastAsia" w:ascii="宋体" w:hAnsi="宋体" w:cs="宋体"/>
          <w:b/>
          <w:bCs/>
          <w:sz w:val="21"/>
          <w:szCs w:val="21"/>
        </w:rPr>
        <w:t>▲</w:t>
      </w:r>
      <w:r>
        <w:rPr>
          <w:rFonts w:hint="eastAsia" w:ascii="宋体" w:hAnsi="宋体" w:cs="宋体"/>
          <w:szCs w:val="21"/>
        </w:rPr>
        <w:t>2）有效期内</w:t>
      </w:r>
      <w:r>
        <w:rPr>
          <w:rFonts w:hint="eastAsia" w:ascii="宋体" w:hAnsi="宋体" w:cs="宋体"/>
          <w:szCs w:val="21"/>
          <w:lang w:val="zh-CN"/>
        </w:rPr>
        <w:t>营业执照原件扫描件；</w:t>
      </w:r>
    </w:p>
    <w:p w14:paraId="4FF915C4">
      <w:pPr>
        <w:keepNext w:val="0"/>
        <w:keepLines w:val="0"/>
        <w:pageBreakBefore w:val="0"/>
        <w:widowControl w:val="0"/>
        <w:tabs>
          <w:tab w:val="left" w:pos="720"/>
          <w:tab w:val="left" w:pos="5355"/>
        </w:tabs>
        <w:kinsoku/>
        <w:wordWrap/>
        <w:overflowPunct/>
        <w:topLinePunct w:val="0"/>
        <w:autoSpaceDE/>
        <w:autoSpaceDN/>
        <w:bidi w:val="0"/>
        <w:adjustRightInd/>
        <w:spacing w:line="400" w:lineRule="exact"/>
        <w:ind w:firstLine="422" w:firstLineChars="200"/>
        <w:textAlignment w:val="auto"/>
        <w:rPr>
          <w:rFonts w:ascii="宋体" w:hAnsi="宋体" w:cs="宋体"/>
          <w:color w:val="000000"/>
          <w:szCs w:val="21"/>
          <w:highlight w:val="none"/>
        </w:rPr>
      </w:pPr>
      <w:r>
        <w:rPr>
          <w:rFonts w:hint="eastAsia" w:ascii="宋体" w:hAnsi="宋体" w:cs="宋体"/>
          <w:b/>
          <w:bCs/>
          <w:sz w:val="21"/>
          <w:szCs w:val="21"/>
        </w:rPr>
        <w:t>▲</w:t>
      </w:r>
      <w:r>
        <w:rPr>
          <w:rFonts w:hint="eastAsia" w:ascii="宋体" w:hAnsi="宋体" w:cs="宋体"/>
          <w:color w:val="000000"/>
          <w:szCs w:val="21"/>
          <w:highlight w:val="none"/>
          <w:lang w:val="en-US" w:eastAsia="zh-CN"/>
        </w:rPr>
        <w:t>3</w:t>
      </w:r>
      <w:r>
        <w:rPr>
          <w:rFonts w:hint="eastAsia" w:ascii="宋体" w:hAnsi="宋体" w:cs="宋体"/>
          <w:color w:val="000000"/>
          <w:szCs w:val="21"/>
          <w:highlight w:val="none"/>
        </w:rPr>
        <w:t>）</w:t>
      </w:r>
      <w:r>
        <w:rPr>
          <w:rFonts w:ascii="宋体" w:hAnsi="宋体"/>
          <w:color w:val="000000"/>
          <w:spacing w:val="-4"/>
          <w:highlight w:val="none"/>
        </w:rPr>
        <w:t>法定代表人身份证明</w:t>
      </w:r>
      <w:r>
        <w:rPr>
          <w:rFonts w:hint="eastAsia" w:ascii="宋体" w:hAnsi="宋体" w:cs="宋体"/>
          <w:color w:val="000000"/>
          <w:szCs w:val="21"/>
          <w:highlight w:val="none"/>
        </w:rPr>
        <w:t>【</w:t>
      </w:r>
      <w:r>
        <w:rPr>
          <w:rFonts w:hint="eastAsia" w:ascii="宋体" w:hAnsi="宋体" w:cs="宋体"/>
          <w:b/>
          <w:bCs/>
          <w:color w:val="000000"/>
          <w:szCs w:val="21"/>
          <w:highlight w:val="none"/>
        </w:rPr>
        <w:t>格式见附件</w:t>
      </w:r>
      <w:r>
        <w:rPr>
          <w:rFonts w:hint="eastAsia" w:ascii="宋体" w:hAnsi="宋体" w:cs="宋体"/>
          <w:color w:val="000000"/>
          <w:szCs w:val="21"/>
          <w:highlight w:val="none"/>
        </w:rPr>
        <w:t>】</w:t>
      </w:r>
      <w:r>
        <w:rPr>
          <w:rFonts w:ascii="宋体" w:hAnsi="宋体"/>
          <w:color w:val="000000"/>
          <w:spacing w:val="-3"/>
          <w:highlight w:val="none"/>
        </w:rPr>
        <w:t>（</w:t>
      </w:r>
      <w:r>
        <w:rPr>
          <w:rFonts w:hint="eastAsia" w:ascii="宋体" w:hAnsi="宋体"/>
          <w:color w:val="000000"/>
          <w:spacing w:val="-3"/>
          <w:highlight w:val="none"/>
        </w:rPr>
        <w:t>投标人代表为</w:t>
      </w:r>
      <w:r>
        <w:rPr>
          <w:rFonts w:ascii="宋体" w:hAnsi="宋体"/>
          <w:color w:val="000000"/>
          <w:spacing w:val="-3"/>
          <w:highlight w:val="none"/>
        </w:rPr>
        <w:t>法定代表人</w:t>
      </w:r>
      <w:r>
        <w:rPr>
          <w:rFonts w:hint="eastAsia" w:ascii="宋体" w:hAnsi="宋体"/>
          <w:color w:val="000000"/>
          <w:spacing w:val="-3"/>
          <w:highlight w:val="none"/>
        </w:rPr>
        <w:t>时</w:t>
      </w:r>
      <w:r>
        <w:rPr>
          <w:rFonts w:ascii="宋体" w:hAnsi="宋体"/>
          <w:color w:val="000000"/>
          <w:spacing w:val="-3"/>
          <w:highlight w:val="none"/>
        </w:rPr>
        <w:t>提供</w:t>
      </w:r>
      <w:r>
        <w:rPr>
          <w:rFonts w:ascii="宋体" w:hAnsi="宋体"/>
          <w:color w:val="000000"/>
          <w:spacing w:val="-25"/>
          <w:highlight w:val="none"/>
        </w:rPr>
        <w:t>）</w:t>
      </w:r>
      <w:r>
        <w:rPr>
          <w:rFonts w:ascii="宋体" w:hAnsi="宋体"/>
          <w:color w:val="000000"/>
          <w:spacing w:val="-5"/>
          <w:highlight w:val="none"/>
        </w:rPr>
        <w:t>或法定代表人授权委托书</w:t>
      </w:r>
      <w:r>
        <w:rPr>
          <w:rFonts w:hint="eastAsia" w:ascii="宋体" w:hAnsi="宋体" w:cs="宋体"/>
          <w:color w:val="000000"/>
          <w:szCs w:val="21"/>
          <w:highlight w:val="none"/>
        </w:rPr>
        <w:t>【</w:t>
      </w:r>
      <w:r>
        <w:rPr>
          <w:rFonts w:hint="eastAsia" w:ascii="宋体" w:hAnsi="宋体" w:cs="宋体"/>
          <w:b/>
          <w:bCs/>
          <w:color w:val="000000"/>
          <w:szCs w:val="21"/>
          <w:highlight w:val="none"/>
        </w:rPr>
        <w:t>格式见附件</w:t>
      </w:r>
      <w:r>
        <w:rPr>
          <w:rFonts w:hint="eastAsia" w:ascii="宋体" w:hAnsi="宋体" w:cs="宋体"/>
          <w:color w:val="000000"/>
          <w:szCs w:val="21"/>
          <w:highlight w:val="none"/>
        </w:rPr>
        <w:t>】</w:t>
      </w:r>
      <w:r>
        <w:rPr>
          <w:rFonts w:ascii="宋体" w:hAnsi="宋体"/>
          <w:color w:val="000000"/>
          <w:spacing w:val="-3"/>
          <w:highlight w:val="none"/>
        </w:rPr>
        <w:t>（</w:t>
      </w:r>
      <w:r>
        <w:rPr>
          <w:rFonts w:hint="eastAsia" w:ascii="宋体" w:hAnsi="宋体"/>
          <w:color w:val="000000"/>
          <w:spacing w:val="-3"/>
          <w:highlight w:val="none"/>
        </w:rPr>
        <w:t>投标人代表为授权委托人时</w:t>
      </w:r>
      <w:r>
        <w:rPr>
          <w:rFonts w:ascii="宋体" w:hAnsi="宋体"/>
          <w:color w:val="000000"/>
          <w:spacing w:val="-3"/>
          <w:highlight w:val="none"/>
        </w:rPr>
        <w:t>提供</w:t>
      </w:r>
      <w:r>
        <w:rPr>
          <w:rFonts w:ascii="宋体" w:hAnsi="宋体"/>
          <w:color w:val="000000"/>
          <w:highlight w:val="none"/>
        </w:rPr>
        <w:t>）</w:t>
      </w:r>
      <w:r>
        <w:rPr>
          <w:rFonts w:hint="eastAsia" w:ascii="宋体" w:hAnsi="宋体" w:cs="宋体"/>
          <w:color w:val="000000"/>
          <w:szCs w:val="21"/>
          <w:highlight w:val="none"/>
          <w:lang w:val="zh-CN"/>
        </w:rPr>
        <w:t>；</w:t>
      </w:r>
    </w:p>
    <w:p w14:paraId="0E77722E">
      <w:pPr>
        <w:pStyle w:val="9"/>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eastAsia="宋体" w:cs="宋体"/>
          <w:b/>
          <w:bCs/>
          <w:szCs w:val="21"/>
          <w:lang w:eastAsia="zh-CN"/>
        </w:rPr>
      </w:pPr>
      <w:r>
        <w:rPr>
          <w:rFonts w:hint="eastAsia" w:ascii="宋体" w:hAnsi="宋体" w:cs="宋体"/>
          <w:b/>
          <w:bCs/>
          <w:sz w:val="21"/>
          <w:szCs w:val="21"/>
        </w:rPr>
        <w:t>▲</w:t>
      </w:r>
      <w:r>
        <w:rPr>
          <w:rFonts w:hint="eastAsia" w:ascii="宋体" w:hAnsi="宋体" w:cs="宋体"/>
          <w:bCs/>
          <w:lang w:val="en-US" w:eastAsia="zh-CN"/>
        </w:rPr>
        <w:t>4）</w:t>
      </w:r>
      <w:r>
        <w:rPr>
          <w:rFonts w:hint="eastAsia" w:ascii="宋体" w:hAnsi="宋体" w:eastAsia="宋体" w:cs="宋体"/>
          <w:b/>
          <w:bCs/>
          <w:szCs w:val="21"/>
          <w:lang w:val="en-US" w:eastAsia="zh-CN"/>
        </w:rPr>
        <w:t>有效期</w:t>
      </w:r>
      <w:r>
        <w:rPr>
          <w:rFonts w:hint="eastAsia" w:ascii="宋体" w:hAnsi="宋体" w:cs="宋体"/>
          <w:b/>
          <w:bCs/>
          <w:szCs w:val="21"/>
          <w:lang w:val="en-US" w:eastAsia="zh-CN"/>
        </w:rPr>
        <w:t>内</w:t>
      </w:r>
      <w:r>
        <w:rPr>
          <w:rFonts w:hint="eastAsia" w:ascii="宋体" w:hAnsi="宋体" w:eastAsia="宋体" w:cs="宋体"/>
          <w:b/>
          <w:bCs/>
          <w:szCs w:val="21"/>
          <w:lang w:val="en-US" w:eastAsia="zh-CN"/>
        </w:rPr>
        <w:t>的</w:t>
      </w:r>
      <w:r>
        <w:rPr>
          <w:rFonts w:hint="eastAsia" w:ascii="宋体" w:hAnsi="宋体" w:eastAsia="宋体" w:cs="宋体"/>
          <w:b/>
          <w:bCs/>
          <w:szCs w:val="21"/>
        </w:rPr>
        <w:t>《检验检测机构资质认定证书》（CMA）</w:t>
      </w:r>
      <w:r>
        <w:rPr>
          <w:rFonts w:hint="eastAsia" w:ascii="宋体" w:hAnsi="宋体" w:eastAsia="宋体" w:cs="宋体"/>
          <w:b/>
          <w:bCs/>
          <w:szCs w:val="21"/>
          <w:lang w:val="zh-CN"/>
        </w:rPr>
        <w:t>证书原件扫描件</w:t>
      </w:r>
      <w:r>
        <w:rPr>
          <w:rFonts w:hint="eastAsia" w:ascii="宋体" w:hAnsi="宋体" w:eastAsia="宋体" w:cs="宋体"/>
          <w:b/>
          <w:bCs/>
          <w:szCs w:val="21"/>
          <w:lang w:eastAsia="zh-CN"/>
        </w:rPr>
        <w:t>；</w:t>
      </w:r>
    </w:p>
    <w:p w14:paraId="6635D758">
      <w:pPr>
        <w:pStyle w:val="10"/>
        <w:ind w:firstLine="612" w:firstLineChars="300"/>
        <w:rPr>
          <w:rFonts w:hint="eastAsia" w:ascii="宋体" w:hAnsi="宋体" w:eastAsia="宋体" w:cs="Times New Roman"/>
          <w:bCs w:val="0"/>
          <w:color w:val="000000"/>
          <w:spacing w:val="-3"/>
          <w:kern w:val="2"/>
          <w:sz w:val="21"/>
          <w:szCs w:val="24"/>
          <w:highlight w:val="none"/>
          <w:lang w:val="en-US" w:eastAsia="zh-CN" w:bidi="ar-SA"/>
        </w:rPr>
      </w:pPr>
      <w:r>
        <w:rPr>
          <w:rFonts w:hint="eastAsia" w:ascii="宋体" w:hAnsi="宋体" w:eastAsia="宋体" w:cs="Times New Roman"/>
          <w:bCs w:val="0"/>
          <w:color w:val="000000"/>
          <w:spacing w:val="-3"/>
          <w:kern w:val="2"/>
          <w:sz w:val="21"/>
          <w:szCs w:val="24"/>
          <w:highlight w:val="none"/>
          <w:lang w:val="en-US" w:eastAsia="zh-CN" w:bidi="ar-SA"/>
        </w:rPr>
        <w:t>5）分包意向协议（如果有)</w:t>
      </w:r>
    </w:p>
    <w:p w14:paraId="04E9CBC9">
      <w:pPr>
        <w:spacing w:line="360" w:lineRule="auto"/>
        <w:ind w:firstLine="422" w:firstLineChars="20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注：</w:t>
      </w:r>
      <w:r>
        <w:rPr>
          <w:rFonts w:hint="eastAsia" w:ascii="宋体" w:hAnsi="宋体" w:cs="宋体"/>
          <w:b/>
          <w:bCs/>
          <w:kern w:val="2"/>
          <w:sz w:val="21"/>
          <w:szCs w:val="21"/>
          <w:lang w:val="en-US" w:eastAsia="zh-CN" w:bidi="ar-SA"/>
        </w:rPr>
        <w:t>资格审查文件</w:t>
      </w:r>
      <w:r>
        <w:rPr>
          <w:rFonts w:hint="eastAsia" w:ascii="宋体" w:hAnsi="宋体" w:eastAsia="宋体" w:cs="宋体"/>
          <w:b/>
          <w:bCs/>
          <w:kern w:val="2"/>
          <w:sz w:val="21"/>
          <w:szCs w:val="21"/>
          <w:lang w:val="en-US" w:eastAsia="zh-CN" w:bidi="ar-SA"/>
        </w:rPr>
        <w:t>应包含以上所有内容，投标人提供</w:t>
      </w:r>
      <w:r>
        <w:rPr>
          <w:rFonts w:hint="eastAsia" w:ascii="宋体" w:hAnsi="宋体" w:cs="宋体"/>
          <w:b/>
          <w:bCs/>
          <w:kern w:val="2"/>
          <w:sz w:val="21"/>
          <w:szCs w:val="21"/>
          <w:lang w:val="en-US" w:eastAsia="zh-CN" w:bidi="ar-SA"/>
        </w:rPr>
        <w:t>资格审查文件</w:t>
      </w:r>
      <w:r>
        <w:rPr>
          <w:rFonts w:hint="eastAsia" w:ascii="宋体" w:hAnsi="宋体" w:eastAsia="宋体" w:cs="宋体"/>
          <w:b/>
          <w:bCs/>
          <w:kern w:val="2"/>
          <w:sz w:val="21"/>
          <w:szCs w:val="21"/>
          <w:lang w:val="en-US" w:eastAsia="zh-CN" w:bidi="ar-SA"/>
        </w:rPr>
        <w:t>不完整或不符合招标文件要求的，则资格审查不予通过。</w:t>
      </w:r>
    </w:p>
    <w:p w14:paraId="4BBE2805">
      <w:pPr>
        <w:keepNext w:val="0"/>
        <w:keepLines w:val="0"/>
        <w:pageBreakBefore w:val="0"/>
        <w:widowControl w:val="0"/>
        <w:tabs>
          <w:tab w:val="left" w:pos="720"/>
          <w:tab w:val="left" w:pos="5355"/>
        </w:tabs>
        <w:kinsoku/>
        <w:wordWrap/>
        <w:overflowPunct/>
        <w:topLinePunct w:val="0"/>
        <w:autoSpaceDE/>
        <w:autoSpaceDN/>
        <w:bidi w:val="0"/>
        <w:adjustRightInd/>
        <w:spacing w:line="400" w:lineRule="exact"/>
        <w:ind w:left="420" w:leftChars="200"/>
        <w:textAlignment w:val="auto"/>
        <w:rPr>
          <w:rFonts w:hint="eastAsia" w:ascii="宋体" w:hAnsi="宋体" w:cs="宋体"/>
          <w:b/>
          <w:bCs/>
          <w:szCs w:val="21"/>
        </w:rPr>
      </w:pPr>
      <w:r>
        <w:rPr>
          <w:rFonts w:hint="eastAsia" w:ascii="宋体" w:hAnsi="宋体" w:cs="宋体"/>
          <w:b/>
          <w:bCs/>
          <w:szCs w:val="21"/>
          <w:lang w:val="en-US" w:eastAsia="zh-CN"/>
        </w:rPr>
        <w:t>商务</w:t>
      </w:r>
      <w:r>
        <w:rPr>
          <w:rFonts w:hint="eastAsia" w:ascii="宋体" w:hAnsi="宋体" w:cs="宋体"/>
          <w:b/>
          <w:bCs/>
          <w:szCs w:val="21"/>
        </w:rPr>
        <w:t>技术文件（请附“供应商自评表”【格式见附件】，以便评审，具体内容可参考评分内容编制。）：</w:t>
      </w:r>
    </w:p>
    <w:p w14:paraId="2B9B7219">
      <w:pPr>
        <w:keepNext w:val="0"/>
        <w:keepLines w:val="0"/>
        <w:pageBreakBefore w:val="0"/>
        <w:widowControl w:val="0"/>
        <w:tabs>
          <w:tab w:val="left" w:pos="720"/>
          <w:tab w:val="left" w:pos="5355"/>
        </w:tabs>
        <w:kinsoku/>
        <w:wordWrap/>
        <w:overflowPunct/>
        <w:topLinePunct w:val="0"/>
        <w:autoSpaceDE/>
        <w:autoSpaceDN/>
        <w:bidi w:val="0"/>
        <w:adjustRightInd/>
        <w:snapToGrid/>
        <w:spacing w:line="300" w:lineRule="auto"/>
        <w:ind w:left="420" w:leftChars="200"/>
        <w:textAlignment w:val="auto"/>
        <w:rPr>
          <w:rFonts w:hint="eastAsia" w:ascii="宋体" w:hAnsi="宋体" w:cs="宋体"/>
          <w:szCs w:val="21"/>
        </w:rPr>
      </w:pPr>
      <w:r>
        <w:rPr>
          <w:rFonts w:hint="eastAsia" w:ascii="宋体" w:hAnsi="宋体" w:cs="宋体"/>
          <w:szCs w:val="21"/>
        </w:rPr>
        <w:t>1）供应商自评表【格式见附件】；</w:t>
      </w:r>
    </w:p>
    <w:p w14:paraId="46021374">
      <w:pPr>
        <w:keepNext w:val="0"/>
        <w:keepLines w:val="0"/>
        <w:pageBreakBefore w:val="0"/>
        <w:widowControl w:val="0"/>
        <w:tabs>
          <w:tab w:val="left" w:pos="720"/>
          <w:tab w:val="left" w:pos="5355"/>
        </w:tabs>
        <w:kinsoku/>
        <w:wordWrap/>
        <w:overflowPunct/>
        <w:topLinePunct w:val="0"/>
        <w:autoSpaceDE/>
        <w:autoSpaceDN/>
        <w:bidi w:val="0"/>
        <w:adjustRightInd/>
        <w:snapToGrid/>
        <w:spacing w:line="300" w:lineRule="auto"/>
        <w:ind w:left="420" w:leftChars="200"/>
        <w:textAlignment w:val="auto"/>
        <w:rPr>
          <w:rFonts w:hint="eastAsia" w:ascii="宋体" w:hAnsi="宋体" w:cs="宋体"/>
          <w:szCs w:val="21"/>
        </w:rPr>
      </w:pPr>
      <w:r>
        <w:rPr>
          <w:rFonts w:hint="eastAsia" w:ascii="宋体" w:hAnsi="宋体" w:cs="宋体"/>
          <w:szCs w:val="21"/>
        </w:rPr>
        <w:t>2）投标声明书【格式见附件】；</w:t>
      </w:r>
    </w:p>
    <w:p w14:paraId="0BD25B6E">
      <w:pPr>
        <w:keepNext w:val="0"/>
        <w:keepLines w:val="0"/>
        <w:pageBreakBefore w:val="0"/>
        <w:widowControl w:val="0"/>
        <w:tabs>
          <w:tab w:val="left" w:pos="720"/>
          <w:tab w:val="left" w:pos="5355"/>
        </w:tabs>
        <w:kinsoku/>
        <w:wordWrap/>
        <w:overflowPunct/>
        <w:topLinePunct w:val="0"/>
        <w:autoSpaceDE/>
        <w:autoSpaceDN/>
        <w:bidi w:val="0"/>
        <w:adjustRightInd/>
        <w:snapToGrid/>
        <w:spacing w:line="300" w:lineRule="auto"/>
        <w:ind w:left="420" w:leftChars="200"/>
        <w:textAlignment w:val="auto"/>
        <w:rPr>
          <w:rFonts w:hint="eastAsia" w:ascii="宋体" w:hAnsi="宋体" w:cs="宋体"/>
          <w:szCs w:val="21"/>
        </w:rPr>
      </w:pPr>
      <w:r>
        <w:rPr>
          <w:rFonts w:hint="eastAsia" w:ascii="宋体" w:hAnsi="宋体" w:cs="宋体"/>
          <w:szCs w:val="21"/>
        </w:rPr>
        <w:t>3）投标人基本情况表【格式见附件】；</w:t>
      </w:r>
    </w:p>
    <w:p w14:paraId="5E86FAAB">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left"/>
        <w:textAlignment w:val="auto"/>
        <w:rPr>
          <w:rFonts w:hint="eastAsia"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4</w:t>
      </w:r>
      <w:r>
        <w:rPr>
          <w:rFonts w:hint="eastAsia" w:ascii="宋体" w:hAnsi="宋体" w:cs="宋体"/>
          <w:color w:val="000000"/>
          <w:szCs w:val="21"/>
          <w:highlight w:val="none"/>
        </w:rPr>
        <w:t>）</w:t>
      </w:r>
      <w:r>
        <w:rPr>
          <w:rFonts w:hint="eastAsia" w:ascii="宋体" w:hAnsi="宋体" w:cs="宋体"/>
          <w:color w:val="000000"/>
          <w:szCs w:val="21"/>
          <w:highlight w:val="none"/>
          <w:lang w:val="en-US" w:eastAsia="zh-CN"/>
        </w:rPr>
        <w:t>偏离表</w:t>
      </w:r>
      <w:r>
        <w:rPr>
          <w:rFonts w:hint="eastAsia" w:ascii="宋体" w:hAnsi="宋体" w:cs="宋体"/>
          <w:szCs w:val="21"/>
        </w:rPr>
        <w:t>【格式见附件】；</w:t>
      </w:r>
    </w:p>
    <w:p w14:paraId="13F15A46">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left"/>
        <w:textAlignment w:val="auto"/>
        <w:rPr>
          <w:rFonts w:hint="eastAsia" w:ascii="宋体" w:hAnsi="宋体" w:cs="宋体"/>
          <w:color w:val="000000"/>
          <w:szCs w:val="21"/>
          <w:highlight w:val="none"/>
          <w:lang w:eastAsia="zh-CN"/>
        </w:rPr>
      </w:pPr>
      <w:r>
        <w:rPr>
          <w:rFonts w:hint="eastAsia" w:ascii="宋体" w:hAnsi="宋体" w:cs="宋体"/>
          <w:color w:val="000000"/>
          <w:szCs w:val="21"/>
          <w:highlight w:val="none"/>
          <w:lang w:val="en-US" w:eastAsia="zh-CN"/>
        </w:rPr>
        <w:t>5</w:t>
      </w:r>
      <w:r>
        <w:rPr>
          <w:rFonts w:hint="eastAsia" w:ascii="宋体" w:hAnsi="宋体" w:cs="宋体"/>
          <w:color w:val="000000"/>
          <w:szCs w:val="21"/>
          <w:highlight w:val="none"/>
          <w:lang w:eastAsia="zh-CN"/>
        </w:rPr>
        <w:t>）</w:t>
      </w:r>
      <w:r>
        <w:rPr>
          <w:rFonts w:hint="eastAsia" w:ascii="宋体" w:hAnsi="宋体" w:cs="宋体"/>
          <w:color w:val="000000"/>
          <w:szCs w:val="21"/>
          <w:highlight w:val="none"/>
        </w:rPr>
        <w:t>商务技术评审内容参考评分内容编制</w:t>
      </w:r>
      <w:r>
        <w:rPr>
          <w:rFonts w:hint="eastAsia" w:ascii="宋体" w:hAnsi="宋体" w:cs="宋体"/>
          <w:color w:val="000000"/>
          <w:szCs w:val="21"/>
          <w:highlight w:val="none"/>
          <w:lang w:eastAsia="zh-CN"/>
        </w:rPr>
        <w:t>；</w:t>
      </w:r>
    </w:p>
    <w:p w14:paraId="46B2A966">
      <w:pPr>
        <w:keepNext w:val="0"/>
        <w:keepLines w:val="0"/>
        <w:pageBreakBefore w:val="0"/>
        <w:widowControl w:val="0"/>
        <w:tabs>
          <w:tab w:val="left" w:pos="720"/>
          <w:tab w:val="left" w:pos="5355"/>
        </w:tabs>
        <w:kinsoku/>
        <w:wordWrap/>
        <w:overflowPunct/>
        <w:topLinePunct w:val="0"/>
        <w:autoSpaceDE/>
        <w:autoSpaceDN/>
        <w:bidi w:val="0"/>
        <w:adjustRightInd/>
        <w:snapToGrid/>
        <w:spacing w:line="300" w:lineRule="auto"/>
        <w:ind w:left="420" w:leftChars="200"/>
        <w:textAlignment w:val="auto"/>
        <w:rPr>
          <w:rFonts w:hint="eastAsia" w:ascii="宋体" w:hAnsi="宋体" w:eastAsia="宋体" w:cs="宋体"/>
          <w:b w:val="0"/>
          <w:bCs w:val="0"/>
          <w:color w:val="000000"/>
          <w:szCs w:val="21"/>
          <w:highlight w:val="none"/>
        </w:rPr>
      </w:pPr>
      <w:r>
        <w:rPr>
          <w:rFonts w:hint="eastAsia" w:ascii="宋体" w:hAnsi="宋体" w:cs="宋体"/>
          <w:color w:val="000000"/>
          <w:szCs w:val="21"/>
          <w:highlight w:val="none"/>
          <w:lang w:val="en-US" w:eastAsia="zh-CN"/>
        </w:rPr>
        <w:t>6</w:t>
      </w:r>
      <w:r>
        <w:rPr>
          <w:rFonts w:hint="eastAsia" w:ascii="宋体" w:hAnsi="宋体" w:cs="宋体"/>
          <w:color w:val="000000"/>
          <w:szCs w:val="21"/>
          <w:highlight w:val="none"/>
          <w:lang w:eastAsia="zh-CN"/>
        </w:rPr>
        <w:t>）</w:t>
      </w:r>
      <w:r>
        <w:rPr>
          <w:rFonts w:hint="eastAsia" w:ascii="宋体" w:hAnsi="宋体" w:eastAsia="宋体" w:cs="宋体"/>
          <w:b w:val="0"/>
          <w:bCs w:val="0"/>
          <w:color w:val="000000"/>
          <w:szCs w:val="21"/>
          <w:highlight w:val="none"/>
        </w:rPr>
        <w:t>投标人认为有必要提供的其他文件和说明（格式自拟）。</w:t>
      </w:r>
    </w:p>
    <w:p w14:paraId="6E4AB7A9">
      <w:pPr>
        <w:tabs>
          <w:tab w:val="left" w:pos="720"/>
          <w:tab w:val="left" w:pos="5355"/>
        </w:tabs>
        <w:spacing w:line="500" w:lineRule="exact"/>
        <w:ind w:left="420" w:leftChars="200"/>
        <w:rPr>
          <w:rFonts w:hint="eastAsia" w:ascii="宋体" w:hAnsi="宋体" w:cs="宋体"/>
          <w:b/>
          <w:bCs/>
          <w:szCs w:val="21"/>
        </w:rPr>
      </w:pPr>
      <w:r>
        <w:rPr>
          <w:rFonts w:hint="eastAsia" w:ascii="宋体" w:hAnsi="宋体" w:cs="宋体"/>
          <w:b/>
          <w:bCs/>
          <w:szCs w:val="21"/>
        </w:rPr>
        <w:t>报价文件：</w:t>
      </w:r>
    </w:p>
    <w:p w14:paraId="1EFE623F">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left"/>
        <w:textAlignment w:val="auto"/>
        <w:rPr>
          <w:rFonts w:hint="eastAsia"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1）开标一览表【格式详见附件】；</w:t>
      </w:r>
    </w:p>
    <w:p w14:paraId="7C8025AB">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left"/>
        <w:textAlignment w:val="auto"/>
        <w:rPr>
          <w:rFonts w:hint="eastAsia"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2）投标报价明细表【格式详见附件】</w:t>
      </w:r>
    </w:p>
    <w:p w14:paraId="29B4B4AD">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left"/>
        <w:textAlignment w:val="auto"/>
        <w:rPr>
          <w:rFonts w:hint="eastAsia" w:ascii="宋体" w:hAnsi="宋体" w:eastAsia="宋体" w:cs="宋体"/>
          <w:b/>
          <w:bCs/>
          <w:kern w:val="2"/>
          <w:sz w:val="21"/>
          <w:szCs w:val="21"/>
          <w:lang w:val="en-US" w:eastAsia="zh-CN" w:bidi="ar-SA"/>
        </w:rPr>
      </w:pPr>
      <w:r>
        <w:rPr>
          <w:rFonts w:hint="eastAsia" w:ascii="宋体" w:hAnsi="宋体" w:cs="宋体"/>
          <w:color w:val="000000"/>
          <w:szCs w:val="21"/>
          <w:highlight w:val="none"/>
          <w:lang w:val="en-US" w:eastAsia="zh-CN"/>
        </w:rPr>
        <w:t>3）享受小微企业（含监狱企业、残疾人福利性企业）价格扶持政策的证明材料</w:t>
      </w:r>
      <w:r>
        <w:rPr>
          <w:rFonts w:hint="eastAsia" w:ascii="宋体" w:hAnsi="宋体" w:eastAsia="宋体" w:cs="宋体"/>
          <w:b/>
          <w:bCs/>
          <w:kern w:val="2"/>
          <w:sz w:val="21"/>
          <w:szCs w:val="21"/>
          <w:lang w:val="en-US" w:eastAsia="zh-CN" w:bidi="ar-SA"/>
        </w:rPr>
        <w:t>（详见“政府采购扶持政策说明”，非小微企业、监狱企业、残疾人福利性企业的，无需提供）</w:t>
      </w:r>
    </w:p>
    <w:p w14:paraId="260F1B8D">
      <w:pPr>
        <w:keepNext w:val="0"/>
        <w:keepLines w:val="0"/>
        <w:pageBreakBefore w:val="0"/>
        <w:widowControl w:val="0"/>
        <w:kinsoku/>
        <w:wordWrap/>
        <w:overflowPunct/>
        <w:topLinePunct w:val="0"/>
        <w:autoSpaceDE/>
        <w:autoSpaceDN/>
        <w:bidi w:val="0"/>
        <w:adjustRightInd/>
        <w:snapToGrid/>
        <w:spacing w:line="300" w:lineRule="auto"/>
        <w:ind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4）投标人针对报价需要说明的其他文件和资料（格式自拟）。</w:t>
      </w:r>
    </w:p>
    <w:p w14:paraId="3B05AA57">
      <w:pPr>
        <w:pStyle w:val="6"/>
        <w:spacing w:line="440" w:lineRule="exact"/>
        <w:ind w:left="0" w:firstLine="420" w:firstLineChars="20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3.投标文件的编制格式及说明</w:t>
      </w:r>
    </w:p>
    <w:p w14:paraId="4C657E54">
      <w:pPr>
        <w:pStyle w:val="6"/>
        <w:spacing w:line="360" w:lineRule="auto"/>
        <w:ind w:left="0" w:firstLine="420" w:firstLineChars="200"/>
        <w:rPr>
          <w:rFonts w:hint="eastAsia" w:ascii="宋体" w:hAnsi="宋体" w:cs="宋体"/>
          <w:sz w:val="21"/>
          <w:szCs w:val="21"/>
        </w:rPr>
      </w:pPr>
      <w:r>
        <w:rPr>
          <w:rFonts w:hint="eastAsia" w:ascii="宋体" w:hAnsi="宋体" w:cs="宋体"/>
          <w:sz w:val="21"/>
          <w:szCs w:val="21"/>
        </w:rPr>
        <w:t>3.1投标文件应包括规定的内容，投标人提交的投标文件应当使用招标文件所提供的投标文件全部格式（格式可以按同样格式扩展）；未提供投标文件标准格式的，由投标人自行编写。</w:t>
      </w:r>
      <w:r>
        <w:rPr>
          <w:rFonts w:hint="eastAsia" w:ascii="宋体" w:hAnsi="宋体" w:cs="宋体"/>
          <w:b/>
          <w:bCs/>
          <w:sz w:val="21"/>
          <w:szCs w:val="21"/>
        </w:rPr>
        <w:t>电子投标文件按政采云平台“供应商-政府采购项目电子交易操作指南”及本招标文件要求制作、加密。</w:t>
      </w:r>
    </w:p>
    <w:p w14:paraId="3B258BFF">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3.2投标人应在认真阅读招标文件所有内容的基础上，按照招标文件的要求编制完整的投标文件，投标文件应按照招标文件中规定的统一格式填写，严格按照规定的顺序装订成册并编制目录，混乱的编排或未按招标文件所提供的统一格式编写与漏写而导致投标文件被误读或查找不到有效文件是投标人的风险。</w:t>
      </w:r>
    </w:p>
    <w:p w14:paraId="053D6A3E">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3.3投标人必须保证投标文件所提供的全部资料真实可靠，并接受对其中任何资料进一步审查的要求。</w:t>
      </w:r>
    </w:p>
    <w:p w14:paraId="0699521B">
      <w:pPr>
        <w:pStyle w:val="6"/>
        <w:spacing w:line="500" w:lineRule="exact"/>
        <w:ind w:left="0" w:firstLine="422" w:firstLineChars="200"/>
        <w:rPr>
          <w:rFonts w:hint="eastAsia" w:ascii="宋体" w:hAnsi="宋体" w:cs="宋体"/>
          <w:sz w:val="21"/>
          <w:szCs w:val="21"/>
        </w:rPr>
      </w:pPr>
      <w:r>
        <w:rPr>
          <w:rFonts w:hint="eastAsia" w:ascii="宋体" w:hAnsi="宋体" w:cs="宋体"/>
          <w:b/>
          <w:sz w:val="21"/>
          <w:szCs w:val="21"/>
        </w:rPr>
        <w:t>4.投标报价</w:t>
      </w:r>
    </w:p>
    <w:p w14:paraId="2553D3D1">
      <w:pPr>
        <w:pStyle w:val="6"/>
        <w:spacing w:line="500" w:lineRule="exact"/>
        <w:ind w:left="0" w:firstLine="422" w:firstLineChars="200"/>
        <w:rPr>
          <w:rFonts w:hint="eastAsia" w:ascii="宋体" w:hAnsi="宋体" w:cs="宋体"/>
          <w:b/>
          <w:bCs/>
          <w:sz w:val="21"/>
          <w:szCs w:val="21"/>
          <w:lang w:eastAsia="zh-CN"/>
        </w:rPr>
      </w:pPr>
      <w:r>
        <w:rPr>
          <w:rFonts w:hint="eastAsia" w:ascii="宋体" w:hAnsi="宋体" w:cs="宋体"/>
          <w:b/>
          <w:bCs/>
          <w:sz w:val="21"/>
          <w:szCs w:val="21"/>
        </w:rPr>
        <w:t>4.1</w:t>
      </w:r>
      <w:r>
        <w:rPr>
          <w:rFonts w:hint="eastAsia" w:ascii="宋体" w:hAnsi="宋体" w:cs="宋体"/>
          <w:b/>
          <w:bCs/>
          <w:sz w:val="21"/>
          <w:szCs w:val="21"/>
          <w:lang w:val="en-US" w:eastAsia="zh-CN"/>
        </w:rPr>
        <w:t>采购预算最高限价5</w:t>
      </w:r>
      <w:r>
        <w:rPr>
          <w:rFonts w:hint="eastAsia" w:ascii="宋体" w:hAnsi="宋体" w:eastAsia="宋体" w:cs="宋体"/>
          <w:b/>
          <w:bCs/>
          <w:color w:val="auto"/>
          <w:sz w:val="21"/>
          <w:szCs w:val="21"/>
          <w:lang w:val="en-US" w:eastAsia="zh-CN"/>
        </w:rPr>
        <w:t>75800元</w:t>
      </w:r>
      <w:r>
        <w:rPr>
          <w:rFonts w:hint="eastAsia" w:ascii="宋体" w:hAnsi="宋体" w:eastAsia="宋体" w:cs="宋体"/>
          <w:b/>
          <w:bCs/>
          <w:color w:val="auto"/>
          <w:sz w:val="21"/>
          <w:szCs w:val="21"/>
        </w:rPr>
        <w:t>，投标报价应包含投项目所需全部货物、服务，不得缺漏，是履行合同的最终价格（投标报价统一为人民币计价，涉及费用包括抽样技术服务费、检验技术服务费、人工成本费、管理费、税费、规费、材料费、不可预见费、代理服务费等。其中抽样技术服务费包括抽样人员差旅费、样品的购置费、销毁样品的处置费、抽查文书和样品（含检毕样品）邮递费，检验技术服务费为样品检验费，含复检、复查检验等费用。）投标报价高于最高限价的，按无效投标处理。</w:t>
      </w:r>
    </w:p>
    <w:p w14:paraId="36C429F4">
      <w:pPr>
        <w:pStyle w:val="6"/>
        <w:spacing w:line="500" w:lineRule="exact"/>
        <w:ind w:left="0" w:firstLine="422" w:firstLineChars="200"/>
        <w:rPr>
          <w:rFonts w:hint="eastAsia" w:ascii="宋体" w:hAnsi="宋体" w:cs="宋体"/>
          <w:b/>
          <w:bCs/>
          <w:sz w:val="21"/>
          <w:szCs w:val="21"/>
        </w:rPr>
      </w:pPr>
      <w:r>
        <w:rPr>
          <w:rFonts w:hint="eastAsia" w:ascii="宋体" w:hAnsi="宋体" w:cs="宋体"/>
          <w:b/>
          <w:bCs/>
          <w:sz w:val="21"/>
          <w:szCs w:val="21"/>
        </w:rPr>
        <w:t>4.</w:t>
      </w:r>
      <w:r>
        <w:rPr>
          <w:rFonts w:hint="eastAsia" w:ascii="宋体" w:hAnsi="宋体" w:cs="宋体"/>
          <w:b/>
          <w:bCs/>
          <w:sz w:val="21"/>
          <w:szCs w:val="21"/>
          <w:lang w:val="en-US" w:eastAsia="zh-CN"/>
        </w:rPr>
        <w:t>2</w:t>
      </w:r>
      <w:r>
        <w:rPr>
          <w:rFonts w:hint="eastAsia" w:ascii="宋体" w:hAnsi="宋体" w:cs="宋体"/>
          <w:b/>
          <w:bCs/>
          <w:sz w:val="21"/>
          <w:szCs w:val="21"/>
        </w:rPr>
        <w:t>投标人一旦中标后，不得在中标后以不了解现场概况等任何理由增加任何费用，否则采购人有权取消该中标人资格。</w:t>
      </w:r>
    </w:p>
    <w:p w14:paraId="4F96C47C">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4.</w:t>
      </w:r>
      <w:r>
        <w:rPr>
          <w:rFonts w:hint="eastAsia" w:ascii="宋体" w:hAnsi="宋体" w:cs="宋体"/>
          <w:sz w:val="21"/>
          <w:szCs w:val="21"/>
          <w:lang w:val="en-US" w:eastAsia="zh-CN"/>
        </w:rPr>
        <w:t>3</w:t>
      </w:r>
      <w:r>
        <w:rPr>
          <w:rFonts w:hint="eastAsia" w:ascii="宋体" w:hAnsi="宋体" w:cs="宋体"/>
          <w:sz w:val="21"/>
          <w:szCs w:val="21"/>
          <w:lang w:eastAsia="zh-CN"/>
        </w:rPr>
        <w:t>采</w:t>
      </w:r>
      <w:r>
        <w:rPr>
          <w:rFonts w:hint="eastAsia" w:ascii="宋体" w:hAnsi="宋体" w:cs="宋体"/>
          <w:sz w:val="21"/>
          <w:szCs w:val="21"/>
        </w:rPr>
        <w:t>购单位不接受任何选择报价，投标单位只允许有一个有效报价。</w:t>
      </w:r>
    </w:p>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p w14:paraId="638ECD20">
      <w:pPr>
        <w:pStyle w:val="6"/>
        <w:spacing w:line="360" w:lineRule="auto"/>
        <w:ind w:left="0" w:firstLine="422" w:firstLineChars="200"/>
        <w:rPr>
          <w:rFonts w:hint="eastAsia" w:ascii="宋体" w:hAnsi="宋体" w:cs="宋体"/>
          <w:b/>
          <w:sz w:val="21"/>
          <w:szCs w:val="21"/>
        </w:rPr>
      </w:pPr>
      <w:bookmarkStart w:id="101" w:name="_Toc30436"/>
      <w:bookmarkStart w:id="102" w:name="_Toc245722281"/>
      <w:bookmarkStart w:id="103" w:name="_Toc262105503"/>
      <w:bookmarkStart w:id="104" w:name="_Toc221356951"/>
      <w:bookmarkStart w:id="105" w:name="_Toc249758864"/>
      <w:bookmarkStart w:id="106" w:name="_Toc239145354"/>
      <w:bookmarkStart w:id="107" w:name="_Toc223715998"/>
      <w:bookmarkStart w:id="108" w:name="_Toc245191314"/>
      <w:bookmarkStart w:id="109" w:name="_Toc241404202"/>
      <w:bookmarkStart w:id="110" w:name="_Toc249758712"/>
      <w:bookmarkStart w:id="111" w:name="_Toc262049418"/>
      <w:bookmarkStart w:id="112" w:name="_Toc222114879"/>
      <w:bookmarkStart w:id="113" w:name="_Toc221356887"/>
      <w:bookmarkStart w:id="114" w:name="_Toc410031816"/>
      <w:bookmarkStart w:id="115" w:name="_Toc221374626"/>
      <w:bookmarkStart w:id="116" w:name="_Toc221423619"/>
      <w:bookmarkStart w:id="117" w:name="_Toc246261265"/>
      <w:r>
        <w:rPr>
          <w:rFonts w:hint="eastAsia" w:ascii="宋体" w:hAnsi="宋体" w:cs="宋体"/>
          <w:b/>
          <w:sz w:val="21"/>
          <w:szCs w:val="21"/>
        </w:rPr>
        <w:t>5.投标文件的格式和顺序</w:t>
      </w:r>
    </w:p>
    <w:p w14:paraId="32C7E01C">
      <w:pPr>
        <w:snapToGrid w:val="0"/>
        <w:spacing w:line="360" w:lineRule="auto"/>
        <w:ind w:firstLine="422" w:firstLineChars="200"/>
        <w:outlineLvl w:val="1"/>
        <w:rPr>
          <w:rFonts w:hint="eastAsia" w:ascii="宋体" w:hAnsi="宋体" w:cs="宋体"/>
          <w:szCs w:val="21"/>
        </w:rPr>
      </w:pPr>
      <w:r>
        <w:rPr>
          <w:rFonts w:hint="eastAsia" w:ascii="宋体" w:hAnsi="宋体" w:cs="宋体"/>
          <w:b/>
          <w:szCs w:val="21"/>
        </w:rPr>
        <w:t>电子投标文件</w:t>
      </w:r>
      <w:r>
        <w:rPr>
          <w:rFonts w:hint="eastAsia" w:ascii="宋体" w:hAnsi="宋体" w:cs="宋体"/>
          <w:b/>
          <w:bCs/>
          <w:szCs w:val="21"/>
        </w:rPr>
        <w:t>按政采云平台“供应商-政府采购项目电子交易操作指南”</w:t>
      </w:r>
      <w:r>
        <w:rPr>
          <w:rFonts w:hint="eastAsia" w:ascii="宋体" w:hAnsi="宋体" w:cs="宋体"/>
          <w:b/>
          <w:bCs/>
          <w:szCs w:val="21"/>
        </w:rPr>
        <w:fldChar w:fldCharType="begin"/>
      </w:r>
      <w:r>
        <w:rPr>
          <w:rFonts w:hint="eastAsia" w:ascii="宋体" w:hAnsi="宋体" w:cs="宋体"/>
          <w:b/>
          <w:bCs/>
          <w:szCs w:val="21"/>
        </w:rPr>
        <w:instrText xml:space="preserve"> HYPERLINK "https://help.zcy.gov.cn/web/site_2/2018/12-28/2573.html）及本招标文件规定的格式和顺序编制电子投标文件并进行关联定位。" </w:instrText>
      </w:r>
      <w:r>
        <w:rPr>
          <w:rFonts w:hint="eastAsia" w:ascii="宋体" w:hAnsi="宋体" w:cs="宋体"/>
          <w:b/>
          <w:bCs/>
          <w:szCs w:val="21"/>
        </w:rPr>
        <w:fldChar w:fldCharType="separate"/>
      </w:r>
      <w:r>
        <w:rPr>
          <w:rStyle w:val="26"/>
          <w:rFonts w:hint="eastAsia" w:ascii="宋体" w:hAnsi="宋体" w:cs="宋体"/>
          <w:b/>
          <w:bCs/>
          <w:color w:val="auto"/>
          <w:sz w:val="21"/>
          <w:szCs w:val="21"/>
        </w:rPr>
        <w:t>及本公开招标文件规定的格式和顺序编制电子投标文件并进行关联定位。</w:t>
      </w:r>
      <w:r>
        <w:rPr>
          <w:rFonts w:hint="eastAsia" w:ascii="宋体" w:hAnsi="宋体" w:cs="宋体"/>
          <w:b/>
          <w:bCs/>
          <w:szCs w:val="21"/>
        </w:rPr>
        <w:fldChar w:fldCharType="end"/>
      </w:r>
    </w:p>
    <w:p w14:paraId="51926F20">
      <w:pPr>
        <w:pStyle w:val="4"/>
        <w:spacing w:before="0" w:after="0" w:line="500" w:lineRule="exact"/>
        <w:rPr>
          <w:rFonts w:hint="eastAsia" w:ascii="宋体" w:hAnsi="宋体" w:cs="宋体"/>
        </w:rPr>
      </w:pPr>
      <w:r>
        <w:rPr>
          <w:rFonts w:hint="eastAsia" w:ascii="宋体" w:hAnsi="宋体" w:cs="宋体"/>
        </w:rPr>
        <w:t>（四）投标文件的提交</w:t>
      </w:r>
      <w:bookmarkEnd w:id="101"/>
    </w:p>
    <w:p w14:paraId="55431BE4">
      <w:pPr>
        <w:pStyle w:val="6"/>
        <w:spacing w:line="500" w:lineRule="exact"/>
        <w:ind w:left="0" w:firstLine="422" w:firstLineChars="200"/>
        <w:rPr>
          <w:rFonts w:hint="eastAsia" w:ascii="宋体" w:hAnsi="宋体" w:cs="宋体"/>
          <w:b/>
          <w:sz w:val="21"/>
          <w:szCs w:val="21"/>
        </w:rPr>
      </w:pPr>
      <w:r>
        <w:rPr>
          <w:rFonts w:hint="eastAsia" w:ascii="宋体" w:hAnsi="宋体" w:cs="宋体"/>
          <w:b/>
          <w:sz w:val="21"/>
          <w:szCs w:val="21"/>
        </w:rPr>
        <w:t>1.投标文件的提交</w:t>
      </w:r>
    </w:p>
    <w:p w14:paraId="1ED4D8EA">
      <w:pPr>
        <w:widowControl/>
        <w:spacing w:line="360" w:lineRule="auto"/>
        <w:ind w:firstLine="413" w:firstLineChars="196"/>
        <w:rPr>
          <w:rStyle w:val="32"/>
          <w:rFonts w:hint="eastAsia" w:ascii="宋体" w:hAnsi="宋体" w:cs="宋体"/>
          <w:b/>
          <w:bCs/>
          <w:szCs w:val="21"/>
        </w:rPr>
      </w:pPr>
      <w:r>
        <w:rPr>
          <w:rStyle w:val="32"/>
          <w:rFonts w:hint="eastAsia" w:ascii="宋体" w:hAnsi="宋体" w:cs="宋体"/>
          <w:b/>
          <w:bCs/>
          <w:szCs w:val="21"/>
        </w:rPr>
        <w:t>1.投标文件</w:t>
      </w:r>
      <w:r>
        <w:rPr>
          <w:rFonts w:hint="eastAsia" w:ascii="宋体" w:hAnsi="宋体" w:cs="宋体"/>
          <w:b/>
          <w:szCs w:val="21"/>
        </w:rPr>
        <w:t>递交（上传）</w:t>
      </w:r>
    </w:p>
    <w:p w14:paraId="44F84462">
      <w:pPr>
        <w:widowControl/>
        <w:spacing w:line="360" w:lineRule="auto"/>
        <w:ind w:firstLine="420"/>
        <w:rPr>
          <w:rFonts w:hint="eastAsia" w:ascii="宋体" w:hAnsi="宋体" w:cs="宋体"/>
          <w:kern w:val="0"/>
          <w:szCs w:val="21"/>
        </w:rPr>
      </w:pPr>
      <w:r>
        <w:rPr>
          <w:rFonts w:hint="eastAsia" w:ascii="宋体" w:hAnsi="宋体" w:cs="宋体"/>
          <w:kern w:val="0"/>
          <w:szCs w:val="21"/>
        </w:rPr>
        <w:t>1.1</w:t>
      </w:r>
      <w:r>
        <w:rPr>
          <w:rFonts w:hint="eastAsia" w:ascii="宋体" w:hAnsi="宋体" w:cs="宋体"/>
          <w:b/>
          <w:bCs/>
          <w:kern w:val="0"/>
          <w:szCs w:val="21"/>
        </w:rPr>
        <w:t>电子加密投标文件：</w:t>
      </w:r>
      <w:r>
        <w:rPr>
          <w:rFonts w:hint="eastAsia" w:ascii="宋体" w:hAnsi="宋体" w:cs="宋体"/>
          <w:kern w:val="0"/>
          <w:szCs w:val="21"/>
        </w:rPr>
        <w:t>投标人应当于投标文件提交截止时间前</w:t>
      </w:r>
      <w:r>
        <w:rPr>
          <w:rFonts w:hint="eastAsia" w:ascii="宋体" w:hAnsi="宋体" w:cs="宋体"/>
          <w:szCs w:val="21"/>
        </w:rPr>
        <w:t>通过“政采云电子投标客户端”上传至政采云平台</w:t>
      </w:r>
      <w:r>
        <w:rPr>
          <w:rFonts w:hint="eastAsia" w:ascii="宋体" w:hAnsi="宋体" w:cs="宋体"/>
          <w:kern w:val="0"/>
          <w:szCs w:val="21"/>
        </w:rPr>
        <w:t>上</w:t>
      </w:r>
      <w:r>
        <w:rPr>
          <w:rFonts w:hint="eastAsia" w:ascii="宋体" w:hAnsi="宋体" w:cs="宋体"/>
          <w:b/>
          <w:bCs/>
          <w:kern w:val="0"/>
          <w:szCs w:val="21"/>
        </w:rPr>
        <w:t>。（逾期上传的投标文件将被拒收）</w:t>
      </w:r>
    </w:p>
    <w:p w14:paraId="58754C83">
      <w:pPr>
        <w:widowControl/>
        <w:wordWrap w:val="0"/>
        <w:spacing w:line="360" w:lineRule="auto"/>
        <w:ind w:firstLine="420"/>
        <w:rPr>
          <w:rFonts w:hint="eastAsia" w:ascii="宋体" w:hAnsi="宋体" w:cs="宋体"/>
          <w:b/>
          <w:bCs/>
          <w:lang w:val="zh-CN"/>
        </w:rPr>
      </w:pPr>
      <w:r>
        <w:rPr>
          <w:rFonts w:hint="eastAsia" w:ascii="宋体" w:hAnsi="宋体" w:cs="宋体"/>
          <w:kern w:val="0"/>
          <w:szCs w:val="21"/>
        </w:rPr>
        <w:t>1.2</w:t>
      </w:r>
      <w:r>
        <w:rPr>
          <w:rFonts w:hint="eastAsia" w:ascii="宋体" w:hAnsi="宋体" w:cs="宋体"/>
          <w:b/>
          <w:bCs/>
          <w:kern w:val="0"/>
          <w:szCs w:val="21"/>
        </w:rPr>
        <w:t>备份投标文件（非强制要求提供）</w:t>
      </w:r>
      <w:r>
        <w:rPr>
          <w:rFonts w:hint="eastAsia" w:ascii="宋体" w:hAnsi="宋体" w:cs="宋体"/>
          <w:kern w:val="0"/>
          <w:szCs w:val="21"/>
        </w:rPr>
        <w:t>：可在</w:t>
      </w:r>
      <w:r>
        <w:rPr>
          <w:rFonts w:hint="eastAsia" w:ascii="宋体" w:hAnsi="宋体" w:cs="宋体"/>
          <w:szCs w:val="21"/>
        </w:rPr>
        <w:fldChar w:fldCharType="begin"/>
      </w:r>
      <w:r>
        <w:rPr>
          <w:rFonts w:hint="eastAsia" w:ascii="宋体" w:hAnsi="宋体" w:cs="宋体"/>
          <w:szCs w:val="21"/>
        </w:rPr>
        <w:instrText xml:space="preserve"> HYPERLINK "mailto:按政采云平台项目采购-电子招投标操作指南制作备份投标文件（后缀名为.bfbs），在开标时间后15分钟内以电子邮件形式递交至采购代理机构邮箱（103874679@qq.com）。" </w:instrText>
      </w:r>
      <w:r>
        <w:rPr>
          <w:rFonts w:hint="eastAsia" w:ascii="宋体" w:hAnsi="宋体" w:cs="宋体"/>
          <w:szCs w:val="21"/>
        </w:rPr>
        <w:fldChar w:fldCharType="separate"/>
      </w:r>
      <w:r>
        <w:rPr>
          <w:rStyle w:val="26"/>
          <w:rFonts w:hint="eastAsia" w:ascii="宋体" w:hAnsi="宋体" w:cs="宋体"/>
          <w:color w:val="auto"/>
          <w:kern w:val="0"/>
          <w:sz w:val="21"/>
          <w:szCs w:val="21"/>
        </w:rPr>
        <w:t>投标文件提交截止时间前以加密的压缩文件形式（即将压缩文件设置为需要密码才能打开）发送至采购代理机构邮箱</w:t>
      </w:r>
      <w:r>
        <w:rPr>
          <w:rFonts w:hint="eastAsia" w:ascii="宋体" w:hAnsi="宋体" w:cs="宋体"/>
          <w:kern w:val="0"/>
          <w:szCs w:val="21"/>
        </w:rPr>
        <w:fldChar w:fldCharType="end"/>
      </w:r>
      <w:r>
        <w:rPr>
          <w:rFonts w:hint="eastAsia" w:ascii="宋体" w:hAnsi="宋体" w:cs="宋体"/>
          <w:kern w:val="0"/>
          <w:szCs w:val="21"/>
        </w:rPr>
        <w:t>，并在</w:t>
      </w:r>
      <w:r>
        <w:rPr>
          <w:rFonts w:hint="eastAsia" w:ascii="宋体" w:hAnsi="宋体" w:cs="宋体"/>
          <w:szCs w:val="21"/>
          <w:lang w:val="zh-CN"/>
        </w:rPr>
        <w:t>接到在线解密通知后</w:t>
      </w:r>
      <w:r>
        <w:rPr>
          <w:rFonts w:hint="eastAsia" w:ascii="宋体" w:hAnsi="宋体" w:cs="宋体"/>
          <w:szCs w:val="21"/>
        </w:rPr>
        <w:t>30分钟</w:t>
      </w:r>
      <w:r>
        <w:rPr>
          <w:rFonts w:hint="eastAsia" w:ascii="宋体" w:hAnsi="宋体" w:cs="宋体"/>
          <w:szCs w:val="21"/>
          <w:lang w:val="zh-CN"/>
        </w:rPr>
        <w:t>内发送压缩文件密码至</w:t>
      </w:r>
      <w:r>
        <w:rPr>
          <w:rStyle w:val="26"/>
          <w:rFonts w:hint="eastAsia" w:ascii="宋体" w:hAnsi="宋体" w:cs="宋体"/>
          <w:color w:val="auto"/>
          <w:kern w:val="0"/>
          <w:sz w:val="21"/>
          <w:szCs w:val="21"/>
        </w:rPr>
        <w:t>采购代理机构邮箱（邮箱号码：</w:t>
      </w:r>
      <w:r>
        <w:rPr>
          <w:rFonts w:hint="eastAsia" w:ascii="宋体" w:hAnsi="宋体" w:cs="宋体"/>
          <w:szCs w:val="21"/>
        </w:rPr>
        <w:fldChar w:fldCharType="begin"/>
      </w:r>
      <w:r>
        <w:rPr>
          <w:rFonts w:hint="eastAsia" w:ascii="宋体" w:hAnsi="宋体" w:cs="宋体"/>
          <w:szCs w:val="21"/>
        </w:rPr>
        <w:instrText xml:space="preserve"> HYPERLINK "mailto:103874679@qq.com）。" </w:instrText>
      </w:r>
      <w:r>
        <w:rPr>
          <w:rFonts w:hint="eastAsia" w:ascii="宋体" w:hAnsi="宋体" w:cs="宋体"/>
          <w:szCs w:val="21"/>
        </w:rPr>
        <w:fldChar w:fldCharType="separate"/>
      </w:r>
      <w:r>
        <w:rPr>
          <w:rStyle w:val="26"/>
          <w:rFonts w:hint="eastAsia" w:ascii="宋体" w:hAnsi="宋体" w:cs="宋体"/>
          <w:color w:val="auto"/>
          <w:sz w:val="21"/>
          <w:szCs w:val="21"/>
          <w:lang w:eastAsia="zh-CN"/>
        </w:rPr>
        <w:t>1360921946</w:t>
      </w:r>
      <w:r>
        <w:rPr>
          <w:rStyle w:val="26"/>
          <w:rFonts w:hint="eastAsia" w:ascii="宋体" w:hAnsi="宋体" w:cs="宋体"/>
          <w:color w:val="auto"/>
          <w:sz w:val="21"/>
          <w:szCs w:val="21"/>
        </w:rPr>
        <w:t>@qq.com）</w:t>
      </w:r>
      <w:r>
        <w:rPr>
          <w:rFonts w:hint="eastAsia" w:ascii="宋体" w:hAnsi="宋体" w:cs="宋体"/>
          <w:szCs w:val="21"/>
        </w:rPr>
        <w:fldChar w:fldCharType="end"/>
      </w:r>
      <w:r>
        <w:rPr>
          <w:rStyle w:val="26"/>
          <w:rFonts w:hint="eastAsia" w:ascii="宋体" w:hAnsi="宋体" w:cs="宋体"/>
          <w:color w:val="auto"/>
          <w:sz w:val="21"/>
          <w:szCs w:val="21"/>
          <w:lang w:val="zh-CN"/>
        </w:rPr>
        <w:t>。</w:t>
      </w:r>
      <w:r>
        <w:rPr>
          <w:rFonts w:hint="eastAsia" w:ascii="宋体" w:hAnsi="宋体" w:cs="宋体"/>
          <w:b/>
          <w:bCs/>
          <w:kern w:val="0"/>
          <w:szCs w:val="21"/>
        </w:rPr>
        <w:t>（逾期提交的备份投标文件将被拒收）</w:t>
      </w:r>
    </w:p>
    <w:p w14:paraId="360ACE57">
      <w:pPr>
        <w:widowControl/>
        <w:spacing w:line="360" w:lineRule="auto"/>
        <w:ind w:firstLine="420"/>
        <w:rPr>
          <w:rFonts w:hint="eastAsia" w:ascii="宋体" w:hAnsi="宋体" w:cs="宋体"/>
          <w:b/>
          <w:bCs/>
          <w:lang w:val="zh-CN"/>
        </w:rPr>
      </w:pPr>
      <w:r>
        <w:rPr>
          <w:rFonts w:hint="eastAsia" w:ascii="宋体" w:hAnsi="宋体" w:cs="宋体"/>
          <w:b/>
          <w:bCs/>
          <w:szCs w:val="21"/>
          <w:lang w:val="zh-CN"/>
        </w:rPr>
        <w:t>提示：①为确保采购项目顺利实施，投标人可以按照采购文件要求在投标文件提交截止时间前向采购代理机构</w:t>
      </w:r>
      <w:r>
        <w:rPr>
          <w:rFonts w:hint="eastAsia" w:ascii="宋体" w:hAnsi="宋体" w:cs="宋体"/>
          <w:b/>
          <w:bCs/>
          <w:szCs w:val="21"/>
        </w:rPr>
        <w:t>提交</w:t>
      </w:r>
      <w:r>
        <w:rPr>
          <w:rFonts w:hint="eastAsia" w:ascii="宋体" w:hAnsi="宋体" w:cs="宋体"/>
          <w:b/>
          <w:bCs/>
          <w:szCs w:val="21"/>
          <w:lang w:val="zh-CN"/>
        </w:rPr>
        <w:t>备份投标文件，但非强制性要求。如</w:t>
      </w:r>
      <w:r>
        <w:rPr>
          <w:rFonts w:hint="eastAsia" w:ascii="宋体" w:hAnsi="宋体" w:cs="宋体"/>
          <w:b/>
          <w:bCs/>
          <w:szCs w:val="21"/>
        </w:rPr>
        <w:t>在</w:t>
      </w:r>
      <w:r>
        <w:rPr>
          <w:rFonts w:hint="eastAsia" w:ascii="宋体" w:hAnsi="宋体" w:cs="宋体"/>
          <w:b/>
          <w:bCs/>
          <w:szCs w:val="21"/>
          <w:lang w:val="zh-CN"/>
        </w:rPr>
        <w:t>投标文件提交截止时间前</w:t>
      </w:r>
      <w:r>
        <w:rPr>
          <w:rFonts w:hint="eastAsia" w:ascii="宋体" w:hAnsi="宋体" w:cs="宋体"/>
          <w:b/>
          <w:bCs/>
          <w:szCs w:val="21"/>
        </w:rPr>
        <w:t>未提交</w:t>
      </w:r>
      <w:r>
        <w:rPr>
          <w:rFonts w:hint="eastAsia" w:ascii="宋体" w:hAnsi="宋体" w:cs="宋体"/>
          <w:b/>
          <w:bCs/>
          <w:szCs w:val="21"/>
          <w:lang w:val="zh-CN"/>
        </w:rPr>
        <w:t>备份投标文件，因遇电子加密投标文件解密失败等情况造成投标撤回或无效的，其后果由投标人自行承担。</w:t>
      </w:r>
    </w:p>
    <w:p w14:paraId="7E9CAAAC">
      <w:pPr>
        <w:spacing w:line="360" w:lineRule="auto"/>
        <w:ind w:firstLine="420"/>
        <w:rPr>
          <w:rFonts w:hint="eastAsia" w:ascii="宋体" w:hAnsi="宋体" w:cs="宋体"/>
          <w:b/>
          <w:bCs/>
          <w:szCs w:val="21"/>
          <w:lang w:val="zh-CN"/>
        </w:rPr>
      </w:pPr>
      <w:r>
        <w:rPr>
          <w:rFonts w:hint="eastAsia" w:ascii="宋体" w:hAnsi="宋体" w:cs="宋体"/>
          <w:b/>
          <w:bCs/>
          <w:szCs w:val="21"/>
        </w:rPr>
        <w:t>②</w:t>
      </w:r>
      <w:r>
        <w:rPr>
          <w:rFonts w:hint="eastAsia" w:ascii="宋体" w:hAnsi="宋体" w:cs="宋体"/>
          <w:b/>
          <w:bCs/>
          <w:szCs w:val="21"/>
          <w:lang w:val="zh-CN"/>
        </w:rPr>
        <w:t>本次采购活动采用电子交易，实行网上交易（非现场方式实施）。投标人代表无需到达现场，但应当准时在线参加开标，直至评审结束，并保证开标、评审过程中采购代理机构能够随时与其代表人取得联系。</w:t>
      </w:r>
    </w:p>
    <w:p w14:paraId="2F1E9E51">
      <w:pPr>
        <w:pStyle w:val="6"/>
        <w:spacing w:line="500" w:lineRule="exact"/>
        <w:ind w:left="0" w:firstLine="422" w:firstLineChars="200"/>
        <w:rPr>
          <w:rFonts w:hint="eastAsia" w:ascii="宋体" w:hAnsi="宋体" w:cs="宋体"/>
          <w:b/>
          <w:sz w:val="21"/>
          <w:szCs w:val="21"/>
        </w:rPr>
      </w:pPr>
      <w:r>
        <w:rPr>
          <w:rFonts w:hint="eastAsia" w:ascii="宋体" w:hAnsi="宋体" w:cs="宋体"/>
          <w:b/>
          <w:sz w:val="21"/>
          <w:szCs w:val="21"/>
        </w:rPr>
        <w:t>2.投标文件提交的截止时间</w:t>
      </w:r>
    </w:p>
    <w:p w14:paraId="4FF1DDD7">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2.1投标文件的截止时间见招标文件投标须知前附表第7项规定。</w:t>
      </w:r>
    </w:p>
    <w:p w14:paraId="37F7B535">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2.2招标采购单位可按本招标文件规定以修改补充通知的方式，综合延长提交投标文件的截止时间。在此情况下，投标人的所有权利和义务以及投标人受制约的截止时间，均以延长后新的投标截止时间为准。</w:t>
      </w:r>
    </w:p>
    <w:p w14:paraId="2ACB8D13">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2.3投标人在投标截止时间以后送达的投标文件将被拒绝接受。</w:t>
      </w:r>
    </w:p>
    <w:p w14:paraId="674B0365">
      <w:pPr>
        <w:pStyle w:val="6"/>
        <w:spacing w:line="500" w:lineRule="exact"/>
        <w:ind w:left="0" w:firstLine="422" w:firstLineChars="200"/>
        <w:rPr>
          <w:rFonts w:hint="eastAsia" w:ascii="宋体" w:hAnsi="宋体" w:cs="宋体"/>
          <w:b/>
          <w:sz w:val="21"/>
          <w:szCs w:val="21"/>
        </w:rPr>
      </w:pPr>
      <w:r>
        <w:rPr>
          <w:rFonts w:hint="eastAsia" w:ascii="宋体" w:hAnsi="宋体" w:cs="宋体"/>
          <w:b/>
          <w:sz w:val="21"/>
          <w:szCs w:val="21"/>
        </w:rPr>
        <w:t>3.投标文件的补充、修改与撤回</w:t>
      </w:r>
    </w:p>
    <w:p w14:paraId="40D6E0B1">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3.1投标人在提交投标文件以后，提交投标文件以后，在规定的投标截止时间之前，可以补充修改或撤回已提交的投标文件。</w:t>
      </w:r>
    </w:p>
    <w:p w14:paraId="47754210">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递交投标文件截止时间之前补充或者修改电子投标文件的，应当先行撤回原文件，补充、修改后重新传输递交。</w:t>
      </w:r>
    </w:p>
    <w:p w14:paraId="5B3DECF9">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3.2在投标截止时间之后，投标人不得补充、修改投标文件。</w:t>
      </w:r>
    </w:p>
    <w:p w14:paraId="7D7B91AB">
      <w:pPr>
        <w:spacing w:line="360" w:lineRule="auto"/>
        <w:ind w:firstLine="422" w:firstLineChars="200"/>
        <w:rPr>
          <w:rFonts w:hint="eastAsia" w:ascii="宋体" w:hAnsi="宋体" w:cs="宋体"/>
          <w:b/>
          <w:szCs w:val="21"/>
        </w:rPr>
      </w:pPr>
      <w:bookmarkStart w:id="118" w:name="_Toc5292"/>
      <w:r>
        <w:rPr>
          <w:rFonts w:hint="eastAsia" w:ascii="宋体" w:hAnsi="宋体" w:cs="宋体"/>
          <w:b/>
          <w:szCs w:val="21"/>
        </w:rPr>
        <w:t>4.电子加密</w:t>
      </w:r>
      <w:r>
        <w:rPr>
          <w:rStyle w:val="32"/>
          <w:rFonts w:hint="eastAsia" w:ascii="宋体" w:hAnsi="宋体" w:cs="宋体"/>
          <w:b/>
          <w:szCs w:val="21"/>
          <w:lang w:val="zh-CN"/>
        </w:rPr>
        <w:t>投标</w:t>
      </w:r>
      <w:r>
        <w:rPr>
          <w:rFonts w:hint="eastAsia" w:ascii="宋体" w:hAnsi="宋体" w:cs="宋体"/>
          <w:b/>
          <w:szCs w:val="21"/>
        </w:rPr>
        <w:t>文件的解密及异常情况处理</w:t>
      </w:r>
    </w:p>
    <w:p w14:paraId="7E7E7DC7">
      <w:pPr>
        <w:spacing w:line="360" w:lineRule="auto"/>
        <w:ind w:firstLine="420"/>
        <w:rPr>
          <w:rStyle w:val="32"/>
          <w:rFonts w:hint="eastAsia" w:ascii="宋体" w:hAnsi="宋体" w:cs="宋体"/>
          <w:szCs w:val="21"/>
        </w:rPr>
      </w:pPr>
      <w:r>
        <w:rPr>
          <w:rStyle w:val="32"/>
          <w:rFonts w:hint="eastAsia" w:ascii="宋体" w:hAnsi="宋体" w:cs="宋体"/>
          <w:szCs w:val="21"/>
        </w:rPr>
        <w:t>4.1开标后，采购组织机构将向各投标人发出“电子加密投标文件”的解密通知，各投标人代表应当在接到解密通知后30分钟内自行完成“电子加密投标文件”的在线解密。</w:t>
      </w:r>
    </w:p>
    <w:p w14:paraId="4A927DBA">
      <w:pPr>
        <w:spacing w:line="360" w:lineRule="auto"/>
        <w:ind w:firstLine="420"/>
        <w:rPr>
          <w:rStyle w:val="32"/>
          <w:rFonts w:hint="eastAsia" w:ascii="宋体" w:hAnsi="宋体" w:cs="宋体"/>
          <w:szCs w:val="21"/>
        </w:rPr>
      </w:pPr>
      <w:r>
        <w:rPr>
          <w:rStyle w:val="32"/>
          <w:rFonts w:hint="eastAsia" w:ascii="宋体" w:hAnsi="宋体" w:cs="宋体"/>
          <w:szCs w:val="21"/>
        </w:rPr>
        <w:t>4.2因网络或者其他问题造成电子加密投标文件在规定时间内</w:t>
      </w:r>
      <w:r>
        <w:rPr>
          <w:rFonts w:hint="eastAsia" w:ascii="宋体" w:hAnsi="宋体" w:cs="宋体"/>
          <w:szCs w:val="21"/>
        </w:rPr>
        <w:t>无法按时解密的</w:t>
      </w:r>
      <w:r>
        <w:rPr>
          <w:rStyle w:val="32"/>
          <w:rFonts w:hint="eastAsia" w:ascii="宋体" w:hAnsi="宋体" w:cs="宋体"/>
          <w:szCs w:val="21"/>
        </w:rPr>
        <w:t>，投标人在投标文件提交截止时间前提交了备份投标文件的，将由采购代理机构按“政府采购云平台”操作规范将备份投标文件上传至“政府采购云平台”，</w:t>
      </w:r>
      <w:r>
        <w:rPr>
          <w:rFonts w:hint="eastAsia" w:ascii="宋体" w:hAnsi="宋体" w:cs="宋体"/>
          <w:szCs w:val="21"/>
        </w:rPr>
        <w:t>进行本地解密</w:t>
      </w:r>
      <w:r>
        <w:rPr>
          <w:rStyle w:val="32"/>
          <w:rFonts w:hint="eastAsia" w:ascii="宋体" w:hAnsi="宋体" w:cs="宋体"/>
          <w:szCs w:val="21"/>
        </w:rPr>
        <w:t>。</w:t>
      </w:r>
      <w:r>
        <w:rPr>
          <w:rFonts w:hint="eastAsia" w:ascii="宋体" w:hAnsi="宋体" w:cs="宋体"/>
          <w:szCs w:val="21"/>
        </w:rPr>
        <w:t>上传成功后，“电子加密投标文件”自动失效。</w:t>
      </w:r>
    </w:p>
    <w:p w14:paraId="3367CF37">
      <w:pPr>
        <w:spacing w:line="360" w:lineRule="auto"/>
        <w:ind w:firstLine="420"/>
        <w:rPr>
          <w:rFonts w:hint="eastAsia" w:ascii="宋体" w:hAnsi="宋体" w:cs="宋体"/>
          <w:szCs w:val="21"/>
        </w:rPr>
      </w:pPr>
      <w:r>
        <w:rPr>
          <w:rStyle w:val="32"/>
          <w:rFonts w:hint="eastAsia" w:ascii="宋体" w:hAnsi="宋体" w:cs="宋体"/>
          <w:szCs w:val="21"/>
        </w:rPr>
        <w:t>4.3投标人未按时解密</w:t>
      </w:r>
      <w:r>
        <w:rPr>
          <w:rFonts w:hint="eastAsia" w:ascii="宋体" w:hAnsi="宋体" w:cs="宋体"/>
          <w:szCs w:val="21"/>
        </w:rPr>
        <w:t>且未在</w:t>
      </w:r>
      <w:r>
        <w:rPr>
          <w:rStyle w:val="32"/>
          <w:rFonts w:hint="eastAsia" w:ascii="宋体" w:hAnsi="宋体" w:cs="宋体"/>
          <w:szCs w:val="21"/>
        </w:rPr>
        <w:t>投标文件提交截止时间前</w:t>
      </w:r>
      <w:r>
        <w:rPr>
          <w:rFonts w:hint="eastAsia" w:ascii="宋体" w:hAnsi="宋体" w:cs="宋体"/>
          <w:szCs w:val="21"/>
        </w:rPr>
        <w:t>提交备份投标文件的</w:t>
      </w:r>
      <w:r>
        <w:rPr>
          <w:rStyle w:val="32"/>
          <w:rFonts w:hint="eastAsia" w:ascii="宋体" w:hAnsi="宋体" w:cs="宋体"/>
          <w:szCs w:val="21"/>
        </w:rPr>
        <w:t>，视为投标文件撤回。</w:t>
      </w:r>
    </w:p>
    <w:p w14:paraId="1A0300DE">
      <w:pPr>
        <w:pStyle w:val="4"/>
        <w:spacing w:before="0" w:after="0" w:line="500" w:lineRule="exact"/>
        <w:rPr>
          <w:rFonts w:hint="eastAsia" w:ascii="宋体" w:hAnsi="宋体" w:cs="宋体"/>
        </w:rPr>
      </w:pPr>
      <w:r>
        <w:rPr>
          <w:rFonts w:hint="eastAsia" w:ascii="宋体" w:hAnsi="宋体" w:cs="宋体"/>
        </w:rPr>
        <w:t>（五）投标有效期</w:t>
      </w:r>
      <w:bookmarkEnd w:id="118"/>
    </w:p>
    <w:p w14:paraId="1333C404">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1.投标文件有效期为自投标截止日起算90日历天，有效期不足的投标文件将按无效投标处理。</w:t>
      </w:r>
    </w:p>
    <w:p w14:paraId="0C2B697B">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2.在特殊情况下，招标人可与投标人协商延长投标书的有效期，这种要求和答复均以书面形式进行。</w:t>
      </w:r>
    </w:p>
    <w:p w14:paraId="42DC097D">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3.中标人的投标文件自开标之日起到项目履行完毕止均应保持有效。</w:t>
      </w:r>
    </w:p>
    <w:p w14:paraId="713ECDCA">
      <w:pPr>
        <w:pStyle w:val="4"/>
        <w:spacing w:before="0" w:after="0" w:line="500" w:lineRule="exact"/>
        <w:rPr>
          <w:rFonts w:hint="eastAsia" w:ascii="宋体" w:hAnsi="宋体" w:cs="宋体"/>
        </w:rPr>
      </w:pPr>
      <w:bookmarkStart w:id="119" w:name="_Toc23008"/>
      <w:bookmarkStart w:id="120" w:name="_Toc16722"/>
      <w:r>
        <w:rPr>
          <w:rFonts w:hint="eastAsia" w:ascii="宋体" w:hAnsi="宋体" w:cs="宋体"/>
        </w:rPr>
        <w:t>（六）投标保证金</w:t>
      </w:r>
      <w:bookmarkEnd w:id="119"/>
    </w:p>
    <w:p w14:paraId="08D10D36">
      <w:pPr>
        <w:snapToGrid w:val="0"/>
        <w:spacing w:line="500" w:lineRule="exact"/>
        <w:ind w:firstLine="420" w:firstLineChars="200"/>
        <w:rPr>
          <w:rFonts w:hint="eastAsia" w:ascii="宋体" w:hAnsi="宋体" w:cs="宋体"/>
          <w:bCs/>
          <w:color w:val="000000" w:themeColor="text1"/>
          <w:szCs w:val="21"/>
          <w14:textFill>
            <w14:solidFill>
              <w14:schemeClr w14:val="tx1"/>
            </w14:solidFill>
          </w14:textFill>
        </w:rPr>
      </w:pPr>
      <w:r>
        <w:rPr>
          <w:rFonts w:hint="eastAsia" w:ascii="宋体" w:hAnsi="宋体" w:cs="宋体"/>
          <w:bCs/>
          <w:szCs w:val="21"/>
        </w:rPr>
        <w:t>1.根据《浙江省财政厅关于明确政府采购保证金管理工作的通知》（浙财采监〔2019〕5号）规定</w:t>
      </w:r>
      <w:r>
        <w:rPr>
          <w:rFonts w:hint="eastAsia" w:ascii="宋体" w:hAnsi="宋体" w:cs="宋体"/>
          <w:bCs/>
          <w:color w:val="000000" w:themeColor="text1"/>
          <w:szCs w:val="21"/>
          <w14:textFill>
            <w14:solidFill>
              <w14:schemeClr w14:val="tx1"/>
            </w14:solidFill>
          </w14:textFill>
        </w:rPr>
        <w:t>，本项目无需缴纳投标保证金。</w:t>
      </w:r>
    </w:p>
    <w:p w14:paraId="39BA037B">
      <w:pPr>
        <w:snapToGrid w:val="0"/>
        <w:spacing w:line="500" w:lineRule="exact"/>
        <w:ind w:firstLine="420" w:firstLineChars="200"/>
        <w:rPr>
          <w:rFonts w:hint="eastAsia" w:ascii="宋体" w:hAnsi="宋体" w:cs="宋体"/>
          <w:bCs/>
          <w:szCs w:val="21"/>
        </w:rPr>
      </w:pPr>
      <w:r>
        <w:rPr>
          <w:rFonts w:hint="eastAsia" w:ascii="宋体" w:hAnsi="宋体" w:cs="宋体"/>
          <w:bCs/>
          <w:szCs w:val="21"/>
        </w:rPr>
        <w:t>2.投标人在投标有效期内撤回投标文件或者中标人在法定期限内无正当理由不与采购单位签订合同的，应当按照本项目采购预算价2%的标准承担因此给采购单位造成的损失的赔偿责任及相应的法律责任。</w:t>
      </w:r>
    </w:p>
    <w:p w14:paraId="4E4D4B20">
      <w:pPr>
        <w:pStyle w:val="4"/>
        <w:spacing w:before="0" w:after="0" w:line="500" w:lineRule="exact"/>
        <w:rPr>
          <w:rFonts w:hint="eastAsia" w:ascii="宋体" w:hAnsi="宋体" w:cs="宋体"/>
        </w:rPr>
      </w:pPr>
      <w:r>
        <w:rPr>
          <w:rFonts w:hint="eastAsia" w:ascii="宋体" w:hAnsi="宋体" w:cs="宋体"/>
        </w:rPr>
        <w:t>（七）无效标条款</w:t>
      </w:r>
      <w:bookmarkEnd w:id="120"/>
    </w:p>
    <w:p w14:paraId="626F4EC6">
      <w:pPr>
        <w:pStyle w:val="6"/>
        <w:spacing w:line="500" w:lineRule="exact"/>
        <w:ind w:left="0" w:firstLine="420" w:firstLineChars="200"/>
        <w:rPr>
          <w:rFonts w:hint="eastAsia" w:ascii="宋体" w:hAnsi="宋体" w:eastAsia="宋体" w:cs="宋体"/>
          <w:sz w:val="21"/>
          <w:szCs w:val="21"/>
        </w:rPr>
      </w:pPr>
      <w:r>
        <w:rPr>
          <w:rFonts w:hint="eastAsia" w:ascii="宋体" w:hAnsi="宋体" w:eastAsia="宋体" w:cs="宋体"/>
          <w:sz w:val="21"/>
          <w:szCs w:val="21"/>
        </w:rPr>
        <w:t>1.开标时，如出现以下情况之一的，则投标文件不予启封或唱标，即使已启封或唱标的，其投标文件仍然无效：</w:t>
      </w:r>
    </w:p>
    <w:p w14:paraId="1BF72156">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（1）投标文件未按招标文件要求签署、签章的；</w:t>
      </w:r>
    </w:p>
    <w:p w14:paraId="39F5824D">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（2）不具备招标文件中规定的资格要求的；</w:t>
      </w:r>
    </w:p>
    <w:p w14:paraId="706F56B5">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（3）报价超过招标文件中规定的预算金额或者最高限价的；</w:t>
      </w:r>
    </w:p>
    <w:p w14:paraId="479D4D59">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（4）投标文件含有采购单位不能接受的附加条件的；</w:t>
      </w:r>
    </w:p>
    <w:p w14:paraId="5481233D">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（5）法律、法规和招标文件规定的其他无效情形；</w:t>
      </w:r>
    </w:p>
    <w:p w14:paraId="4DC7A620">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（6）投标文件明显不符合采购文件要求的或者与采购文件标注“▲”的条款发生实质性负偏离的。</w:t>
      </w:r>
    </w:p>
    <w:p w14:paraId="17EC6854">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（7）响应文件解密失败的。</w:t>
      </w:r>
    </w:p>
    <w:p w14:paraId="0A19A7AB">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w:t>
      </w:r>
      <w:r>
        <w:rPr>
          <w:rFonts w:hint="eastAsia" w:ascii="宋体" w:hAnsi="宋体" w:cs="宋体"/>
          <w:kern w:val="2"/>
          <w:sz w:val="21"/>
          <w:szCs w:val="21"/>
          <w:lang w:val="en-US" w:eastAsia="zh-CN" w:bidi="ar-SA"/>
        </w:rPr>
        <w:t>.</w:t>
      </w:r>
      <w:r>
        <w:rPr>
          <w:rFonts w:hint="eastAsia" w:ascii="宋体" w:hAnsi="宋体" w:eastAsia="宋体" w:cs="宋体"/>
          <w:kern w:val="2"/>
          <w:sz w:val="21"/>
          <w:szCs w:val="21"/>
          <w:lang w:val="en-US" w:eastAsia="zh-CN" w:bidi="ar-SA"/>
        </w:rPr>
        <w:t>有下列情形之一的，视为投标人串通投标，其投标无效：</w:t>
      </w:r>
    </w:p>
    <w:p w14:paraId="4871D7DB">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（1）不同投标人的投标文件由同一单位或者个人编制；</w:t>
      </w:r>
    </w:p>
    <w:p w14:paraId="4E76FC00">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（2）不同投标人委托同一单位或者个人办理投标事宜；</w:t>
      </w:r>
    </w:p>
    <w:p w14:paraId="2F46617B">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（3）不同投标人的投标文件载明的项目管理成员或者联系人员为同一人；</w:t>
      </w:r>
    </w:p>
    <w:p w14:paraId="6D948562">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（4）不同投标人的投标文件异常一致或者投标报价呈规律性差异；</w:t>
      </w:r>
    </w:p>
    <w:p w14:paraId="641705EF">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（5）不同投标人的投标文件相互混装；</w:t>
      </w:r>
    </w:p>
    <w:p w14:paraId="52401C23">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（6）不同投标人的电子投标(响应)文件上传计算机的网卡MAC地址或硬盘序列号等硬件信息相同的；</w:t>
      </w:r>
    </w:p>
    <w:p w14:paraId="252C917B">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（7）上传的电子投标(响应)文件若出现使用本项目其他投标(响应)投标人的数字证书加密的，或者加盖本项目其他投标(响应)投标人的电子印章的；</w:t>
      </w:r>
    </w:p>
    <w:p w14:paraId="56EFD0E9">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（8）不同投标人的投标(响应)文件的内容存在3处(含)以上错误一致的；</w:t>
      </w:r>
    </w:p>
    <w:p w14:paraId="32761D4C">
      <w:pPr>
        <w:widowControl/>
        <w:overflowPunct w:val="0"/>
        <w:autoSpaceDE w:val="0"/>
        <w:autoSpaceDN w:val="0"/>
        <w:adjustRightInd w:val="0"/>
        <w:snapToGrid w:val="0"/>
        <w:spacing w:line="360" w:lineRule="auto"/>
        <w:ind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（9）不同投标人联系人为同一人或不同联系人的联系电话一致的。</w:t>
      </w:r>
    </w:p>
    <w:p w14:paraId="7602C81C">
      <w:pPr>
        <w:pStyle w:val="6"/>
        <w:spacing w:line="500" w:lineRule="exact"/>
        <w:ind w:left="0"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3B92384B">
      <w:pPr>
        <w:snapToGrid w:val="0"/>
        <w:spacing w:line="500" w:lineRule="exact"/>
        <w:ind w:firstLine="422" w:firstLineChars="200"/>
        <w:rPr>
          <w:rFonts w:hint="eastAsia" w:ascii="宋体" w:hAnsi="宋体" w:cs="宋体"/>
          <w:b/>
          <w:szCs w:val="21"/>
        </w:rPr>
      </w:pPr>
      <w:r>
        <w:rPr>
          <w:rFonts w:hint="eastAsia" w:ascii="宋体" w:hAnsi="宋体" w:cs="宋体"/>
          <w:b/>
          <w:szCs w:val="21"/>
          <w:lang w:val="en-US" w:eastAsia="zh-CN"/>
        </w:rPr>
        <w:t>4</w:t>
      </w:r>
      <w:r>
        <w:rPr>
          <w:rFonts w:hint="eastAsia" w:ascii="宋体" w:hAnsi="宋体" w:cs="宋体"/>
          <w:b/>
          <w:szCs w:val="21"/>
        </w:rPr>
        <w:t>.废标的情形</w:t>
      </w:r>
    </w:p>
    <w:p w14:paraId="5901791D">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lang w:val="en-US" w:eastAsia="zh-CN"/>
        </w:rPr>
        <w:t>4</w:t>
      </w:r>
      <w:r>
        <w:rPr>
          <w:rFonts w:hint="eastAsia" w:ascii="宋体" w:hAnsi="宋体" w:cs="宋体"/>
          <w:sz w:val="21"/>
          <w:szCs w:val="21"/>
        </w:rPr>
        <w:t>.1采购中，出现下列情形之一的，应予废标：</w:t>
      </w:r>
    </w:p>
    <w:p w14:paraId="585D31C5">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lang w:val="en-US" w:eastAsia="zh-CN"/>
        </w:rPr>
        <w:t>4</w:t>
      </w:r>
      <w:r>
        <w:rPr>
          <w:rFonts w:hint="eastAsia" w:ascii="宋体" w:hAnsi="宋体" w:cs="宋体"/>
          <w:sz w:val="21"/>
          <w:szCs w:val="21"/>
        </w:rPr>
        <w:t>.1.1符合专业条件的投标人或对招标文件作实质性响应的投标人不足三家的（如符合浙财采监字[2007]2号文第7条规定条件的，可以按原采购方式继续组织采购）；</w:t>
      </w:r>
    </w:p>
    <w:p w14:paraId="760BB13F">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lang w:val="en-US" w:eastAsia="zh-CN"/>
        </w:rPr>
        <w:t>4</w:t>
      </w:r>
      <w:r>
        <w:rPr>
          <w:rFonts w:hint="eastAsia" w:ascii="宋体" w:hAnsi="宋体" w:cs="宋体"/>
          <w:sz w:val="21"/>
          <w:szCs w:val="21"/>
        </w:rPr>
        <w:t>.1.2出现影响采购公证的违法、违规行为的；</w:t>
      </w:r>
    </w:p>
    <w:p w14:paraId="400D67A4">
      <w:pPr>
        <w:pStyle w:val="6"/>
        <w:spacing w:line="500" w:lineRule="exact"/>
        <w:ind w:left="0" w:firstLine="420" w:firstLineChars="200"/>
        <w:rPr>
          <w:rFonts w:hint="eastAsia" w:ascii="宋体" w:hAnsi="宋体" w:eastAsia="宋体" w:cs="宋体"/>
          <w:sz w:val="21"/>
          <w:szCs w:val="21"/>
          <w:lang w:val="en-US" w:eastAsia="zh-CN"/>
        </w:rPr>
      </w:pPr>
      <w:r>
        <w:rPr>
          <w:rFonts w:hint="eastAsia" w:ascii="宋体" w:hAnsi="宋体" w:cs="宋体"/>
          <w:sz w:val="21"/>
          <w:szCs w:val="21"/>
          <w:lang w:val="en-US" w:eastAsia="zh-CN"/>
        </w:rPr>
        <w:t>4</w:t>
      </w:r>
      <w:r>
        <w:rPr>
          <w:rFonts w:hint="eastAsia" w:ascii="宋体" w:hAnsi="宋体" w:cs="宋体"/>
          <w:sz w:val="21"/>
          <w:szCs w:val="21"/>
        </w:rPr>
        <w:t>.1.3投标人的报价均超过了采购预算，采购人不能支付的；</w:t>
      </w:r>
      <w:r>
        <w:rPr>
          <w:rFonts w:hint="eastAsia" w:ascii="宋体" w:hAnsi="宋体" w:cs="宋体"/>
          <w:sz w:val="21"/>
          <w:szCs w:val="21"/>
          <w:lang w:val="en-US" w:eastAsia="zh-CN"/>
        </w:rPr>
        <w:t xml:space="preserve"> </w:t>
      </w:r>
    </w:p>
    <w:p w14:paraId="3F66492A">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lang w:val="en-US" w:eastAsia="zh-CN"/>
        </w:rPr>
        <w:t>4</w:t>
      </w:r>
      <w:r>
        <w:rPr>
          <w:rFonts w:hint="eastAsia" w:ascii="宋体" w:hAnsi="宋体" w:cs="宋体"/>
          <w:sz w:val="21"/>
          <w:szCs w:val="21"/>
        </w:rPr>
        <w:t>.1.4因重大变故，采购任务取消的；</w:t>
      </w:r>
    </w:p>
    <w:p w14:paraId="427B6B29">
      <w:pPr>
        <w:pStyle w:val="34"/>
        <w:spacing w:line="440" w:lineRule="exact"/>
        <w:ind w:firstLine="421"/>
        <w:rPr>
          <w:rFonts w:hint="eastAsia"/>
        </w:rPr>
      </w:pPr>
      <w:r>
        <w:rPr>
          <w:rFonts w:hint="eastAsia" w:ascii="宋体" w:hAnsi="宋体"/>
          <w:b/>
          <w:szCs w:val="21"/>
          <w:lang w:val="en-US" w:eastAsia="zh-CN"/>
        </w:rPr>
        <w:t>4.2</w:t>
      </w:r>
      <w:r>
        <w:rPr>
          <w:rFonts w:hint="eastAsia" w:ascii="宋体" w:hAnsi="宋体"/>
          <w:b/>
          <w:szCs w:val="21"/>
        </w:rPr>
        <w:t xml:space="preserve"> 废标后，废标理由将在原招标公告发布媒体上公告通知所有投标人。</w:t>
      </w:r>
    </w:p>
    <w:p w14:paraId="4E549466">
      <w:pPr>
        <w:pStyle w:val="4"/>
        <w:spacing w:before="0" w:after="0" w:line="500" w:lineRule="exact"/>
        <w:rPr>
          <w:rFonts w:hint="eastAsia" w:ascii="宋体" w:hAnsi="宋体" w:cs="宋体"/>
        </w:rPr>
      </w:pPr>
      <w:bookmarkStart w:id="121" w:name="_Toc26100"/>
      <w:r>
        <w:rPr>
          <w:rFonts w:hint="eastAsia" w:ascii="宋体" w:hAnsi="宋体" w:cs="宋体"/>
        </w:rPr>
        <w:t>（八）开标</w:t>
      </w:r>
      <w:bookmarkEnd w:id="121"/>
    </w:p>
    <w:p w14:paraId="307F7B4E">
      <w:pPr>
        <w:spacing w:line="360" w:lineRule="auto"/>
        <w:ind w:firstLine="422" w:firstLineChars="200"/>
        <w:jc w:val="left"/>
        <w:rPr>
          <w:rFonts w:hint="eastAsia" w:ascii="宋体" w:hAnsi="宋体" w:cs="宋体"/>
          <w:b/>
          <w:szCs w:val="21"/>
        </w:rPr>
      </w:pPr>
      <w:bookmarkStart w:id="122" w:name="_Toc9915"/>
      <w:r>
        <w:rPr>
          <w:rFonts w:hint="eastAsia" w:ascii="宋体" w:hAnsi="宋体" w:cs="宋体"/>
          <w:b/>
          <w:szCs w:val="21"/>
        </w:rPr>
        <w:t>开标准备</w:t>
      </w:r>
    </w:p>
    <w:p w14:paraId="54325BF2">
      <w:pPr>
        <w:pStyle w:val="6"/>
        <w:spacing w:line="500" w:lineRule="exact"/>
        <w:ind w:left="0" w:firstLine="420" w:firstLineChars="200"/>
        <w:rPr>
          <w:rFonts w:hint="eastAsia" w:ascii="宋体" w:hAnsi="宋体" w:cs="宋体"/>
          <w:sz w:val="21"/>
          <w:szCs w:val="21"/>
          <w:lang w:val="zh-CN"/>
        </w:rPr>
      </w:pPr>
      <w:r>
        <w:rPr>
          <w:rFonts w:hint="eastAsia" w:ascii="宋体" w:hAnsi="宋体" w:cs="宋体"/>
          <w:sz w:val="21"/>
          <w:szCs w:val="21"/>
          <w:lang w:val="zh-CN"/>
        </w:rPr>
        <w:t>投标人须在开标时间前准备好电脑与制作本项目电子加密投标文件</w:t>
      </w:r>
      <w:r>
        <w:rPr>
          <w:rFonts w:hint="eastAsia" w:ascii="宋体" w:hAnsi="宋体" w:cs="宋体"/>
          <w:sz w:val="21"/>
          <w:szCs w:val="21"/>
        </w:rPr>
        <w:t>的</w:t>
      </w:r>
      <w:r>
        <w:rPr>
          <w:rFonts w:hint="eastAsia" w:ascii="宋体" w:hAnsi="宋体" w:cs="宋体"/>
          <w:sz w:val="21"/>
          <w:szCs w:val="21"/>
          <w:lang w:val="zh-CN"/>
        </w:rPr>
        <w:t>CA锁，并打开“政采云电子投标客户端”软件，等待解密通知。</w:t>
      </w:r>
    </w:p>
    <w:p w14:paraId="7A43C250">
      <w:pPr>
        <w:pStyle w:val="6"/>
        <w:spacing w:line="500" w:lineRule="exact"/>
        <w:ind w:left="0" w:firstLine="422" w:firstLineChars="200"/>
        <w:rPr>
          <w:rFonts w:hint="eastAsia" w:ascii="宋体" w:hAnsi="宋体" w:cs="宋体"/>
          <w:b/>
          <w:bCs/>
          <w:sz w:val="21"/>
          <w:szCs w:val="21"/>
        </w:rPr>
      </w:pPr>
      <w:r>
        <w:rPr>
          <w:rFonts w:hint="eastAsia" w:ascii="宋体" w:hAnsi="宋体" w:cs="宋体"/>
          <w:b/>
          <w:bCs/>
          <w:sz w:val="21"/>
          <w:szCs w:val="21"/>
        </w:rPr>
        <w:t>开标程序</w:t>
      </w:r>
    </w:p>
    <w:p w14:paraId="75BFDCAC">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1）向各供应商发出电子加密投标文件【开始解密】通知，由供应商在采购文件规定的时间内自行对投标文件进行解密。在规定的时间内无法完成“电子加密投标文件”解密，如已按规定递交了备份投标文件的，将由采购组织机构按“政府采购云平台”操作规范将备份投标文件上传至“政府采购云平台”，上传成功后，“电子加密投标文件”自动失效；</w:t>
      </w:r>
    </w:p>
    <w:p w14:paraId="41239BB5">
      <w:pPr>
        <w:pStyle w:val="6"/>
        <w:spacing w:line="500" w:lineRule="exact"/>
        <w:ind w:left="0" w:firstLine="422" w:firstLineChars="200"/>
        <w:rPr>
          <w:rFonts w:hint="eastAsia" w:ascii="宋体" w:hAnsi="宋体" w:cs="宋体"/>
          <w:b/>
          <w:bCs/>
          <w:sz w:val="21"/>
          <w:szCs w:val="21"/>
        </w:rPr>
      </w:pPr>
      <w:r>
        <w:rPr>
          <w:rFonts w:hint="eastAsia" w:ascii="宋体" w:hAnsi="宋体" w:cs="宋体"/>
          <w:b/>
          <w:bCs/>
          <w:sz w:val="21"/>
          <w:szCs w:val="21"/>
        </w:rPr>
        <w:t>（2）投标文件解密结束，各供应商签署《政府采购活动现场确认声明书》后通过邮件形式发送给代理机构的邮箱：</w:t>
      </w:r>
      <w:r>
        <w:rPr>
          <w:rFonts w:hint="eastAsia" w:ascii="宋体" w:hAnsi="宋体" w:cs="宋体"/>
          <w:b/>
          <w:bCs/>
          <w:sz w:val="21"/>
          <w:szCs w:val="21"/>
        </w:rPr>
        <w:fldChar w:fldCharType="begin"/>
      </w:r>
      <w:r>
        <w:rPr>
          <w:rFonts w:hint="eastAsia" w:ascii="宋体" w:hAnsi="宋体" w:cs="宋体"/>
          <w:b/>
          <w:bCs/>
          <w:sz w:val="21"/>
          <w:szCs w:val="21"/>
        </w:rPr>
        <w:instrText xml:space="preserve"> HYPERLINK "mailto:617535062@qq.com；" </w:instrText>
      </w:r>
      <w:r>
        <w:rPr>
          <w:rFonts w:hint="eastAsia" w:ascii="宋体" w:hAnsi="宋体" w:cs="宋体"/>
          <w:b/>
          <w:bCs/>
          <w:sz w:val="21"/>
          <w:szCs w:val="21"/>
        </w:rPr>
        <w:fldChar w:fldCharType="separate"/>
      </w:r>
      <w:r>
        <w:rPr>
          <w:rFonts w:hint="eastAsia" w:ascii="宋体" w:hAnsi="宋体" w:cs="宋体"/>
          <w:b/>
          <w:bCs/>
          <w:sz w:val="21"/>
          <w:szCs w:val="21"/>
          <w:lang w:eastAsia="zh-CN"/>
        </w:rPr>
        <w:t>1360921946</w:t>
      </w:r>
      <w:r>
        <w:rPr>
          <w:rFonts w:hint="eastAsia" w:ascii="宋体" w:hAnsi="宋体" w:cs="宋体"/>
          <w:b/>
          <w:bCs/>
          <w:sz w:val="21"/>
          <w:szCs w:val="21"/>
        </w:rPr>
        <w:t>@qq.com；</w:t>
      </w:r>
      <w:r>
        <w:rPr>
          <w:rFonts w:hint="eastAsia" w:ascii="宋体" w:hAnsi="宋体" w:cs="宋体"/>
          <w:b/>
          <w:bCs/>
          <w:sz w:val="21"/>
          <w:szCs w:val="21"/>
        </w:rPr>
        <w:fldChar w:fldCharType="end"/>
      </w:r>
    </w:p>
    <w:p w14:paraId="7733E1EF">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3）由采购人代表评审资格审查文件，若资格审查不符合招标采购文件要求，系统上告知其原因并由供应商签章确认。系统上公开投标人资格审查结果，资格审查未获通过的投标人，其商务技术文件及报价文件不进入评审阶段。</w:t>
      </w:r>
    </w:p>
    <w:p w14:paraId="57DF4757">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4）评标委员会对商务技术文件进行评审，评审内容包括符合性审查，技术、商务评估及比较等。商务技术文件符合性审查通过的供应商，进入技术资信评分环节。符合性审查不通过的，系统告知其原因并由供应商签章确认，其商务技术文件及报价文件不再进入评审阶段。</w:t>
      </w:r>
    </w:p>
    <w:p w14:paraId="01C2DF1D">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（5）在系统上公开技术商务评审结果，同时提醒投标人，如对技术资信部分评分结果有异议的，应当场提出；相关异议（如有）将由评标委员会作澄清；</w:t>
      </w:r>
    </w:p>
    <w:p w14:paraId="7A3FDBC7">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（6）在系统上公开报价开标情况，评标委员会对报价情况进行评审；</w:t>
      </w:r>
    </w:p>
    <w:p w14:paraId="4050ECEF">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（7）在系统上公布评审结果。</w:t>
      </w:r>
    </w:p>
    <w:p w14:paraId="426FB442">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（8）评标委员会编写并签署评标报告，评标报告应当根据综合得分由高到低列明供应商排名情况，并推荐综合得分排名第一的供应商为中标候选人；</w:t>
      </w:r>
    </w:p>
    <w:p w14:paraId="1D3A47AB">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（9）采购代理机构公布最终评审结果并出具开标记录，由主持人、记录人、现场监督员当场签字确认；</w:t>
      </w:r>
    </w:p>
    <w:p w14:paraId="03C35FA4">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（10）开标会议结束，人员退场。</w:t>
      </w:r>
    </w:p>
    <w:p w14:paraId="2CEC6A27">
      <w:pPr>
        <w:pStyle w:val="6"/>
        <w:spacing w:line="500" w:lineRule="exact"/>
        <w:ind w:left="0" w:firstLine="422" w:firstLineChars="200"/>
        <w:rPr>
          <w:rFonts w:hint="eastAsia" w:ascii="宋体" w:hAnsi="宋体" w:cs="宋体"/>
          <w:b/>
          <w:bCs/>
          <w:sz w:val="21"/>
          <w:szCs w:val="21"/>
        </w:rPr>
      </w:pPr>
      <w:r>
        <w:rPr>
          <w:rFonts w:hint="eastAsia" w:ascii="宋体" w:hAnsi="宋体" w:cs="宋体"/>
          <w:b/>
          <w:bCs/>
          <w:sz w:val="21"/>
          <w:szCs w:val="21"/>
        </w:rPr>
        <w:t>特别说明：如“政采云”系统对电子化开标及评审程序有调整的，按调整后的程序操作。</w:t>
      </w:r>
    </w:p>
    <w:p w14:paraId="15D3C0CD">
      <w:pPr>
        <w:pStyle w:val="6"/>
        <w:spacing w:line="500" w:lineRule="exact"/>
        <w:ind w:left="0" w:firstLine="422" w:firstLineChars="200"/>
        <w:rPr>
          <w:rFonts w:hint="eastAsia" w:ascii="宋体" w:hAnsi="宋体" w:cs="宋体"/>
          <w:b/>
          <w:bCs/>
          <w:sz w:val="21"/>
          <w:szCs w:val="21"/>
        </w:rPr>
      </w:pPr>
      <w:r>
        <w:rPr>
          <w:rFonts w:hint="eastAsia" w:ascii="宋体" w:hAnsi="宋体" w:cs="宋体"/>
          <w:b/>
          <w:bCs/>
          <w:sz w:val="21"/>
          <w:szCs w:val="21"/>
        </w:rPr>
        <w:t>注：本项目采用政采云电子招投标开标及评审程序，采购过程中出现以下情形，导致电子交易平台无法正常运行，或者无法保证电子交易的公平、公正和安全时，采购代理机构可中止电子交易活动：</w:t>
      </w:r>
    </w:p>
    <w:p w14:paraId="3EBAD29B">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 xml:space="preserve">（一）电子交易平台发生故障而无法登录访问的； </w:t>
      </w:r>
    </w:p>
    <w:p w14:paraId="2E642DA8">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（二）电子交易平台应用或数据库出现错误，不能进行正常操作的；</w:t>
      </w:r>
    </w:p>
    <w:p w14:paraId="2E8DCE46">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（三）电子交易平台发现严重安全漏洞，有潜在泄密危险的；</w:t>
      </w:r>
    </w:p>
    <w:p w14:paraId="4B1AEF69">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（四）病毒发作导致不能进行正常操作的；</w:t>
      </w:r>
    </w:p>
    <w:p w14:paraId="1A2A1534">
      <w:pPr>
        <w:pStyle w:val="6"/>
        <w:spacing w:line="500" w:lineRule="exact"/>
        <w:ind w:left="0" w:firstLine="420" w:firstLineChars="200"/>
        <w:rPr>
          <w:rFonts w:hint="eastAsia" w:ascii="宋体" w:hAnsi="宋体" w:cs="宋体"/>
          <w:sz w:val="21"/>
          <w:szCs w:val="21"/>
        </w:rPr>
      </w:pPr>
      <w:r>
        <w:rPr>
          <w:rFonts w:hint="eastAsia" w:ascii="宋体" w:hAnsi="宋体" w:cs="宋体"/>
          <w:sz w:val="21"/>
          <w:szCs w:val="21"/>
        </w:rPr>
        <w:t>（五）其他无法保证电子交易的公平、公正和安全的情况。</w:t>
      </w:r>
    </w:p>
    <w:p w14:paraId="74E003BA">
      <w:pPr>
        <w:pStyle w:val="6"/>
        <w:spacing w:line="500" w:lineRule="exact"/>
        <w:ind w:left="0" w:firstLine="422" w:firstLineChars="200"/>
        <w:rPr>
          <w:rFonts w:hint="eastAsia" w:ascii="宋体" w:hAnsi="宋体" w:cs="宋体"/>
          <w:b/>
          <w:bCs/>
          <w:sz w:val="21"/>
          <w:szCs w:val="21"/>
        </w:rPr>
      </w:pPr>
      <w:r>
        <w:rPr>
          <w:rFonts w:hint="eastAsia" w:ascii="宋体" w:hAnsi="宋体" w:cs="宋体"/>
          <w:b/>
          <w:bCs/>
          <w:sz w:val="21"/>
          <w:szCs w:val="21"/>
        </w:rPr>
        <w:t>出现前款规定情形，不影响采购公平、公正性的，采购代理机构可以待上述情形消除后继续组织电子交易活动。</w:t>
      </w:r>
    </w:p>
    <w:p w14:paraId="07C5A008">
      <w:pPr>
        <w:pStyle w:val="4"/>
        <w:spacing w:before="0" w:after="0" w:line="500" w:lineRule="exact"/>
        <w:rPr>
          <w:rFonts w:hint="eastAsia" w:ascii="宋体" w:hAnsi="宋体" w:cs="宋体"/>
        </w:rPr>
      </w:pPr>
      <w:r>
        <w:rPr>
          <w:rFonts w:hint="eastAsia" w:ascii="宋体" w:hAnsi="宋体" w:cs="宋体"/>
        </w:rPr>
        <w:t>（九）评标</w:t>
      </w:r>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22"/>
    </w:p>
    <w:p w14:paraId="745C05FA">
      <w:pPr>
        <w:pStyle w:val="13"/>
        <w:snapToGrid w:val="0"/>
        <w:spacing w:line="500" w:lineRule="exact"/>
        <w:ind w:firstLine="422" w:firstLineChars="200"/>
        <w:rPr>
          <w:rFonts w:hint="eastAsia" w:hAnsi="宋体" w:cs="宋体"/>
          <w:b/>
        </w:rPr>
      </w:pPr>
      <w:r>
        <w:rPr>
          <w:rFonts w:hint="eastAsia" w:hAnsi="宋体" w:cs="宋体"/>
          <w:b/>
        </w:rPr>
        <w:t>1.组建评标委员会</w:t>
      </w:r>
    </w:p>
    <w:p w14:paraId="6B5AE65A">
      <w:pPr>
        <w:pStyle w:val="13"/>
        <w:snapToGrid w:val="0"/>
        <w:spacing w:line="500" w:lineRule="exact"/>
        <w:ind w:firstLine="420" w:firstLineChars="200"/>
        <w:rPr>
          <w:rFonts w:hint="eastAsia" w:hAnsi="宋体" w:eastAsia="宋体" w:cs="宋体"/>
          <w:lang w:eastAsia="zh-CN"/>
        </w:rPr>
      </w:pPr>
      <w:r>
        <w:rPr>
          <w:rFonts w:hint="eastAsia" w:hAnsi="宋体" w:cs="宋体"/>
          <w:lang w:eastAsia="zh-CN"/>
        </w:rPr>
        <w:t>评标专家确定方式：共5人组成，其中采购人代表1名，其余4名专家从政采云政府采购评审专家库中随机抽取产生。</w:t>
      </w:r>
    </w:p>
    <w:p w14:paraId="5797F97A">
      <w:pPr>
        <w:pStyle w:val="13"/>
        <w:snapToGrid w:val="0"/>
        <w:spacing w:line="500" w:lineRule="exact"/>
        <w:ind w:firstLine="422" w:firstLineChars="200"/>
        <w:rPr>
          <w:rFonts w:hint="eastAsia" w:hAnsi="宋体" w:cs="宋体"/>
          <w:b/>
        </w:rPr>
      </w:pPr>
      <w:r>
        <w:rPr>
          <w:rFonts w:hint="eastAsia" w:hAnsi="宋体" w:cs="宋体"/>
          <w:b/>
        </w:rPr>
        <w:t>2.评标的方式</w:t>
      </w:r>
    </w:p>
    <w:p w14:paraId="66D94B8A">
      <w:pPr>
        <w:pStyle w:val="13"/>
        <w:snapToGrid w:val="0"/>
        <w:spacing w:line="500" w:lineRule="exact"/>
        <w:ind w:firstLine="420" w:firstLineChars="200"/>
        <w:rPr>
          <w:rFonts w:hint="eastAsia" w:hAnsi="宋体" w:cs="宋体"/>
        </w:rPr>
      </w:pPr>
      <w:r>
        <w:rPr>
          <w:rFonts w:hint="eastAsia" w:hAnsi="宋体" w:cs="宋体"/>
        </w:rPr>
        <w:t>本项目采用不公开方式评标，评标的依据为招标文件和投标文件。</w:t>
      </w:r>
    </w:p>
    <w:p w14:paraId="53DE067F">
      <w:pPr>
        <w:pStyle w:val="13"/>
        <w:snapToGrid w:val="0"/>
        <w:spacing w:line="500" w:lineRule="exact"/>
        <w:ind w:firstLine="422" w:firstLineChars="200"/>
        <w:rPr>
          <w:rFonts w:hint="eastAsia" w:hAnsi="宋体" w:cs="宋体"/>
          <w:b/>
        </w:rPr>
      </w:pPr>
      <w:r>
        <w:rPr>
          <w:rFonts w:hint="eastAsia" w:hAnsi="宋体" w:cs="宋体"/>
          <w:b/>
          <w:bCs/>
        </w:rPr>
        <w:t>3.评标程序</w:t>
      </w:r>
    </w:p>
    <w:p w14:paraId="41BE9A08">
      <w:pPr>
        <w:snapToGrid w:val="0"/>
        <w:spacing w:line="500" w:lineRule="exact"/>
        <w:ind w:firstLine="422" w:firstLineChars="200"/>
        <w:rPr>
          <w:rFonts w:hint="eastAsia" w:ascii="宋体" w:hAnsi="宋体" w:cs="宋体"/>
          <w:b/>
          <w:bCs/>
          <w:szCs w:val="21"/>
        </w:rPr>
      </w:pPr>
      <w:r>
        <w:rPr>
          <w:rFonts w:hint="eastAsia" w:ascii="宋体" w:hAnsi="宋体" w:cs="宋体"/>
          <w:b/>
          <w:bCs/>
          <w:szCs w:val="21"/>
        </w:rPr>
        <w:t>3.1形式审查</w:t>
      </w:r>
    </w:p>
    <w:p w14:paraId="6AF2DCBE">
      <w:pPr>
        <w:snapToGrid w:val="0"/>
        <w:spacing w:line="500" w:lineRule="exact"/>
        <w:ind w:firstLine="420" w:firstLineChars="200"/>
        <w:rPr>
          <w:rFonts w:hint="eastAsia" w:ascii="宋体" w:hAnsi="宋体" w:cs="宋体"/>
          <w:b/>
          <w:szCs w:val="21"/>
        </w:rPr>
      </w:pPr>
      <w:r>
        <w:rPr>
          <w:rFonts w:hint="eastAsia" w:ascii="宋体" w:hAnsi="宋体" w:cs="宋体"/>
          <w:szCs w:val="21"/>
        </w:rPr>
        <w:t>采购单位代表和代理机构工作人员协助评标委员会对投标人的投标文件的完整性、合法性等进行审查。</w:t>
      </w:r>
    </w:p>
    <w:p w14:paraId="6503FAB6">
      <w:pPr>
        <w:snapToGrid w:val="0"/>
        <w:spacing w:line="500" w:lineRule="exact"/>
        <w:ind w:firstLine="422" w:firstLineChars="200"/>
        <w:rPr>
          <w:rFonts w:hint="eastAsia" w:ascii="宋体" w:hAnsi="宋体" w:cs="宋体"/>
          <w:b/>
          <w:bCs/>
          <w:szCs w:val="21"/>
        </w:rPr>
      </w:pPr>
      <w:r>
        <w:rPr>
          <w:rFonts w:hint="eastAsia" w:ascii="宋体" w:hAnsi="宋体" w:cs="宋体"/>
          <w:b/>
          <w:bCs/>
          <w:szCs w:val="21"/>
        </w:rPr>
        <w:t>3.2实质审查与比较</w:t>
      </w:r>
    </w:p>
    <w:p w14:paraId="2F0DFBF3">
      <w:pPr>
        <w:snapToGrid w:val="0"/>
        <w:spacing w:line="500" w:lineRule="exact"/>
        <w:ind w:firstLine="420" w:firstLineChars="200"/>
        <w:rPr>
          <w:rFonts w:hint="eastAsia" w:ascii="宋体" w:hAnsi="宋体" w:cs="宋体"/>
          <w:szCs w:val="21"/>
        </w:rPr>
      </w:pPr>
      <w:r>
        <w:rPr>
          <w:rFonts w:hint="eastAsia" w:ascii="宋体" w:hAnsi="宋体" w:cs="宋体"/>
          <w:szCs w:val="21"/>
        </w:rPr>
        <w:t>（1）评标委员会审查投标文件的实质性内容是否符合招标文件的实质性要求。</w:t>
      </w:r>
    </w:p>
    <w:p w14:paraId="2B2DA539">
      <w:pPr>
        <w:snapToGrid w:val="0"/>
        <w:spacing w:line="500" w:lineRule="exact"/>
        <w:ind w:firstLine="420" w:firstLineChars="200"/>
        <w:rPr>
          <w:rFonts w:hint="eastAsia" w:ascii="宋体" w:hAnsi="宋体" w:cs="宋体"/>
          <w:szCs w:val="21"/>
        </w:rPr>
      </w:pPr>
      <w:r>
        <w:rPr>
          <w:rFonts w:hint="eastAsia" w:ascii="宋体" w:hAnsi="宋体" w:cs="宋体"/>
          <w:szCs w:val="21"/>
        </w:rPr>
        <w:t>（2）评标委员会将根据投标人的投标文件进行审查、核对,如有疑问,将对投标人进行询标,投标人要向评标委员会澄清有关问题,并最终以书面形式进行答复。</w:t>
      </w:r>
    </w:p>
    <w:p w14:paraId="26E852EB">
      <w:pPr>
        <w:snapToGrid w:val="0"/>
        <w:spacing w:line="500" w:lineRule="exact"/>
        <w:ind w:firstLine="420" w:firstLineChars="200"/>
        <w:rPr>
          <w:rFonts w:hint="eastAsia" w:ascii="宋体" w:hAnsi="宋体" w:cs="宋体"/>
          <w:szCs w:val="21"/>
        </w:rPr>
      </w:pPr>
      <w:r>
        <w:rPr>
          <w:rFonts w:hint="eastAsia" w:ascii="宋体" w:hAnsi="宋体" w:cs="宋体"/>
          <w:szCs w:val="21"/>
        </w:rPr>
        <w:t xml:space="preserve">  投标人代表未到场或者拒绝澄清或者澄清的内容改变了投标文件的实质性内容的，评标委员会有权对该投标文件作出不利于投标人的评判。</w:t>
      </w:r>
    </w:p>
    <w:p w14:paraId="6611D9AB">
      <w:pPr>
        <w:snapToGrid w:val="0"/>
        <w:spacing w:line="500" w:lineRule="exact"/>
        <w:ind w:firstLine="420" w:firstLineChars="200"/>
        <w:rPr>
          <w:rFonts w:hint="eastAsia" w:ascii="宋体" w:hAnsi="宋体" w:cs="宋体"/>
          <w:szCs w:val="21"/>
        </w:rPr>
      </w:pPr>
      <w:r>
        <w:rPr>
          <w:rFonts w:hint="eastAsia" w:ascii="宋体" w:hAnsi="宋体" w:cs="宋体"/>
          <w:szCs w:val="21"/>
        </w:rPr>
        <w:t>（3）各投标人的技术资信得分为所有评委的有效评分的算术平均数，由代理机构工作人员进行计算复核。</w:t>
      </w:r>
    </w:p>
    <w:p w14:paraId="48D7888F">
      <w:pPr>
        <w:snapToGrid w:val="0"/>
        <w:spacing w:line="500" w:lineRule="exact"/>
        <w:ind w:firstLine="420" w:firstLineChars="200"/>
        <w:rPr>
          <w:rFonts w:hint="eastAsia" w:ascii="宋体" w:hAnsi="宋体" w:cs="宋体"/>
          <w:szCs w:val="21"/>
        </w:rPr>
      </w:pPr>
      <w:r>
        <w:rPr>
          <w:rFonts w:hint="eastAsia" w:ascii="宋体" w:hAnsi="宋体" w:cs="宋体"/>
          <w:szCs w:val="21"/>
        </w:rPr>
        <w:t>（4）代理机构工作人员协助评标委员会根据本项目的评分标准计算各投标人的商务报价得分。</w:t>
      </w:r>
    </w:p>
    <w:p w14:paraId="08C61DB3">
      <w:pPr>
        <w:snapToGrid w:val="0"/>
        <w:spacing w:line="500" w:lineRule="exact"/>
        <w:ind w:firstLine="420" w:firstLineChars="200"/>
        <w:rPr>
          <w:rFonts w:hint="eastAsia" w:ascii="宋体" w:hAnsi="宋体" w:cs="宋体"/>
          <w:szCs w:val="21"/>
        </w:rPr>
      </w:pPr>
      <w:r>
        <w:rPr>
          <w:rFonts w:hint="eastAsia" w:ascii="宋体" w:hAnsi="宋体" w:cs="宋体"/>
          <w:szCs w:val="21"/>
        </w:rPr>
        <w:t>（5）评标委员会完成评标后,评委对各部分得分汇总,计算出本项目最终得分、性价比、评标价等。评标委员会按评标原则推荐中标候选人同时起草评标报告。</w:t>
      </w:r>
    </w:p>
    <w:p w14:paraId="6C5008F4">
      <w:pPr>
        <w:snapToGrid w:val="0"/>
        <w:spacing w:line="500" w:lineRule="exact"/>
        <w:ind w:firstLine="422" w:firstLineChars="200"/>
        <w:rPr>
          <w:rFonts w:hint="eastAsia" w:ascii="宋体" w:hAnsi="宋体" w:cs="宋体"/>
          <w:b/>
          <w:szCs w:val="21"/>
        </w:rPr>
      </w:pPr>
      <w:r>
        <w:rPr>
          <w:rFonts w:hint="eastAsia" w:ascii="宋体" w:hAnsi="宋体" w:cs="宋体"/>
          <w:b/>
          <w:szCs w:val="21"/>
        </w:rPr>
        <w:t>4.澄清问题的形式</w:t>
      </w:r>
    </w:p>
    <w:p w14:paraId="317D4529">
      <w:pPr>
        <w:snapToGrid w:val="0"/>
        <w:spacing w:line="500" w:lineRule="exact"/>
        <w:ind w:firstLine="420" w:firstLineChars="200"/>
        <w:rPr>
          <w:rFonts w:hint="eastAsia" w:ascii="宋体" w:hAnsi="宋体" w:cs="宋体"/>
          <w:szCs w:val="21"/>
        </w:rPr>
      </w:pPr>
      <w:r>
        <w:rPr>
          <w:rFonts w:hint="eastAsia" w:ascii="宋体" w:hAnsi="宋体" w:cs="宋体"/>
          <w:szCs w:val="21"/>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14:paraId="64EE4FD3">
      <w:pPr>
        <w:pStyle w:val="13"/>
        <w:snapToGrid w:val="0"/>
        <w:spacing w:line="500" w:lineRule="exact"/>
        <w:ind w:firstLine="422" w:firstLineChars="200"/>
        <w:rPr>
          <w:rFonts w:hint="eastAsia" w:hAnsi="宋体" w:cs="宋体"/>
          <w:b/>
        </w:rPr>
      </w:pPr>
      <w:r>
        <w:rPr>
          <w:rFonts w:hint="eastAsia" w:hAnsi="宋体" w:cs="宋体"/>
          <w:b/>
        </w:rPr>
        <w:t>5.错误修正</w:t>
      </w:r>
    </w:p>
    <w:p w14:paraId="5245EF95">
      <w:pPr>
        <w:pStyle w:val="13"/>
        <w:snapToGrid w:val="0"/>
        <w:spacing w:line="500" w:lineRule="exact"/>
        <w:ind w:firstLine="420" w:firstLineChars="200"/>
        <w:rPr>
          <w:rFonts w:hint="eastAsia" w:hAnsi="宋体" w:cs="宋体"/>
        </w:rPr>
      </w:pPr>
      <w:r>
        <w:rPr>
          <w:rFonts w:hint="eastAsia" w:hAnsi="宋体" w:cs="宋体"/>
        </w:rPr>
        <w:t>投标文件如果出现计算或表达上的错误，修正错误的原则如下：</w:t>
      </w:r>
    </w:p>
    <w:p w14:paraId="32E35BF0">
      <w:pPr>
        <w:pStyle w:val="13"/>
        <w:snapToGrid w:val="0"/>
        <w:spacing w:line="500" w:lineRule="exact"/>
        <w:ind w:firstLine="420" w:firstLineChars="200"/>
        <w:rPr>
          <w:rFonts w:hint="eastAsia" w:hAnsi="宋体" w:cs="宋体"/>
        </w:rPr>
      </w:pPr>
      <w:r>
        <w:rPr>
          <w:rFonts w:hint="eastAsia" w:hAnsi="宋体" w:cs="宋体"/>
        </w:rPr>
        <w:t>（一）投标文件中开标一览表内容与投标文件中相应内容不一致的，以开标一览表为准；</w:t>
      </w:r>
    </w:p>
    <w:p w14:paraId="4CEB53FB">
      <w:pPr>
        <w:pStyle w:val="13"/>
        <w:snapToGrid w:val="0"/>
        <w:spacing w:line="500" w:lineRule="exact"/>
        <w:ind w:firstLine="420" w:firstLineChars="200"/>
        <w:rPr>
          <w:rFonts w:hint="eastAsia" w:hAnsi="宋体" w:cs="宋体"/>
        </w:rPr>
      </w:pPr>
      <w:r>
        <w:rPr>
          <w:rFonts w:hint="eastAsia" w:hAnsi="宋体" w:cs="宋体"/>
        </w:rPr>
        <w:t>（二）大写金额和小写金额不一致的，以大写金额为准；</w:t>
      </w:r>
    </w:p>
    <w:p w14:paraId="40D2D720">
      <w:pPr>
        <w:pStyle w:val="13"/>
        <w:snapToGrid w:val="0"/>
        <w:spacing w:line="500" w:lineRule="exact"/>
        <w:ind w:firstLine="420" w:firstLineChars="200"/>
        <w:rPr>
          <w:rFonts w:hint="eastAsia" w:hAnsi="宋体" w:cs="宋体"/>
        </w:rPr>
      </w:pPr>
      <w:r>
        <w:rPr>
          <w:rFonts w:hint="eastAsia" w:hAnsi="宋体" w:cs="宋体"/>
        </w:rPr>
        <w:t>（三）单价金额小数点或者百分比有明显错位的，以开标一览表的总价为准，并修改单价；</w:t>
      </w:r>
    </w:p>
    <w:p w14:paraId="36AFE503">
      <w:pPr>
        <w:pStyle w:val="13"/>
        <w:snapToGrid w:val="0"/>
        <w:spacing w:line="500" w:lineRule="exact"/>
        <w:ind w:firstLine="420" w:firstLineChars="200"/>
        <w:rPr>
          <w:rFonts w:hint="eastAsia" w:hAnsi="宋体" w:cs="宋体"/>
        </w:rPr>
      </w:pPr>
      <w:r>
        <w:rPr>
          <w:rFonts w:hint="eastAsia" w:hAnsi="宋体" w:cs="宋体"/>
        </w:rPr>
        <w:t>（四）总价金额与按单价汇总金额不一致的，以单价金额计算结果为准。</w:t>
      </w:r>
    </w:p>
    <w:p w14:paraId="4C088516">
      <w:pPr>
        <w:pStyle w:val="13"/>
        <w:snapToGrid w:val="0"/>
        <w:spacing w:line="500" w:lineRule="exact"/>
        <w:ind w:firstLine="422" w:firstLineChars="200"/>
        <w:rPr>
          <w:rFonts w:hint="eastAsia" w:hAnsi="宋体" w:cs="宋体"/>
          <w:b/>
          <w:bCs/>
        </w:rPr>
      </w:pPr>
      <w:r>
        <w:rPr>
          <w:rFonts w:hint="eastAsia" w:hAnsi="宋体" w:cs="宋体"/>
          <w:b/>
          <w:bCs/>
        </w:rPr>
        <w:t>同时出现两种以上不一致的，按照前款规定的顺序修正。按上述修正错误的原则及方法调整或修正投标文件的投标报价，投标人同意并签字确认后，调整后的投标报价对投标人具有约束作用。如果投标人不接受修正后的报价，则其投标将作为无效投标处理。</w:t>
      </w:r>
    </w:p>
    <w:p w14:paraId="48873301">
      <w:pPr>
        <w:pStyle w:val="13"/>
        <w:tabs>
          <w:tab w:val="left" w:pos="630"/>
        </w:tabs>
        <w:snapToGrid w:val="0"/>
        <w:spacing w:line="500" w:lineRule="exact"/>
        <w:ind w:firstLine="420" w:firstLineChars="200"/>
        <w:rPr>
          <w:rFonts w:hint="eastAsia" w:hAnsi="宋体" w:cs="宋体"/>
        </w:rPr>
      </w:pPr>
      <w:r>
        <w:rPr>
          <w:rFonts w:hint="eastAsia" w:hAnsi="宋体" w:cs="宋体"/>
        </w:rPr>
        <w:t>（五）政采云系统中填报的电子数据（例如政采云系统中填报的“开标一览表”内容）与电子加密响应文件相应内容不一致的，以电子加密响应文件内容为准，但相关法律法规或管理办法有明确规定的，从其规定。</w:t>
      </w:r>
    </w:p>
    <w:p w14:paraId="3E8D1A6C">
      <w:pPr>
        <w:pStyle w:val="13"/>
        <w:tabs>
          <w:tab w:val="left" w:pos="630"/>
        </w:tabs>
        <w:snapToGrid w:val="0"/>
        <w:spacing w:line="500" w:lineRule="exact"/>
        <w:ind w:firstLine="422" w:firstLineChars="200"/>
        <w:rPr>
          <w:rFonts w:hint="eastAsia" w:hAnsi="宋体" w:cs="宋体"/>
          <w:b/>
        </w:rPr>
      </w:pPr>
      <w:r>
        <w:rPr>
          <w:rFonts w:hint="eastAsia" w:hAnsi="宋体" w:cs="宋体"/>
          <w:b/>
        </w:rPr>
        <w:t>6.评标原则和评标办法</w:t>
      </w:r>
    </w:p>
    <w:p w14:paraId="42C63098">
      <w:pPr>
        <w:pStyle w:val="13"/>
        <w:snapToGrid w:val="0"/>
        <w:spacing w:line="500" w:lineRule="exact"/>
        <w:ind w:firstLine="420" w:firstLineChars="200"/>
        <w:rPr>
          <w:rFonts w:hint="eastAsia" w:hAnsi="宋体" w:cs="宋体"/>
        </w:rPr>
      </w:pPr>
      <w:r>
        <w:rPr>
          <w:rFonts w:hint="eastAsia" w:hAnsi="宋体" w:cs="宋体"/>
        </w:rPr>
        <w:t>6.1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5E4E6DC2">
      <w:pPr>
        <w:pStyle w:val="13"/>
        <w:snapToGrid w:val="0"/>
        <w:spacing w:line="500" w:lineRule="exact"/>
        <w:ind w:firstLine="420" w:firstLineChars="200"/>
        <w:rPr>
          <w:rFonts w:hint="eastAsia" w:hAnsi="宋体" w:cs="宋体"/>
        </w:rPr>
      </w:pPr>
      <w:r>
        <w:rPr>
          <w:rFonts w:hint="eastAsia" w:hAnsi="宋体" w:cs="宋体"/>
        </w:rPr>
        <w:t>6.2评标办法。本项目评标办法是综合评分法，具体评标内容及评分标准等详见《第五章：评标原则及方法》。</w:t>
      </w:r>
    </w:p>
    <w:p w14:paraId="777F159D">
      <w:pPr>
        <w:pStyle w:val="13"/>
        <w:snapToGrid w:val="0"/>
        <w:spacing w:line="500" w:lineRule="exact"/>
        <w:ind w:firstLine="422" w:firstLineChars="200"/>
        <w:rPr>
          <w:rFonts w:hint="eastAsia" w:hAnsi="宋体" w:cs="宋体"/>
          <w:b/>
        </w:rPr>
      </w:pPr>
      <w:r>
        <w:rPr>
          <w:rFonts w:hint="eastAsia" w:hAnsi="宋体" w:cs="宋体"/>
          <w:b/>
        </w:rPr>
        <w:t>7.评标过程的监控</w:t>
      </w:r>
    </w:p>
    <w:p w14:paraId="5F21F722">
      <w:pPr>
        <w:pStyle w:val="13"/>
        <w:snapToGrid w:val="0"/>
        <w:spacing w:line="500" w:lineRule="exact"/>
        <w:ind w:firstLine="420" w:firstLineChars="200"/>
        <w:rPr>
          <w:rFonts w:hint="eastAsia" w:hAnsi="宋体" w:cs="宋体"/>
        </w:rPr>
      </w:pPr>
      <w:r>
        <w:rPr>
          <w:rFonts w:hint="eastAsia" w:hAnsi="宋体" w:cs="宋体"/>
        </w:rPr>
        <w:t>本项目评标过程实行全程录音、录像监控，投标人在评标过程中所进行的试图影响评标结果的不公正活动，可能导致其投标被拒绝。</w:t>
      </w:r>
    </w:p>
    <w:p w14:paraId="3EA6ECC5">
      <w:pPr>
        <w:pStyle w:val="4"/>
        <w:spacing w:before="0" w:after="0" w:line="500" w:lineRule="exact"/>
        <w:rPr>
          <w:rFonts w:hint="eastAsia" w:ascii="宋体" w:hAnsi="宋体" w:cs="宋体"/>
        </w:rPr>
      </w:pPr>
      <w:bookmarkStart w:id="123" w:name="_Toc9547"/>
      <w:bookmarkStart w:id="124" w:name="_Toc221374629"/>
      <w:bookmarkStart w:id="125" w:name="_Toc239145357"/>
      <w:bookmarkStart w:id="126" w:name="_Toc249758871"/>
      <w:bookmarkStart w:id="127" w:name="_Toc241404205"/>
      <w:bookmarkStart w:id="128" w:name="_Toc246261268"/>
      <w:bookmarkStart w:id="129" w:name="_Toc249758867"/>
      <w:bookmarkStart w:id="130" w:name="_Toc223716001"/>
      <w:bookmarkStart w:id="131" w:name="_Toc245191317"/>
      <w:bookmarkStart w:id="132" w:name="_Toc262049421"/>
      <w:bookmarkStart w:id="133" w:name="_Toc222114882"/>
      <w:bookmarkStart w:id="134" w:name="_Toc249758721"/>
      <w:bookmarkStart w:id="135" w:name="_Toc262049425"/>
      <w:bookmarkStart w:id="136" w:name="_Toc262105510"/>
      <w:bookmarkStart w:id="137" w:name="_Toc249758715"/>
      <w:bookmarkStart w:id="138" w:name="_Toc221356954"/>
      <w:bookmarkStart w:id="139" w:name="_Toc221356890"/>
      <w:bookmarkStart w:id="140" w:name="_Toc245722284"/>
      <w:bookmarkStart w:id="141" w:name="_Toc221423622"/>
      <w:bookmarkStart w:id="142" w:name="_Toc262105506"/>
      <w:r>
        <w:rPr>
          <w:rFonts w:hint="eastAsia" w:ascii="宋体" w:hAnsi="宋体" w:cs="宋体"/>
        </w:rPr>
        <w:t>（十）定标</w:t>
      </w:r>
      <w:bookmarkEnd w:id="123"/>
    </w:p>
    <w:p w14:paraId="0B73B08F">
      <w:pPr>
        <w:spacing w:line="400" w:lineRule="exact"/>
        <w:ind w:firstLine="316" w:firstLineChars="150"/>
        <w:jc w:val="left"/>
        <w:textAlignment w:val="baseline"/>
        <w:rPr>
          <w:rStyle w:val="32"/>
          <w:rFonts w:hint="eastAsia" w:ascii="宋体" w:hAnsi="宋体" w:cs="宋体"/>
          <w:b/>
          <w:szCs w:val="21"/>
          <w:lang w:val="zh-CN"/>
        </w:rPr>
      </w:pPr>
      <w:bookmarkStart w:id="143" w:name="_Toc16414"/>
      <w:r>
        <w:rPr>
          <w:rStyle w:val="32"/>
          <w:rFonts w:hint="eastAsia" w:ascii="宋体" w:hAnsi="宋体" w:cs="宋体"/>
          <w:b/>
          <w:szCs w:val="21"/>
        </w:rPr>
        <w:t>1.</w:t>
      </w:r>
      <w:r>
        <w:rPr>
          <w:rStyle w:val="32"/>
          <w:rFonts w:hint="eastAsia" w:ascii="宋体" w:hAnsi="宋体" w:cs="宋体"/>
          <w:b/>
          <w:szCs w:val="21"/>
          <w:lang w:val="zh-CN"/>
        </w:rPr>
        <w:t>确定中标人</w:t>
      </w:r>
    </w:p>
    <w:p w14:paraId="7EDA345F">
      <w:pPr>
        <w:pStyle w:val="13"/>
        <w:snapToGrid w:val="0"/>
        <w:spacing w:line="500" w:lineRule="exact"/>
        <w:ind w:firstLine="420" w:firstLineChars="200"/>
        <w:rPr>
          <w:rFonts w:hint="eastAsia" w:hAnsi="宋体" w:cs="宋体"/>
        </w:rPr>
      </w:pPr>
      <w:r>
        <w:rPr>
          <w:rFonts w:hint="eastAsia" w:hAnsi="宋体" w:cs="宋体"/>
        </w:rPr>
        <w:t>1.1评标委员会按综合得分由高到低排序，推荐排名第一的投标人为第一中标候选人。采购代理机构在评标结束后2个工作日内将评标报告提交采购单位依法确认，采购单位应在收到评标报告后5个工作日内对评标结果进行确认。取得采购单位书面确认意见后，采购代理机构在招标公告发布媒体上对采购结果进行公告，期限为公告发布之日起至第2个工作日止。同时以书面形式向中标人发出《中标通知书》。</w:t>
      </w:r>
    </w:p>
    <w:p w14:paraId="5A42AD5A">
      <w:pPr>
        <w:pStyle w:val="13"/>
        <w:snapToGrid w:val="0"/>
        <w:spacing w:line="500" w:lineRule="exact"/>
        <w:ind w:firstLine="420" w:firstLineChars="200"/>
        <w:rPr>
          <w:rFonts w:hint="eastAsia" w:hAnsi="宋体" w:cs="宋体"/>
        </w:rPr>
      </w:pPr>
      <w:r>
        <w:rPr>
          <w:rFonts w:hint="eastAsia" w:hAnsi="宋体" w:cs="宋体"/>
        </w:rPr>
        <w:t>1.2排名第一的中标候选人出现下列情形之一的，采购人将按照评标报告推荐的中标候选人名单排序，确定下一中标候选人为中标人。如其余中标候选人与采购项目预期（价格、质量等）差距较大，对采购人明显不利的，采购人将重新组织采购。</w:t>
      </w:r>
    </w:p>
    <w:p w14:paraId="0EF2D150">
      <w:pPr>
        <w:pStyle w:val="13"/>
        <w:snapToGrid w:val="0"/>
        <w:spacing w:line="500" w:lineRule="exact"/>
        <w:ind w:firstLine="420" w:firstLineChars="200"/>
        <w:rPr>
          <w:rFonts w:hint="eastAsia" w:hAnsi="宋体" w:cs="宋体"/>
        </w:rPr>
      </w:pPr>
      <w:r>
        <w:rPr>
          <w:rFonts w:hint="eastAsia" w:hAnsi="宋体" w:cs="宋体"/>
        </w:rPr>
        <w:t>（1）因不可抗力或者自身原因不能履行合同的；</w:t>
      </w:r>
    </w:p>
    <w:p w14:paraId="05FE3B37">
      <w:pPr>
        <w:pStyle w:val="13"/>
        <w:snapToGrid w:val="0"/>
        <w:spacing w:line="500" w:lineRule="exact"/>
        <w:ind w:firstLine="420" w:firstLineChars="200"/>
        <w:rPr>
          <w:rFonts w:hint="eastAsia" w:hAnsi="宋体" w:cs="宋体"/>
        </w:rPr>
      </w:pPr>
      <w:r>
        <w:rPr>
          <w:rFonts w:hint="eastAsia" w:hAnsi="宋体" w:cs="宋体"/>
        </w:rPr>
        <w:t>（2）财政部门经过处理投诉举报、监督检查，认定中标结果无效的；</w:t>
      </w:r>
    </w:p>
    <w:p w14:paraId="791DD8D3">
      <w:pPr>
        <w:pStyle w:val="13"/>
        <w:snapToGrid w:val="0"/>
        <w:spacing w:line="500" w:lineRule="exact"/>
        <w:ind w:firstLine="420" w:firstLineChars="200"/>
        <w:rPr>
          <w:rFonts w:hint="eastAsia" w:hAnsi="宋体" w:cs="宋体"/>
        </w:rPr>
      </w:pPr>
      <w:r>
        <w:rPr>
          <w:rFonts w:hint="eastAsia" w:hAnsi="宋体" w:cs="宋体"/>
        </w:rPr>
        <w:t>（3）中标人拒绝与采购人签订合同或无法按照投标文件承诺的条件与采购人签订合同的。</w:t>
      </w:r>
    </w:p>
    <w:p w14:paraId="2342CE92">
      <w:pPr>
        <w:spacing w:line="400" w:lineRule="exact"/>
        <w:ind w:firstLine="316" w:firstLineChars="150"/>
        <w:jc w:val="left"/>
        <w:textAlignment w:val="baseline"/>
        <w:rPr>
          <w:rStyle w:val="32"/>
          <w:rFonts w:hint="eastAsia" w:ascii="宋体" w:hAnsi="宋体" w:cs="宋体"/>
          <w:b/>
          <w:szCs w:val="21"/>
        </w:rPr>
      </w:pPr>
      <w:r>
        <w:rPr>
          <w:rStyle w:val="32"/>
          <w:rFonts w:hint="eastAsia" w:ascii="宋体" w:hAnsi="宋体" w:cs="宋体"/>
          <w:b/>
          <w:szCs w:val="21"/>
        </w:rPr>
        <w:t>2.</w:t>
      </w:r>
      <w:r>
        <w:rPr>
          <w:rStyle w:val="32"/>
          <w:rFonts w:hint="eastAsia" w:ascii="宋体" w:hAnsi="宋体" w:cs="宋体"/>
          <w:b/>
          <w:szCs w:val="21"/>
          <w:lang w:val="zh-CN"/>
        </w:rPr>
        <w:t>质疑或投诉</w:t>
      </w:r>
    </w:p>
    <w:p w14:paraId="3508DD3A">
      <w:pPr>
        <w:pStyle w:val="13"/>
        <w:snapToGrid w:val="0"/>
        <w:spacing w:line="500" w:lineRule="exact"/>
        <w:ind w:firstLine="420" w:firstLineChars="200"/>
        <w:rPr>
          <w:rFonts w:hint="eastAsia" w:hAnsi="宋体" w:cs="宋体"/>
        </w:rPr>
      </w:pPr>
      <w:r>
        <w:rPr>
          <w:rFonts w:hint="eastAsia" w:hAnsi="宋体" w:cs="宋体"/>
        </w:rPr>
        <w:t>2.1投标人认为采购文件、采购过程、采购结果使自己的权益受到损害的，可以在知道或者应知其权益受到损害之日起7个工作日内，根据《政府采购质疑和投诉办法》（财政部令第94号）规定以书面形式向采购单位或采购代理机构提出质疑，针对同一采购程序环节的质疑，投标人应在法定期限内一次性提出（即针对同一采购程序环节的质疑采购人或采购代理机构仅受理一次），逾期提出或针对同一采购程序环节多次提出的质疑将不予受理、答复。投标人对采购人和采购代理机构的质疑答复不满意或者采购人和采购代理机构未在规定时间内作出答复的，可以在答复期满后十五个工作日内向同级政府采购监管部门投诉。</w:t>
      </w:r>
    </w:p>
    <w:p w14:paraId="0AC5A03B">
      <w:pPr>
        <w:pStyle w:val="13"/>
        <w:snapToGrid w:val="0"/>
        <w:spacing w:line="500" w:lineRule="exact"/>
        <w:ind w:firstLine="420" w:firstLineChars="200"/>
        <w:rPr>
          <w:rFonts w:hint="eastAsia" w:hAnsi="宋体" w:cs="宋体"/>
        </w:rPr>
      </w:pPr>
      <w:r>
        <w:rPr>
          <w:rFonts w:hint="eastAsia" w:hAnsi="宋体" w:cs="宋体"/>
        </w:rPr>
        <w:t>投标人应知其权益受到损害之日，是指：</w:t>
      </w:r>
    </w:p>
    <w:p w14:paraId="09AA4B1B">
      <w:pPr>
        <w:pStyle w:val="13"/>
        <w:snapToGrid w:val="0"/>
        <w:spacing w:line="500" w:lineRule="exact"/>
        <w:ind w:firstLine="420" w:firstLineChars="200"/>
        <w:rPr>
          <w:rFonts w:hint="eastAsia" w:hAnsi="宋体" w:cs="宋体"/>
        </w:rPr>
      </w:pPr>
      <w:r>
        <w:rPr>
          <w:rFonts w:hint="eastAsia" w:hAnsi="宋体" w:cs="宋体"/>
        </w:rPr>
        <w:t>（1）对可以质疑的采购文件提出质疑的，为收到采购文件之日或者采购文件公告期限届满之日；</w:t>
      </w:r>
    </w:p>
    <w:p w14:paraId="0E30DAC1">
      <w:pPr>
        <w:pStyle w:val="13"/>
        <w:snapToGrid w:val="0"/>
        <w:spacing w:line="500" w:lineRule="exact"/>
        <w:ind w:firstLine="420" w:firstLineChars="200"/>
        <w:rPr>
          <w:rFonts w:hint="eastAsia" w:hAnsi="宋体" w:cs="宋体"/>
        </w:rPr>
      </w:pPr>
      <w:r>
        <w:rPr>
          <w:rFonts w:hint="eastAsia" w:hAnsi="宋体" w:cs="宋体"/>
        </w:rPr>
        <w:t>（2）对采购过程提出质疑的，为各采购程序环节结束之日；</w:t>
      </w:r>
    </w:p>
    <w:p w14:paraId="3075F4D4">
      <w:pPr>
        <w:pStyle w:val="13"/>
        <w:snapToGrid w:val="0"/>
        <w:spacing w:line="500" w:lineRule="exact"/>
        <w:ind w:firstLine="420" w:firstLineChars="200"/>
        <w:rPr>
          <w:rFonts w:hint="eastAsia" w:hAnsi="宋体" w:cs="宋体"/>
        </w:rPr>
      </w:pPr>
      <w:r>
        <w:rPr>
          <w:rFonts w:hint="eastAsia" w:hAnsi="宋体" w:cs="宋体"/>
        </w:rPr>
        <w:t>（3）对采购结果提出质疑的，为中标结果公告期限届满之日。</w:t>
      </w:r>
    </w:p>
    <w:p w14:paraId="7FF14396">
      <w:pPr>
        <w:pStyle w:val="13"/>
        <w:snapToGrid w:val="0"/>
        <w:spacing w:line="500" w:lineRule="exact"/>
        <w:ind w:firstLine="420" w:firstLineChars="200"/>
        <w:rPr>
          <w:rFonts w:hint="eastAsia" w:hAnsi="宋体" w:cs="宋体"/>
        </w:rPr>
      </w:pPr>
      <w:r>
        <w:rPr>
          <w:rFonts w:hint="eastAsia" w:hAnsi="宋体" w:cs="宋体"/>
        </w:rPr>
        <w:t>2.2质疑、投诉应当采用书面形式，质疑函、投诉书格式以财政部制定的范本为准（浙江政府采购网“下载专区”可下载），质疑函、投诉书均应明确阐述采购文件、采购过程或采购结果中使自己权益受到损害的实质性内容，提供相关事实、依据和证据及其来源或线索，便于有关单位调查、答复和处理。</w:t>
      </w:r>
    </w:p>
    <w:p w14:paraId="2F83F04C">
      <w:pPr>
        <w:pStyle w:val="4"/>
        <w:spacing w:before="0" w:after="0" w:line="500" w:lineRule="exact"/>
        <w:rPr>
          <w:rFonts w:hint="eastAsia" w:ascii="宋体" w:hAnsi="宋体" w:cs="宋体"/>
        </w:rPr>
      </w:pPr>
      <w:r>
        <w:rPr>
          <w:rFonts w:hint="eastAsia" w:ascii="宋体" w:hAnsi="宋体" w:cs="宋体"/>
        </w:rPr>
        <w:t>（十一）合同授予</w:t>
      </w:r>
      <w:bookmarkEnd w:id="143"/>
    </w:p>
    <w:p w14:paraId="50B9B794">
      <w:pPr>
        <w:snapToGrid w:val="0"/>
        <w:spacing w:line="500" w:lineRule="exact"/>
        <w:ind w:firstLine="413" w:firstLineChars="196"/>
        <w:textAlignment w:val="baseline"/>
        <w:rPr>
          <w:rStyle w:val="32"/>
          <w:rFonts w:hint="eastAsia" w:ascii="宋体" w:hAnsi="宋体" w:cs="宋体"/>
          <w:b/>
          <w:bCs/>
          <w:szCs w:val="21"/>
        </w:rPr>
      </w:pPr>
      <w:r>
        <w:rPr>
          <w:rStyle w:val="32"/>
          <w:rFonts w:hint="eastAsia" w:ascii="宋体" w:hAnsi="宋体" w:cs="宋体"/>
          <w:b/>
          <w:bCs/>
          <w:szCs w:val="21"/>
        </w:rPr>
        <w:t>1.签订合同</w:t>
      </w:r>
    </w:p>
    <w:p w14:paraId="41BB1EC6">
      <w:pPr>
        <w:snapToGrid w:val="0"/>
        <w:spacing w:line="500" w:lineRule="exact"/>
        <w:ind w:firstLine="420" w:firstLineChars="200"/>
        <w:textAlignment w:val="baseline"/>
        <w:rPr>
          <w:rStyle w:val="32"/>
          <w:rFonts w:hint="eastAsia" w:ascii="宋体" w:hAnsi="宋体" w:cs="宋体"/>
          <w:szCs w:val="21"/>
        </w:rPr>
      </w:pPr>
      <w:r>
        <w:rPr>
          <w:rStyle w:val="32"/>
          <w:rFonts w:hint="eastAsia" w:ascii="宋体" w:hAnsi="宋体" w:cs="宋体"/>
          <w:szCs w:val="21"/>
        </w:rPr>
        <w:t>1.1采购单位与中标人应当在《中标通知书》发出之日起三十日内签订政府采购合同。同时，采购代理机构对合同内容进行审查，如发现与采购结果和投标承诺内容不一致的，应予以纠正。</w:t>
      </w:r>
    </w:p>
    <w:p w14:paraId="2686108E">
      <w:pPr>
        <w:snapToGrid w:val="0"/>
        <w:spacing w:line="500" w:lineRule="exact"/>
        <w:ind w:firstLine="422" w:firstLineChars="200"/>
        <w:textAlignment w:val="baseline"/>
        <w:rPr>
          <w:rStyle w:val="32"/>
          <w:rFonts w:hint="eastAsia" w:ascii="宋体" w:hAnsi="宋体" w:cs="宋体"/>
          <w:b/>
          <w:szCs w:val="21"/>
          <w:u w:val="single"/>
        </w:rPr>
      </w:pPr>
      <w:r>
        <w:rPr>
          <w:rStyle w:val="32"/>
          <w:rFonts w:hint="eastAsia" w:ascii="宋体" w:hAnsi="宋体" w:cs="宋体"/>
          <w:b/>
          <w:szCs w:val="21"/>
          <w:u w:val="single"/>
        </w:rPr>
        <w:t>▲1.2投标人在投标有效期内撤回投标文件或者中标人在法定期限内无正当理由不与采购单位签订合同或无法按照投标文件承诺的条件与采购人签订合同的，应当按照本项目采购预算价2%的标准承担因此给采购单位造成的损失的赔偿责任及相应的法律责任。</w:t>
      </w:r>
    </w:p>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p w14:paraId="1F909E52">
      <w:pPr>
        <w:spacing w:line="360" w:lineRule="auto"/>
        <w:ind w:firstLine="2249" w:firstLineChars="700"/>
        <w:jc w:val="both"/>
        <w:outlineLvl w:val="0"/>
        <w:rPr>
          <w:rFonts w:hint="eastAsia" w:ascii="宋体" w:hAnsi="宋体" w:cs="宋体"/>
          <w:b/>
          <w:sz w:val="32"/>
          <w:szCs w:val="32"/>
        </w:rPr>
      </w:pPr>
      <w:bookmarkStart w:id="144" w:name="_Toc511293454"/>
      <w:bookmarkStart w:id="145" w:name="_Toc10999"/>
      <w:bookmarkStart w:id="146" w:name="_Toc241404209"/>
      <w:bookmarkStart w:id="147" w:name="_Toc245191321"/>
      <w:bookmarkStart w:id="148" w:name="_Toc223716005"/>
      <w:bookmarkStart w:id="149" w:name="_Toc239145361"/>
      <w:bookmarkStart w:id="150" w:name="_Toc246261272"/>
      <w:bookmarkStart w:id="151" w:name="_Toc222114886"/>
      <w:bookmarkStart w:id="152" w:name="_Toc262105511"/>
      <w:bookmarkStart w:id="153" w:name="_Toc262049426"/>
      <w:bookmarkStart w:id="154" w:name="_Toc249758722"/>
      <w:bookmarkStart w:id="155" w:name="_Toc339353702"/>
      <w:bookmarkStart w:id="156" w:name="_Toc249758872"/>
      <w:bookmarkStart w:id="157" w:name="_Toc221423626"/>
      <w:bookmarkStart w:id="158" w:name="_Toc245722288"/>
      <w:r>
        <w:rPr>
          <w:rFonts w:hint="eastAsia" w:ascii="宋体" w:hAnsi="宋体" w:cs="宋体"/>
          <w:b/>
          <w:sz w:val="32"/>
          <w:szCs w:val="32"/>
        </w:rPr>
        <w:t>第三章  采购内容及要求</w:t>
      </w:r>
      <w:bookmarkEnd w:id="144"/>
      <w:bookmarkEnd w:id="145"/>
      <w:bookmarkStart w:id="159" w:name="_Toc354491898"/>
      <w:bookmarkStart w:id="160" w:name="_Toc322352984"/>
    </w:p>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p w14:paraId="297611EA">
      <w:pPr>
        <w:snapToGrid w:val="0"/>
        <w:spacing w:line="500" w:lineRule="exact"/>
        <w:ind w:firstLine="413" w:firstLineChars="196"/>
        <w:textAlignment w:val="baseline"/>
        <w:rPr>
          <w:rStyle w:val="32"/>
          <w:rFonts w:hint="eastAsia" w:ascii="宋体" w:hAnsi="宋体" w:cs="宋体" w:eastAsiaTheme="minorEastAsia"/>
          <w:b/>
          <w:bCs/>
          <w:szCs w:val="21"/>
        </w:rPr>
      </w:pPr>
      <w:r>
        <w:rPr>
          <w:rStyle w:val="32"/>
          <w:rFonts w:hint="eastAsia" w:ascii="宋体" w:hAnsi="宋体" w:cs="宋体" w:eastAsiaTheme="minorEastAsia"/>
          <w:b/>
          <w:bCs/>
          <w:szCs w:val="21"/>
          <w:lang w:val="en-US" w:eastAsia="zh-CN"/>
        </w:rPr>
        <w:t>一、</w:t>
      </w:r>
      <w:r>
        <w:rPr>
          <w:rStyle w:val="32"/>
          <w:rFonts w:hint="eastAsia" w:ascii="宋体" w:hAnsi="宋体" w:cs="宋体" w:eastAsiaTheme="minorEastAsia"/>
          <w:b/>
          <w:bCs/>
          <w:szCs w:val="21"/>
        </w:rPr>
        <w:t>服务内容</w:t>
      </w:r>
    </w:p>
    <w:p w14:paraId="46217D44">
      <w:pPr>
        <w:snapToGrid w:val="0"/>
        <w:spacing w:line="500" w:lineRule="exact"/>
        <w:ind w:firstLine="420" w:firstLineChars="200"/>
        <w:textAlignment w:val="baseline"/>
        <w:rPr>
          <w:rStyle w:val="32"/>
          <w:rFonts w:hint="eastAsia" w:ascii="宋体" w:hAnsi="宋体" w:cs="宋体" w:eastAsiaTheme="minorEastAsia"/>
          <w:szCs w:val="21"/>
        </w:rPr>
      </w:pPr>
      <w:r>
        <w:rPr>
          <w:rStyle w:val="32"/>
          <w:rFonts w:hint="eastAsia" w:ascii="宋体" w:hAnsi="宋体" w:cs="宋体" w:eastAsiaTheme="minorEastAsia"/>
          <w:szCs w:val="21"/>
        </w:rPr>
        <w:t>中标供应商按</w:t>
      </w:r>
      <w:r>
        <w:rPr>
          <w:rStyle w:val="32"/>
          <w:rFonts w:hint="eastAsia" w:ascii="宋体" w:hAnsi="宋体" w:cs="宋体" w:eastAsiaTheme="minorEastAsia"/>
          <w:szCs w:val="21"/>
          <w:lang w:val="en-US" w:eastAsia="zh-CN"/>
        </w:rPr>
        <w:t>常山</w:t>
      </w:r>
      <w:r>
        <w:rPr>
          <w:rStyle w:val="32"/>
          <w:rFonts w:hint="eastAsia" w:ascii="宋体" w:hAnsi="宋体" w:cs="宋体" w:eastAsiaTheme="minorEastAsia"/>
          <w:szCs w:val="21"/>
        </w:rPr>
        <w:t>县产品</w:t>
      </w:r>
      <w:r>
        <w:rPr>
          <w:rStyle w:val="32"/>
          <w:rFonts w:hint="eastAsia" w:ascii="宋体" w:hAnsi="宋体" w:cs="宋体" w:eastAsiaTheme="minorEastAsia"/>
          <w:szCs w:val="21"/>
          <w:lang w:eastAsia="zh-CN"/>
        </w:rPr>
        <w:t>质量监督抽查</w:t>
      </w:r>
      <w:r>
        <w:rPr>
          <w:rStyle w:val="32"/>
          <w:rFonts w:hint="eastAsia" w:ascii="宋体" w:hAnsi="宋体" w:cs="宋体" w:eastAsiaTheme="minorEastAsia"/>
          <w:szCs w:val="21"/>
        </w:rPr>
        <w:t>计划和任务要求制定相应的抽检执行计划、现场抽样、样品检测、结果报告并及时数据录入等工作（采购人对产品抽检工作及计划有改变时，应当同意变化，并按照新要求适时调整服务内容）；合同期满前出具年度抽检工作分析报告，并参加采购人组织的各项技术交流。</w:t>
      </w:r>
    </w:p>
    <w:p w14:paraId="6AD83F4E">
      <w:pPr>
        <w:snapToGrid w:val="0"/>
        <w:spacing w:line="500" w:lineRule="exact"/>
        <w:ind w:firstLine="413" w:firstLineChars="196"/>
        <w:textAlignment w:val="baseline"/>
        <w:rPr>
          <w:rStyle w:val="32"/>
          <w:rFonts w:hint="eastAsia" w:ascii="宋体" w:hAnsi="宋体" w:cs="宋体" w:eastAsiaTheme="minorEastAsia"/>
          <w:b/>
          <w:bCs/>
          <w:szCs w:val="21"/>
          <w:lang w:val="en-US" w:eastAsia="zh-CN"/>
        </w:rPr>
      </w:pPr>
      <w:r>
        <w:rPr>
          <w:rStyle w:val="32"/>
          <w:rFonts w:hint="eastAsia" w:ascii="宋体" w:hAnsi="宋体" w:cs="宋体" w:eastAsiaTheme="minorEastAsia"/>
          <w:b/>
          <w:bCs/>
          <w:szCs w:val="21"/>
          <w:lang w:val="en-US" w:eastAsia="zh-CN"/>
        </w:rPr>
        <w:t>二、服务要求</w:t>
      </w:r>
    </w:p>
    <w:p w14:paraId="515F2F84">
      <w:pPr>
        <w:snapToGrid w:val="0"/>
        <w:spacing w:line="500" w:lineRule="exact"/>
        <w:ind w:firstLine="420" w:firstLineChars="200"/>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rPr>
        <w:t>供应商根据自己的技术和商务优势进行投标，但不得只对部分采购内容进行投标。需要分包的项目必须在提交标书时注明分包机构、检测依据、检测项目等信息，允许部分样品检测进行合理分包，但不得超过15%比例。</w:t>
      </w:r>
      <w:r>
        <w:rPr>
          <w:rStyle w:val="32"/>
          <w:rFonts w:hint="eastAsia" w:ascii="宋体" w:hAnsi="宋体" w:cs="宋体" w:eastAsiaTheme="minorEastAsia"/>
          <w:szCs w:val="21"/>
          <w:lang w:val="en-US" w:eastAsia="zh-CN"/>
        </w:rPr>
        <w:t>供应商应确保分包人在中标后能够以供应商承诺的质量标准实施项目，并对分包人的服务质量负有全部责任。未在投标文件中明确的分包方案，在中标后不得实施，分包方案涉及采购方式应符合财政相关政策文件。分包项目中标人不得再次转包、二次分包。</w:t>
      </w:r>
    </w:p>
    <w:p w14:paraId="40654773">
      <w:pPr>
        <w:snapToGrid w:val="0"/>
        <w:spacing w:line="500" w:lineRule="exact"/>
        <w:ind w:firstLine="413" w:firstLineChars="196"/>
        <w:textAlignment w:val="baseline"/>
        <w:rPr>
          <w:rStyle w:val="32"/>
          <w:rFonts w:hint="eastAsia" w:ascii="宋体" w:hAnsi="宋体" w:cs="宋体" w:eastAsiaTheme="minorEastAsia"/>
          <w:b/>
          <w:bCs/>
          <w:szCs w:val="21"/>
          <w:lang w:val="en-US" w:eastAsia="zh-CN"/>
        </w:rPr>
      </w:pPr>
      <w:r>
        <w:rPr>
          <w:rStyle w:val="32"/>
          <w:rFonts w:hint="eastAsia" w:ascii="宋体" w:hAnsi="宋体" w:cs="宋体" w:eastAsiaTheme="minorEastAsia"/>
          <w:b/>
          <w:bCs/>
          <w:szCs w:val="21"/>
          <w:lang w:val="en-US" w:eastAsia="zh-CN"/>
        </w:rPr>
        <w:t>三、抽检内容清单</w:t>
      </w:r>
    </w:p>
    <w:p w14:paraId="56ABD9B2">
      <w:pPr>
        <w:snapToGrid w:val="0"/>
        <w:spacing w:line="500" w:lineRule="exact"/>
        <w:ind w:firstLine="420" w:firstLineChars="200"/>
        <w:textAlignment w:val="baseline"/>
        <w:rPr>
          <w:rStyle w:val="32"/>
          <w:rFonts w:hint="eastAsia" w:ascii="宋体" w:hAnsi="宋体" w:cs="宋体" w:eastAsiaTheme="minorEastAsia"/>
          <w:szCs w:val="21"/>
        </w:rPr>
      </w:pPr>
      <w:r>
        <w:rPr>
          <w:rStyle w:val="32"/>
          <w:rFonts w:hint="eastAsia" w:ascii="宋体" w:hAnsi="宋体" w:cs="宋体" w:eastAsiaTheme="minorEastAsia"/>
          <w:szCs w:val="21"/>
          <w:lang w:val="en-US" w:eastAsia="zh-CN"/>
        </w:rPr>
        <w:t>根据《产品质量法》、《浙江省市场监督管理局关于印发浙江省产品质量安全分级分类监管工作指引的通知》要求，项目明细如下：</w:t>
      </w:r>
    </w:p>
    <w:p w14:paraId="312826CC">
      <w:pPr>
        <w:pStyle w:val="6"/>
        <w:widowControl w:val="0"/>
        <w:numPr>
          <w:ilvl w:val="0"/>
          <w:numId w:val="0"/>
        </w:numPr>
        <w:jc w:val="both"/>
        <w:rPr>
          <w:rFonts w:hint="eastAsia" w:ascii="宋体" w:hAnsi="宋体" w:eastAsia="宋体" w:cs="宋体"/>
          <w:b/>
          <w:kern w:val="0"/>
          <w:sz w:val="24"/>
          <w:szCs w:val="24"/>
          <w:lang w:val="en-US" w:eastAsia="zh-CN" w:bidi="ar-SA"/>
        </w:rPr>
        <w:sectPr>
          <w:headerReference r:id="rId10" w:type="default"/>
          <w:footerReference r:id="rId11" w:type="default"/>
          <w:pgSz w:w="11906" w:h="16838"/>
          <w:pgMar w:top="1800" w:right="1440" w:bottom="1800" w:left="1440" w:header="851" w:footer="992" w:gutter="0"/>
          <w:pgNumType w:fmt="numberInDash" w:start="1"/>
          <w:cols w:space="425" w:num="1"/>
          <w:docGrid w:type="lines" w:linePitch="312" w:charSpace="0"/>
        </w:sectPr>
      </w:pPr>
    </w:p>
    <w:tbl>
      <w:tblPr>
        <w:tblStyle w:val="22"/>
        <w:tblpPr w:leftFromText="180" w:rightFromText="180" w:vertAnchor="page" w:horzAnchor="page" w:tblpX="627" w:tblpY="1728"/>
        <w:tblOverlap w:val="never"/>
        <w:tblW w:w="1586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12"/>
        <w:gridCol w:w="1281"/>
        <w:gridCol w:w="1486"/>
        <w:gridCol w:w="4267"/>
        <w:gridCol w:w="5989"/>
        <w:gridCol w:w="623"/>
        <w:gridCol w:w="1602"/>
      </w:tblGrid>
      <w:tr w14:paraId="15F275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12" w:type="dxa"/>
            <w:tcBorders>
              <w:top w:val="single" w:color="auto" w:sz="4" w:space="0"/>
              <w:left w:val="single" w:color="auto" w:sz="4" w:space="0"/>
              <w:bottom w:val="single" w:color="auto" w:sz="4" w:space="0"/>
              <w:right w:val="single" w:color="auto" w:sz="4" w:space="0"/>
            </w:tcBorders>
            <w:noWrap/>
            <w:vAlign w:val="center"/>
          </w:tcPr>
          <w:p w14:paraId="3CBF0A4E">
            <w:pPr>
              <w:snapToGrid w:val="0"/>
              <w:spacing w:line="500" w:lineRule="exact"/>
              <w:jc w:val="center"/>
              <w:textAlignment w:val="baseline"/>
              <w:rPr>
                <w:rStyle w:val="32"/>
                <w:rFonts w:hint="eastAsia" w:ascii="宋体" w:hAnsi="宋体" w:cs="宋体" w:eastAsiaTheme="minorEastAsia"/>
                <w:szCs w:val="21"/>
                <w:lang w:val="en-US" w:eastAsia="zh-CN"/>
              </w:rPr>
            </w:pPr>
            <w:r>
              <w:rPr>
                <w:rStyle w:val="32"/>
                <w:rFonts w:hint="default" w:ascii="宋体" w:hAnsi="宋体" w:cs="宋体" w:eastAsiaTheme="minorEastAsia"/>
                <w:szCs w:val="21"/>
                <w:lang w:val="en-US" w:eastAsia="zh-CN"/>
              </w:rPr>
              <w:t>序号</w:t>
            </w:r>
          </w:p>
        </w:tc>
        <w:tc>
          <w:tcPr>
            <w:tcW w:w="1281" w:type="dxa"/>
            <w:tcBorders>
              <w:top w:val="single" w:color="auto" w:sz="4" w:space="0"/>
              <w:left w:val="nil"/>
              <w:bottom w:val="single" w:color="auto" w:sz="4" w:space="0"/>
              <w:right w:val="single" w:color="auto" w:sz="4" w:space="0"/>
            </w:tcBorders>
            <w:noWrap w:val="0"/>
            <w:vAlign w:val="center"/>
          </w:tcPr>
          <w:p w14:paraId="6E66FB43">
            <w:pPr>
              <w:snapToGrid w:val="0"/>
              <w:spacing w:line="500" w:lineRule="exact"/>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产品类别</w:t>
            </w:r>
          </w:p>
        </w:tc>
        <w:tc>
          <w:tcPr>
            <w:tcW w:w="1486" w:type="dxa"/>
            <w:tcBorders>
              <w:top w:val="single" w:color="auto" w:sz="4" w:space="0"/>
              <w:left w:val="nil"/>
              <w:bottom w:val="single" w:color="auto" w:sz="4" w:space="0"/>
              <w:right w:val="single" w:color="auto" w:sz="4" w:space="0"/>
            </w:tcBorders>
            <w:noWrap w:val="0"/>
            <w:vAlign w:val="center"/>
          </w:tcPr>
          <w:p w14:paraId="574ECD10">
            <w:pPr>
              <w:snapToGrid w:val="0"/>
              <w:spacing w:line="500" w:lineRule="exact"/>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产品名称</w:t>
            </w:r>
          </w:p>
        </w:tc>
        <w:tc>
          <w:tcPr>
            <w:tcW w:w="4267" w:type="dxa"/>
            <w:tcBorders>
              <w:top w:val="single" w:color="auto" w:sz="4" w:space="0"/>
              <w:left w:val="single" w:color="auto" w:sz="4" w:space="0"/>
              <w:bottom w:val="single" w:color="auto" w:sz="4" w:space="0"/>
              <w:right w:val="single" w:color="auto" w:sz="4" w:space="0"/>
            </w:tcBorders>
            <w:noWrap w:val="0"/>
            <w:vAlign w:val="center"/>
          </w:tcPr>
          <w:p w14:paraId="6D8D442F">
            <w:pPr>
              <w:snapToGrid w:val="0"/>
              <w:spacing w:line="500" w:lineRule="exact"/>
              <w:ind w:firstLine="420" w:firstLineChars="200"/>
              <w:jc w:val="both"/>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检测依据</w:t>
            </w:r>
          </w:p>
        </w:tc>
        <w:tc>
          <w:tcPr>
            <w:tcW w:w="5989" w:type="dxa"/>
            <w:tcBorders>
              <w:top w:val="single" w:color="auto" w:sz="4" w:space="0"/>
              <w:left w:val="single" w:color="auto" w:sz="4" w:space="0"/>
              <w:bottom w:val="single" w:color="auto" w:sz="4" w:space="0"/>
              <w:right w:val="single" w:color="auto" w:sz="4" w:space="0"/>
            </w:tcBorders>
            <w:noWrap w:val="0"/>
            <w:vAlign w:val="center"/>
          </w:tcPr>
          <w:p w14:paraId="1AEA2981">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检测项目</w:t>
            </w:r>
          </w:p>
        </w:tc>
        <w:tc>
          <w:tcPr>
            <w:tcW w:w="623" w:type="dxa"/>
            <w:tcBorders>
              <w:top w:val="single" w:color="auto" w:sz="4" w:space="0"/>
              <w:left w:val="nil"/>
              <w:bottom w:val="single" w:color="auto" w:sz="4" w:space="0"/>
              <w:right w:val="single" w:color="auto" w:sz="4" w:space="0"/>
            </w:tcBorders>
            <w:noWrap w:val="0"/>
            <w:vAlign w:val="center"/>
          </w:tcPr>
          <w:p w14:paraId="231A65D5">
            <w:pPr>
              <w:snapToGrid w:val="0"/>
              <w:spacing w:line="500" w:lineRule="exact"/>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批次</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7AF9E391">
            <w:pPr>
              <w:snapToGrid w:val="0"/>
              <w:spacing w:line="500" w:lineRule="exact"/>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最高限价（元/批次）</w:t>
            </w:r>
          </w:p>
        </w:tc>
      </w:tr>
      <w:tr w14:paraId="15BA71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3"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8993527">
            <w:pPr>
              <w:snapToGrid w:val="0"/>
              <w:spacing w:line="500" w:lineRule="exact"/>
              <w:ind w:firstLine="210" w:firstLineChars="100"/>
              <w:jc w:val="both"/>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6DA7719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73C3F67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电冰箱</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C98E486">
            <w:pPr>
              <w:snapToGrid w:val="0"/>
              <w:spacing w:line="500" w:lineRule="exact"/>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GB 4706.1-2005    家用和类似用途电器的安全 第1部分：通用要求</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4706.13-2014   家用和类似用途电器的安全 制冷器具、冰淇淋机和制冰机的特殊要求</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GB4706.102-2010  家用和类似用途电器的安全 带嵌装或远置式制冷剂冷凝装置或压缩机的商用制冷器具的特殊要求</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26920.2-2015   商用制冷器具能效限定值和能效等级 第 2 部分：自携冷凝机组商用冷柜</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12021.2-2015   家用电冰箱耗电量限定值及能效等级</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7FFEF7A">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 xml:space="preserve">家用产品：标志和说明、对触及带电部件的防护、输入功率和电流、发热、工作温度下的泄漏电流和电气强度、瞬态过电压、耐潮湿、泄漏电流和电气强度、稳定性和机械危险、机械强度、结构（不包括第22.46条的试验）、内部布线、元件、电源连接和外部软线、外部导线用接线端子、接地措施、螺钉和连接、电气间隙、爬电距离和固体绝缘、耐热和耐燃、电冰箱耗电量限定值、能效等级的判定。     </w:t>
            </w:r>
          </w:p>
          <w:p w14:paraId="4A8E9B60">
            <w:pPr>
              <w:snapToGrid w:val="0"/>
              <w:spacing w:line="500" w:lineRule="exact"/>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商用产品：标志和说明、对触及带电部件的防护、输入功率和电流、发热、工作温度下的泄漏电流和电气强度、瞬态过电压、耐潮湿、泄漏电流和电气强度、稳定性和机械危险、机械强度、结构（不包括第22.46条的试验）、内部布线、元件、电源连接和外部软线、外部导线用接线端子、接地措施、螺钉和连接、电气间隙、爬电距离和固体绝缘、耐热和耐燃、自携式商用冷柜耗电量限定值、能效等级</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4E43464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7</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35215818">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5000</w:t>
            </w:r>
          </w:p>
        </w:tc>
      </w:tr>
      <w:tr w14:paraId="331B13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3"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57A5B42">
            <w:pPr>
              <w:snapToGrid w:val="0"/>
              <w:spacing w:line="500" w:lineRule="exact"/>
              <w:ind w:firstLine="210" w:firstLineChars="100"/>
              <w:jc w:val="both"/>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59A0764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2E8A508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水泥</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18F9FEF">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175—2023 通用硅酸盐水泥</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3183—2017 砌筑水泥</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47D4CD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175—2023:不溶物、烧失量、三氧化硫、氧化镁、氯离子、水泥中水溶性铬(Ⅵ)、凝结时间、安定性、强度、细度、放射性核素限量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3183—2017：三氧化硫、氯离子、水泥中水溶性铬（Ⅵ）、细度、凝结时间、沸煮法安定性、保水率、强度、放射性</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2E5EF900">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00EFF24F">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4000</w:t>
            </w:r>
          </w:p>
        </w:tc>
      </w:tr>
      <w:tr w14:paraId="2661FE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727B2F">
            <w:pPr>
              <w:snapToGrid w:val="0"/>
              <w:spacing w:line="500" w:lineRule="exact"/>
              <w:ind w:firstLine="210" w:firstLineChars="100"/>
              <w:jc w:val="both"/>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4EE2674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2568298D">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风机</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C431039">
            <w:pPr>
              <w:snapToGrid w:val="0"/>
              <w:spacing w:line="500" w:lineRule="exact"/>
              <w:jc w:val="both"/>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GZ346201风机140-2021《浙江省风机产品质量监督抽查评价规则》</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8EFC7DB">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一般用途轴流通风机：在规定流量下所对应的全压偏差或静压偏差或在规定的全压或静压下所对应的流量偏差、全压效率或静压效率、振动速度有效值Vrms、噪声(比A声级)LSA、轴承温升、标志、外观与清洁度、风机能效效率、一般用途离心通风机：在规定流量下所对应的全压偏差或静压偏差或在规定的全压或静压下所对应的流量偏差、全压效率或静压效率、振动速度有效值Vrms、噪声(比A声级)LSA、轴承温升、标志、外观与清洁度、风机能效效率 防爆通风机：在规定流量下所对应的全压偏差或静压偏差或在规定的全压或静压下所对应的流量偏差、全压效率或静压效率、振动速度有效值Vrms、噪声(比A声级)LSA、轴承温升、标志、外观与清洁度、结构</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6DC2421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0A4A729C">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4000</w:t>
            </w:r>
          </w:p>
        </w:tc>
      </w:tr>
      <w:tr w14:paraId="0D56B0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2806F0">
            <w:pPr>
              <w:snapToGrid w:val="0"/>
              <w:spacing w:line="500" w:lineRule="exact"/>
              <w:ind w:firstLine="210" w:firstLineChars="100"/>
              <w:jc w:val="both"/>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7FF5884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656D878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制冷配件</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740555F">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JB/T 7659.4-2013</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JB/T 7659.3-2011</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9C70D49">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外观</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加工要求</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清洁度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密封性</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耐压强度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标志、外观质量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成套性</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冷、热加工成型</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标志</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清洁度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耐压与气密性试验</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71C569D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7B12C787">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2000</w:t>
            </w:r>
          </w:p>
        </w:tc>
      </w:tr>
      <w:tr w14:paraId="2D5BF0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FC0A575">
            <w:pPr>
              <w:snapToGrid w:val="0"/>
              <w:spacing w:line="500" w:lineRule="exact"/>
              <w:ind w:firstLine="210" w:firstLineChars="100"/>
              <w:jc w:val="both"/>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5</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4535BAA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0E5B244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插头插座</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A53A936">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2099.1-2021、GB/T 1002-2021</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4C560EA">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标志、尺寸检查、防触电保护、接地措施、固定式插座的结构、插头和移动式插座的结构、温升、分断容量、机械强度、爬电距离、电气间隙和通过密封胶的距离</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5F74BB8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7A8B4A49">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2000</w:t>
            </w:r>
          </w:p>
        </w:tc>
      </w:tr>
      <w:tr w14:paraId="416620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92C461F">
            <w:pPr>
              <w:snapToGrid w:val="0"/>
              <w:spacing w:line="500" w:lineRule="exact"/>
              <w:ind w:firstLine="210" w:firstLineChars="100"/>
              <w:jc w:val="both"/>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6</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6A63607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4728580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电线组件</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8F46A8E">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15934-2008、GB/T 2099.1-2021、 GB/T 2099.1-2008、GB/T 17465.1-2009、GB/T 17465.1-2022、GB/T 17465.6-2022</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D2AA1A6">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对部件的要求(插头）、标志、尺寸检查、防触电保护、接地措施、端子和端头、插头和移动式插座的结构、温升、机械强度、爬电距离、电气间隙和通过密封胶的距离、对部件的要求(连接器、插头连接器）、防触电保护、接地措施、结构、插入和拔出连接器所需的力、触头的工作、分断容量、温升、软线及其连接、机械强度、耐热和抗老化性能、爬电距离、电气间隙和穿通绝缘距离、绝缘材料的耐热、耐燃和耐电痕化、对整个组件的要求、电气连续性和极性</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4D4DAA8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39EBB6CE">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4500</w:t>
            </w:r>
          </w:p>
        </w:tc>
      </w:tr>
      <w:tr w14:paraId="2653FF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7861D0">
            <w:pPr>
              <w:snapToGrid w:val="0"/>
              <w:spacing w:line="500" w:lineRule="exact"/>
              <w:ind w:firstLine="210" w:firstLineChars="100"/>
              <w:jc w:val="both"/>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7</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25EF883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2EBE114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电线电缆</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8E33414">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5023.1-2008 《额定电压450/750V及以下聚氯乙烯绝缘电缆 第1部分：一般要求》</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5023.3-2008 《额定电压450/750V及以下聚氯乙烯绝缘电缆 第3部分：固定布线用无护套电缆》</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5023.4-2008 《额定电压450/750V及以下聚氯乙烯绝缘电缆 第4部分：固定布线用护套电缆》</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5023.5-2008  《额定电压450/750V及以下聚氯乙烯绝缘电缆 第5部分：软电缆（软线）》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JB/T 8734.1-2016 《额定电压450/750V及以下聚氯乙烯绝缘电缆电线和软线 第1部分：一般要求》</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JB/T 8734.2-2016 《额定电压450/750V及以下聚氯乙烯绝缘电缆电线和软线 第2部分：固定布线用电缆电线》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JB/T 8734.3-2016 《额定电压450/750V及以下聚氯乙烯绝缘电缆电线和软线 第3部分：连接用软电线和软电缆》</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19666—2019 《阻燃和耐火电线电缆或光缆通则》</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08BA5D0">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标签检查、标志、结构检查、导体电阻、成品电缆电压试验、绝缘线芯电压试验、绝缘电阻、绝缘平均厚度、绝缘最薄处厚度、护套平均厚度、护套最薄处厚度、平均外径或外形尺寸、椭圆度、绝缘老化前抗张强度、绝缘老化前断裂伸长率、绝缘空气烘箱老化后抗张强度、绝缘空气烘箱老化后断裂伸长率、绝缘空气烘箱老化前后抗张强度变化率、绝缘空气烘箱老化前后断裂伸长率变化率、绝缘失重试验、绝缘热冲击试验、护套老化前抗张强度、护套老化前断裂伸长率、护套空气烘箱老化后抗张强度、护套空气烘箱老化后断裂伸长率、护套空气烘箱老化前后抗张强度变化率、护套空气烘箱老化前后断裂伸长率变化率、护套失重试验、不延燃试验</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188B0C6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2E29F696">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3000</w:t>
            </w:r>
          </w:p>
        </w:tc>
      </w:tr>
      <w:tr w14:paraId="494F3B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2F9DFD">
            <w:pPr>
              <w:snapToGrid w:val="0"/>
              <w:spacing w:line="500" w:lineRule="exact"/>
              <w:ind w:firstLine="210" w:firstLineChars="100"/>
              <w:jc w:val="both"/>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8</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1DCB956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624A95A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器具耦合器</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7E34326">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17465.1-2022、GB/T 17465.6-2022</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B9FFA1A">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标志、尺寸和互换性、防触电保护、接地措施、端子和端头、结构、防潮、绝缘电阻和电气强度、插入和拔出连接器所需的力、触头的工作、用于热条件和酷热条件下的器具耦合器的耐热性能、分断容量、正常操作、温升、软线及其连接、机械强度、耐热和抗老化性能、螺钉、载流部件及其连接、爬电距离、电气间隙和穿通绝缘距离、绝缘材料的耐热、耐燃和耐电痕化</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10A9346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32670FD1">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4000</w:t>
            </w:r>
          </w:p>
        </w:tc>
      </w:tr>
      <w:tr w14:paraId="02B7CD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5DA83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9</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7EBCF7A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453608E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中小电机</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92C72D4">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755-2019 旋转电机 定额和性能</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 xml:space="preserve">GB/T 12350—2022 小功率电动机的安全要求 </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5171.1—2014 小功率电动机 第1部分：通用技术条件</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10068—2020 轴中心高为56mm及以上电机的机械振动 振动的测量、评定及限值</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JB/T 10490-2016 小功率电动机机械振动 振动测量方法、评定和限值</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7CD0D8D">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机座与外壳（仅测5.2.5）、连接件、内部布线、电气间隙和爬电距离、接地、温升试验、非正常试验（仅测18.1～18.4）、绝缘电阻和电气强度、工作温度下的泄漏电流、元件（仅测24.3）、湿热试验、起动、其他要求（仅测26.1 26.2）、振动测量</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23D5F95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03428DA0">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4000</w:t>
            </w:r>
          </w:p>
        </w:tc>
      </w:tr>
      <w:tr w14:paraId="7B8706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D2EF81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10</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537A6DE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567633F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配电板</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88C47EB">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7251.2-2023、GB/T 7251.12-2013</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AFDD9D2">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7251.2-2023：标志、电气间隙和爬电距离、I类成套设备外露可导电部分与保护电路之间的有效接地的连续性、温升、PSC-成套设备的防护等级（IP代码）、介电性能、提升、机械操作、机械碰撞（IK代码）、绝缘材料耐受内部电效应引起的非正常发热和着火的验证，GB/T 7251.12-2013：标志、电气间隙和爬电距离、成套设备外露可导电部分与保护电路之间的有效接地的连续性、温升验证、成套设备的防护等级、介电性能、提升、机械操作、机械碰撞、绝缘材料耐受内部电效应引起的非正常发热和着火的验证</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5877929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223C2A2F">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5000</w:t>
            </w:r>
          </w:p>
        </w:tc>
      </w:tr>
      <w:tr w14:paraId="20FF60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D871C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11</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2CD7D26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47425D3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低压成套开关设备</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E9D0388">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7251.3-2017</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C2ABBD2">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标志、电气间隙和爬电距离、成套设备外露可导电部分与保护电路之间的有效接地的连续性、温升验证、成套设备的防护等级、介电性能、机械操作、机械碰撞、绝缘材料耐受内部电效应引起的非正常发热和着火的验证</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6BD0FC4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4D640008">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5000</w:t>
            </w:r>
          </w:p>
        </w:tc>
      </w:tr>
      <w:tr w14:paraId="752E6A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D92DDF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12</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05C75D8A">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食品相关产品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3C45C16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食品用纸包装容器等制品</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5315778">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4806.8-2022 食品安全国家标准 食品接触用纸和纸板材料及制品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4806.7-2023食品安全国家标准 食品接触用塑料材料及制品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4806.14-2023食品安全国家标准 食品接触材料及制品用油墨</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FA85D73">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感官要求、总迁移量、重金属（以Pb计）、铅、砷、甲醛、荧光性物质、1,3-二氯-2-丙醇、3-氯-1,2-丙二醇、大肠菌群、沙门氏菌、霉菌、高锰酸钾消耗量、脱色试验、芳香族伯胺迁移总量、1-辛烯特定迁移量、特定迁移总量（以丙烯酸计）、特定迁移总量（以甲基丙烯酸计）、特定迁移总量（以顺丁烯二酸计）、乙酸乙烯酯特定迁移量、氯乙烯特定迁移量、1,1-二氯乙烷特定迁移量、邻苯二甲酸二（2-乙基）己酯（DEHP）迁移量、邻苯二甲酸二烯丙酯（DAP）迁移量、邻苯二甲酸二异壬酯（DINP）迁移总量、邻苯二甲酸二正丁酯（DBP）迁移量</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4696ACB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7</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4FEC16BB">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2300</w:t>
            </w:r>
          </w:p>
        </w:tc>
      </w:tr>
      <w:tr w14:paraId="32EA3C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EA0E67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13</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0267934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食品相关产品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101FE92C">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食品接触用塑料容器</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0088524">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4806.7-2023食品安全国家标准 食品接触用塑料材料及制品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4806.14-2023食品安全国家标准 食品接触材料及制品用油墨</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85224D0">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感官要求（感官、浸泡液）、总迁移量、高锰酸钾消耗量、重金属（以Pb计）、脱色试验、芳香族伯胺迁移总量、丙烯腈特定迁移量、1,3-丁二烯特定特定迁移量、特定迁移总量（以己内酰胺计）、双酚A特定迁移量、苯酚特定迁移量、三聚氰胺特定迁移量、特定迁移总量（以甲醛计）、四氢呋喃特定迁移量、特定迁移总量（以对苯二甲酸计）、特定迁移总量（以偏苯三甲酸计）、特定迁移总量（以1,4-丁二醇计）、特定迁移总量（以1,2-乙二醇计）、特定迁移总量（以间苯二甲酸计）、特定迁移总量（以偏苯三甲酸计）、1-辛烯特定迁移量、特定迁移总量（以丙烯酸计）、特定迁移总量（以甲基丙烯酸计）、特定迁移总量（以顺丁烯二酸计）、乙酸乙烯酯特定迁移量、氯乙烯特定迁移量、1,1-二氯乙烷特定迁移量、邻苯二甲酸二（2-乙基）己酯（DEHP）迁移量、邻苯二甲酸二烯丙酯（DAP）迁移量、邻苯二甲酸二异壬酯（DINP）迁移总量、邻苯二甲酸二正丁酯（DBP）迁移量</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35760B3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6</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1DD297F4">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2200</w:t>
            </w:r>
          </w:p>
        </w:tc>
      </w:tr>
      <w:tr w14:paraId="29460E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FCBE78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14</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6EA2BDE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食品相关产品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4DF7AB60">
            <w:pPr>
              <w:snapToGrid w:val="0"/>
              <w:spacing w:line="500" w:lineRule="exact"/>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食品用工具</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926C5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4806.7-2023食品安全国家标准 食品接触用塑料材料及制品</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6E87F98">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感官要求（感官、浸泡液）、总迁移量、高锰酸钾消耗量、重金属（以Pb计）、脱色试验、芳香族伯胺迁移总量、丙烯腈特定迁移量、1,3-丁二烯特定特定迁移量、特定迁移总量（以己内酰胺计）、双酚A特定迁移量、苯酚特定迁移量、三聚氰胺特定迁移量、特定迁移总量（以甲醛计）、四氢呋喃特定迁移量、特定迁移总量（以对苯二甲酸计）、特定迁移总量（以偏苯三甲酸计）、特定迁移总量（以1,4-丁二醇计）、特定迁移总量（以1,2-乙二醇计）、特定迁移总量（以间苯二甲酸计）、特定迁移总量（以偏苯三甲酸计）、1-辛烯特定迁移量、特定迁移总量（以丙烯酸计）、特定迁移总量（以甲基丙烯酸计）、特定迁移总量（以顺丁烯二酸计）、乙酸乙烯酯特定迁移量、氯乙烯特定迁移量、1,1-二氯乙烷特定迁移量、邻苯二甲酸二（2-乙基）己酯（DEHP）迁移量、邻苯二甲酸二烯丙酯（DAP）迁移量、邻苯二甲酸二异壬酯（DINP）迁移总量、邻苯二甲酸二正丁酯（DBP）迁移量</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16D8D0AA">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58824373">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2500</w:t>
            </w:r>
          </w:p>
        </w:tc>
      </w:tr>
      <w:tr w14:paraId="238978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359077A">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15</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776DCAD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包装产品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103E6FC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危险化学品包装及容器（塑料）</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E317A8F">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18191-2008 包装容器 危险品包装用塑料桶</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19160-2008 包装容器 危险品包装用塑料罐</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3C0B4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气密试验、液压试验、堆码负载（常温）、跌落高度</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3DD89C40">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124CA861">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6000</w:t>
            </w:r>
          </w:p>
        </w:tc>
      </w:tr>
      <w:tr w14:paraId="1B339D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C981DD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16</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14C854E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纺织产品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6FAFBA1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校服</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9CE5EAC">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18383—2007 絮用纤维制品通用技术要求</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18401—2010 国家纺织产品基本安全技术规范</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22854—2009 针织学生服</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23328—2009 机织学生服</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29862—2013 纺织品 纤维含量的标识</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31701—2015 婴幼儿及儿童纺织产品安全技术规范</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31888—2015 中小学生校服</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0BF9D72">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甲醛含量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pH值</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可分解致癌芳香胺染料</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耐水色牢度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耐酸汗渍色牢度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耐碱汗渍色牢度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耐干摩擦色牢度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耐湿摩擦色牢度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纤维含量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绳带要求</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附件锐利性</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金属针</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絮用纤维原料要求</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4FB1981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0D057BA6">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2000</w:t>
            </w:r>
          </w:p>
        </w:tc>
      </w:tr>
      <w:tr w14:paraId="442911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2D940FC">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17</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07292B9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纺织产品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2C72C75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针织服装</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EFA70B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18401—2010   国家纺织产品基本安全技术规范</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29862—2013 纺织品 纤维含量的标识</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8878—2014 棉针织内衣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8878—2023 针织内衣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22849—2014 针织T恤衫</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22849—2024 针织T恤衫</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22853—2019 针织运动服</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26384—2011 针织棉服装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26385—2011 针织拼接服装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43015—2021 桑蚕丝针织服装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73010—2016 针织工艺衫</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73016—2020 针织保暖内衣 絮片型</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73017—2014 针织家居服</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73017—2023 针织家居服</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 xml:space="preserve">FZ/T 73019.1—2017 针织塑身内衣 弹力型 </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73019.2—2020 针织塑身内衣 调整型</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73020—2019 针织休闲服装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73022—2019 针织保暖内衣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73024—2014 化纤针织内衣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73026—2014 针织裙、裙套</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73029—2019 针织裤</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73032—2017 针织牛仔服装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73033—2009 大豆蛋白复合纤维针织内衣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73035—2010 针织彩棉内衣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 xml:space="preserve">FZ/T 73043—2020  针织衬衫 </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73052—2015水洗整理针织服装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73056—2016 针织西服</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73057—2017 自由裁针织服装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73058—2017 针织大衣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73061—2019 针织茄克衫</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73062—2019 针织沙滩服</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73063—2019 针织孕妇装</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EC4201B">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纤维含量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甲醛含量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pH值</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可分解致癌芳香胺染料</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耐汗渍色牢度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耐水色牢度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耐干摩擦色牢度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耐湿摩擦色牢度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起毛起球</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7CFD0FDA">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237B8FCC">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1400</w:t>
            </w:r>
          </w:p>
        </w:tc>
      </w:tr>
      <w:tr w14:paraId="3E0FA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64FDA3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18</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35F44DE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纺织产品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6BDF58D6">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棉纱</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F3763BC">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18401-2010 国家纺织产品基本安全技术规范</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31701-2015 婴幼儿及儿童纺织产品安全技术规范</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29862-2013 纺织品 纤维含量的标识</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398-2018 棉本色纱线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5324-2009 精梳涤棉混纺本色纱线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24116-2009 针织用筒子染色纱线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24345-2009 机织用筒子染色纱线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12001-2015 转杯纺棉本色纱</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12003-2014 粘胶纤维本色纱线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12004-2015 涤粘与粘胶纤维混纺本色纱线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12005-2020 普梳涤与棉混纺本色纱线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12006-2011 精梳棉涤混纺本色纱线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12007-2014 棉维混纺本色纱线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12010-2011 棉氨纶包芯本色纱</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12014-2014 针织用棉色纺纱</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12016-2021 棉与涤纶混纺色纺纱</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12017-2016 天然彩色棉转杯纺纱</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12018-2019 紧密纺精梳棉本色纱线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12019-2018 涤纶本色纱线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12020-2009 竹浆粘胶纤维本色纱线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12022-2019 涤纶与粘纤混纺色纺纱线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12028-2020  涤纶色纺纱线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63001-2014 缝纫用涤纶本色纱线</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71005-2014 针织用棉本色纱</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52653A2">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线密度偏差率（ 百米重量偏差）</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线密度变异系数（百米重量变异系数）</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单纱断裂强度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单纱断裂强力变异系数</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条干均匀度变异系数</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千米棉结</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明显色结</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耐皂洗色牢度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耐酸汗渍色牢度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耐碱汗渍色牢度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耐水色牢度                  耐干热色牢度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耐干摩擦色牢度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耐湿摩擦色牢度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甲醛含量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pH值</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异味</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可分解致癌芳香胺染料</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纤维含量</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2A72719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499C83EE">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1600</w:t>
            </w:r>
          </w:p>
        </w:tc>
      </w:tr>
      <w:tr w14:paraId="397C8B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67B71D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19</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47A91A4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455F209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防爆电器</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93E9253">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3836.1-2021、GB/T 3836.2-2021、GB/T 3836.3-2021</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FD9E4AC">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3836.1-2021：抗冲击试验、非铠装电缆和带编织覆盖层电缆的夹紧试验-夹紧试验、非铠装电缆和带编织覆盖层电缆的夹紧试验-机械强度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3836.2-2021：隔爆接合面、隔爆外壳引入装置的附加要求-密封试验、隔爆外壳引入装置的附加要求-机械强度试验、外壳耐压试验、内部点燃的不传爆试验</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3836.3-2021：电气间隙、爬电距离、绝缘介电强度</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1475DBB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78B13398">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4000</w:t>
            </w:r>
          </w:p>
        </w:tc>
      </w:tr>
      <w:tr w14:paraId="4DAFB5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6B9163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20</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5AD5753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5AA2F24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应急照明灯具</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D96148B">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17945-2010 《消防应急照明和疏散指示系统》，GB 17945-2024 《消防应急照明和疏散指示系统》</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79BB50B">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消防应急照明灯具：GB 17945-2010：基本功能试验、充、放电试验、重复转换试验、转换电压试验、绝缘电阻试验、耐压试验；GB 17945-2024：灯具的基本功能试验（照明灯具、最小初装持续应急工作时间检查、蓄电池（组）充、放电功能和性能检查）、转换电压试验、绝缘电阻试验、接地电阻试验、电气强度试验</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274B80F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7BF44765">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2500</w:t>
            </w:r>
          </w:p>
        </w:tc>
      </w:tr>
      <w:tr w14:paraId="2CF284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4B5A7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21</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354AB1B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2F568F00">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固定式通用灯具</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A0D105F">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7000.1-2015    《灯具 第1部分：一般要求与试验》</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7000.201-2008  《灯具 第2-1部分：特殊要求 固定式通用灯具》</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23CE6E7">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标记、结构、接地规定、外部接线和内部接线、防触电保护、耐久性试验和热试验、绝缘电阻和电气强度、接触电流和保护导体电流、耐热、耐火和耐起痕</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42A889E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6C9B5128">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3500</w:t>
            </w:r>
          </w:p>
        </w:tc>
      </w:tr>
      <w:tr w14:paraId="4F854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8D57CFD">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22</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6B4D51CD">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47A9C57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中空玻璃</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57304A9">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11944-2012《中空玻璃》</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14D0154">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尺寸偏差、外观质量、露点、耐紫外线辐照性能</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6BE08CA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593BE013">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2800</w:t>
            </w:r>
          </w:p>
        </w:tc>
      </w:tr>
      <w:tr w14:paraId="30ED92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447600C">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23</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48FE9DEA">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356EBC5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钢化玻璃</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EFE489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15763.2-2005《建筑用安全玻璃 第2部分 钢化玻璃》</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D0A617C">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尺寸偏差、厚度允差、外观质量、弯曲度、表面应力、碎片状态、抗冲击性、耐热冲击性能</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34E6A18C">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6E1C61FD">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3500</w:t>
            </w:r>
          </w:p>
        </w:tc>
      </w:tr>
      <w:tr w14:paraId="52700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8C45E9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24</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6C61455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13E3C4B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夹层玻璃</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739B50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15763.3-2009《建筑用安全玻璃 第3部分 夹层玻璃》</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1114F46">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厚度偏差、耐热性、耐湿性、耐辐照性、落球冲击剥离性能</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354E428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61AB4E48">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5000</w:t>
            </w:r>
          </w:p>
        </w:tc>
      </w:tr>
      <w:tr w14:paraId="0B995D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3"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1333C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25</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175174C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4A7EE9B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防火玻璃</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79D1240">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15763.1-2009《建筑用安全玻璃 第1部分：防火玻璃》</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66D76C9">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耐火性能</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327BE72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3CCAFA59">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7000</w:t>
            </w:r>
          </w:p>
        </w:tc>
      </w:tr>
      <w:tr w14:paraId="5D2045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3"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0515BA">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26</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5058497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轻工业品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6E278BA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配装眼镜</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97F766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GB13511.1-2011</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6D0237B">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标志、顶焦度偏差、树脂片基准点厚度、厚度偏差、光学中心水平距离偏差、水平光学中心与眼瞳单侧偏差、光学中心垂直互差、柱镜轴位方向偏差、处方棱镜度偏差、多焦点镜片的位置、镜片的材料和表面的质量、装配质量、镜架外观质量、透射比要求</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086C8DA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106CB54A">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2100</w:t>
            </w:r>
          </w:p>
        </w:tc>
      </w:tr>
      <w:tr w14:paraId="5655E6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F1FA1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27</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3A176C2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62B215B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外墙涂料</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354D024">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18582-2020 建筑用墙面涂料中有害物质限量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9755-2014 合成树脂乳液外墙涂料</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32A562A">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对比率（白色和浅色）</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耐碱性（48h）</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耐水性（96h）</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耐洗刷性（2000次）</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VOC含量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甲醛含量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苯系物总和含量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[限苯、甲苯、二甲苯（含乙苯）]</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总铅（Pb）含量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可溶性重金属含量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烷基酚聚氧乙烯醚总和含量{限辛基酚聚氧乙烯醚和壬基酚聚氧乙烯醚}</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55ADAAEA">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3636731D">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3000</w:t>
            </w:r>
          </w:p>
        </w:tc>
      </w:tr>
      <w:tr w14:paraId="5EA2D4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AF3B5D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28</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2DE89E8D">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534AE71D">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内墙涂料</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260CAE5">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18582-2020 建筑用墙面涂料中有害物质限量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9756-2018 合成树脂乳液内墙涂料</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17F41B5">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对比率（白色和浅色）</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耐碱性（24h）</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耐洗刷性</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VOC含量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甲醛含量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苯系物总和含量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[限苯、甲苯、二甲苯（含乙苯）]</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总铅（Pb）含量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可溶性重金属含量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烷基酚聚氧乙烯醚总和含量{限辛基酚聚氧乙烯醚和壬基酚聚氧乙烯醚}</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49741C0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258E338E">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3000</w:t>
            </w:r>
          </w:p>
        </w:tc>
      </w:tr>
      <w:tr w14:paraId="13DAB1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D05890">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29</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534EB56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1FB650DA">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壁纸</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3139CCF">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GB18585-2023、GB/T34844-2017</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481B738">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重金属(或其它）元素含量、氯乙烯单体含量、邻苯二甲酸酯含量、甲醛释放量、总挥发性有机化合物（TVOC）释放量、短链氯化石蜡含量（C10-C13）、尺寸偏差、每卷段数和最小段长、外观、褪色性、湿摩擦色牢度、遮蔽性、湿抗张强度、伸缩性</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5C98523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5D4A3EBA">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13500</w:t>
            </w:r>
          </w:p>
        </w:tc>
      </w:tr>
      <w:tr w14:paraId="1E56AE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E45996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30</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7AFB074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食品相关产品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0C06345D">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竹木制品</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126C097">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4806.12-2022 食品安全国家标准 食品接触用竹木材料及制品</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4C29EAD">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感官要求、总迁移量、甲醛、二氧化硫、五氯苯酚及其盐类（以五氯苯酚计）、噻菌灵、邻苯基苯酚、抑霉唑、联苯、大肠菌群、沙门氏菌、</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1AE3C1E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7D4D636E">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4000</w:t>
            </w:r>
          </w:p>
        </w:tc>
      </w:tr>
      <w:tr w14:paraId="436E9B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F9CA3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31</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79DFB19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3402352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混凝土普通砖</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10BAD5E">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NY/T 671-2003混凝土普通砖和装饰砖</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5ADF3EA">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尺寸偏差、外观质量、密度级、颜色、强度等级、吸水率、抗冻性</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7B7C6A3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0BA7C1A5">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2500</w:t>
            </w:r>
          </w:p>
        </w:tc>
      </w:tr>
      <w:tr w14:paraId="28AD66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E4C22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32</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1C5066E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2CD1EBA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混凝土多孔砖</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245C32D">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25779-2010承重混凝土多孔砖</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A066065">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外观质量、尺寸偏差、孔洞率、最小外壁和最小肋厚、抗压强度、最大吸水率、线性干燥收缩率和相对含水率、抗冻性、碳化系数、软化系数、放射性</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76C35DB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0C12CAE6">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3000</w:t>
            </w:r>
          </w:p>
        </w:tc>
      </w:tr>
      <w:tr w14:paraId="279E1A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10FBF4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33</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42177D5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3BE4BEB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烧结多孔砖</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FDF4452">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13544-2011烧结多孔砖和烧结多孔砌块</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CE3D43D">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尺寸允许偏差、外观质量、密度等级、强度等级、孔型孔结构及孔洞率、泛霜、石灰爆裂、抗风化性能、欠火砖（砌块）、酥砖（砌块）、放射性核素限量</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416C4AFC">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6AE3A165">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3000</w:t>
            </w:r>
          </w:p>
        </w:tc>
      </w:tr>
      <w:tr w14:paraId="299D6E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3"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EB2B7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34</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0E023E8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1EAE3A5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中密度纤维板</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730EC7E">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11718-2021 中密度纤维板</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6CCE8C2">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密度、含水率、静曲强度、弹性模量、内结合强度、吸水厚度膨胀率</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、表面胶合强度、甲醛释放量</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2896501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76B1B17C">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5000</w:t>
            </w:r>
          </w:p>
        </w:tc>
      </w:tr>
      <w:tr w14:paraId="2D6C14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A1F133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35</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3291737D">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27A3BC6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浸渍纸层压木质地板</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AD3CE37">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18102-2020  浸渍纸层压木质地板</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DD65970">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含水率、密度、吸水厚度膨胀率、内结合强度、表面胶合强度、表面耐划痕、表面耐冷热循环、尺寸稳定性、表面耐磨、表面耐香烟灼烧、表面耐干热、表面耐污染、表面耐龟裂、锁合力、抗冲击、表面耐水蒸气、甲醛释放量</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2F9A4EF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140FA560">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6000</w:t>
            </w:r>
          </w:p>
        </w:tc>
      </w:tr>
      <w:tr w14:paraId="7C95F9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AD31F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36</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20DD541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金属制品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773CFD8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钢筋焊接网</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C120ED3">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1499.3-2010钢筋混凝土用钢 第3部分：钢筋焊接网</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1499.3-2022钢筋混凝土用钢 第3部分：钢筋焊接网</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DB2FCAF">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拉伸试验（下屈服强度、规定塑性延伸强度、断后伸长率、最大力总延伸率、断后延伸率、抗拉强度）、表面质量、弯曲、重量偏差、抗剪力、网片尺寸</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741082A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494514D7">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2000</w:t>
            </w:r>
          </w:p>
        </w:tc>
      </w:tr>
      <w:tr w14:paraId="6084F0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44B45D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37</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0A1E5D7C">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金属制品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7815A5F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冷轧带肋钢筋</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7812D0D">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13788—2017</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59ADB95">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力学性能（规定塑性延伸强度、抗拉强度、断后伸长率、强屈比、最大力总延伸率）、工艺性能（弯曲、反复弯曲）、应力松弛试验、尺寸（横肋中点高、横肋间距）、重量偏差、表面标志</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4819557D">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43E7C70D">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2000</w:t>
            </w:r>
          </w:p>
        </w:tc>
      </w:tr>
      <w:tr w14:paraId="5AD1E8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DF3141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38</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6C1EFAC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460AEF9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防水卷材</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414B3E4">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18242-2008 弹性体改性沥青防水卷材</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23441-2009 自粘聚合物改性沥青防水卷材</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08FDDD4">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18242-2008:可溶物含量、耐热性、低温柔性、不透水性、拉力、延伸率、浸水后质量增加、热老化、渗油性、接缝剥离强度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23441-2009：可溶物含量、拉伸性能、耐热性、低温柔性、不透水性、剥离强度、钉杆水密性、渗油性、持粘性、热老化</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08EA5AA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24BE5726">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5000</w:t>
            </w:r>
          </w:p>
        </w:tc>
      </w:tr>
      <w:tr w14:paraId="29E60E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C7F2D8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39</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443C433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建材产品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0721108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木制家具</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D8A2DEF">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GB/T3324-2024</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37CD45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木材含水率、漆膜耐液性、漆膜耐湿热、漆膜耐干热、漆膜附着力、漆膜耐液冷热温差、漆膜耐磨性、漆膜抗冲击、力学性能、甲醛</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3A8E900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0B487E6A">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8000</w:t>
            </w:r>
          </w:p>
        </w:tc>
      </w:tr>
      <w:tr w14:paraId="440B48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D7817C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40</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0E53605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轻工业品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2258A50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滚动轴承</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7BC3BB8">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307.2-2005、GB/T307.2-2005、GB/T307.2-2005、GB/T25769-2010、JB/T8236-2010、GB/T32323-2015、GB/T307.2-2005、GB/T32333-2015、GB/T24610.2-2019、GB/T24610.3-2019、GB/T24610.4-2019、GB/T307.2-2005、JB/T6641-2017、GB/T10336-2017、GB/T34891-2017、GB/T34891-2017、GB/T6391-2010、GB/T 24607-2009、GB/T32321-2015、GB/T32321-2015、GB/T32321-2015</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8990980">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内径尺寸、外径尺寸 、旋转精度、游隙、装配高、振动 、宽度尺寸、残磁、旋转灵活性、硬度、金相组织、寿命试验（定时截尾）、密封性能试验—防尘性能、密封性能试验—漏脂性能、密封性能试验—温升性能</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638DC82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1B795C4B">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5500</w:t>
            </w:r>
          </w:p>
        </w:tc>
      </w:tr>
      <w:tr w14:paraId="0861FF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BD0BD1A">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41</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7B3640E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轻工业品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65EF884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烟花爆竹</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15CBBCC">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10631—2013 烟花爆竹 安全与质量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19593—2015 烟花爆竹 组合烟花</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0A801B">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标志、运输包装标志、销售包装标志、包装、运输包装、销售包装、外观、部件、引燃装置、引火线、引火线牢固性、引燃时间、结构和材质、主体稳定性、药种、药量、燃放性能</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1F236AED">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55772E1F">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1500</w:t>
            </w:r>
          </w:p>
        </w:tc>
      </w:tr>
      <w:tr w14:paraId="736639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8DA34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42</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4E911D0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轻工业品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68FDB260">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骨灰盒</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32F5B62">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23288-2023</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18584-2001</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7B758C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用料要求</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木材含水率</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内表面耐温</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漆膜耐湿热</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漆膜附着力</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漆膜抗冲击</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甲醛释放量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重金属含量</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32014F8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2EC1E7C3">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3000</w:t>
            </w:r>
          </w:p>
        </w:tc>
      </w:tr>
      <w:tr w14:paraId="34F30C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3"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9076A1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43</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1D3B854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纺织产品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5B220CF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童装</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B95592C">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童装：GB/T 2660—2017 衬衫</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2662—2017 棉服装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2664—2017 男西服、大衣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2665—2017 女西服、大衣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2666—2017 西裤</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8878—2014 棉针织内衣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8878—2023 针织内衣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14272—2011 羽绒服装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14272—2021 羽绒服装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18132—2016 丝绸服装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22700—2016 水洗整理服装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22849—2014 针织T恤衫</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22853—2019 针织运动服</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26384—2011 针织棉服装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26385—2011 针织拼接服装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29862—2013 纺织品 纤维含量的标识</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31701—2015 婴幼儿及儿童纺织产品安全技术规范</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31900—2015 机织儿童服装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33271—2016 机织婴幼儿服装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39508—2020 针织婴幼儿及儿童服装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08001—2021 羊毛絮片服装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08002—2022 新生儿纺织产品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24019—2012 印花羊绒针织品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24033—2022 全成型无缝毛针织服装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43015—2021 桑蚕丝针织服装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73005—2021 低含毛混纺及仿毛针织品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73009—2021 山羊绒针织品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73010—2016 针织工艺衫</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73017—2014 针织家居服</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73018—2021 毛针织品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73020—2019 针织休闲服装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73022—2019 针织保暖内衣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73024—2014 化纤针织内衣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73025—2019 婴幼儿针织服饰</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73026—2014 针织裙、裙套</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73029—2019 针织裤</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73032—2017 针织牛仔服装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73034—2021 半精纺毛针织品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73043—2020 针织衬衫</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73045—2013 针织儿童服装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73052—2015水洗整理针织服装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73053—2015 针织羽绒服装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73056—2016 针织西服</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73058—2017 针织大衣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73059—2017 双面穿服装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73061—2019 针织茄克衫</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73064—2019 针织西裤</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81001—2016 睡衣套</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81004—2012 连衣裙、裙套</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81004—2022 连衣裙、裙套</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81006—2017 牛仔服装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81007—2012 单、夹服装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81007—2022 单、夹服装</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81008—2021 茄克衫</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81010—2018 风衣</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81019—2014 灯芯绒服装</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86620B6">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甲醛含量                    pH值</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可分解致癌芳香胺染料</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耐酸汗渍色牢度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耐碱汗渍色牢度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耐水色牢度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耐干摩擦色牢度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耐湿摩擦色牢度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耐唾液色牢度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纤维含量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绳带要求</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金属针</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br w:type="textWrapping"/>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15028DE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13E88317">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1700</w:t>
            </w:r>
          </w:p>
        </w:tc>
      </w:tr>
      <w:tr w14:paraId="6DD24F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AF59FC0">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44</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759D892D">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纺织产品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5656B09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童鞋</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3599D16">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童鞋：GB 25038—2010 胶鞋健康安全技术规范</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30585—2014 儿童鞋安全技术规范</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 xml:space="preserve">GB 30585—2024 童鞋安全技术规范 </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 xml:space="preserve">GB/T 25036—2021 布面童胶鞋 </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QB/T 2880—2016 儿童皮鞋</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QB/T 4331—2021 儿童旅游鞋</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QB/T 4546—2021 儿童皮凉鞋</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F924D28">
            <w:pPr>
              <w:snapToGrid w:val="0"/>
              <w:spacing w:line="500" w:lineRule="exact"/>
              <w:jc w:val="both"/>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儿童旅游鞋（2025年06月01日之前生产的）：帮底剥离强度或底墙与帮面剥离强度、外底耐磨性能、衬里和内垫耐摩擦色牢度、外底硬度、物理机械安全性能、皮革和毛皮中的六价铬、可分解有害芳香胺染料、甲醛、重金属总量（砷、铅、镉）、富马酸二甲酯、橡胶部件中的N—亚硝基胺（婴幼儿鞋）、邻苯二甲酸酯                                                                                           儿童皮鞋（2025年06月01日之前生产的）：耐磨性能、剥离强度、外底硬度、鞋帮拉出强度、衬里和内垫摩擦色牢度、勾心纵向刚度、勾心硬度、勾心长度、勾心弯曲性能、物理机械安全性能、皮革和毛皮中的六价铬、可分解有害芳香胺染料、甲醛、重金属总量（砷、铅、镉）、富马酸二甲酯、橡胶部件中的N—亚硝基胺（婴幼儿鞋）、邻苯二甲酸酯                                                                    儿童皮凉鞋（2025年06月01日之前生产的）：耐磨性能、帮底剥离强度、外底硬度、帮带拉出强度（或帮带拔出力）、衬里和内垫摩擦色牢度、勾心纵向刚度、勾心硬度、勾心长度、勾心弯曲性能、物理机械安全性能、皮革和毛皮中的六价铬、可分解有害芳香胺染料、甲醛、重金属总量（砷、铅、镉）、富马酸二甲酯、橡胶部件中的N—亚硝基胺（婴幼儿鞋）、邻苯二甲酸酯                                                                                   布面童胶鞋（2025年06月01日之前生产的）：外底耐磨性能、外底硬度、外底防滑性能（干法）、围条与鞋帮粘合强度、衬里和内底（内垫）耐摩擦色牢度（沾色）、物理安全性能、游离甲醛、可萃取的重金属（铅（Pb）、镉（Cd）、砷（As））、可分解有害芳香胺染料、含氯酚（五氯苯酚（PCP）、2,3,5,6—四氯苯酚（TeCP））、N—亚硝基胺。                                                 其他类童鞋（除胶鞋）（2025年06月01日之前生产的）：物理机械安全性能、皮革和毛皮中的六价铬</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22B8218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2E2C0A92">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2500</w:t>
            </w:r>
          </w:p>
        </w:tc>
      </w:tr>
      <w:tr w14:paraId="3C67B1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2E641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45</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2A13844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轻工业品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2E29C4E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玩具</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5DDE9E9">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6675.1-2014 玩具安全 第1部分：基本规范</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6675.2-2014 玩具安全 第2部分：机械与物理性能及第1号修改单</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6675.3-2014 玩具安全 第3部分：易燃性能</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6675.4-2014 玩具安全 第4部分：特定元素的迁移</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5296.5-2006 消费品使用说明 第5部分：玩具</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22048-2022 玩具及儿童用品中特定邻苯二甲酸酯增塑剂的测定</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92DF9F6">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正常使用、可预见的合理滥用、材料、小零件、某些特定玩具的形状、尺寸及强度、边缘、尖端、突出部件、金属丝和杆件、用于包装或玩具中的塑料袋或塑料薄膜、绳索和弹性绳、折叠机构、孔、间隙、机械装置的可触及性、弹簧、稳定性及超载要求、封闭式玩具、仿制防护玩具（头盔、帽子、护目镜）、弹射玩具、水上玩具、热源玩具、液体填充玩具、口动玩具、玩具滚轴溜冰鞋、单排滚轴溜冰鞋及玩具滑板、玩具火药帽、声响要求、磁体和磁性部件、类似仿真武器玩具、玩具销售时采用的包装、易燃性能（一般要求）、易燃性能（头戴玩具）、易燃性能（化妆服饰）、易燃性能（供儿童进入的玩具）、易燃性能（具有毛绒或纺织表面的软体填充玩具）、可迁移元素（仅做主要材质或高风险部位一组）、增塑剂（仅做主要材质或高风险部位一组）、产品名称、产品标准编号、安全警示、安全使用期限、生产者或经销者的名称和地址</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0EFC23AA">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5</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52F5E6E7">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2000</w:t>
            </w:r>
          </w:p>
        </w:tc>
      </w:tr>
      <w:tr w14:paraId="2E1916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204C52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46</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70C5EDD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化工产品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1542C15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纸尿裤</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61145B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 xml:space="preserve">GB/T 28004.1-2021  </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 xml:space="preserve">GB/T 28004.2-2021 </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15979-2002</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3C09FB8">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婴儿纸尿裤：渗透性能、pH值、重金属含量（铅、砷、汞、镉）、可迁移性荧光物质、丙烯酰胺含量、甲醛含量、细菌菌落总数、大肠菌群、绿脓杆菌、金黄色葡萄球菌、溶血性链球菌、真菌菌落总数</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成人纸尿裤：渗透性能、pH值、甲醛含量、可迁移性荧光物质、细菌菌落总数、大肠菌群、绿脓杆菌、金黄色葡萄球菌、溶血性链球菌、真菌菌落总数</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326F88E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6D2B8429">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2000</w:t>
            </w:r>
          </w:p>
        </w:tc>
      </w:tr>
      <w:tr w14:paraId="64F8BB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B4EC3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47</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079264D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包装产品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11AD412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书写修正用品等文具</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D1D559C">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 xml:space="preserve">GB 21027-2020 </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492D855">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书写笔、记号笔、橡皮擦、塑料笔袋、塑料书套：可迁移元素的限量、可触及的塑料件中邻苯二甲酸酯增塑剂的限量；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修正液、修正带：可迁移元素的限量、苯的含量、氯代烃、可触及的塑料件中邻苯二甲酸酯增塑剂的限量；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固体胶、液体胶：游离甲醛、苯、甲苯+二甲苯、丙烯酰胺、可触及的塑料件中邻苯二甲酸酯增塑剂的限量；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课业簿册：可迁移元素的限量、亮度（白度）</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3E085A4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199CBE21">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2000</w:t>
            </w:r>
          </w:p>
        </w:tc>
      </w:tr>
      <w:tr w14:paraId="66A757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02800A">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48</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4D816BCC">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纺织产品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19ECC380">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国旗</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863E708">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 xml:space="preserve">GB 12982-2004 </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2BDD483">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尺寸和允许误差</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国旗颜色及允许误差</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耐光色牢度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耐气候色牢度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耐洗色牢度（原样褪色）</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57565D9D">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7516B2D2">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2000</w:t>
            </w:r>
          </w:p>
        </w:tc>
      </w:tr>
      <w:tr w14:paraId="361F0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437BDD">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49</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701E6F2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化工产品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3E20DD1A">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卫生巾</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AE2BDB4">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8939-2018</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15979-2002</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608859D">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吸水倍率、吸收速度、pH、甲醛含量、可迁移性荧光物质、背胶剥离强度、细菌菌落总数、大肠菌群、绿脓杆菌、金黄色葡萄球菌、溶血性链球菌、真菌菌落总数</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43F91C0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58F307CC">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2000</w:t>
            </w:r>
          </w:p>
        </w:tc>
      </w:tr>
      <w:tr w14:paraId="7CC70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3C65A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50</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5EB2B615">
            <w:pPr>
              <w:snapToGrid w:val="0"/>
              <w:spacing w:line="500" w:lineRule="exact"/>
              <w:jc w:val="both"/>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包装产品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53DFE233">
            <w:pPr>
              <w:snapToGrid w:val="0"/>
              <w:spacing w:line="500" w:lineRule="exact"/>
              <w:jc w:val="both"/>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地(棚）膜</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4C13293">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13735-2017 聚乙烯吹塑农用地面覆盖薄膜 GB/T 4455-2019 农业用聚乙烯吹塑棚膜</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A123CEF">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厚度，厚度偏差，宽度极限偏差，拉伸负荷（纵、橫向），断裂标称应变（纵、橫向），直角撕裂负荷（纵、橫向）</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54C5EE3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5</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179C2C65">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2000</w:t>
            </w:r>
          </w:p>
        </w:tc>
      </w:tr>
      <w:tr w14:paraId="5ADA5E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0E3F3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51</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1ED3E52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包装产品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603EDB8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塑料购物袋</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24F535D">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21661-2020    塑料购物袋</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38079-2019    淀粉基塑料购物袋及第1号修改单</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GB/T 38082-2019    生物降解塑料购物袋</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4806.7-2023</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食品安全国家标准 食品接触用塑料材料及制品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 xml:space="preserve">GB 4806.14-2023 </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食品安全国家标准 食品接触材料及制品用油墨</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FEB7A40">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标识要求、厚度及偏差、最小厚度、提吊试验、跌落试验、漏水性、封合强度、落镖冲击、环保要求、感官要求（感官、浸泡液）、总迁移量、高锰酸钾消耗量、重金属（以Pb计）、脱色试验、1-辛烯特定迁移量、特定迁移总量（以丙烯酸计）、特定迁移总量（以甲基丙烯酸计）、特定迁移总量（以顺丁烯二酸计）、乙酸乙烯酯特定迁移量、特定迁移总量（以1,2-乙二醇计）、特定迁移总量（以间苯二甲酸计）、氯乙烯特定迁移量、1,1-二氯乙烷特定迁移量、邻苯二甲酸二（2-乙基）己酯（DEHP）迁移量、邻苯二甲酸二烯丙酯（DAP）迁移量、邻苯二甲酸二异壬酯（DINP）迁移总量、邻苯二甲酸二正丁酯（DBP）迁移量、芳香族伯胺迁移总量（食品安全卫生指标仅适用于明示食品直接接触用塑料购物袋产品）</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1FF43199">
            <w:pPr>
              <w:tabs>
                <w:tab w:val="center" w:pos="263"/>
              </w:tabs>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373D7D17">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2000</w:t>
            </w:r>
          </w:p>
        </w:tc>
      </w:tr>
      <w:tr w14:paraId="4D9ABF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9A61A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52</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00C7E9E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燃气相关产品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30A36EE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家用燃气灶</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767F603">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家用燃气灶：</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16410-2020</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30720-2014</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C25BCAE">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标志、安装使用说明、包装、结构、气密性、热负荷、燃烧工况、温升、耐热冲击、耐重力冲击、安全装置、电点火装置、使用性能（热效率）、电气性能、材料（燃烧器火孔部位材料）</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479FA49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744A2EEB">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3500</w:t>
            </w:r>
          </w:p>
        </w:tc>
      </w:tr>
      <w:tr w14:paraId="731089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09C040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53</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1116477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燃气相关产品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6BFF39C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燃气软管</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4FD7200">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燃气软管：</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CJ/T 197-2010</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41317-2024</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GB44017-2024</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0708095">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燃气软管（不锈钢）：</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CJ/T 197-2010：软管耐压性、软管气密性、软管弯曲性、接头耐安装性</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41317-2024：波纹软管气密性、波纹软管耐压性、波纹软管弯曲性、接头耐安装强度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 xml:space="preserve">燃气软管（包覆管）GB 44017-2024：包覆管耐压性、包覆管气密性、接头耐安装强度，内层胶管拉伸强度、内层胶管拉断伸长率  </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41FBC8F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289BCDFA">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3500</w:t>
            </w:r>
          </w:p>
        </w:tc>
      </w:tr>
      <w:tr w14:paraId="3441CD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54A44F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54</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36BBE95D">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燃气相关产品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62712D1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瓶装液化石油气调压器</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4D43E4C">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瓶装液化石油气调压器：</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35844-2018</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DDD15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标志、使用说明书、结构（一般要求）、结构（感压组件）、结构（调压组件）、结构（承压组件）、结构（接头组件）、气密性（调压器气密性）、气密性（手动关闭机构气密性）、关闭压力、出口压力</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1C33A2EC">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6076AC53">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2500</w:t>
            </w:r>
          </w:p>
        </w:tc>
      </w:tr>
      <w:tr w14:paraId="316E06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60"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7E7503C">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55</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215F2AB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消防产品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6205080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消防产品</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9277B22">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消防接口：GB 12514.1-2005《消防接口 第1部分：消防接口通用技术条件》</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消防水带：GB 6246-2011 《消防水带》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消防水枪：GB 8181-2005《消防水枪》</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消防应急照明灯具：GB 17945-2010 《消防应急照明和疏散指示系统》，GB 17945-2024 《消防应急照明和疏散指示系统》</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手提式灭火器：GB 4351-2023《手提式灭火器》</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过滤式消防自救呼吸器：GB 21976.7-2012 《建筑火灾逃生避难器材 第7部分：过滤式消防自救呼吸器》</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1DE7819">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消防接口：外观质量、基本尺寸、密封性能、水压性能、抗跌落性能</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消防水带：外观质量、内径、长度、设计工作压力、试验压力及最小爆破压力、耐磨性能、附着强度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消防水枪：表面质量、基本参数、密封性能、耐水压强度、抗跌落性能</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消防应急照明灯具：GB 17945-2010：基本功能试验、充、放电试验、重复转换试验、转换电压试验、绝缘电阻试验、耐压试验；GB 17945-2024：灯具的基本功能试验（照明灯具、最小初装持续应急工作时间检查、蓄电池（组）充、放电功能和性能检查）、转换电压试验、绝缘电阻试验、接地电阻试验、电气强度试验</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手提式灭火器：充装要求（充装误差）、20℃时喷射性能、瓶体爆破性能、瓶体材料与最小壁厚（瓶体壁厚）、阀门外观和结构尺寸、干粉灭火剂（第一主要组分含量）</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过滤式消防自救呼吸器：金属材料表面质量、材料阻燃性能、一氧化碳防护性能、高浓度一氧化碳时呼吸器的机械结构完整性</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358DE240">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6</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03D577AB">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消防接口：2000元/批</w:t>
            </w:r>
          </w:p>
          <w:p w14:paraId="48E39FE2">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消防水带：2000元/批</w:t>
            </w:r>
          </w:p>
          <w:p w14:paraId="6E8E7402">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消防水枪：2000元/批</w:t>
            </w:r>
          </w:p>
          <w:p w14:paraId="04E88C5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消防应急照明灯具：2500元/批</w:t>
            </w:r>
          </w:p>
          <w:p w14:paraId="3D57AEC4">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手提式灭火器：2500元/批</w:t>
            </w:r>
          </w:p>
          <w:p w14:paraId="36228774">
            <w:pPr>
              <w:snapToGrid w:val="0"/>
              <w:spacing w:line="500" w:lineRule="exact"/>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过滤式消防自救呼吸器：2500元/批</w:t>
            </w:r>
          </w:p>
        </w:tc>
      </w:tr>
      <w:tr w14:paraId="5CA415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A335E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56</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406ED2E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化工产品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5D0D2D1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尿素</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9DB6FF7">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GB29518-2013</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BC948B5">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尿素含量、折光率、密度、碱度、缩二脲、醛类、磷酸盐、不溶物、钙、铁、铜、锌、铬、镍、铝、镁、钠、钾、一致性确认</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32BF5D30">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4</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48FE5C7B">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2500</w:t>
            </w:r>
          </w:p>
        </w:tc>
      </w:tr>
      <w:tr w14:paraId="3CDAE2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DC869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57</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6552226E">
            <w:pPr>
              <w:snapToGrid w:val="0"/>
              <w:spacing w:line="500" w:lineRule="exact"/>
              <w:ind w:firstLine="420" w:firstLineChars="200"/>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化工产品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3C3A3EC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汽、柴油</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2344A0A">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19147-2016</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17930-2016</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91B1DB0">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柴油：硫含量、10%蒸余物残炭、灰分、铜片腐蚀、水含量、馏程、运动黏度（20℃）、闪点（闭口）、十六烷指数</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、密度（20℃）</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汽油：研究法辛烷值、硫含量、硫醇（博士试验）、铜片腐蚀、水溶性酸或碱、机械杂质及水分、氧含量、甲醇含量、密度</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0C21C4CB">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6</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6E511BD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汽油3000</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柴油3000</w:t>
            </w:r>
          </w:p>
        </w:tc>
      </w:tr>
      <w:tr w14:paraId="72AF37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2791C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58</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1342831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轻工业品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7602EEC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淋浴用花洒</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DD0C81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GB/T 23447-2023</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28378-2019</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F803EA4">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管螺纹精度、安全性能、表面涂、镀层质量（耐腐蚀性能）、密封性能、机械强度、流量、抗拉性能、手持式花洒防虹吸性能、水效等级、流量均匀性、喷射力</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54A26F0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6BC3C6F4">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2200</w:t>
            </w:r>
          </w:p>
        </w:tc>
      </w:tr>
      <w:tr w14:paraId="0BF071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3"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B6A2F6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59</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00D8FC3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5178248D">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风扇</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18E2D9F">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4706.1—2005 家用和类似用途电器的安全 第1部分：通用要求、GB 4706.27—2008 家用和类似用途电器的安全 第2部分：风扇的特殊要求</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BFB13D">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标志和说明、对触及带电部件的防护、输入功率和电流、工作温度下的泄漏电流和电气强度、稳定性和机械危险、机械强度、结构（不包括第22.46条的试验）、内部布线（不包括第23.3条的试验）、电源连接和外部软线、外部导线用接线端子、接地措施、螺钉和连接、电气间隙、爬电距离和固体绝缘</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2119900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5273A429">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3000</w:t>
            </w:r>
          </w:p>
        </w:tc>
      </w:tr>
      <w:tr w14:paraId="53C22C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0FA67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60</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7DECED3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246775A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液体加热器（电热水壶、电火锅、电炖锅等）</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15A6878">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4706.1-2005 家用和类似用途电器的安全 第1部分：通用要求</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GB 4706.19-2008 家用和类似用途电器的安全 液体加热器的特殊要求</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6F165F8">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标志和说明、对触及带电部件的防护、输入功率和电流、工作温度下的泄漏电流和电气强度、稳定性和机械危险、机械强度、结构（不包括第22.46条试验和22.103条试验）、内部布线（不包括第23.3条的试验）、电源连接和外部软线、外部导线用接线端子、接地措施、螺钉和连接、电气间隙、爬电距离和固体绝缘</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5314F8D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5</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0788902E">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2500</w:t>
            </w:r>
          </w:p>
        </w:tc>
      </w:tr>
      <w:tr w14:paraId="75199E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8821DAA">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61</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20F35AF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纺织产品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710B3E4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毛针织衫</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A827E84">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FZ/T 73005-2012      低含毛混纺及仿毛针织品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73005-2021      低含毛混纺及仿毛针织品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73018-2012      毛针织品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73018-2021      毛针织品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73034-2009      半精纺毛针织品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73034-2021      半精纺毛针织品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73014-2017      粗梳牦牛绒针织品FZ/T 24012—2021拒水、拒油、抗污山羊绒针织品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24013—2020 耐久型抗静电山羊绒针织品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24019—2012 印花羊绒针织品</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FZ/T 73009—2021山羊绒针织品      GB/T 29862—2013 纺织品 纤维含量的标识GB 18401—2010   国家纺织产品基本安全技术规范</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79D5B29">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甲醛含量                    pH值</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可分解致癌芳香胺染料</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耐酸汗渍色牢度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耐碱汗渍色牢度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耐水色牢度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耐干摩擦色牢度</w:t>
            </w:r>
            <w:r>
              <w:rPr>
                <w:rStyle w:val="32"/>
                <w:rFonts w:hint="eastAsia" w:ascii="宋体" w:hAnsi="宋体" w:cs="宋体" w:eastAsiaTheme="minorEastAsia"/>
                <w:szCs w:val="21"/>
                <w:lang w:val="en-US" w:eastAsia="zh-CN"/>
              </w:rPr>
              <w:br w:type="textWrapping"/>
            </w:r>
            <w:r>
              <w:rPr>
                <w:rStyle w:val="32"/>
                <w:rFonts w:hint="eastAsia" w:ascii="宋体" w:hAnsi="宋体" w:cs="宋体" w:eastAsiaTheme="minorEastAsia"/>
                <w:szCs w:val="21"/>
                <w:lang w:val="en-US" w:eastAsia="zh-CN"/>
              </w:rPr>
              <w:t>耐湿摩擦色牢度                纤维含量</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051533B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3246774D">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2000</w:t>
            </w:r>
          </w:p>
        </w:tc>
      </w:tr>
      <w:tr w14:paraId="389B11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FD514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62</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44F60B5F">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243855F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暖风机</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36538C9">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4706.1—2005 家用和类似用途电器的安全 第1部分：通用要求、GB 4706.23—2007 家用和类似用途电器的安全 第2部分：室内加热器的特殊要求</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3CE875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标志和说明、对触及带电部件的防护、输入功率和电流、工作温度下的泄漏电流和电气强度、稳定性和机械危险、机械强度、结构（不包括第22.46条的试验）、内部布线、电源连接和外部软线、外部导线用接线端子、接地措施、螺钉和连接、电气间隙、爬电距离和固体绝缘</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05386C9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224BC1B6">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3000</w:t>
            </w:r>
          </w:p>
        </w:tc>
      </w:tr>
      <w:tr w14:paraId="53D1B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C67737">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63</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5F03952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1B83D58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暖手袋</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4F1DE47">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4706.1—2005 家用和类似用途电器的安全 第1部分：通用要求、GB 4706.99—2009 家用和类似用途电器的安全 储热式电热暖手器的特殊要求</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31235EE">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标志和说明、对触及带电部件的防护、输入功率和电流、工作温度下的泄漏电流和电气强度、稳定性和机械危险、机械强度（不包括第 21.102、 21.103条的试验）、结构（不包括第22.46条的试验）、内部布线、元件（仅做第24.101条的试验）、电源连接和外部软线、外部导线用接线端子、螺钉和连接、电气间隙、爬电距离和固体绝缘</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5059DE9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47FA16B7">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2600</w:t>
            </w:r>
          </w:p>
        </w:tc>
      </w:tr>
      <w:tr w14:paraId="3CBBE3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CCB1B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64</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29403E13">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电器产品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296F556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电热毯</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63B3872">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4706.1—2005 家用和类似用途电器的安全 第1部分：通用要求、GB 4706.8—2008家用和类似用途电器的安全 电热毯、电热垫及类似柔性发热器具的特殊要求</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D293011">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对触及带电部件的防护、输入功率和电流、结构（不包括第22.46条的试验）、内部布线、电源连接和外部软线、外部导线用接线端子、接地措施、螺钉和连接、电气间隙、爬电距离和固体绝缘</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0148F17A">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1</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18956F0A">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3500</w:t>
            </w:r>
          </w:p>
        </w:tc>
      </w:tr>
      <w:tr w14:paraId="261703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FD28E1">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65</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53BC6E3C">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电动自行车相关产品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7FED9960">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电动自行车头盔</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1210BBB">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GB 811-2022 《摩托车、电动自行车乘员头盔》</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C802885">
            <w:pPr>
              <w:snapToGrid w:val="0"/>
              <w:spacing w:line="500" w:lineRule="exact"/>
              <w:textAlignment w:val="baseline"/>
              <w:rPr>
                <w:rStyle w:val="32"/>
                <w:rFonts w:hint="eastAsia" w:ascii="宋体" w:hAnsi="宋体" w:cs="宋体" w:eastAsiaTheme="minorEastAsia"/>
                <w:szCs w:val="21"/>
                <w:lang w:val="en-US" w:eastAsia="zh-CN"/>
              </w:rPr>
            </w:pPr>
            <w:r>
              <w:rPr>
                <w:rStyle w:val="32"/>
                <w:rFonts w:hint="eastAsia" w:ascii="宋体" w:hAnsi="宋体" w:cs="宋体" w:eastAsiaTheme="minorEastAsia"/>
                <w:szCs w:val="21"/>
                <w:lang w:val="en-US" w:eastAsia="zh-CN"/>
              </w:rPr>
              <w:t>结构（结构组成、壳体反光材料总面积、佩戴装置）、质量、视野、护目镜（可见光透过率、耐磨性）、固定装置稳定性、吸收碰撞能量（低温）、标识</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7D52121E">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6DD7A334">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4000</w:t>
            </w:r>
          </w:p>
        </w:tc>
      </w:tr>
      <w:tr w14:paraId="38189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1DB32B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66</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572938B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电动自行车相关产品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082BFABC">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电动自行车</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DD95649">
            <w:pPr>
              <w:snapToGrid w:val="0"/>
              <w:spacing w:line="500" w:lineRule="exact"/>
              <w:textAlignment w:val="baseline"/>
              <w:rPr>
                <w:rStyle w:val="32"/>
                <w:rFonts w:hint="eastAsia" w:ascii="宋体" w:hAnsi="宋体" w:cs="宋体" w:eastAsiaTheme="minorEastAsia"/>
                <w:szCs w:val="21"/>
                <w:lang w:val="en-US" w:eastAsia="zh-CN"/>
              </w:rPr>
            </w:pPr>
            <w:r>
              <w:rPr>
                <w:rStyle w:val="32"/>
                <w:rFonts w:hint="default" w:ascii="宋体" w:hAnsi="宋体" w:cs="宋体" w:eastAsiaTheme="minorEastAsia"/>
                <w:szCs w:val="21"/>
                <w:lang w:val="en-US" w:eastAsia="zh-CN"/>
              </w:rPr>
              <w:t>GB17761-2018《电动自行车安全技术规范》、GB42295-2022《电动自行车电气安全要求》及第1号修改单</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FA3B75D">
            <w:pPr>
              <w:snapToGrid w:val="0"/>
              <w:spacing w:line="500" w:lineRule="exact"/>
              <w:textAlignment w:val="baseline"/>
              <w:rPr>
                <w:rStyle w:val="32"/>
                <w:rFonts w:hint="eastAsia" w:ascii="宋体" w:hAnsi="宋体" w:cs="宋体" w:eastAsiaTheme="minorEastAsia"/>
                <w:szCs w:val="21"/>
                <w:lang w:val="en-US" w:eastAsia="zh-CN"/>
              </w:rPr>
            </w:pPr>
            <w:r>
              <w:rPr>
                <w:rStyle w:val="32"/>
                <w:rFonts w:hint="default" w:ascii="宋体" w:hAnsi="宋体" w:cs="宋体" w:eastAsiaTheme="minorEastAsia"/>
                <w:szCs w:val="21"/>
                <w:lang w:val="en-US" w:eastAsia="zh-CN"/>
              </w:rPr>
              <w:t>GB 17761-2018:车速限值、制动性能(干态)、整车质量、尺寸限值、结构、车速提示音、电气装置、充电器与蓄电池、淋水涉水性能、反射器、照明和鸣号装置、防火性能（测电池组盒、保护装置、灯具外壳）  GB42295-2022(含修改单)：标识与警示语、互认协同充电、布线、对触及带电部分的防护（适用时）、连接</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26166799">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3</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4F2E8D6A">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8000</w:t>
            </w:r>
          </w:p>
        </w:tc>
      </w:tr>
      <w:tr w14:paraId="360659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E358A5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67</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0AFC8088">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电动自行车相关产品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37551F94">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电动自行车用锂离子蓄电池</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A4F49C4">
            <w:pPr>
              <w:snapToGrid w:val="0"/>
              <w:spacing w:line="500" w:lineRule="exact"/>
              <w:textAlignment w:val="baseline"/>
              <w:rPr>
                <w:rStyle w:val="32"/>
                <w:rFonts w:hint="eastAsia" w:ascii="宋体" w:hAnsi="宋体" w:cs="宋体" w:eastAsiaTheme="minorEastAsia"/>
                <w:szCs w:val="21"/>
                <w:lang w:val="en-US" w:eastAsia="zh-CN"/>
              </w:rPr>
            </w:pPr>
            <w:r>
              <w:rPr>
                <w:rStyle w:val="32"/>
                <w:rFonts w:hint="default" w:ascii="宋体" w:hAnsi="宋体" w:cs="宋体" w:eastAsiaTheme="minorEastAsia"/>
                <w:szCs w:val="21"/>
                <w:lang w:val="en-US" w:eastAsia="zh-CN"/>
              </w:rPr>
              <w:t xml:space="preserve">GB43854-2024《电动自行车用锂离子蓄电池安全技术规范》 </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EB518A5">
            <w:pPr>
              <w:snapToGrid w:val="0"/>
              <w:spacing w:line="500" w:lineRule="exact"/>
              <w:textAlignment w:val="baseline"/>
              <w:rPr>
                <w:rStyle w:val="32"/>
                <w:rFonts w:hint="eastAsia" w:ascii="宋体" w:hAnsi="宋体" w:cs="宋体" w:eastAsiaTheme="minorEastAsia"/>
                <w:szCs w:val="21"/>
                <w:lang w:val="en-US" w:eastAsia="zh-CN"/>
              </w:rPr>
            </w:pPr>
            <w:r>
              <w:rPr>
                <w:rStyle w:val="32"/>
                <w:rFonts w:hint="default" w:ascii="宋体" w:hAnsi="宋体" w:cs="宋体" w:eastAsiaTheme="minorEastAsia"/>
                <w:szCs w:val="21"/>
                <w:lang w:val="en-US" w:eastAsia="zh-CN"/>
              </w:rPr>
              <w:t>I2（A）放电、互认协同充电、绝缘电阻、低气压、温度保护、过放电、过充电</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4BC1C206">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6157942E">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10000</w:t>
            </w:r>
          </w:p>
        </w:tc>
      </w:tr>
      <w:tr w14:paraId="1D2053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1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5606392">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68</w:t>
            </w:r>
          </w:p>
        </w:tc>
        <w:tc>
          <w:tcPr>
            <w:tcW w:w="1281" w:type="dxa"/>
            <w:tcBorders>
              <w:top w:val="single" w:color="auto" w:sz="4" w:space="0"/>
              <w:left w:val="nil"/>
              <w:bottom w:val="single" w:color="auto" w:sz="4" w:space="0"/>
              <w:right w:val="single" w:color="auto" w:sz="4" w:space="0"/>
            </w:tcBorders>
            <w:shd w:val="clear" w:color="auto" w:fill="auto"/>
            <w:noWrap w:val="0"/>
            <w:vAlign w:val="center"/>
          </w:tcPr>
          <w:p w14:paraId="2A6300C5">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电动自行车相关产品</w:t>
            </w:r>
          </w:p>
        </w:tc>
        <w:tc>
          <w:tcPr>
            <w:tcW w:w="1486" w:type="dxa"/>
            <w:tcBorders>
              <w:top w:val="single" w:color="auto" w:sz="4" w:space="0"/>
              <w:left w:val="nil"/>
              <w:bottom w:val="single" w:color="auto" w:sz="4" w:space="0"/>
              <w:right w:val="single" w:color="auto" w:sz="4" w:space="0"/>
            </w:tcBorders>
            <w:shd w:val="clear" w:color="auto" w:fill="auto"/>
            <w:noWrap w:val="0"/>
            <w:vAlign w:val="center"/>
          </w:tcPr>
          <w:p w14:paraId="5E85CE70">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电动自行车充电器）</w:t>
            </w:r>
          </w:p>
        </w:tc>
        <w:tc>
          <w:tcPr>
            <w:tcW w:w="4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EB1CA7A">
            <w:pPr>
              <w:snapToGrid w:val="0"/>
              <w:spacing w:line="500" w:lineRule="exact"/>
              <w:textAlignment w:val="baseline"/>
              <w:rPr>
                <w:rStyle w:val="32"/>
                <w:rFonts w:hint="eastAsia" w:ascii="宋体" w:hAnsi="宋体" w:cs="宋体" w:eastAsiaTheme="minorEastAsia"/>
                <w:szCs w:val="21"/>
                <w:lang w:val="en-US" w:eastAsia="zh-CN"/>
              </w:rPr>
            </w:pPr>
            <w:r>
              <w:rPr>
                <w:rStyle w:val="32"/>
                <w:rFonts w:hint="default" w:ascii="宋体" w:hAnsi="宋体" w:cs="宋体" w:eastAsiaTheme="minorEastAsia"/>
                <w:szCs w:val="21"/>
                <w:lang w:val="en-US" w:eastAsia="zh-CN"/>
              </w:rPr>
              <w:t>GB42296-2022《电动自行车用充电器安全技术要求》及第1号修改单</w:t>
            </w:r>
          </w:p>
        </w:tc>
        <w:tc>
          <w:tcPr>
            <w:tcW w:w="59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077D240">
            <w:pPr>
              <w:snapToGrid w:val="0"/>
              <w:spacing w:line="500" w:lineRule="exact"/>
              <w:textAlignment w:val="baseline"/>
              <w:rPr>
                <w:rStyle w:val="32"/>
                <w:rFonts w:hint="eastAsia" w:ascii="宋体" w:hAnsi="宋体" w:cs="宋体" w:eastAsiaTheme="minorEastAsia"/>
                <w:szCs w:val="21"/>
                <w:lang w:val="en-US" w:eastAsia="zh-CN"/>
              </w:rPr>
            </w:pPr>
            <w:r>
              <w:rPr>
                <w:rStyle w:val="32"/>
                <w:rFonts w:hint="default" w:ascii="宋体" w:hAnsi="宋体" w:cs="宋体" w:eastAsiaTheme="minorEastAsia"/>
                <w:szCs w:val="21"/>
                <w:lang w:val="en-US" w:eastAsia="zh-CN"/>
              </w:rPr>
              <w:t xml:space="preserve">外壳冲击、跌落、工作温度下的泄漏电流、电气强度、超温保护、过充切断、延时切断、非正常工作 </w:t>
            </w:r>
          </w:p>
        </w:tc>
        <w:tc>
          <w:tcPr>
            <w:tcW w:w="623" w:type="dxa"/>
            <w:tcBorders>
              <w:top w:val="single" w:color="auto" w:sz="4" w:space="0"/>
              <w:left w:val="nil"/>
              <w:bottom w:val="single" w:color="auto" w:sz="4" w:space="0"/>
              <w:right w:val="single" w:color="auto" w:sz="4" w:space="0"/>
            </w:tcBorders>
            <w:shd w:val="clear" w:color="auto" w:fill="auto"/>
            <w:noWrap w:val="0"/>
            <w:vAlign w:val="center"/>
          </w:tcPr>
          <w:p w14:paraId="2369BAC0">
            <w:pPr>
              <w:snapToGrid w:val="0"/>
              <w:spacing w:line="500" w:lineRule="exact"/>
              <w:jc w:val="center"/>
              <w:textAlignment w:val="baseline"/>
              <w:rPr>
                <w:rStyle w:val="32"/>
                <w:rFonts w:hint="default" w:ascii="宋体" w:hAnsi="宋体" w:cs="宋体" w:eastAsiaTheme="minorEastAsia"/>
                <w:szCs w:val="21"/>
                <w:lang w:val="en-US" w:eastAsia="zh-CN"/>
              </w:rPr>
            </w:pPr>
            <w:r>
              <w:rPr>
                <w:rStyle w:val="32"/>
                <w:rFonts w:hint="default" w:ascii="宋体" w:hAnsi="宋体" w:cs="宋体" w:eastAsiaTheme="minorEastAsia"/>
                <w:szCs w:val="21"/>
                <w:lang w:val="en-US" w:eastAsia="zh-CN"/>
              </w:rPr>
              <w:t>2</w:t>
            </w:r>
          </w:p>
        </w:tc>
        <w:tc>
          <w:tcPr>
            <w:tcW w:w="1602" w:type="dxa"/>
            <w:tcBorders>
              <w:top w:val="single" w:color="auto" w:sz="4" w:space="0"/>
              <w:left w:val="nil"/>
              <w:bottom w:val="single" w:color="auto" w:sz="4" w:space="0"/>
              <w:right w:val="single" w:color="auto" w:sz="4" w:space="0"/>
            </w:tcBorders>
            <w:shd w:val="clear" w:color="auto" w:fill="auto"/>
            <w:noWrap w:val="0"/>
            <w:vAlign w:val="center"/>
          </w:tcPr>
          <w:p w14:paraId="44C50CF6">
            <w:pPr>
              <w:snapToGrid w:val="0"/>
              <w:spacing w:line="500" w:lineRule="exact"/>
              <w:ind w:firstLine="420" w:firstLineChars="200"/>
              <w:textAlignment w:val="baseline"/>
              <w:rPr>
                <w:rStyle w:val="32"/>
                <w:rFonts w:hint="default" w:ascii="宋体" w:hAnsi="宋体" w:cs="宋体" w:eastAsiaTheme="minorEastAsia"/>
                <w:szCs w:val="21"/>
                <w:lang w:val="en-US" w:eastAsia="zh-CN"/>
              </w:rPr>
            </w:pPr>
            <w:r>
              <w:rPr>
                <w:rStyle w:val="32"/>
                <w:rFonts w:hint="eastAsia" w:ascii="宋体" w:hAnsi="宋体" w:cs="宋体" w:eastAsiaTheme="minorEastAsia"/>
                <w:szCs w:val="21"/>
                <w:lang w:val="en-US" w:eastAsia="zh-CN"/>
              </w:rPr>
              <w:t>5000</w:t>
            </w:r>
          </w:p>
        </w:tc>
      </w:tr>
    </w:tbl>
    <w:p w14:paraId="463B5A65">
      <w:pPr>
        <w:pStyle w:val="7"/>
        <w:ind w:left="0" w:leftChars="0" w:firstLine="0" w:firstLineChars="0"/>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注：</w:t>
      </w: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rPr>
        <w:t>以上</w:t>
      </w:r>
      <w:r>
        <w:rPr>
          <w:rFonts w:hint="eastAsia" w:ascii="宋体" w:hAnsi="宋体" w:eastAsia="宋体" w:cs="宋体"/>
          <w:color w:val="000000"/>
          <w:sz w:val="24"/>
          <w:szCs w:val="24"/>
          <w:highlight w:val="none"/>
          <w:lang w:eastAsia="zh-CN"/>
        </w:rPr>
        <w:t>检测</w:t>
      </w:r>
      <w:r>
        <w:rPr>
          <w:rFonts w:hint="eastAsia" w:ascii="宋体" w:hAnsi="宋体" w:cs="宋体"/>
          <w:color w:val="000000"/>
          <w:sz w:val="24"/>
          <w:szCs w:val="24"/>
          <w:highlight w:val="none"/>
          <w:lang w:eastAsia="zh-CN"/>
        </w:rPr>
        <w:t>产品及单项</w:t>
      </w:r>
      <w:r>
        <w:rPr>
          <w:rFonts w:hint="eastAsia" w:ascii="宋体" w:hAnsi="宋体" w:eastAsia="宋体" w:cs="宋体"/>
          <w:color w:val="000000"/>
          <w:sz w:val="24"/>
          <w:szCs w:val="24"/>
          <w:highlight w:val="none"/>
          <w:lang w:eastAsia="zh-CN"/>
        </w:rPr>
        <w:t>批次</w:t>
      </w:r>
      <w:r>
        <w:rPr>
          <w:rFonts w:hint="eastAsia" w:ascii="宋体" w:hAnsi="宋体" w:eastAsia="宋体" w:cs="宋体"/>
          <w:color w:val="000000"/>
          <w:sz w:val="24"/>
          <w:szCs w:val="24"/>
          <w:highlight w:val="none"/>
        </w:rPr>
        <w:t>安排均为暂定，</w:t>
      </w:r>
      <w:r>
        <w:rPr>
          <w:rFonts w:hint="eastAsia" w:ascii="宋体" w:hAnsi="宋体" w:cs="宋体"/>
          <w:color w:val="000000"/>
          <w:sz w:val="24"/>
          <w:szCs w:val="24"/>
          <w:highlight w:val="none"/>
          <w:lang w:val="en-US" w:eastAsia="zh-CN"/>
        </w:rPr>
        <w:t>检测产品及单项批次</w:t>
      </w:r>
      <w:r>
        <w:rPr>
          <w:rFonts w:hint="eastAsia" w:ascii="宋体" w:hAnsi="宋体" w:eastAsia="宋体" w:cs="宋体"/>
          <w:color w:val="000000"/>
          <w:sz w:val="24"/>
          <w:szCs w:val="24"/>
          <w:highlight w:val="none"/>
        </w:rPr>
        <w:t>采购人可根据实际需要进行适当调整</w:t>
      </w: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以上检测标准以采购人实际要求为准</w:t>
      </w:r>
      <w:r>
        <w:rPr>
          <w:rFonts w:hint="eastAsia" w:ascii="宋体" w:hAnsi="宋体" w:eastAsia="宋体" w:cs="宋体"/>
          <w:color w:val="000000"/>
          <w:sz w:val="24"/>
          <w:szCs w:val="24"/>
          <w:highlight w:val="none"/>
          <w:lang w:eastAsia="zh-CN"/>
        </w:rPr>
        <w:t>。</w:t>
      </w:r>
      <w:r>
        <w:rPr>
          <w:rFonts w:hint="eastAsia" w:ascii="宋体" w:hAnsi="宋体" w:eastAsia="宋体" w:cs="宋体"/>
          <w:b w:val="0"/>
          <w:bCs w:val="0"/>
          <w:color w:val="000000"/>
          <w:sz w:val="24"/>
          <w:szCs w:val="24"/>
          <w:highlight w:val="none"/>
        </w:rPr>
        <w:t>检验样品由中标（承检）单位购买</w:t>
      </w:r>
      <w:r>
        <w:rPr>
          <w:rFonts w:hint="eastAsia" w:ascii="宋体" w:hAnsi="宋体" w:eastAsia="宋体" w:cs="宋体"/>
          <w:color w:val="000000"/>
          <w:sz w:val="24"/>
          <w:szCs w:val="24"/>
          <w:highlight w:val="none"/>
        </w:rPr>
        <w:t>，中标（承检）单位应确保抽查检验样品及数量（包括检验样品数和备份样品数）符合检验要求</w:t>
      </w:r>
      <w:r>
        <w:rPr>
          <w:rFonts w:hint="eastAsia" w:ascii="宋体" w:hAnsi="宋体" w:eastAsia="宋体" w:cs="宋体"/>
          <w:color w:val="000000"/>
          <w:sz w:val="24"/>
          <w:szCs w:val="24"/>
          <w:highlight w:val="none"/>
          <w:lang w:eastAsia="zh-CN"/>
        </w:rPr>
        <w:t>，不符合要求的一律无效</w:t>
      </w:r>
      <w:r>
        <w:rPr>
          <w:rFonts w:hint="eastAsia" w:ascii="宋体" w:hAnsi="宋体" w:eastAsia="宋体" w:cs="宋体"/>
          <w:color w:val="000000"/>
          <w:sz w:val="24"/>
          <w:szCs w:val="24"/>
          <w:highlight w:val="none"/>
        </w:rPr>
        <w:t>。检验用样品和备份样品经抽样人员和销售者方确认签字后封存由中标（承检）单位带回实验室检测或封存于被抽查单位。封存于被抽查单位</w:t>
      </w:r>
      <w:r>
        <w:rPr>
          <w:rFonts w:hint="eastAsia" w:ascii="宋体" w:hAnsi="宋体" w:eastAsia="宋体" w:cs="宋体"/>
          <w:color w:val="000000"/>
          <w:sz w:val="24"/>
          <w:szCs w:val="24"/>
          <w:highlight w:val="none"/>
          <w:lang w:eastAsia="zh-CN"/>
        </w:rPr>
        <w:t>的样品须明确告知在未接到可拆封通知前不得擅自拆封、替换、变卖、隐匿、损毁。</w:t>
      </w:r>
    </w:p>
    <w:p w14:paraId="0C2D5EF3">
      <w:pPr>
        <w:widowControl/>
        <w:tabs>
          <w:tab w:val="left" w:pos="0"/>
        </w:tabs>
        <w:spacing w:line="420" w:lineRule="exact"/>
        <w:ind w:left="426" w:right="60" w:hanging="465" w:hangingChars="193"/>
        <w:jc w:val="left"/>
        <w:rPr>
          <w:rFonts w:hint="default" w:ascii="宋体" w:hAnsi="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
          <w:bCs/>
          <w:color w:val="000000" w:themeColor="text1"/>
          <w:kern w:val="2"/>
          <w:sz w:val="24"/>
          <w:szCs w:val="24"/>
          <w:highlight w:val="none"/>
          <w:lang w:val="en-US" w:eastAsia="zh-CN" w:bidi="ar-SA"/>
          <w14:textFill>
            <w14:solidFill>
              <w14:schemeClr w14:val="tx1"/>
            </w14:solidFill>
          </w14:textFill>
        </w:rPr>
        <w:t>2.部分检验样品检测依据、检测项目，如果标准改变，以标准为主。</w:t>
      </w:r>
    </w:p>
    <w:p w14:paraId="12D03D74">
      <w:pPr>
        <w:widowControl/>
        <w:tabs>
          <w:tab w:val="left" w:pos="0"/>
        </w:tabs>
        <w:spacing w:line="420" w:lineRule="exact"/>
        <w:ind w:left="426" w:right="60" w:hanging="465" w:hangingChars="193"/>
        <w:jc w:val="left"/>
        <w:rPr>
          <w:rFonts w:hint="eastAsia" w:ascii="新宋体" w:hAnsi="新宋体" w:eastAsia="新宋体"/>
          <w:b/>
          <w:bCs/>
          <w:color w:val="000000"/>
          <w:sz w:val="22"/>
          <w:szCs w:val="22"/>
        </w:rPr>
      </w:pPr>
      <w:r>
        <w:rPr>
          <w:rFonts w:hint="eastAsia" w:ascii="宋体" w:hAnsi="宋体" w:cs="宋体"/>
          <w:b/>
          <w:bCs/>
          <w:color w:val="000000"/>
          <w:kern w:val="2"/>
          <w:sz w:val="24"/>
          <w:szCs w:val="24"/>
          <w:highlight w:val="none"/>
          <w:lang w:val="en-US" w:eastAsia="zh-CN" w:bidi="ar-SA"/>
        </w:rPr>
        <w:t>3</w:t>
      </w:r>
      <w:r>
        <w:rPr>
          <w:rFonts w:hint="eastAsia" w:ascii="宋体" w:hAnsi="宋体" w:eastAsia="宋体" w:cs="宋体"/>
          <w:b/>
          <w:bCs/>
          <w:color w:val="000000"/>
          <w:kern w:val="2"/>
          <w:sz w:val="24"/>
          <w:szCs w:val="24"/>
          <w:highlight w:val="none"/>
          <w:lang w:val="en-US" w:eastAsia="zh-CN" w:bidi="ar-SA"/>
        </w:rPr>
        <w:t>、不合格产品整改复查</w:t>
      </w:r>
    </w:p>
    <w:p w14:paraId="08CA0F0F">
      <w:pPr>
        <w:pStyle w:val="7"/>
        <w:ind w:left="0" w:leftChars="0" w:firstLine="0" w:firstLineChars="0"/>
        <w:rPr>
          <w:rFonts w:hint="eastAsia" w:ascii="宋体" w:hAnsi="宋体" w:eastAsia="宋体" w:cs="宋体"/>
          <w:color w:val="000000"/>
          <w:sz w:val="24"/>
          <w:szCs w:val="24"/>
          <w:highlight w:val="none"/>
          <w:lang w:eastAsia="zh-CN"/>
        </w:rPr>
        <w:sectPr>
          <w:pgSz w:w="16838" w:h="11906" w:orient="landscape"/>
          <w:pgMar w:top="1440" w:right="1800" w:bottom="1440" w:left="1800" w:header="851" w:footer="992" w:gutter="0"/>
          <w:pgNumType w:fmt="numberInDash"/>
          <w:cols w:space="425" w:num="1"/>
          <w:docGrid w:type="lines" w:linePitch="312" w:charSpace="0"/>
        </w:sectPr>
      </w:pPr>
      <w:r>
        <w:rPr>
          <w:rFonts w:hint="eastAsia" w:ascii="宋体" w:hAnsi="宋体" w:eastAsia="宋体" w:cs="宋体"/>
          <w:color w:val="000000"/>
          <w:sz w:val="24"/>
          <w:szCs w:val="24"/>
          <w:highlight w:val="none"/>
        </w:rPr>
        <w:t>供应商应负责</w:t>
      </w:r>
      <w:r>
        <w:rPr>
          <w:rFonts w:hint="eastAsia" w:ascii="宋体" w:hAnsi="宋体" w:eastAsia="宋体" w:cs="宋体"/>
          <w:color w:val="000000"/>
          <w:sz w:val="24"/>
          <w:szCs w:val="24"/>
          <w:highlight w:val="none"/>
          <w:lang w:val="zh-CN"/>
        </w:rPr>
        <w:t>本机构检出</w:t>
      </w:r>
      <w:r>
        <w:rPr>
          <w:rFonts w:hint="eastAsia" w:ascii="宋体" w:hAnsi="宋体" w:eastAsia="宋体" w:cs="宋体"/>
          <w:color w:val="000000"/>
          <w:sz w:val="24"/>
          <w:szCs w:val="24"/>
          <w:highlight w:val="none"/>
        </w:rPr>
        <w:t>的本地标称生产企业不合格产品整改复查的检验工作，对监督抽查最终结果为不合格的产品进行整改后复查抽检，复查工作严格按照《浙江省产品质量监督抽查工作实施办法（试行）》规定及采购人要求执行，并需对复查产品依据《浙江省产品质量监督抽查评价规则》进行检测。复查抽检费用含在总费用里面</w:t>
      </w:r>
      <w:r>
        <w:rPr>
          <w:rFonts w:hint="eastAsia" w:ascii="宋体" w:hAnsi="宋体" w:eastAsia="宋体" w:cs="宋体"/>
          <w:color w:val="000000"/>
          <w:sz w:val="24"/>
          <w:szCs w:val="24"/>
          <w:highlight w:val="none"/>
          <w:lang w:eastAsia="zh-CN"/>
        </w:rPr>
        <w:t>。</w:t>
      </w:r>
    </w:p>
    <w:p w14:paraId="55CE9B7B">
      <w:pPr>
        <w:numPr>
          <w:ilvl w:val="0"/>
          <w:numId w:val="0"/>
        </w:numPr>
        <w:tabs>
          <w:tab w:val="left" w:pos="9135"/>
        </w:tabs>
        <w:spacing w:line="440" w:lineRule="exact"/>
        <w:ind w:left="360" w:leftChars="0" w:hanging="360" w:firstLineChars="0"/>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四、抽检要求</w:t>
      </w:r>
    </w:p>
    <w:p w14:paraId="70BFCCF8">
      <w:pPr>
        <w:numPr>
          <w:ilvl w:val="0"/>
          <w:numId w:val="0"/>
        </w:numPr>
        <w:tabs>
          <w:tab w:val="left" w:pos="9135"/>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default" w:ascii="宋体" w:hAnsi="宋体" w:eastAsia="宋体" w:cs="宋体"/>
          <w:b/>
          <w:color w:val="000000"/>
          <w:kern w:val="2"/>
          <w:sz w:val="24"/>
          <w:szCs w:val="24"/>
          <w:lang w:val="en-US" w:eastAsia="zh-CN" w:bidi="ar-SA"/>
        </w:rPr>
        <w:t>1、</w:t>
      </w:r>
      <w:r>
        <w:rPr>
          <w:rFonts w:hint="eastAsia" w:ascii="宋体" w:hAnsi="宋体" w:eastAsia="宋体" w:cs="宋体"/>
          <w:color w:val="000000"/>
          <w:kern w:val="2"/>
          <w:sz w:val="24"/>
          <w:szCs w:val="24"/>
          <w:highlight w:val="none"/>
          <w:lang w:val="en-US" w:eastAsia="zh-CN" w:bidi="ar-SA"/>
        </w:rPr>
        <w:t>抽检范围：常山县行政区域范围内的生产经营单位，投标报价时应考虑全部的风险因素。</w:t>
      </w:r>
    </w:p>
    <w:p w14:paraId="7F48BA13">
      <w:pPr>
        <w:numPr>
          <w:ilvl w:val="0"/>
          <w:numId w:val="0"/>
        </w:numPr>
        <w:tabs>
          <w:tab w:val="left" w:pos="9135"/>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default" w:ascii="宋体" w:hAnsi="宋体" w:eastAsia="宋体" w:cs="宋体"/>
          <w:b/>
          <w:color w:val="000000"/>
          <w:kern w:val="2"/>
          <w:sz w:val="24"/>
          <w:szCs w:val="24"/>
          <w:lang w:val="en-US" w:eastAsia="zh-CN" w:bidi="ar-SA"/>
        </w:rPr>
        <w:t>2、</w:t>
      </w:r>
      <w:r>
        <w:rPr>
          <w:rFonts w:hint="eastAsia" w:ascii="宋体" w:hAnsi="宋体" w:eastAsia="宋体" w:cs="宋体"/>
          <w:color w:val="000000"/>
          <w:kern w:val="2"/>
          <w:sz w:val="24"/>
          <w:szCs w:val="24"/>
          <w:highlight w:val="none"/>
          <w:lang w:val="en-US" w:eastAsia="zh-CN" w:bidi="ar-SA"/>
        </w:rPr>
        <w:t>完成期限：本次检测服务各专项任务要求在每个时间节点（或采购人要求期限内）完成，整个</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服务在202</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5</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年11月底前完成。供应商要合理安排时间和检测力量，依法制定详细的《技术实</w:t>
      </w:r>
      <w:r>
        <w:rPr>
          <w:rFonts w:hint="eastAsia" w:ascii="宋体" w:hAnsi="宋体" w:eastAsia="宋体" w:cs="宋体"/>
          <w:color w:val="000000"/>
          <w:kern w:val="2"/>
          <w:sz w:val="24"/>
          <w:szCs w:val="24"/>
          <w:highlight w:val="none"/>
          <w:lang w:val="en-US" w:eastAsia="zh-CN" w:bidi="ar-SA"/>
        </w:rPr>
        <w:t>施方案》，方案内容应至少包括品种分布、进度安排、检测项目计划、质量控制、结果报送和情况分析等，并确保按时完成所有任务。</w:t>
      </w:r>
    </w:p>
    <w:p w14:paraId="27555114">
      <w:pPr>
        <w:numPr>
          <w:ilvl w:val="0"/>
          <w:numId w:val="0"/>
        </w:numPr>
        <w:tabs>
          <w:tab w:val="left" w:pos="9135"/>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default" w:ascii="宋体" w:hAnsi="宋体" w:eastAsia="宋体" w:cs="宋体"/>
          <w:b/>
          <w:color w:val="000000"/>
          <w:kern w:val="2"/>
          <w:sz w:val="24"/>
          <w:szCs w:val="24"/>
          <w:lang w:val="en-US" w:eastAsia="zh-CN" w:bidi="ar-SA"/>
        </w:rPr>
        <w:t>3、</w:t>
      </w:r>
      <w:r>
        <w:rPr>
          <w:rFonts w:hint="eastAsia" w:ascii="宋体" w:hAnsi="宋体" w:eastAsia="宋体" w:cs="宋体"/>
          <w:color w:val="000000"/>
          <w:kern w:val="2"/>
          <w:sz w:val="24"/>
          <w:szCs w:val="24"/>
          <w:highlight w:val="none"/>
          <w:lang w:val="en-US" w:eastAsia="zh-CN" w:bidi="ar-SA"/>
        </w:rPr>
        <w:t>抽样和检测要严格按照</w:t>
      </w:r>
      <w:r>
        <w:rPr>
          <w:rStyle w:val="32"/>
          <w:rFonts w:hint="eastAsia" w:ascii="宋体" w:hAnsi="宋体" w:eastAsia="宋体" w:cs="宋体"/>
          <w:color w:val="auto"/>
          <w:kern w:val="0"/>
          <w:sz w:val="24"/>
          <w:szCs w:val="24"/>
          <w:highlight w:val="none"/>
          <w:lang w:val="en-US" w:eastAsia="zh-CN" w:bidi="ar-SA"/>
        </w:rPr>
        <w:t>《产品质量法》、《产品质量监督抽查管理暂行办法》、《浙江省产品质量监督管理条例》、《浙江省检验机构管理条例》、《浙江省产品质量监督抽查工作实施办法（试行）》</w:t>
      </w:r>
      <w:r>
        <w:rPr>
          <w:rFonts w:hint="eastAsia" w:ascii="宋体" w:hAnsi="宋体" w:eastAsia="宋体" w:cs="宋体"/>
          <w:color w:val="000000"/>
          <w:kern w:val="2"/>
          <w:sz w:val="24"/>
          <w:szCs w:val="24"/>
          <w:highlight w:val="none"/>
          <w:lang w:val="en-US" w:eastAsia="zh-CN" w:bidi="ar-SA"/>
        </w:rPr>
        <w:t xml:space="preserve">《产品质量常山县监督抽查实施细则》等规定执行，样品采集过程严格按照监督抽检工作程序，履行法定手续，认真做好样品检验、数据录入和报送等工作，确保检验结果准确可靠。      </w:t>
      </w:r>
    </w:p>
    <w:p w14:paraId="7370A3BA">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default" w:ascii="宋体" w:hAnsi="宋体" w:eastAsia="宋体" w:cs="宋体"/>
          <w:b/>
          <w:color w:val="000000"/>
          <w:kern w:val="2"/>
          <w:sz w:val="24"/>
          <w:szCs w:val="24"/>
          <w:lang w:val="en-US" w:eastAsia="zh-CN" w:bidi="ar-SA"/>
        </w:rPr>
        <w:t>4、</w:t>
      </w:r>
      <w:r>
        <w:rPr>
          <w:rFonts w:hint="eastAsia" w:ascii="宋体" w:hAnsi="宋体" w:eastAsia="宋体" w:cs="宋体"/>
          <w:color w:val="000000"/>
          <w:kern w:val="2"/>
          <w:sz w:val="24"/>
          <w:szCs w:val="24"/>
          <w:highlight w:val="none"/>
          <w:lang w:val="en-US" w:eastAsia="zh-CN" w:bidi="ar-SA"/>
        </w:rPr>
        <w:t>供应商在检验报告签发之日起10个工作日内将结果清单及检测报告等材料，连同情况分析材料一并送采购人。检验过程中发现样品存在较高安全风险的，应在确认检验结果后24小时内通知市场监管局主管科室。</w:t>
      </w:r>
    </w:p>
    <w:p w14:paraId="3F2B6700">
      <w:pPr>
        <w:numPr>
          <w:ilvl w:val="0"/>
          <w:numId w:val="0"/>
        </w:numPr>
        <w:tabs>
          <w:tab w:val="left" w:pos="9135"/>
        </w:tabs>
        <w:spacing w:line="440" w:lineRule="exact"/>
        <w:ind w:left="360" w:leftChars="0" w:hanging="360" w:firstLineChars="0"/>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五、抽样、检验、结果报告及质量要求</w:t>
      </w:r>
    </w:p>
    <w:p w14:paraId="309231EE">
      <w:pPr>
        <w:numPr>
          <w:ilvl w:val="0"/>
          <w:numId w:val="0"/>
        </w:numPr>
        <w:tabs>
          <w:tab w:val="left" w:pos="9135"/>
        </w:tabs>
        <w:spacing w:line="440" w:lineRule="exact"/>
        <w:ind w:left="360" w:leftChars="0" w:hanging="360" w:firstLineChars="0"/>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 xml:space="preserve">1、抽样 </w:t>
      </w:r>
    </w:p>
    <w:p w14:paraId="17B4BF15">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抽检时间：每次的抽检具体时间由采购人根据计划任务安排确定并选择委托，供应商应在接到采购人检测通知后2天内，组织安排好相关人员及车辆，负责抽样。在同等条件下，供应商应当优先安排采购人的任务，准备好每次检验所需的交通工具并承担费用，保证抽检任务顺利完成。</w:t>
      </w:r>
    </w:p>
    <w:p w14:paraId="772E87C5">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(2)抽样地点：常山县范围内，每次任务根据实际工作要求由采购人进行分配。</w:t>
      </w:r>
    </w:p>
    <w:p w14:paraId="718AFC53">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(3)抽样时供应商抽样人员不得少于2人，并负责填写抽检文书，提取检品、封样储运等工作。</w:t>
      </w:r>
    </w:p>
    <w:p w14:paraId="0F61DA9D">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(4)样品采集完成后应快速送检，并按样品相关要求保存。</w:t>
      </w:r>
    </w:p>
    <w:p w14:paraId="6CDF4DCF">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(5)抽样人员：供应商须安排抽样人员进行培训并持证上岗，抽样人员在执行抽样任务时应当出示监督抽检通知书、委托书等文件及有效身份证明文件。</w:t>
      </w:r>
    </w:p>
    <w:p w14:paraId="411CB877">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(6)抽检对象：监督抽查的样品应当由抽样人员在市场上待销的产品中随机抽取，抽取的样品应当是有产品质量检验合格证明或者以其他形式表明合格的产品。</w:t>
      </w:r>
    </w:p>
    <w:p w14:paraId="7D2143CA">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(7)抽样办法：抽样人员应当核对被抽样经营者的营业执照、许可证等资质证明文件。抽样人员应按照相关安全法律法规规定的采样方法抽取样品，抽样数量原则上应当满足检验和复检的要求。</w:t>
      </w:r>
    </w:p>
    <w:p w14:paraId="748560E6">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w:t>
      </w:r>
      <w:r>
        <w:rPr>
          <w:rFonts w:hint="eastAsia" w:ascii="宋体" w:hAnsi="宋体" w:cs="宋体"/>
          <w:color w:val="000000"/>
          <w:kern w:val="2"/>
          <w:sz w:val="24"/>
          <w:szCs w:val="24"/>
          <w:highlight w:val="none"/>
          <w:lang w:val="en-US" w:eastAsia="zh-CN" w:bidi="ar-SA"/>
        </w:rPr>
        <w:t>8</w:t>
      </w:r>
      <w:r>
        <w:rPr>
          <w:rFonts w:hint="eastAsia" w:ascii="宋体" w:hAnsi="宋体" w:eastAsia="宋体" w:cs="宋体"/>
          <w:color w:val="000000"/>
          <w:kern w:val="2"/>
          <w:sz w:val="24"/>
          <w:szCs w:val="24"/>
          <w:highlight w:val="none"/>
          <w:lang w:val="en-US" w:eastAsia="zh-CN" w:bidi="ar-SA"/>
        </w:rPr>
        <w:t>)确认样品：样品须按照法律法规和相关国家安全标准、行业标准、地方标准的规定，分为检验样品和复检备份样品。抽样人员应当采取有效的防拆封措施，对复检备份样品单独封样由抽样人员、被抽检人或其依法指定的代表签字或者盖章确认、加贴封条，当场将检验样品和复检备份样品一起提取，不得留置于被抽检人处或交由被抽检人运送、保管。</w:t>
      </w:r>
    </w:p>
    <w:p w14:paraId="0A039069">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w:t>
      </w:r>
      <w:r>
        <w:rPr>
          <w:rFonts w:hint="eastAsia" w:ascii="宋体" w:hAnsi="宋体" w:cs="宋体"/>
          <w:color w:val="000000"/>
          <w:kern w:val="2"/>
          <w:sz w:val="24"/>
          <w:szCs w:val="24"/>
          <w:highlight w:val="none"/>
          <w:lang w:val="en-US" w:eastAsia="zh-CN" w:bidi="ar-SA"/>
        </w:rPr>
        <w:t>9</w:t>
      </w:r>
      <w:r>
        <w:rPr>
          <w:rFonts w:hint="eastAsia" w:ascii="宋体" w:hAnsi="宋体" w:eastAsia="宋体" w:cs="宋体"/>
          <w:color w:val="000000"/>
          <w:kern w:val="2"/>
          <w:sz w:val="24"/>
          <w:szCs w:val="24"/>
          <w:highlight w:val="none"/>
          <w:lang w:val="en-US" w:eastAsia="zh-CN" w:bidi="ar-SA"/>
        </w:rPr>
        <w:t>)文书记录：抽样人员应当使用规范的抽样文书，准确、详细、客观地记录抽样信息，认真填写《抽样单》，须与被抽检人或其依法指定的代表在《抽样单》上签名（盖章），应尽量通过拍照、录像、留存购物票据等方式保存抽样信息。供应商对抽样过程及《抽样单》记录内容的合法性、真实性负责，《抽样单》等抽样记录材料保存期限不得少于2年。</w:t>
      </w:r>
    </w:p>
    <w:p w14:paraId="0FF91C87">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 xml:space="preserve"> (1</w:t>
      </w:r>
      <w:r>
        <w:rPr>
          <w:rFonts w:hint="eastAsia" w:ascii="宋体" w:hAnsi="宋体" w:cs="宋体"/>
          <w:color w:val="000000"/>
          <w:kern w:val="2"/>
          <w:sz w:val="24"/>
          <w:szCs w:val="24"/>
          <w:highlight w:val="none"/>
          <w:lang w:val="en-US" w:eastAsia="zh-CN" w:bidi="ar-SA"/>
        </w:rPr>
        <w:t>0</w:t>
      </w:r>
      <w:r>
        <w:rPr>
          <w:rFonts w:hint="eastAsia" w:ascii="宋体" w:hAnsi="宋体" w:eastAsia="宋体" w:cs="宋体"/>
          <w:color w:val="000000"/>
          <w:kern w:val="2"/>
          <w:sz w:val="24"/>
          <w:szCs w:val="24"/>
          <w:highlight w:val="none"/>
          <w:lang w:val="en-US" w:eastAsia="zh-CN" w:bidi="ar-SA"/>
        </w:rPr>
        <w:t>)样品运输：由供应商负责，供应商须配备每次抽检所需的运输工具，须依照法律法规和相关安全标准规定及商品标签要求的方式、条件运输，采取相应措施，确保样品安全，不发生影响检验结论的变化。</w:t>
      </w:r>
    </w:p>
    <w:p w14:paraId="64DA0AC0">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 xml:space="preserve"> (1</w:t>
      </w:r>
      <w:r>
        <w:rPr>
          <w:rFonts w:hint="eastAsia" w:ascii="宋体" w:hAnsi="宋体" w:cs="宋体"/>
          <w:color w:val="000000"/>
          <w:kern w:val="2"/>
          <w:sz w:val="24"/>
          <w:szCs w:val="24"/>
          <w:highlight w:val="none"/>
          <w:lang w:val="en-US" w:eastAsia="zh-CN" w:bidi="ar-SA"/>
        </w:rPr>
        <w:t>1</w:t>
      </w:r>
      <w:r>
        <w:rPr>
          <w:rFonts w:hint="eastAsia" w:ascii="宋体" w:hAnsi="宋体" w:eastAsia="宋体" w:cs="宋体"/>
          <w:color w:val="000000"/>
          <w:kern w:val="2"/>
          <w:sz w:val="24"/>
          <w:szCs w:val="24"/>
          <w:highlight w:val="none"/>
          <w:lang w:val="en-US" w:eastAsia="zh-CN" w:bidi="ar-SA"/>
        </w:rPr>
        <w:t>)样品保管：由供应商负责，接收商品质量监督抽检的样品时，应当查验、记录样品的外观、状态、封条有无破损以及其他可能对对检验结果或者综合判定产生影响的情况，并确认样品与抽样文书的记录相符，对检验样品和复检备份样品分别加贴相应标识后，依照法律法规和相关安全标准规定及商品标签要求的方式、条件保存，确保样品不遗失、不调换、不损坏，并按照法律法规要求进行销毁等处理。检验发现样品抽取不规范或有其他问题的，应及时向采购人报告，按采购人的意见处置。</w:t>
      </w:r>
    </w:p>
    <w:p w14:paraId="7B473476">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(13)供应商应及时报告产品质量监督抽查情况，并汇总于抽样月份的25日将汇总表报送采购人，计划内无法抽到样品的，要说明原因。</w:t>
      </w:r>
    </w:p>
    <w:p w14:paraId="7FC044DE">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(14)供应商要建立监督抽查样品的管理规范，应有样品登记、编号等流转记录，配备必要的设备设施，在规定条件下保存备样，确保备样的有效性。对检验结论为不合格的产品，其备样应保留至被抽查单位不合格后处理工作结束后方可处置。</w:t>
      </w:r>
    </w:p>
    <w:p w14:paraId="34C5ABCC">
      <w:pPr>
        <w:numPr>
          <w:ilvl w:val="0"/>
          <w:numId w:val="0"/>
        </w:numPr>
        <w:tabs>
          <w:tab w:val="left" w:pos="9135"/>
        </w:tabs>
        <w:spacing w:line="440" w:lineRule="exact"/>
        <w:ind w:left="360" w:leftChars="0" w:hanging="360" w:firstLineChars="0"/>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2、 检验及结果报告</w:t>
      </w:r>
    </w:p>
    <w:p w14:paraId="18FE4E8D">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（1）检验实验室：所有样品必须在响应文件中明确的承担本项目检测的实验室中进行检测。</w:t>
      </w:r>
    </w:p>
    <w:p w14:paraId="118DFAA5">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（2）检验依据：依照法律法规和相关国家安全标准、行业标准、地方标准、备案有效的企业标准。</w:t>
      </w:r>
    </w:p>
    <w:p w14:paraId="78B68735">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3）检验方法：供应商应当对检验工作负责，须按照法律法规、国家安全标准、行业标准、地方标准、备案有效的企业标准和检验技术要求开展检验工作，如实、准确、完整、及时地填写检验原始记录，保证检验工作的科学、独立、客观和规范。为处理案件稽查、事故调查、应急处置等工作需要，经采购人同意，可以采用非安全标准等规定的检验方法，分析查找安全问题的原因。</w:t>
      </w:r>
    </w:p>
    <w:p w14:paraId="32F85A8B">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 xml:space="preserve"> （4）结果判定：供应商应根据国家相关标准进行判定检测项目是否合格并出具检查结果，同时供应商要对检测结果进行综合评价和原因分析，并作出消费提示，另外还应及时提交检测数据明细。</w:t>
      </w:r>
    </w:p>
    <w:p w14:paraId="13C36DFE">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5）出具结果：供应商须在收到样品之日起20个工作日内出具检测报告，出具的检验报告应具有相关执法效力。在出具检测报告之日起五个工作日内，并将相关抽样单、检验报告抽查和检验情况汇总表等资料严格按照《浙江省产品质量监督抽查工作实施办法（试行）》要求进行寄送和报送。供应商负责核查销售者、生产者和标称生产者的检验结果送达情况，并汇总《企业检验结果送达表》报送采购人。</w:t>
      </w:r>
    </w:p>
    <w:p w14:paraId="43DA7CBE">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（6）供应商应在出具检测结果后15个工作日内提交抽查检验情况分析报告（应包括不合格项目原因分析和消费提示等）并报送给采购人。</w:t>
      </w:r>
    </w:p>
    <w:p w14:paraId="500FAB3D">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（7）复检工作由采购人指定的具有复检资质的第三方机构承担，初检机构应配合复检机构完成样品交接等复检工作，并承担合理的备样寄送费用。</w:t>
      </w:r>
    </w:p>
    <w:p w14:paraId="77DB4269">
      <w:pPr>
        <w:numPr>
          <w:ilvl w:val="0"/>
          <w:numId w:val="0"/>
        </w:numPr>
        <w:tabs>
          <w:tab w:val="left" w:pos="9135"/>
        </w:tabs>
        <w:spacing w:line="440" w:lineRule="exact"/>
        <w:ind w:left="360" w:leftChars="0" w:hanging="360" w:firstLineChars="0"/>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3、抽检质量要求</w:t>
      </w:r>
    </w:p>
    <w:p w14:paraId="257AE893">
      <w:pPr>
        <w:numPr>
          <w:ilvl w:val="0"/>
          <w:numId w:val="0"/>
        </w:numPr>
        <w:tabs>
          <w:tab w:val="left" w:pos="9135"/>
        </w:tabs>
        <w:spacing w:line="440" w:lineRule="exact"/>
        <w:ind w:left="433" w:leftChars="206" w:firstLine="69" w:firstLineChars="29"/>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供应商应保证检测结果的准确性，如某一批次的检测结果因异议、复检导致改</w:t>
      </w:r>
      <w:r>
        <w:rPr>
          <w:rFonts w:hint="eastAsia" w:ascii="宋体" w:hAnsi="宋体" w:eastAsia="宋体" w:cs="宋体"/>
          <w:b w:val="0"/>
          <w:bCs w:val="0"/>
          <w:color w:val="000000"/>
          <w:kern w:val="2"/>
          <w:sz w:val="24"/>
          <w:szCs w:val="24"/>
          <w:highlight w:val="none"/>
          <w:lang w:val="en-US" w:eastAsia="zh-CN" w:bidi="ar-SA"/>
        </w:rPr>
        <w:t>判的，采购人可扣除3倍的该批次检测费金额进行处罚。</w:t>
      </w:r>
    </w:p>
    <w:p w14:paraId="487EDEA8">
      <w:pPr>
        <w:numPr>
          <w:ilvl w:val="0"/>
          <w:numId w:val="0"/>
        </w:numPr>
        <w:tabs>
          <w:tab w:val="left" w:pos="9135"/>
        </w:tabs>
        <w:spacing w:line="440" w:lineRule="exact"/>
        <w:ind w:left="360" w:leftChars="0" w:hanging="360" w:firstLineChars="0"/>
        <w:rPr>
          <w:rFonts w:hint="eastAsia" w:ascii="宋体" w:hAnsi="宋体" w:eastAsia="宋体" w:cs="宋体"/>
          <w:b/>
          <w:bCs/>
          <w:color w:val="auto"/>
          <w:sz w:val="24"/>
          <w:szCs w:val="24"/>
          <w:highlight w:val="none"/>
        </w:rPr>
      </w:pPr>
      <w:r>
        <w:rPr>
          <w:rFonts w:hint="eastAsia" w:ascii="宋体" w:hAnsi="宋体" w:eastAsia="宋体" w:cs="宋体"/>
          <w:b/>
          <w:bCs/>
          <w:color w:val="auto"/>
          <w:kern w:val="2"/>
          <w:sz w:val="24"/>
          <w:szCs w:val="24"/>
          <w:lang w:val="en-US" w:eastAsia="zh-CN" w:bidi="ar-SA"/>
        </w:rPr>
        <w:t>4、</w:t>
      </w:r>
      <w:r>
        <w:rPr>
          <w:rFonts w:hint="eastAsia" w:ascii="宋体" w:hAnsi="宋体" w:eastAsia="宋体" w:cs="宋体"/>
          <w:b/>
          <w:bCs/>
          <w:color w:val="auto"/>
          <w:sz w:val="24"/>
          <w:szCs w:val="24"/>
          <w:highlight w:val="none"/>
        </w:rPr>
        <w:t>付款方式:</w:t>
      </w:r>
    </w:p>
    <w:p w14:paraId="081E5FFD">
      <w:pPr>
        <w:numPr>
          <w:ilvl w:val="0"/>
          <w:numId w:val="0"/>
        </w:numPr>
        <w:tabs>
          <w:tab w:val="left" w:pos="9135"/>
        </w:tabs>
        <w:spacing w:line="440" w:lineRule="exact"/>
        <w:ind w:left="433" w:leftChars="206" w:firstLine="69" w:firstLineChars="29"/>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t>1.第一次结算以供应商完成合同约定服务进度的50%且出具完成的抽样检测任务清单、完成检测报告，经采购人审核确认实际完成工作量及质量达标后，支付当期对应款项；第二次结算以供应商项目全部完成并出具相应检测报告，经采购人审核确认实际完成工作量及质量达标后10个工作日内提交结算申请。</w:t>
      </w:r>
    </w:p>
    <w:p w14:paraId="66ECE590">
      <w:pPr>
        <w:numPr>
          <w:ilvl w:val="0"/>
          <w:numId w:val="0"/>
        </w:numPr>
        <w:tabs>
          <w:tab w:val="left" w:pos="9135"/>
        </w:tabs>
        <w:spacing w:line="440" w:lineRule="exact"/>
        <w:ind w:left="433" w:leftChars="206" w:firstLine="69" w:firstLineChars="29"/>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t>2.供应商向采购人开具相应金额的正规发票，采购人自收到发票后向供应商付款。</w:t>
      </w:r>
    </w:p>
    <w:p w14:paraId="59EA06BA">
      <w:pPr>
        <w:numPr>
          <w:ilvl w:val="0"/>
          <w:numId w:val="0"/>
        </w:numPr>
        <w:tabs>
          <w:tab w:val="left" w:pos="9135"/>
        </w:tabs>
        <w:spacing w:line="440" w:lineRule="exact"/>
        <w:ind w:left="360" w:leftChars="0" w:hanging="360" w:firstLine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5、其他服务要求</w:t>
      </w:r>
    </w:p>
    <w:p w14:paraId="3449CC77">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（1）供应商要严格按照国家相关标准及规定，加强对组织实施、样品抽样、实验室检测、数据报送等关键环节的质量控制，确保检测结果准确可靠。</w:t>
      </w:r>
    </w:p>
    <w:p w14:paraId="6C2E4E60">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2）供应商应当对抽样、检验过程负责，如实、准确、完整、及时地完成工作。参与监督抽查工作的抽检人员应严格按照要求进行抽样、检验和结果上报，不得随意更改抽样地点和样品信息，不得瞒报、谎报、漏报、错报检测数据，不得擅自发布有关抽检信息，不得事先通知被抽检单位，不得牟取不正当利益，确保结果的真实客观和准确。</w:t>
      </w:r>
    </w:p>
    <w:p w14:paraId="6024C908">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3）做好数据统计和录入工作。供应商应在收到样品2个工作日内将抽样信息输入采购人指定系统，监督抽查结果数据在完成检验工作的5个工作日内输入“浙江省产品质量智慧监管平台”系统，录入所需相关费用由供应商承担。</w:t>
      </w:r>
    </w:p>
    <w:p w14:paraId="70A61A0A">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（4）保密责任：涉及抽样的全部情况包括数据及结果，供应商必须保密，不得向除采购人外的任何单位与个人透露情况。</w:t>
      </w:r>
    </w:p>
    <w:p w14:paraId="3DD7C714">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（5）失误责任：供应商对检验结果的真实性负责，如果因故意隐瞒、弄虚作假、错误检验数据和结论等行为而给被检验人造成损失的，或者给社会带来不良影响的，供应商应当负责赔偿，并承担相应法律责任。</w:t>
      </w:r>
    </w:p>
    <w:p w14:paraId="3518241C">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（6）配合服务：供应商应积极配合委托方开展抽检及售后工作，应安排专人到采购人处配合开展检测工作。</w:t>
      </w:r>
    </w:p>
    <w:p w14:paraId="235C561B">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（7）配合复检：供应商应配合采购人开展复检工作，及时做好复检样品交接工作。复检结果与初检结果不一致时，复检费用由供应商承担；若复检结果与初检结果一致，复检费用由复检申请人承担。</w:t>
      </w:r>
    </w:p>
    <w:p w14:paraId="0C5F36EC">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8）信息服务：供应商主动向采购人提供进度报告、发布进度信息。供应商应及时向采购人提供检验结果分析，本次抽查任务完成后，应向采购人提交具体产品的分析报告。采购人提出查看原始数据的，供应商需2天内提供原始数据供采购人查看，采购人也可到供应商实验室现场查看原始数据。</w:t>
      </w:r>
    </w:p>
    <w:p w14:paraId="4281033C">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（9）业务建档制度：供应商须针对常山县市场监督管理局检测业务建立单独的业务档案资料，并按规定进行备案。</w:t>
      </w:r>
    </w:p>
    <w:p w14:paraId="55C8AB55">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（10）违规处理：采购人可在委托期间对供应商是否规范操作进行监督检查，如发生违规操作或其他违法违纪行为，一经发现将立即终止该次检测活动，采购人将记录备案，并扣罚</w:t>
      </w:r>
      <w:r>
        <w:rPr>
          <w:rFonts w:hint="eastAsia" w:ascii="宋体" w:hAnsi="宋体"/>
          <w:sz w:val="24"/>
        </w:rPr>
        <w:t>合</w:t>
      </w:r>
      <w:r>
        <w:rPr>
          <w:rFonts w:hint="eastAsia" w:ascii="宋体" w:hAnsi="宋体"/>
          <w:color w:val="000000" w:themeColor="text1"/>
          <w:sz w:val="24"/>
          <w14:textFill>
            <w14:solidFill>
              <w14:schemeClr w14:val="tx1"/>
            </w14:solidFill>
          </w14:textFill>
        </w:rPr>
        <w:t>同金额的10%</w:t>
      </w:r>
      <w:r>
        <w:rPr>
          <w:rFonts w:hint="eastAsia" w:ascii="宋体" w:hAnsi="宋体"/>
          <w:color w:val="000000" w:themeColor="text1"/>
          <w:sz w:val="24"/>
          <w:lang w:eastAsia="zh-CN"/>
          <w14:textFill>
            <w14:solidFill>
              <w14:schemeClr w14:val="tx1"/>
            </w14:solidFill>
          </w14:textFill>
        </w:rPr>
        <w:t>的违约金</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；情</w:t>
      </w:r>
      <w:r>
        <w:rPr>
          <w:rFonts w:hint="eastAsia" w:ascii="宋体" w:hAnsi="宋体" w:eastAsia="宋体" w:cs="宋体"/>
          <w:b w:val="0"/>
          <w:bCs w:val="0"/>
          <w:color w:val="000000"/>
          <w:kern w:val="2"/>
          <w:sz w:val="24"/>
          <w:szCs w:val="24"/>
          <w:highlight w:val="none"/>
          <w:lang w:val="en-US" w:eastAsia="zh-CN" w:bidi="ar-SA"/>
        </w:rPr>
        <w:t>形严重的，采购人有权单方面终止合同，并将供应商列入不诚信供应商名单，拒绝其参加今后采购人单位相关检测项目的投标资格。如有需要将依法追究供应商和相关人员的法律责任。</w:t>
      </w:r>
    </w:p>
    <w:p w14:paraId="2C0796CA">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11）供应商如在投标文件中承诺派遣熟练的专职人员（不得兼任其他工作）在采购人单位为本项目提供抽样安排、报告送达、日常联系等服务的，必须在合同签订后2日内到位，并在本项目合同履行周期内在采购单位内办公，遵守采购单位规章制度，未按承诺派专职人员或人员未按时到位的按严重违约处理，采购人有权单方终止合同，并将供应商列入不诚信供应商名单。</w:t>
      </w:r>
    </w:p>
    <w:p w14:paraId="16B001ED">
      <w:pPr>
        <w:spacing w:line="500" w:lineRule="exact"/>
        <w:rPr>
          <w:rFonts w:hint="eastAsia" w:ascii="宋体" w:hAnsi="宋体" w:eastAsia="宋体" w:cs="宋体"/>
          <w:b/>
          <w:color w:val="000000" w:themeColor="text1"/>
          <w:sz w:val="24"/>
          <w:highlight w:val="none"/>
          <w:lang w:val="en-US" w:eastAsia="zh-CN"/>
          <w14:textFill>
            <w14:solidFill>
              <w14:schemeClr w14:val="tx1"/>
            </w14:solidFill>
          </w14:textFill>
        </w:rPr>
      </w:pPr>
      <w:r>
        <w:rPr>
          <w:rFonts w:hint="eastAsia" w:eastAsia="宋体" w:cs="宋体"/>
          <w:b/>
          <w:color w:val="000000" w:themeColor="text1"/>
          <w:sz w:val="24"/>
          <w:highlight w:val="none"/>
          <w:lang w:val="en-US" w:eastAsia="zh-CN"/>
          <w14:textFill>
            <w14:solidFill>
              <w14:schemeClr w14:val="tx1"/>
            </w14:solidFill>
          </w14:textFill>
        </w:rPr>
        <w:t>六</w:t>
      </w:r>
      <w:r>
        <w:rPr>
          <w:rFonts w:hint="eastAsia" w:ascii="宋体" w:hAnsi="宋体" w:eastAsia="宋体" w:cs="宋体"/>
          <w:b/>
          <w:color w:val="000000" w:themeColor="text1"/>
          <w:sz w:val="24"/>
          <w:highlight w:val="none"/>
          <w:lang w:val="en-US" w:eastAsia="zh-CN"/>
          <w14:textFill>
            <w14:solidFill>
              <w14:schemeClr w14:val="tx1"/>
            </w14:solidFill>
          </w14:textFill>
        </w:rPr>
        <w:t>、考核机制</w:t>
      </w:r>
    </w:p>
    <w:p w14:paraId="72CC6F4B">
      <w:pPr>
        <w:spacing w:line="440" w:lineRule="exact"/>
        <w:ind w:firstLine="480" w:firstLineChars="20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按照《常山县产品质量承检机构工作质量跟踪考评表》设定指标，</w:t>
      </w:r>
      <w:r>
        <w:rPr>
          <w:rFonts w:hint="eastAsia" w:ascii="宋体" w:hAnsi="宋体" w:cs="宋体"/>
          <w:color w:val="000000" w:themeColor="text1"/>
          <w:sz w:val="24"/>
          <w:szCs w:val="24"/>
          <w:highlight w:val="none"/>
          <w:lang w:val="en-US" w:eastAsia="zh-CN"/>
          <w14:textFill>
            <w14:solidFill>
              <w14:schemeClr w14:val="tx1"/>
            </w14:solidFill>
          </w14:textFill>
        </w:rPr>
        <w:t>每季度</w:t>
      </w:r>
      <w:r>
        <w:rPr>
          <w:rFonts w:hint="eastAsia" w:ascii="宋体" w:hAnsi="宋体" w:eastAsia="宋体" w:cs="宋体"/>
          <w:color w:val="000000" w:themeColor="text1"/>
          <w:sz w:val="24"/>
          <w:szCs w:val="24"/>
          <w:highlight w:val="none"/>
          <w:lang w:val="en-US" w:eastAsia="zh-CN"/>
          <w14:textFill>
            <w14:solidFill>
              <w14:schemeClr w14:val="tx1"/>
            </w14:solidFill>
          </w14:textFill>
        </w:rPr>
        <w:t>一次的集中考评，考评结果直接与中标资质挂钩，如果一次得分在85分以下的，暂停委托承检，并限期整改；整改不符合要求或考评再次85分以下的，或无正当理由拒绝承担检测委托的，终止或解除委托合同履行，并按照合约规定追究相应的违约责任。</w:t>
      </w:r>
    </w:p>
    <w:p w14:paraId="36FA638C">
      <w:pPr>
        <w:spacing w:line="440" w:lineRule="exact"/>
        <w:ind w:firstLine="480" w:firstLineChars="200"/>
        <w:jc w:val="center"/>
        <w:rPr>
          <w:rFonts w:hint="eastAsia" w:ascii="宋体" w:hAnsi="宋体" w:eastAsia="宋体" w:cs="宋体"/>
          <w:sz w:val="24"/>
          <w:szCs w:val="24"/>
          <w:highlight w:val="none"/>
        </w:rPr>
      </w:pPr>
    </w:p>
    <w:p w14:paraId="52B2D6B1">
      <w:pPr>
        <w:spacing w:line="440" w:lineRule="exact"/>
        <w:ind w:firstLine="480" w:firstLineChars="200"/>
        <w:jc w:val="center"/>
        <w:rPr>
          <w:rFonts w:hint="eastAsia" w:ascii="宋体" w:hAnsi="宋体" w:eastAsia="宋体" w:cs="宋体"/>
          <w:sz w:val="24"/>
          <w:highlight w:val="none"/>
        </w:rPr>
      </w:pPr>
      <w:r>
        <w:rPr>
          <w:rFonts w:hint="eastAsia" w:ascii="宋体" w:hAnsi="宋体" w:eastAsia="宋体" w:cs="宋体"/>
          <w:sz w:val="24"/>
          <w:szCs w:val="24"/>
          <w:highlight w:val="none"/>
        </w:rPr>
        <w:t>工作质量跟踪考评表</w:t>
      </w:r>
    </w:p>
    <w:tbl>
      <w:tblPr>
        <w:tblStyle w:val="2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37"/>
        <w:gridCol w:w="5898"/>
        <w:gridCol w:w="894"/>
        <w:gridCol w:w="897"/>
      </w:tblGrid>
      <w:tr w14:paraId="0772BC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4" w:hRule="atLeast"/>
          <w:jc w:val="center"/>
        </w:trPr>
        <w:tc>
          <w:tcPr>
            <w:tcW w:w="1337" w:type="dxa"/>
            <w:vMerge w:val="restart"/>
            <w:tcBorders>
              <w:top w:val="single" w:color="auto" w:sz="4" w:space="0"/>
              <w:left w:val="single" w:color="auto" w:sz="4" w:space="0"/>
              <w:bottom w:val="single" w:color="auto" w:sz="4" w:space="0"/>
              <w:right w:val="single" w:color="auto" w:sz="4" w:space="0"/>
            </w:tcBorders>
            <w:noWrap w:val="0"/>
            <w:vAlign w:val="center"/>
          </w:tcPr>
          <w:p w14:paraId="3BD38558">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考核项目及分值</w:t>
            </w:r>
          </w:p>
        </w:tc>
        <w:tc>
          <w:tcPr>
            <w:tcW w:w="5898" w:type="dxa"/>
            <w:vMerge w:val="restart"/>
            <w:tcBorders>
              <w:top w:val="single" w:color="auto" w:sz="4" w:space="0"/>
              <w:left w:val="single" w:color="auto" w:sz="4" w:space="0"/>
              <w:bottom w:val="single" w:color="auto" w:sz="4" w:space="0"/>
              <w:right w:val="single" w:color="auto" w:sz="4" w:space="0"/>
            </w:tcBorders>
            <w:noWrap w:val="0"/>
            <w:vAlign w:val="center"/>
          </w:tcPr>
          <w:p w14:paraId="50F22B8B">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内容及要求</w:t>
            </w:r>
          </w:p>
        </w:tc>
        <w:tc>
          <w:tcPr>
            <w:tcW w:w="894" w:type="dxa"/>
            <w:vMerge w:val="restart"/>
            <w:tcBorders>
              <w:top w:val="single" w:color="auto" w:sz="4" w:space="0"/>
              <w:left w:val="single" w:color="auto" w:sz="4" w:space="0"/>
              <w:bottom w:val="single" w:color="auto" w:sz="4" w:space="0"/>
              <w:right w:val="single" w:color="auto" w:sz="4" w:space="0"/>
            </w:tcBorders>
            <w:noWrap w:val="0"/>
            <w:vAlign w:val="center"/>
          </w:tcPr>
          <w:p w14:paraId="5FA1E4E8">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得分</w:t>
            </w:r>
          </w:p>
        </w:tc>
        <w:tc>
          <w:tcPr>
            <w:tcW w:w="897" w:type="dxa"/>
            <w:vMerge w:val="restart"/>
            <w:tcBorders>
              <w:top w:val="single" w:color="auto" w:sz="4" w:space="0"/>
              <w:left w:val="single" w:color="auto" w:sz="4" w:space="0"/>
              <w:bottom w:val="single" w:color="auto" w:sz="4" w:space="0"/>
              <w:right w:val="single" w:color="auto" w:sz="4" w:space="0"/>
            </w:tcBorders>
            <w:noWrap w:val="0"/>
            <w:vAlign w:val="center"/>
          </w:tcPr>
          <w:p w14:paraId="230D4A2C">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备注说明</w:t>
            </w:r>
          </w:p>
        </w:tc>
      </w:tr>
      <w:tr w14:paraId="54E2F1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20"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56743082">
            <w:pPr>
              <w:widowControl/>
              <w:spacing w:line="320" w:lineRule="exact"/>
              <w:jc w:val="left"/>
              <w:rPr>
                <w:rFonts w:hint="eastAsia" w:ascii="宋体" w:hAnsi="宋体" w:eastAsia="宋体" w:cs="宋体"/>
                <w:bCs/>
                <w:kern w:val="0"/>
                <w:sz w:val="24"/>
                <w:highlight w:val="none"/>
              </w:rPr>
            </w:pPr>
          </w:p>
        </w:tc>
        <w:tc>
          <w:tcPr>
            <w:tcW w:w="5898" w:type="dxa"/>
            <w:vMerge w:val="continue"/>
            <w:tcBorders>
              <w:top w:val="single" w:color="auto" w:sz="4" w:space="0"/>
              <w:left w:val="single" w:color="auto" w:sz="4" w:space="0"/>
              <w:bottom w:val="single" w:color="auto" w:sz="4" w:space="0"/>
              <w:right w:val="single" w:color="auto" w:sz="4" w:space="0"/>
            </w:tcBorders>
            <w:noWrap w:val="0"/>
            <w:vAlign w:val="center"/>
          </w:tcPr>
          <w:p w14:paraId="3A7D4210">
            <w:pPr>
              <w:widowControl/>
              <w:spacing w:line="320" w:lineRule="exact"/>
              <w:jc w:val="left"/>
              <w:rPr>
                <w:rFonts w:hint="eastAsia" w:ascii="宋体" w:hAnsi="宋体" w:eastAsia="宋体" w:cs="宋体"/>
                <w:bCs/>
                <w:kern w:val="0"/>
                <w:sz w:val="24"/>
                <w:highlight w:val="none"/>
              </w:rPr>
            </w:pPr>
          </w:p>
        </w:tc>
        <w:tc>
          <w:tcPr>
            <w:tcW w:w="894" w:type="dxa"/>
            <w:vMerge w:val="continue"/>
            <w:tcBorders>
              <w:top w:val="single" w:color="auto" w:sz="4" w:space="0"/>
              <w:left w:val="single" w:color="auto" w:sz="4" w:space="0"/>
              <w:bottom w:val="single" w:color="auto" w:sz="4" w:space="0"/>
              <w:right w:val="single" w:color="auto" w:sz="4" w:space="0"/>
            </w:tcBorders>
            <w:noWrap w:val="0"/>
            <w:vAlign w:val="center"/>
          </w:tcPr>
          <w:p w14:paraId="732E9D2C">
            <w:pPr>
              <w:widowControl/>
              <w:spacing w:line="320" w:lineRule="exact"/>
              <w:jc w:val="left"/>
              <w:rPr>
                <w:rFonts w:hint="eastAsia" w:ascii="宋体" w:hAnsi="宋体" w:eastAsia="宋体" w:cs="宋体"/>
                <w:bCs/>
                <w:kern w:val="0"/>
                <w:sz w:val="24"/>
                <w:highlight w:val="none"/>
              </w:rPr>
            </w:pPr>
          </w:p>
        </w:tc>
        <w:tc>
          <w:tcPr>
            <w:tcW w:w="897" w:type="dxa"/>
            <w:vMerge w:val="continue"/>
            <w:tcBorders>
              <w:top w:val="single" w:color="auto" w:sz="4" w:space="0"/>
              <w:left w:val="single" w:color="auto" w:sz="4" w:space="0"/>
              <w:bottom w:val="single" w:color="auto" w:sz="4" w:space="0"/>
              <w:right w:val="single" w:color="auto" w:sz="4" w:space="0"/>
            </w:tcBorders>
            <w:noWrap w:val="0"/>
            <w:vAlign w:val="center"/>
          </w:tcPr>
          <w:p w14:paraId="727ABB3A">
            <w:pPr>
              <w:widowControl/>
              <w:spacing w:line="320" w:lineRule="exact"/>
              <w:jc w:val="left"/>
              <w:rPr>
                <w:rFonts w:hint="eastAsia" w:ascii="宋体" w:hAnsi="宋体" w:eastAsia="宋体" w:cs="宋体"/>
                <w:bCs/>
                <w:kern w:val="0"/>
                <w:sz w:val="24"/>
                <w:highlight w:val="none"/>
              </w:rPr>
            </w:pPr>
          </w:p>
        </w:tc>
      </w:tr>
      <w:tr w14:paraId="0ABD89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jc w:val="center"/>
        </w:trPr>
        <w:tc>
          <w:tcPr>
            <w:tcW w:w="1337" w:type="dxa"/>
            <w:vMerge w:val="restart"/>
            <w:tcBorders>
              <w:top w:val="single" w:color="auto" w:sz="4" w:space="0"/>
              <w:left w:val="single" w:color="auto" w:sz="4" w:space="0"/>
              <w:bottom w:val="single" w:color="auto" w:sz="4" w:space="0"/>
              <w:right w:val="single" w:color="auto" w:sz="4" w:space="0"/>
            </w:tcBorders>
            <w:noWrap w:val="0"/>
            <w:vAlign w:val="center"/>
          </w:tcPr>
          <w:p w14:paraId="2E30C4F6">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服务态度</w:t>
            </w:r>
          </w:p>
          <w:p w14:paraId="2E4253F8">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（20分）</w:t>
            </w:r>
          </w:p>
        </w:tc>
        <w:tc>
          <w:tcPr>
            <w:tcW w:w="5898" w:type="dxa"/>
            <w:tcBorders>
              <w:top w:val="single" w:color="auto" w:sz="4" w:space="0"/>
              <w:left w:val="single" w:color="auto" w:sz="4" w:space="0"/>
              <w:bottom w:val="single" w:color="auto" w:sz="4" w:space="0"/>
              <w:right w:val="single" w:color="auto" w:sz="4" w:space="0"/>
            </w:tcBorders>
            <w:noWrap w:val="0"/>
            <w:vAlign w:val="top"/>
          </w:tcPr>
          <w:p w14:paraId="6B3338EA">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1.及时、准确地提供商品相关标准的咨询服务。（5分）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26C78726">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74C88596">
            <w:pPr>
              <w:widowControl/>
              <w:spacing w:line="320" w:lineRule="exact"/>
              <w:rPr>
                <w:rFonts w:hint="eastAsia" w:ascii="宋体" w:hAnsi="宋体" w:eastAsia="宋体" w:cs="宋体"/>
                <w:bCs/>
                <w:kern w:val="0"/>
                <w:sz w:val="24"/>
                <w:highlight w:val="none"/>
              </w:rPr>
            </w:pPr>
          </w:p>
        </w:tc>
      </w:tr>
      <w:tr w14:paraId="20D6EE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5A9E4D9B">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094D713E">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2.根据检测单位要求，及时安排抽样时间、地点和抽样人员，不及时或者安排有误的每次扣1分。（5分）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119CA203">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19376C82">
            <w:pPr>
              <w:widowControl/>
              <w:spacing w:line="320" w:lineRule="exact"/>
              <w:rPr>
                <w:rFonts w:hint="eastAsia" w:ascii="宋体" w:hAnsi="宋体" w:eastAsia="宋体" w:cs="宋体"/>
                <w:bCs/>
                <w:kern w:val="0"/>
                <w:sz w:val="24"/>
                <w:highlight w:val="none"/>
              </w:rPr>
            </w:pPr>
          </w:p>
        </w:tc>
      </w:tr>
      <w:tr w14:paraId="18D8E5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6B921C59">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6865B808">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3.规范抽样，抽样程序和样品信息无差错，差错一次扣2分。（5分）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548EA1B1">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68B955D5">
            <w:pPr>
              <w:widowControl/>
              <w:spacing w:line="320" w:lineRule="exact"/>
              <w:rPr>
                <w:rFonts w:hint="eastAsia" w:ascii="宋体" w:hAnsi="宋体" w:eastAsia="宋体" w:cs="宋体"/>
                <w:bCs/>
                <w:kern w:val="0"/>
                <w:sz w:val="24"/>
                <w:highlight w:val="none"/>
              </w:rPr>
            </w:pPr>
          </w:p>
        </w:tc>
      </w:tr>
      <w:tr w14:paraId="7347A2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4AFB5DE6">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59BAE0A7">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4.及时做好相关信息的反馈和输入工作，延迟一次扣1分。（5分）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0DDA1378">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4C8CA2EF">
            <w:pPr>
              <w:widowControl/>
              <w:spacing w:line="320" w:lineRule="exact"/>
              <w:rPr>
                <w:rFonts w:hint="eastAsia" w:ascii="宋体" w:hAnsi="宋体" w:eastAsia="宋体" w:cs="宋体"/>
                <w:bCs/>
                <w:kern w:val="0"/>
                <w:sz w:val="24"/>
                <w:highlight w:val="none"/>
              </w:rPr>
            </w:pPr>
          </w:p>
        </w:tc>
      </w:tr>
      <w:tr w14:paraId="145B18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jc w:val="center"/>
        </w:trPr>
        <w:tc>
          <w:tcPr>
            <w:tcW w:w="1337" w:type="dxa"/>
            <w:vMerge w:val="restart"/>
            <w:tcBorders>
              <w:top w:val="single" w:color="auto" w:sz="4" w:space="0"/>
              <w:left w:val="single" w:color="auto" w:sz="4" w:space="0"/>
              <w:bottom w:val="single" w:color="auto" w:sz="4" w:space="0"/>
              <w:right w:val="single" w:color="auto" w:sz="4" w:space="0"/>
            </w:tcBorders>
            <w:noWrap w:val="0"/>
            <w:vAlign w:val="center"/>
          </w:tcPr>
          <w:p w14:paraId="6A509372">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服务能力</w:t>
            </w:r>
          </w:p>
          <w:p w14:paraId="7C9DFED7">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（30分）</w:t>
            </w:r>
          </w:p>
        </w:tc>
        <w:tc>
          <w:tcPr>
            <w:tcW w:w="5898" w:type="dxa"/>
            <w:tcBorders>
              <w:top w:val="single" w:color="auto" w:sz="4" w:space="0"/>
              <w:left w:val="single" w:color="auto" w:sz="4" w:space="0"/>
              <w:bottom w:val="single" w:color="auto" w:sz="4" w:space="0"/>
              <w:right w:val="single" w:color="auto" w:sz="4" w:space="0"/>
            </w:tcBorders>
            <w:noWrap w:val="0"/>
            <w:vAlign w:val="top"/>
          </w:tcPr>
          <w:p w14:paraId="5FE33C83">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1.严格按照《检验检测机构资质认定管理办法》</w:t>
            </w:r>
            <w:r>
              <w:rPr>
                <w:rFonts w:hint="eastAsia" w:ascii="宋体" w:hAnsi="宋体" w:eastAsia="宋体" w:cs="宋体"/>
                <w:bCs/>
                <w:sz w:val="24"/>
                <w:highlight w:val="none"/>
              </w:rPr>
              <w:t>及检验检测机构质量管理体系</w:t>
            </w:r>
            <w:r>
              <w:rPr>
                <w:rFonts w:hint="eastAsia" w:ascii="宋体" w:hAnsi="宋体" w:eastAsia="宋体" w:cs="宋体"/>
                <w:bCs/>
                <w:kern w:val="0"/>
                <w:sz w:val="24"/>
                <w:highlight w:val="none"/>
              </w:rPr>
              <w:t>的相关要求开展检验工作，内部质量控制严格，检验数据准确，差错一次扣5分，导致严重后果的一次扣10分。（20分）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121C77B2">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7DA74BC3">
            <w:pPr>
              <w:widowControl/>
              <w:spacing w:line="320" w:lineRule="exact"/>
              <w:rPr>
                <w:rFonts w:hint="eastAsia" w:ascii="宋体" w:hAnsi="宋体" w:eastAsia="宋体" w:cs="宋体"/>
                <w:bCs/>
                <w:kern w:val="0"/>
                <w:sz w:val="24"/>
                <w:highlight w:val="none"/>
              </w:rPr>
            </w:pPr>
          </w:p>
        </w:tc>
      </w:tr>
      <w:tr w14:paraId="0B60A4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5"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5D9BA80C">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1CCB8023">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2.定期参加资质认定部门组织的能力验证，没有参加不得分，一次不通过扣5分。（10分）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1A507300">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4C6AA6D6">
            <w:pPr>
              <w:widowControl/>
              <w:spacing w:line="320" w:lineRule="exact"/>
              <w:rPr>
                <w:rFonts w:hint="eastAsia" w:ascii="宋体" w:hAnsi="宋体" w:eastAsia="宋体" w:cs="宋体"/>
                <w:bCs/>
                <w:kern w:val="0"/>
                <w:sz w:val="24"/>
                <w:highlight w:val="none"/>
              </w:rPr>
            </w:pPr>
          </w:p>
        </w:tc>
      </w:tr>
      <w:tr w14:paraId="1494F5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jc w:val="center"/>
        </w:trPr>
        <w:tc>
          <w:tcPr>
            <w:tcW w:w="1337" w:type="dxa"/>
            <w:vMerge w:val="restart"/>
            <w:tcBorders>
              <w:top w:val="single" w:color="auto" w:sz="4" w:space="0"/>
              <w:left w:val="single" w:color="auto" w:sz="4" w:space="0"/>
              <w:bottom w:val="single" w:color="auto" w:sz="4" w:space="0"/>
              <w:right w:val="single" w:color="auto" w:sz="4" w:space="0"/>
            </w:tcBorders>
            <w:noWrap w:val="0"/>
            <w:vAlign w:val="center"/>
          </w:tcPr>
          <w:p w14:paraId="0D7FA290">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服务质量</w:t>
            </w:r>
          </w:p>
          <w:p w14:paraId="52398832">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（50分）</w:t>
            </w:r>
          </w:p>
        </w:tc>
        <w:tc>
          <w:tcPr>
            <w:tcW w:w="5898" w:type="dxa"/>
            <w:tcBorders>
              <w:top w:val="single" w:color="auto" w:sz="4" w:space="0"/>
              <w:left w:val="single" w:color="auto" w:sz="4" w:space="0"/>
              <w:bottom w:val="single" w:color="auto" w:sz="4" w:space="0"/>
              <w:right w:val="single" w:color="auto" w:sz="4" w:space="0"/>
            </w:tcBorders>
            <w:noWrap w:val="0"/>
            <w:vAlign w:val="top"/>
          </w:tcPr>
          <w:p w14:paraId="10F5BAAD">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1.按时完成抽样检验任务，拖延时间影响抽检任务进度的，一次酌情扣2至4分。（10分）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7471F5EA">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2961931C">
            <w:pPr>
              <w:widowControl/>
              <w:spacing w:line="320" w:lineRule="exact"/>
              <w:rPr>
                <w:rFonts w:hint="eastAsia" w:ascii="宋体" w:hAnsi="宋体" w:eastAsia="宋体" w:cs="宋体"/>
                <w:bCs/>
                <w:kern w:val="0"/>
                <w:sz w:val="24"/>
                <w:highlight w:val="none"/>
              </w:rPr>
            </w:pPr>
          </w:p>
        </w:tc>
      </w:tr>
      <w:tr w14:paraId="5F32AF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50"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27F01ACA">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6D1BAA33">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2.初检结果与复检结果不一致的，一次扣2分。（10分）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3A57F27C">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5B031419">
            <w:pPr>
              <w:widowControl/>
              <w:spacing w:line="320" w:lineRule="exact"/>
              <w:rPr>
                <w:rFonts w:hint="eastAsia" w:ascii="宋体" w:hAnsi="宋体" w:eastAsia="宋体" w:cs="宋体"/>
                <w:bCs/>
                <w:kern w:val="0"/>
                <w:sz w:val="24"/>
                <w:highlight w:val="none"/>
              </w:rPr>
            </w:pPr>
          </w:p>
        </w:tc>
      </w:tr>
      <w:tr w14:paraId="11A454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0"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2D2EB006">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7AF0853D">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3.按照规定及时寄发《抽样检验结果通知书》，一次不按时扣2分，造成严重后果的，一次扣10分。（10分）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1A6E57AB">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23867BD2">
            <w:pPr>
              <w:widowControl/>
              <w:spacing w:line="320" w:lineRule="exact"/>
              <w:rPr>
                <w:rFonts w:hint="eastAsia" w:ascii="宋体" w:hAnsi="宋体" w:eastAsia="宋体" w:cs="宋体"/>
                <w:bCs/>
                <w:kern w:val="0"/>
                <w:sz w:val="24"/>
                <w:highlight w:val="none"/>
              </w:rPr>
            </w:pPr>
          </w:p>
        </w:tc>
      </w:tr>
      <w:tr w14:paraId="2C9B1E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02DB4D14">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5931402E">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4.汇总信息和分析报告有无差错，差错一次扣2分，造成严重后果的，一次扣10分。（10分）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0D2C9925">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1C35500B">
            <w:pPr>
              <w:widowControl/>
              <w:spacing w:line="320" w:lineRule="exact"/>
              <w:rPr>
                <w:rFonts w:hint="eastAsia" w:ascii="宋体" w:hAnsi="宋体" w:eastAsia="宋体" w:cs="宋体"/>
                <w:bCs/>
                <w:kern w:val="0"/>
                <w:sz w:val="24"/>
                <w:highlight w:val="none"/>
              </w:rPr>
            </w:pPr>
          </w:p>
        </w:tc>
      </w:tr>
      <w:tr w14:paraId="580D1D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3"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23D06DCB">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77CEA7CB">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5.对检测数据和结论严格遵守保密原则，发现泄漏信息一次扣5分。（10分）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49A4040D">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0F6DEDC0">
            <w:pPr>
              <w:widowControl/>
              <w:spacing w:line="320" w:lineRule="exact"/>
              <w:rPr>
                <w:rFonts w:hint="eastAsia" w:ascii="宋体" w:hAnsi="宋体" w:eastAsia="宋体" w:cs="宋体"/>
                <w:bCs/>
                <w:kern w:val="0"/>
                <w:sz w:val="24"/>
                <w:highlight w:val="none"/>
              </w:rPr>
            </w:pPr>
          </w:p>
        </w:tc>
      </w:tr>
      <w:tr w14:paraId="79F33C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5" w:hRule="atLeas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14:paraId="10D5ADCA">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考评总分</w:t>
            </w:r>
          </w:p>
        </w:tc>
        <w:tc>
          <w:tcPr>
            <w:tcW w:w="5898" w:type="dxa"/>
            <w:tcBorders>
              <w:top w:val="single" w:color="auto" w:sz="4" w:space="0"/>
              <w:left w:val="single" w:color="auto" w:sz="4" w:space="0"/>
              <w:bottom w:val="single" w:color="auto" w:sz="4" w:space="0"/>
              <w:right w:val="single" w:color="auto" w:sz="4" w:space="0"/>
            </w:tcBorders>
            <w:noWrap w:val="0"/>
            <w:vAlign w:val="top"/>
          </w:tcPr>
          <w:p w14:paraId="37AB7B66">
            <w:pPr>
              <w:widowControl/>
              <w:spacing w:line="320" w:lineRule="exact"/>
              <w:rPr>
                <w:rFonts w:hint="eastAsia" w:ascii="宋体" w:hAnsi="宋体" w:eastAsia="宋体" w:cs="宋体"/>
                <w:bCs/>
                <w:kern w:val="0"/>
                <w:sz w:val="24"/>
                <w:highlight w:val="none"/>
              </w:rPr>
            </w:pPr>
          </w:p>
        </w:tc>
        <w:tc>
          <w:tcPr>
            <w:tcW w:w="894" w:type="dxa"/>
            <w:tcBorders>
              <w:top w:val="single" w:color="auto" w:sz="4" w:space="0"/>
              <w:left w:val="single" w:color="auto" w:sz="4" w:space="0"/>
              <w:bottom w:val="single" w:color="auto" w:sz="4" w:space="0"/>
              <w:right w:val="single" w:color="auto" w:sz="4" w:space="0"/>
            </w:tcBorders>
            <w:noWrap w:val="0"/>
            <w:vAlign w:val="top"/>
          </w:tcPr>
          <w:p w14:paraId="02D15277">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37E71468">
            <w:pPr>
              <w:widowControl/>
              <w:spacing w:line="320" w:lineRule="exact"/>
              <w:rPr>
                <w:rFonts w:hint="eastAsia" w:ascii="宋体" w:hAnsi="宋体" w:eastAsia="宋体" w:cs="宋体"/>
                <w:bCs/>
                <w:kern w:val="0"/>
                <w:sz w:val="24"/>
                <w:highlight w:val="none"/>
              </w:rPr>
            </w:pPr>
          </w:p>
        </w:tc>
      </w:tr>
    </w:tbl>
    <w:p w14:paraId="0E8C7A17">
      <w:pPr>
        <w:keepNext w:val="0"/>
        <w:keepLines w:val="0"/>
        <w:pageBreakBefore w:val="0"/>
        <w:kinsoku/>
        <w:wordWrap/>
        <w:overflowPunct/>
        <w:topLinePunct w:val="0"/>
        <w:autoSpaceDE/>
        <w:autoSpaceDN/>
        <w:bidi w:val="0"/>
        <w:adjustRightInd/>
        <w:spacing w:line="50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备注：</w:t>
      </w:r>
    </w:p>
    <w:p w14:paraId="0793A7B4">
      <w:pPr>
        <w:keepNext w:val="0"/>
        <w:keepLines w:val="0"/>
        <w:pageBreakBefore w:val="0"/>
        <w:kinsoku/>
        <w:wordWrap/>
        <w:overflowPunct/>
        <w:topLinePunct w:val="0"/>
        <w:autoSpaceDE/>
        <w:autoSpaceDN/>
        <w:bidi w:val="0"/>
        <w:adjustRightInd/>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1、采用一票否决制。否决事项：上</w:t>
      </w:r>
      <w:r>
        <w:rPr>
          <w:rFonts w:hint="eastAsia" w:ascii="宋体" w:hAnsi="宋体" w:cs="宋体"/>
          <w:color w:val="auto"/>
          <w:sz w:val="24"/>
          <w:szCs w:val="24"/>
          <w:highlight w:val="none"/>
          <w:lang w:val="en-US" w:eastAsia="zh-CN"/>
        </w:rPr>
        <w:t>季度</w:t>
      </w:r>
      <w:r>
        <w:rPr>
          <w:rFonts w:hint="eastAsia" w:ascii="宋体" w:hAnsi="宋体" w:eastAsia="宋体" w:cs="宋体"/>
          <w:color w:val="auto"/>
          <w:sz w:val="24"/>
          <w:szCs w:val="24"/>
          <w:highlight w:val="none"/>
        </w:rPr>
        <w:t>由于承检工作质量造成不良社会影响；发现承检项目无资质授权、上</w:t>
      </w:r>
      <w:r>
        <w:rPr>
          <w:rFonts w:hint="eastAsia" w:ascii="宋体" w:hAnsi="宋体" w:cs="宋体"/>
          <w:color w:val="auto"/>
          <w:sz w:val="24"/>
          <w:szCs w:val="24"/>
          <w:highlight w:val="none"/>
          <w:lang w:val="en-US" w:eastAsia="zh-CN"/>
        </w:rPr>
        <w:t>季</w:t>
      </w:r>
      <w:r>
        <w:rPr>
          <w:rFonts w:hint="eastAsia" w:ascii="宋体" w:hAnsi="宋体" w:eastAsia="宋体" w:cs="宋体"/>
          <w:color w:val="auto"/>
          <w:sz w:val="24"/>
          <w:szCs w:val="24"/>
          <w:highlight w:val="none"/>
        </w:rPr>
        <w:t>度承检工作存在超范围检验、与被检单位串通、出具虚假检验结果等违规违纪行为；</w:t>
      </w:r>
    </w:p>
    <w:p w14:paraId="7957F29A">
      <w:pPr>
        <w:keepNext w:val="0"/>
        <w:keepLines w:val="0"/>
        <w:pageBreakBefore w:val="0"/>
        <w:kinsoku/>
        <w:wordWrap/>
        <w:overflowPunct/>
        <w:topLinePunct w:val="0"/>
        <w:autoSpaceDE/>
        <w:autoSpaceDN/>
        <w:bidi w:val="0"/>
        <w:adjustRightInd/>
        <w:spacing w:line="500" w:lineRule="exact"/>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color w:val="auto"/>
          <w:sz w:val="24"/>
          <w:szCs w:val="24"/>
          <w:highlight w:val="none"/>
        </w:rPr>
        <w:t>2、该年度两次以上（不含两次）拒绝</w:t>
      </w:r>
      <w:r>
        <w:rPr>
          <w:rFonts w:hint="eastAsia" w:ascii="宋体" w:hAnsi="宋体" w:cs="宋体"/>
          <w:color w:val="auto"/>
          <w:sz w:val="24"/>
          <w:szCs w:val="24"/>
          <w:highlight w:val="none"/>
          <w:lang w:eastAsia="zh-CN"/>
        </w:rPr>
        <w:t>甲方</w:t>
      </w:r>
      <w:r>
        <w:rPr>
          <w:rFonts w:hint="eastAsia" w:ascii="宋体" w:hAnsi="宋体" w:eastAsia="宋体" w:cs="宋体"/>
          <w:color w:val="auto"/>
          <w:sz w:val="24"/>
          <w:szCs w:val="24"/>
          <w:highlight w:val="none"/>
        </w:rPr>
        <w:t>分配工作的将取消合同期限内的监测资格。</w:t>
      </w:r>
    </w:p>
    <w:p w14:paraId="07B298D0">
      <w:pPr>
        <w:numPr>
          <w:ilvl w:val="0"/>
          <w:numId w:val="0"/>
        </w:numPr>
        <w:tabs>
          <w:tab w:val="left" w:pos="9135"/>
        </w:tabs>
        <w:spacing w:line="440" w:lineRule="exact"/>
        <w:ind w:left="360" w:leftChars="0" w:hanging="360" w:firstLineChars="0"/>
        <w:rPr>
          <w:rFonts w:hint="eastAsia" w:ascii="宋体" w:hAnsi="宋体" w:eastAsia="宋体" w:cs="宋体"/>
          <w:b/>
          <w:bCs/>
          <w:color w:val="000000"/>
          <w:kern w:val="2"/>
          <w:sz w:val="24"/>
          <w:szCs w:val="24"/>
          <w:highlight w:val="none"/>
          <w:lang w:val="en-US" w:eastAsia="zh-CN" w:bidi="ar-SA"/>
        </w:rPr>
      </w:pPr>
      <w:r>
        <w:rPr>
          <w:rFonts w:hint="eastAsia" w:ascii="宋体" w:hAnsi="宋体" w:cs="宋体"/>
          <w:b/>
          <w:bCs/>
          <w:color w:val="000000"/>
          <w:kern w:val="2"/>
          <w:sz w:val="24"/>
          <w:szCs w:val="24"/>
          <w:highlight w:val="none"/>
          <w:lang w:val="en-US" w:eastAsia="zh-CN" w:bidi="ar-SA"/>
        </w:rPr>
        <w:t>七</w:t>
      </w:r>
      <w:r>
        <w:rPr>
          <w:rFonts w:hint="eastAsia" w:ascii="宋体" w:hAnsi="宋体" w:eastAsia="宋体" w:cs="宋体"/>
          <w:b/>
          <w:bCs/>
          <w:color w:val="000000"/>
          <w:kern w:val="2"/>
          <w:sz w:val="24"/>
          <w:szCs w:val="24"/>
          <w:highlight w:val="none"/>
          <w:lang w:val="en-US" w:eastAsia="zh-CN" w:bidi="ar-SA"/>
        </w:rPr>
        <w:t>、其他要求</w:t>
      </w:r>
    </w:p>
    <w:p w14:paraId="40D239A1">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default" w:ascii="宋体" w:hAnsi="宋体" w:eastAsia="宋体" w:cs="宋体"/>
          <w:b w:val="0"/>
          <w:bCs w:val="0"/>
          <w:color w:val="000000"/>
          <w:kern w:val="2"/>
          <w:sz w:val="24"/>
          <w:szCs w:val="24"/>
          <w:highlight w:val="none"/>
          <w:lang w:val="en-US" w:eastAsia="zh-CN" w:bidi="ar-SA"/>
        </w:rPr>
        <w:t>1、</w:t>
      </w:r>
      <w:r>
        <w:rPr>
          <w:rFonts w:hint="eastAsia" w:ascii="宋体" w:hAnsi="宋体" w:eastAsia="宋体" w:cs="宋体"/>
          <w:b w:val="0"/>
          <w:bCs w:val="0"/>
          <w:color w:val="000000"/>
          <w:kern w:val="2"/>
          <w:sz w:val="24"/>
          <w:szCs w:val="24"/>
          <w:highlight w:val="none"/>
          <w:lang w:val="en-US" w:eastAsia="zh-CN" w:bidi="ar-SA"/>
        </w:rPr>
        <w:t>承检方应保证所受托检测项目能提供计量认证标识，保证检测结果的合法性、科学性、公正性和有效性。</w:t>
      </w:r>
    </w:p>
    <w:p w14:paraId="24333257">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cs="宋体"/>
          <w:b w:val="0"/>
          <w:bCs w:val="0"/>
          <w:color w:val="000000"/>
          <w:kern w:val="2"/>
          <w:sz w:val="24"/>
          <w:szCs w:val="24"/>
          <w:highlight w:val="none"/>
          <w:lang w:val="en-US" w:eastAsia="zh-CN" w:bidi="ar-SA"/>
        </w:rPr>
        <w:t>2</w:t>
      </w:r>
      <w:r>
        <w:rPr>
          <w:rFonts w:hint="default" w:ascii="宋体" w:hAnsi="宋体" w:eastAsia="宋体" w:cs="宋体"/>
          <w:b w:val="0"/>
          <w:bCs w:val="0"/>
          <w:color w:val="000000"/>
          <w:kern w:val="2"/>
          <w:sz w:val="24"/>
          <w:szCs w:val="24"/>
          <w:highlight w:val="none"/>
          <w:lang w:val="en-US" w:eastAsia="zh-CN" w:bidi="ar-SA"/>
        </w:rPr>
        <w:t>、</w:t>
      </w:r>
      <w:r>
        <w:rPr>
          <w:rFonts w:hint="eastAsia" w:ascii="宋体" w:hAnsi="宋体" w:eastAsia="宋体" w:cs="宋体"/>
          <w:b w:val="0"/>
          <w:bCs w:val="0"/>
          <w:color w:val="000000"/>
          <w:kern w:val="2"/>
          <w:sz w:val="24"/>
          <w:szCs w:val="24"/>
          <w:highlight w:val="none"/>
          <w:lang w:val="en-US" w:eastAsia="zh-CN" w:bidi="ar-SA"/>
        </w:rPr>
        <w:t>项目实施过程中项目组负责人发生变动的，需提前通知采购人并获同意才能更换，更换后的人员专业素质、技术能力及经验等情况不能低于原先水准。如采购人对项目组人员服务能力或态度不满意的，承检方必须及时更换。</w:t>
      </w:r>
    </w:p>
    <w:p w14:paraId="28EDEF55">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cs="宋体"/>
          <w:b w:val="0"/>
          <w:bCs w:val="0"/>
          <w:color w:val="000000"/>
          <w:kern w:val="2"/>
          <w:sz w:val="24"/>
          <w:szCs w:val="24"/>
          <w:highlight w:val="none"/>
          <w:lang w:val="en-US" w:eastAsia="zh-CN" w:bidi="ar-SA"/>
        </w:rPr>
        <w:t>3</w:t>
      </w:r>
      <w:r>
        <w:rPr>
          <w:rFonts w:hint="default" w:ascii="宋体" w:hAnsi="宋体" w:eastAsia="宋体" w:cs="宋体"/>
          <w:b w:val="0"/>
          <w:bCs w:val="0"/>
          <w:color w:val="000000"/>
          <w:kern w:val="2"/>
          <w:sz w:val="24"/>
          <w:szCs w:val="24"/>
          <w:highlight w:val="none"/>
          <w:lang w:val="en-US" w:eastAsia="zh-CN" w:bidi="ar-SA"/>
        </w:rPr>
        <w:t>、</w:t>
      </w:r>
      <w:r>
        <w:rPr>
          <w:rFonts w:hint="eastAsia" w:ascii="宋体" w:hAnsi="宋体" w:eastAsia="宋体" w:cs="宋体"/>
          <w:b w:val="0"/>
          <w:bCs w:val="0"/>
          <w:color w:val="000000"/>
          <w:kern w:val="2"/>
          <w:sz w:val="24"/>
          <w:szCs w:val="24"/>
          <w:highlight w:val="none"/>
          <w:lang w:val="en-US" w:eastAsia="zh-CN" w:bidi="ar-SA"/>
        </w:rPr>
        <w:t>本项目必须由具备法定资质的检验检测机构完全承担，有资质的产品必须由承检方自己检验，没有资质的产品可以分包，但需要提交书面申请经采购人同意，未经采购人书面同意，承检方不得分包，擅自分包检验任务甚至转包检验任务的，将取消其本项目检测服务资格。</w:t>
      </w:r>
    </w:p>
    <w:p w14:paraId="05DF5328">
      <w:pPr>
        <w:numPr>
          <w:ilvl w:val="0"/>
          <w:numId w:val="0"/>
        </w:numPr>
        <w:tabs>
          <w:tab w:val="left" w:pos="9135"/>
        </w:tabs>
        <w:spacing w:line="440" w:lineRule="exact"/>
        <w:ind w:left="363" w:leftChars="92" w:hanging="170" w:hangingChars="71"/>
        <w:rPr>
          <w:rFonts w:hint="eastAsia"/>
          <w:lang w:val="en-US" w:eastAsia="zh-CN"/>
        </w:rPr>
      </w:pPr>
      <w:r>
        <w:rPr>
          <w:rFonts w:hint="eastAsia" w:ascii="宋体" w:hAnsi="宋体" w:cs="宋体"/>
          <w:b w:val="0"/>
          <w:bCs w:val="0"/>
          <w:color w:val="000000"/>
          <w:kern w:val="2"/>
          <w:sz w:val="24"/>
          <w:szCs w:val="24"/>
          <w:highlight w:val="none"/>
          <w:lang w:val="en-US" w:eastAsia="zh-CN" w:bidi="ar-SA"/>
        </w:rPr>
        <w:t>4</w:t>
      </w:r>
      <w:r>
        <w:rPr>
          <w:rFonts w:hint="default" w:ascii="宋体" w:hAnsi="宋体" w:eastAsia="宋体" w:cs="宋体"/>
          <w:b w:val="0"/>
          <w:bCs w:val="0"/>
          <w:color w:val="000000"/>
          <w:kern w:val="2"/>
          <w:sz w:val="24"/>
          <w:szCs w:val="24"/>
          <w:highlight w:val="none"/>
          <w:lang w:val="en-US" w:eastAsia="zh-CN" w:bidi="ar-SA"/>
        </w:rPr>
        <w:t>、</w:t>
      </w:r>
      <w:r>
        <w:rPr>
          <w:rFonts w:hint="eastAsia" w:ascii="宋体" w:hAnsi="宋体" w:eastAsia="宋体" w:cs="宋体"/>
          <w:b w:val="0"/>
          <w:bCs w:val="0"/>
          <w:color w:val="000000"/>
          <w:kern w:val="2"/>
          <w:sz w:val="24"/>
          <w:szCs w:val="24"/>
          <w:highlight w:val="none"/>
          <w:lang w:val="en-US" w:eastAsia="zh-CN" w:bidi="ar-SA"/>
        </w:rPr>
        <w:t>采购人如发现承检方违反本合同规定，出现违法违规行为或严重违约行为的，采购人除单方终止合同外，将依法追究承检方和相关人员的法律责任，并将承检方列入不诚信供应商名单，拒绝其参加今后采购单位相关检测项目的投标资格。承检方合同履约质量明显不良的，将在今后采购单位检测招标项目相关评分项中作相应扣分。</w:t>
      </w:r>
    </w:p>
    <w:p w14:paraId="71B57D14">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sectPr>
          <w:pgSz w:w="11906" w:h="16838"/>
          <w:pgMar w:top="1440" w:right="1080" w:bottom="1440" w:left="1080" w:header="851" w:footer="992" w:gutter="0"/>
          <w:pgNumType w:fmt="numberInDash"/>
          <w:cols w:space="720" w:num="1"/>
          <w:docGrid w:type="lines" w:linePitch="312" w:charSpace="0"/>
        </w:sectPr>
      </w:pPr>
      <w:r>
        <w:rPr>
          <w:rFonts w:hint="eastAsia" w:ascii="宋体" w:hAnsi="宋体" w:eastAsia="宋体" w:cs="宋体"/>
          <w:b w:val="0"/>
          <w:bCs w:val="0"/>
          <w:color w:val="000000"/>
          <w:kern w:val="2"/>
          <w:sz w:val="24"/>
          <w:szCs w:val="24"/>
          <w:highlight w:val="none"/>
          <w:lang w:val="en-US" w:eastAsia="zh-CN" w:bidi="ar-SA"/>
        </w:rPr>
        <w:br w:type="page"/>
      </w:r>
      <w:bookmarkStart w:id="161" w:name="_Toc6155"/>
    </w:p>
    <w:bookmarkEnd w:id="161"/>
    <w:p w14:paraId="02A51972">
      <w:pPr>
        <w:numPr>
          <w:ilvl w:val="0"/>
          <w:numId w:val="0"/>
        </w:numPr>
        <w:tabs>
          <w:tab w:val="left" w:pos="9135"/>
        </w:tabs>
        <w:spacing w:line="440" w:lineRule="exact"/>
        <w:ind w:firstLine="3213" w:firstLineChars="1000"/>
        <w:jc w:val="both"/>
        <w:rPr>
          <w:rFonts w:hint="eastAsia" w:ascii="宋体" w:hAnsi="宋体" w:cs="宋体"/>
          <w:b/>
          <w:sz w:val="32"/>
          <w:szCs w:val="32"/>
        </w:rPr>
      </w:pPr>
      <w:r>
        <w:rPr>
          <w:rFonts w:hint="eastAsia" w:ascii="宋体" w:hAnsi="宋体" w:cs="宋体"/>
          <w:b/>
          <w:sz w:val="32"/>
          <w:szCs w:val="32"/>
        </w:rPr>
        <w:t>第四章  合同文本（参考）</w:t>
      </w:r>
    </w:p>
    <w:p w14:paraId="2C92DAD3">
      <w:pPr>
        <w:pStyle w:val="13"/>
        <w:spacing w:before="120" w:beforeLines="50" w:after="120" w:afterLines="50" w:line="400" w:lineRule="exact"/>
        <w:rPr>
          <w:rFonts w:hint="eastAsia"/>
          <w:sz w:val="24"/>
          <w:szCs w:val="24"/>
        </w:rPr>
      </w:pPr>
      <w:r>
        <w:rPr>
          <w:rFonts w:hint="eastAsia"/>
          <w:sz w:val="24"/>
          <w:szCs w:val="24"/>
        </w:rPr>
        <w:t>项目名称：                                     项目编号：</w:t>
      </w:r>
    </w:p>
    <w:p w14:paraId="72132E43">
      <w:pPr>
        <w:pStyle w:val="13"/>
        <w:spacing w:before="120" w:beforeLines="50" w:after="120" w:afterLines="50" w:line="400" w:lineRule="exact"/>
        <w:rPr>
          <w:rFonts w:hint="eastAsia"/>
          <w:sz w:val="24"/>
          <w:szCs w:val="24"/>
        </w:rPr>
      </w:pPr>
      <w:r>
        <w:rPr>
          <w:rFonts w:hint="eastAsia"/>
          <w:sz w:val="24"/>
          <w:szCs w:val="24"/>
        </w:rPr>
        <w:t>甲方：</w:t>
      </w:r>
    </w:p>
    <w:p w14:paraId="330FA802">
      <w:pPr>
        <w:pStyle w:val="13"/>
        <w:spacing w:before="120" w:beforeLines="50" w:after="120" w:afterLines="50" w:line="400" w:lineRule="exact"/>
        <w:rPr>
          <w:rFonts w:hint="eastAsia"/>
          <w:sz w:val="24"/>
          <w:szCs w:val="24"/>
        </w:rPr>
      </w:pPr>
      <w:r>
        <w:rPr>
          <w:rFonts w:hint="eastAsia"/>
          <w:sz w:val="24"/>
          <w:szCs w:val="24"/>
        </w:rPr>
        <w:t>乙方：</w:t>
      </w:r>
    </w:p>
    <w:p w14:paraId="6DB5E2A5">
      <w:pPr>
        <w:spacing w:line="500" w:lineRule="exact"/>
        <w:ind w:firstLine="480" w:firstLineChars="200"/>
        <w:rPr>
          <w:rFonts w:hint="eastAsia" w:ascii="宋体" w:hAnsi="宋体" w:cs="宋体"/>
          <w:sz w:val="24"/>
        </w:rPr>
      </w:pPr>
      <w:r>
        <w:rPr>
          <w:rFonts w:hint="eastAsia" w:ascii="宋体" w:hAnsi="宋体" w:cs="宋体"/>
          <w:sz w:val="24"/>
          <w:lang w:val="en-US" w:eastAsia="zh-CN"/>
        </w:rPr>
        <w:t>甲方采用公开招标方式采购本项目，确定</w:t>
      </w:r>
      <w:r>
        <w:rPr>
          <w:rFonts w:hint="eastAsia" w:ascii="宋体" w:hAnsi="宋体" w:cs="宋体"/>
          <w:sz w:val="24"/>
        </w:rPr>
        <w:t>乙方</w:t>
      </w:r>
      <w:r>
        <w:rPr>
          <w:rFonts w:hint="eastAsia" w:ascii="宋体" w:hAnsi="宋体" w:cs="宋体"/>
          <w:sz w:val="24"/>
          <w:lang w:val="en-US" w:eastAsia="zh-CN"/>
        </w:rPr>
        <w:t xml:space="preserve">为 </w:t>
      </w:r>
      <w:r>
        <w:rPr>
          <w:rFonts w:hint="eastAsia" w:ascii="宋体" w:hAnsi="宋体" w:cs="宋体"/>
          <w:sz w:val="24"/>
          <w:u w:val="single"/>
          <w:lang w:val="en-US" w:eastAsia="zh-CN"/>
        </w:rPr>
        <w:t>常山县2025年度产品质量监督抽查服务采购项目</w:t>
      </w:r>
      <w:r>
        <w:rPr>
          <w:rFonts w:hint="eastAsia" w:ascii="宋体" w:hAnsi="宋体" w:cs="宋体"/>
          <w:sz w:val="24"/>
          <w:u w:val="none"/>
          <w:lang w:val="en-US" w:eastAsia="zh-CN"/>
        </w:rPr>
        <w:t xml:space="preserve"> 的成交单位。按照产品检验有关规定，</w:t>
      </w:r>
      <w:r>
        <w:rPr>
          <w:rFonts w:hint="eastAsia" w:ascii="宋体" w:hAnsi="宋体" w:cs="宋体"/>
          <w:sz w:val="24"/>
        </w:rPr>
        <w:t>在甲方</w:t>
      </w:r>
      <w:r>
        <w:rPr>
          <w:rFonts w:hint="eastAsia" w:ascii="宋体" w:hAnsi="宋体" w:cs="宋体"/>
          <w:sz w:val="24"/>
          <w:lang w:val="en-US" w:eastAsia="zh-CN"/>
        </w:rPr>
        <w:t>要求</w:t>
      </w:r>
      <w:r>
        <w:rPr>
          <w:rFonts w:hint="eastAsia" w:ascii="宋体" w:hAnsi="宋体" w:cs="宋体"/>
          <w:sz w:val="24"/>
        </w:rPr>
        <w:t>事宜范围内依法组织开展产品类抽检和技术服务工作。经甲乙双方协商一致，现签订如下协议：</w:t>
      </w:r>
    </w:p>
    <w:p w14:paraId="362532E5">
      <w:pPr>
        <w:spacing w:line="500" w:lineRule="exact"/>
        <w:ind w:firstLine="482" w:firstLineChars="200"/>
        <w:outlineLvl w:val="0"/>
        <w:rPr>
          <w:rFonts w:hint="eastAsia" w:ascii="宋体" w:hAnsi="宋体" w:cs="宋体"/>
          <w:b/>
          <w:sz w:val="24"/>
        </w:rPr>
      </w:pPr>
      <w:bookmarkStart w:id="162" w:name="_Toc393791425"/>
      <w:r>
        <w:rPr>
          <w:rFonts w:hint="eastAsia" w:ascii="宋体" w:hAnsi="宋体" w:cs="宋体"/>
          <w:b/>
          <w:sz w:val="24"/>
        </w:rPr>
        <w:t>一、基本情况</w:t>
      </w:r>
      <w:bookmarkEnd w:id="162"/>
    </w:p>
    <w:p w14:paraId="7C2B1BEA">
      <w:pPr>
        <w:spacing w:line="500" w:lineRule="exact"/>
        <w:ind w:firstLine="480" w:firstLineChars="200"/>
        <w:rPr>
          <w:rFonts w:hint="eastAsia" w:ascii="宋体" w:hAnsi="宋体" w:eastAsia="宋体" w:cs="宋体"/>
          <w:sz w:val="24"/>
          <w:u w:val="none"/>
          <w:lang w:val="en-US" w:eastAsia="zh-CN"/>
        </w:rPr>
      </w:pPr>
      <w:r>
        <w:rPr>
          <w:rFonts w:hint="eastAsia" w:ascii="宋体" w:hAnsi="宋体" w:eastAsia="宋体" w:cs="宋体"/>
          <w:sz w:val="24"/>
          <w:u w:val="none"/>
          <w:lang w:val="en-US" w:eastAsia="zh-CN"/>
        </w:rPr>
        <w:t>1.协议事项：常山县2025年度产品质量监督抽查服务采购项目 。</w:t>
      </w:r>
    </w:p>
    <w:p w14:paraId="62898364">
      <w:pPr>
        <w:spacing w:line="500" w:lineRule="exact"/>
        <w:ind w:firstLine="480" w:firstLineChars="200"/>
        <w:rPr>
          <w:rFonts w:hint="default" w:ascii="宋体" w:hAnsi="宋体" w:eastAsia="宋体" w:cs="宋体"/>
          <w:sz w:val="24"/>
          <w:u w:val="none"/>
          <w:lang w:val="en-US" w:eastAsia="zh-CN"/>
        </w:rPr>
      </w:pPr>
      <w:r>
        <w:rPr>
          <w:rFonts w:hint="eastAsia" w:ascii="宋体" w:hAnsi="宋体" w:cs="宋体"/>
          <w:sz w:val="24"/>
          <w:u w:val="none"/>
          <w:lang w:val="en-US" w:eastAsia="zh-CN"/>
        </w:rPr>
        <w:t>2</w:t>
      </w:r>
      <w:r>
        <w:rPr>
          <w:rFonts w:hint="eastAsia" w:ascii="宋体" w:hAnsi="宋体" w:eastAsia="宋体" w:cs="宋体"/>
          <w:sz w:val="24"/>
          <w:u w:val="none"/>
          <w:lang w:val="en-US" w:eastAsia="zh-CN"/>
        </w:rPr>
        <w:t>.产品抽检种类、品种、项目、每批次单价和批次(后附抽检内容清单)。</w:t>
      </w:r>
    </w:p>
    <w:p w14:paraId="73DF6CDA">
      <w:pPr>
        <w:spacing w:line="500" w:lineRule="exact"/>
        <w:ind w:firstLine="480" w:firstLineChars="200"/>
        <w:rPr>
          <w:rFonts w:hint="eastAsia" w:ascii="宋体" w:hAnsi="宋体" w:eastAsia="宋体" w:cs="宋体"/>
          <w:sz w:val="24"/>
          <w:u w:val="none"/>
          <w:lang w:val="en-US" w:eastAsia="zh-CN"/>
        </w:rPr>
      </w:pPr>
      <w:r>
        <w:rPr>
          <w:rFonts w:hint="eastAsia" w:ascii="宋体" w:hAnsi="宋体" w:cs="宋体"/>
          <w:sz w:val="24"/>
          <w:u w:val="none"/>
          <w:lang w:val="en-US" w:eastAsia="zh-CN"/>
        </w:rPr>
        <w:t>3</w:t>
      </w:r>
      <w:r>
        <w:rPr>
          <w:rFonts w:hint="eastAsia" w:ascii="宋体" w:hAnsi="宋体" w:eastAsia="宋体" w:cs="宋体"/>
          <w:sz w:val="24"/>
          <w:u w:val="none"/>
          <w:lang w:val="en-US" w:eastAsia="zh-CN"/>
        </w:rPr>
        <w:t>.有效期限：合同签订之日起至</w:t>
      </w:r>
      <w:r>
        <w:rPr>
          <w:rFonts w:hint="eastAsia" w:ascii="宋体" w:hAnsi="宋体" w:eastAsia="宋体" w:cs="宋体"/>
          <w:sz w:val="24"/>
          <w:u w:val="single"/>
          <w:lang w:val="en-US" w:eastAsia="zh-CN"/>
        </w:rPr>
        <w:t xml:space="preserve">  年  月  日止</w:t>
      </w:r>
      <w:r>
        <w:rPr>
          <w:rFonts w:hint="eastAsia" w:ascii="宋体" w:hAnsi="宋体" w:eastAsia="宋体" w:cs="宋体"/>
          <w:sz w:val="24"/>
          <w:u w:val="none"/>
          <w:lang w:val="en-US" w:eastAsia="zh-CN"/>
        </w:rPr>
        <w:t>，具体起止时间在签订合同时由甲方确定。</w:t>
      </w:r>
    </w:p>
    <w:p w14:paraId="56008E70">
      <w:pPr>
        <w:spacing w:line="500" w:lineRule="exact"/>
        <w:ind w:firstLine="482" w:firstLineChars="200"/>
        <w:outlineLvl w:val="0"/>
        <w:rPr>
          <w:rFonts w:hint="eastAsia" w:ascii="宋体" w:hAnsi="宋体" w:cs="宋体"/>
          <w:b/>
          <w:sz w:val="24"/>
        </w:rPr>
      </w:pPr>
      <w:bookmarkStart w:id="163" w:name="_Toc393791426"/>
      <w:r>
        <w:rPr>
          <w:rFonts w:hint="eastAsia" w:ascii="宋体" w:hAnsi="宋体" w:cs="宋体"/>
          <w:b/>
          <w:sz w:val="24"/>
        </w:rPr>
        <w:t>二、</w:t>
      </w:r>
      <w:r>
        <w:rPr>
          <w:rFonts w:hint="eastAsia" w:ascii="宋体" w:hAnsi="宋体" w:cs="宋体"/>
          <w:b/>
          <w:sz w:val="24"/>
          <w:lang w:val="en-US" w:eastAsia="zh-CN"/>
        </w:rPr>
        <w:t>采购合同内容</w:t>
      </w:r>
      <w:r>
        <w:rPr>
          <w:rFonts w:hint="eastAsia" w:ascii="宋体" w:hAnsi="宋体" w:cs="宋体"/>
          <w:b/>
          <w:sz w:val="24"/>
        </w:rPr>
        <w:t>具体事项</w:t>
      </w:r>
      <w:bookmarkEnd w:id="163"/>
      <w:r>
        <w:rPr>
          <w:rFonts w:hint="eastAsia" w:ascii="宋体" w:hAnsi="宋体" w:cs="宋体"/>
          <w:b/>
          <w:sz w:val="24"/>
        </w:rPr>
        <w:t>及其他约定</w:t>
      </w:r>
    </w:p>
    <w:p w14:paraId="11896DE4">
      <w:pPr>
        <w:spacing w:line="500" w:lineRule="exact"/>
        <w:ind w:firstLine="482" w:firstLineChars="200"/>
        <w:rPr>
          <w:rFonts w:hint="eastAsia" w:ascii="宋体" w:hAnsi="宋体" w:eastAsia="宋体" w:cs="宋体"/>
          <w:b/>
          <w:bCs/>
          <w:sz w:val="24"/>
          <w:u w:val="none"/>
          <w:lang w:val="en-US" w:eastAsia="zh-CN"/>
        </w:rPr>
      </w:pPr>
      <w:bookmarkStart w:id="164" w:name="_Toc393791429"/>
      <w:r>
        <w:rPr>
          <w:rFonts w:hint="eastAsia" w:ascii="宋体" w:hAnsi="宋体" w:eastAsia="宋体" w:cs="宋体"/>
          <w:b/>
          <w:bCs/>
          <w:sz w:val="24"/>
          <w:u w:val="none"/>
          <w:lang w:val="en-US" w:eastAsia="zh-CN"/>
        </w:rPr>
        <w:t>详见合同附件1</w:t>
      </w:r>
    </w:p>
    <w:p w14:paraId="72C26A35">
      <w:pPr>
        <w:numPr>
          <w:ilvl w:val="0"/>
          <w:numId w:val="4"/>
        </w:numPr>
        <w:spacing w:line="500" w:lineRule="exact"/>
        <w:ind w:firstLine="482" w:firstLineChars="200"/>
        <w:outlineLvl w:val="0"/>
        <w:rPr>
          <w:rFonts w:hint="eastAsia" w:ascii="宋体" w:hAnsi="宋体" w:cs="宋体"/>
          <w:b/>
          <w:sz w:val="24"/>
        </w:rPr>
      </w:pPr>
      <w:r>
        <w:rPr>
          <w:rFonts w:hint="eastAsia" w:ascii="宋体" w:hAnsi="宋体" w:cs="宋体"/>
          <w:b/>
          <w:sz w:val="24"/>
        </w:rPr>
        <w:t>抽检费用</w:t>
      </w:r>
      <w:bookmarkEnd w:id="164"/>
      <w:r>
        <w:rPr>
          <w:rFonts w:hint="eastAsia" w:ascii="宋体" w:hAnsi="宋体" w:cs="宋体"/>
          <w:b/>
          <w:sz w:val="24"/>
        </w:rPr>
        <w:t>的支付</w:t>
      </w:r>
    </w:p>
    <w:p w14:paraId="48636067">
      <w:pPr>
        <w:pStyle w:val="13"/>
        <w:spacing w:line="360" w:lineRule="auto"/>
        <w:ind w:firstLine="480"/>
        <w:rPr>
          <w:rFonts w:hAnsi="宋体"/>
          <w:color w:val="auto"/>
          <w:sz w:val="24"/>
          <w:szCs w:val="24"/>
          <w:highlight w:val="none"/>
        </w:rPr>
      </w:pPr>
      <w:r>
        <w:rPr>
          <w:rFonts w:hint="eastAsia" w:ascii="宋体" w:hAnsi="宋体" w:cs="宋体"/>
          <w:color w:val="auto"/>
          <w:kern w:val="0"/>
          <w:sz w:val="24"/>
          <w:highlight w:val="none"/>
          <w:lang w:val="en-US" w:eastAsia="zh-CN"/>
        </w:rPr>
        <w:t>1、</w:t>
      </w:r>
      <w:r>
        <w:rPr>
          <w:rFonts w:hint="eastAsia" w:hAnsi="宋体"/>
          <w:color w:val="auto"/>
          <w:sz w:val="24"/>
          <w:szCs w:val="24"/>
          <w:highlight w:val="none"/>
        </w:rPr>
        <w:t>本合同金额为（大写）：________元（￥_______元）人民币。</w:t>
      </w:r>
    </w:p>
    <w:p w14:paraId="671375BF">
      <w:pPr>
        <w:widowControl/>
        <w:snapToGrid w:val="0"/>
        <w:spacing w:line="360" w:lineRule="auto"/>
        <w:ind w:firstLine="480" w:firstLineChars="200"/>
        <w:jc w:val="left"/>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本合同总价为不可变价格，不因市场价格波动、政策调整或双方未预见风险等因素增加费用，</w:t>
      </w:r>
      <w:r>
        <w:rPr>
          <w:rFonts w:hint="eastAsia" w:ascii="宋体" w:hAnsi="宋体" w:cs="宋体"/>
          <w:color w:val="000000" w:themeColor="text1"/>
          <w:kern w:val="0"/>
          <w:sz w:val="24"/>
          <w:highlight w:val="none"/>
          <w:lang w:val="en-US" w:eastAsia="zh-CN"/>
          <w14:textFill>
            <w14:solidFill>
              <w14:schemeClr w14:val="tx1"/>
            </w14:solidFill>
          </w14:textFill>
        </w:rPr>
        <w:t>乙方</w:t>
      </w:r>
      <w:r>
        <w:rPr>
          <w:rFonts w:hint="eastAsia" w:ascii="宋体" w:hAnsi="宋体" w:cs="宋体"/>
          <w:color w:val="000000" w:themeColor="text1"/>
          <w:kern w:val="0"/>
          <w:sz w:val="24"/>
          <w:highlight w:val="none"/>
          <w:lang w:val="zh-CN"/>
          <w14:textFill>
            <w14:solidFill>
              <w14:schemeClr w14:val="tx1"/>
            </w14:solidFill>
          </w14:textFill>
        </w:rPr>
        <w:t>已充分知悉并接受该价款约束。</w:t>
      </w:r>
    </w:p>
    <w:p w14:paraId="144686B1">
      <w:pPr>
        <w:widowControl/>
        <w:snapToGrid w:val="0"/>
        <w:spacing w:line="360" w:lineRule="auto"/>
        <w:ind w:firstLine="482" w:firstLineChars="200"/>
        <w:jc w:val="left"/>
        <w:rPr>
          <w:rFonts w:hint="eastAsia" w:ascii="宋体" w:hAnsi="宋体" w:cs="宋体"/>
          <w:b/>
          <w:bCs/>
          <w:sz w:val="24"/>
          <w:u w:val="none"/>
          <w:lang w:val="en-US" w:eastAsia="zh-CN"/>
        </w:rPr>
      </w:pPr>
      <w:r>
        <w:rPr>
          <w:rFonts w:hint="eastAsia" w:ascii="宋体" w:hAnsi="宋体" w:eastAsia="宋体" w:cs="宋体"/>
          <w:b/>
          <w:bCs/>
          <w:sz w:val="24"/>
          <w:u w:val="none"/>
          <w:lang w:val="en-US" w:eastAsia="zh-CN"/>
        </w:rPr>
        <w:t>报价明细详见合同附件2。</w:t>
      </w:r>
      <w:r>
        <w:rPr>
          <w:rFonts w:hint="eastAsia" w:ascii="宋体" w:hAnsi="宋体" w:cs="宋体"/>
          <w:b/>
          <w:bCs/>
          <w:sz w:val="24"/>
          <w:u w:val="none"/>
          <w:lang w:val="en-US" w:eastAsia="zh-CN"/>
        </w:rPr>
        <w:t xml:space="preserve"> </w:t>
      </w:r>
    </w:p>
    <w:p w14:paraId="3AD4B833">
      <w:pPr>
        <w:widowControl/>
        <w:snapToGrid w:val="0"/>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付款方式:</w:t>
      </w:r>
    </w:p>
    <w:p w14:paraId="4466B051">
      <w:pPr>
        <w:numPr>
          <w:ilvl w:val="0"/>
          <w:numId w:val="0"/>
        </w:numPr>
        <w:tabs>
          <w:tab w:val="left" w:pos="9135"/>
        </w:tabs>
        <w:spacing w:line="440" w:lineRule="exact"/>
        <w:ind w:left="433" w:leftChars="206" w:firstLine="69" w:firstLineChars="29"/>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t>1）第一次结算以乙方完成合同约定服务进度的50%且出具完成的抽样检测任务清单、完成检测报告，经甲方审核确认实际完成工作量及质量达标后，支付当期对应款项；第二次结算以乙方项目全部完成并出具相应检测报告，经甲方审核确认实际完成工作量及质量达标后10个工作日内提交结算申请。</w:t>
      </w:r>
    </w:p>
    <w:p w14:paraId="0832E552">
      <w:pPr>
        <w:numPr>
          <w:ilvl w:val="0"/>
          <w:numId w:val="0"/>
        </w:numPr>
        <w:tabs>
          <w:tab w:val="left" w:pos="9135"/>
        </w:tabs>
        <w:spacing w:line="440" w:lineRule="exact"/>
        <w:ind w:left="433" w:leftChars="206" w:firstLine="69" w:firstLineChars="29"/>
        <w:rPr>
          <w:rFonts w:hint="eastAsia" w:ascii="宋体" w:hAnsi="宋体" w:cs="宋体"/>
          <w:b w:val="0"/>
          <w:bCs w:val="0"/>
          <w:color w:val="000000"/>
          <w:kern w:val="2"/>
          <w:sz w:val="24"/>
          <w:szCs w:val="24"/>
          <w:highlight w:val="none"/>
          <w:lang w:val="en-US" w:eastAsia="zh-CN" w:bidi="ar-SA"/>
        </w:rPr>
      </w:pPr>
      <w:r>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t>2）乙方向甲方开具相应金额的正规发票，甲方自收到发票后向乙方付款。</w:t>
      </w:r>
    </w:p>
    <w:p w14:paraId="5CF9DCEE">
      <w:pPr>
        <w:numPr>
          <w:ilvl w:val="0"/>
          <w:numId w:val="0"/>
        </w:numPr>
        <w:tabs>
          <w:tab w:val="left" w:pos="9135"/>
        </w:tabs>
        <w:spacing w:line="440" w:lineRule="exact"/>
        <w:ind w:left="433" w:leftChars="206" w:firstLine="70" w:firstLineChars="29"/>
        <w:rPr>
          <w:rFonts w:hint="eastAsia" w:ascii="宋体" w:hAnsi="宋体" w:cs="宋体"/>
          <w:b/>
          <w:bCs/>
          <w:color w:val="000000"/>
          <w:kern w:val="2"/>
          <w:sz w:val="24"/>
          <w:szCs w:val="24"/>
          <w:highlight w:val="none"/>
          <w:lang w:val="en-US" w:eastAsia="zh-CN" w:bidi="ar-SA"/>
        </w:rPr>
      </w:pPr>
      <w:bookmarkStart w:id="165" w:name="_Toc393791430"/>
      <w:r>
        <w:rPr>
          <w:rFonts w:hint="eastAsia" w:ascii="宋体" w:hAnsi="宋体" w:cs="宋体"/>
          <w:b/>
          <w:bCs/>
          <w:color w:val="000000"/>
          <w:kern w:val="2"/>
          <w:sz w:val="24"/>
          <w:szCs w:val="24"/>
          <w:highlight w:val="none"/>
          <w:lang w:val="en-US" w:eastAsia="zh-CN" w:bidi="ar-SA"/>
        </w:rPr>
        <w:t>四、 双方的权利和义务</w:t>
      </w:r>
    </w:p>
    <w:p w14:paraId="62A15D8C">
      <w:pPr>
        <w:numPr>
          <w:ilvl w:val="0"/>
          <w:numId w:val="0"/>
        </w:numPr>
        <w:tabs>
          <w:tab w:val="left" w:pos="9135"/>
        </w:tabs>
        <w:spacing w:line="440" w:lineRule="exact"/>
        <w:ind w:left="433" w:leftChars="206" w:firstLine="69" w:firstLineChars="29"/>
        <w:rPr>
          <w:rFonts w:hint="eastAsia" w:ascii="宋体" w:hAnsi="宋体" w:cs="宋体"/>
          <w:b w:val="0"/>
          <w:bCs w:val="0"/>
          <w:color w:val="000000"/>
          <w:kern w:val="2"/>
          <w:sz w:val="24"/>
          <w:szCs w:val="24"/>
          <w:highlight w:val="none"/>
          <w:lang w:val="en-US" w:eastAsia="zh-CN" w:bidi="ar-SA"/>
        </w:rPr>
      </w:pPr>
      <w:r>
        <w:rPr>
          <w:rFonts w:hint="eastAsia" w:ascii="宋体" w:hAnsi="宋体" w:cs="宋体"/>
          <w:b w:val="0"/>
          <w:bCs w:val="0"/>
          <w:color w:val="000000"/>
          <w:kern w:val="2"/>
          <w:sz w:val="24"/>
          <w:szCs w:val="24"/>
          <w:highlight w:val="none"/>
          <w:lang w:val="en-US" w:eastAsia="zh-CN" w:bidi="ar-SA"/>
        </w:rPr>
        <w:t>（一）甲方的权利和义务</w:t>
      </w:r>
    </w:p>
    <w:p w14:paraId="1FC46F10">
      <w:pPr>
        <w:numPr>
          <w:ilvl w:val="0"/>
          <w:numId w:val="0"/>
        </w:numPr>
        <w:tabs>
          <w:tab w:val="left" w:pos="9135"/>
        </w:tabs>
        <w:spacing w:line="440" w:lineRule="exact"/>
        <w:ind w:left="433" w:leftChars="206" w:firstLine="69" w:firstLineChars="29"/>
        <w:rPr>
          <w:rFonts w:hint="eastAsia" w:ascii="宋体" w:hAnsi="宋体" w:eastAsia="宋体" w:cs="宋体"/>
          <w:kern w:val="2"/>
          <w:sz w:val="24"/>
          <w:szCs w:val="24"/>
          <w:lang w:val="en-US" w:eastAsia="zh-CN" w:bidi="ar-SA"/>
        </w:rPr>
      </w:pPr>
      <w:r>
        <w:rPr>
          <w:rFonts w:hint="eastAsia" w:ascii="宋体" w:hAnsi="宋体" w:cs="宋体"/>
          <w:b w:val="0"/>
          <w:bCs w:val="0"/>
          <w:color w:val="000000"/>
          <w:kern w:val="2"/>
          <w:sz w:val="24"/>
          <w:szCs w:val="24"/>
          <w:highlight w:val="none"/>
          <w:lang w:val="en-US" w:eastAsia="zh-CN" w:bidi="ar-SA"/>
        </w:rPr>
        <w:t>1.任务的下达。根据任务安排下达任务文件，明确工作时限、内容、要求及纪律；提供抽查工作所需相关文书，为乙方提供相关</w:t>
      </w:r>
      <w:r>
        <w:rPr>
          <w:rFonts w:hint="eastAsia" w:ascii="宋体" w:hAnsi="宋体" w:eastAsia="宋体" w:cs="宋体"/>
          <w:kern w:val="2"/>
          <w:sz w:val="24"/>
          <w:szCs w:val="24"/>
          <w:lang w:val="en-US" w:eastAsia="zh-CN" w:bidi="ar-SA"/>
        </w:rPr>
        <w:t>业务咨询。</w:t>
      </w:r>
    </w:p>
    <w:p w14:paraId="449C2D73">
      <w:pPr>
        <w:pStyle w:val="13"/>
        <w:keepNext w:val="0"/>
        <w:keepLines w:val="0"/>
        <w:pageBreakBefore w:val="0"/>
        <w:kinsoku/>
        <w:wordWrap/>
        <w:topLinePunct w:val="0"/>
        <w:bidi w:val="0"/>
        <w:snapToGrid w:val="0"/>
        <w:spacing w:before="120" w:after="120" w:line="300" w:lineRule="auto"/>
        <w:ind w:firstLine="480" w:firstLineChars="20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2.维护并完善监督抽查信息化系统。</w:t>
      </w:r>
    </w:p>
    <w:p w14:paraId="3ADCEF19">
      <w:pPr>
        <w:pStyle w:val="13"/>
        <w:keepNext w:val="0"/>
        <w:keepLines w:val="0"/>
        <w:pageBreakBefore w:val="0"/>
        <w:kinsoku/>
        <w:wordWrap/>
        <w:topLinePunct w:val="0"/>
        <w:bidi w:val="0"/>
        <w:snapToGrid w:val="0"/>
        <w:spacing w:before="120" w:after="120" w:line="300" w:lineRule="auto"/>
        <w:ind w:firstLine="480" w:firstLineChars="20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3.甲方有权向乙方了解项目进度，并有权要求乙方提供项目相关资料。</w:t>
      </w:r>
    </w:p>
    <w:p w14:paraId="547D945E">
      <w:pPr>
        <w:pStyle w:val="13"/>
        <w:keepNext w:val="0"/>
        <w:keepLines w:val="0"/>
        <w:pageBreakBefore w:val="0"/>
        <w:kinsoku/>
        <w:wordWrap/>
        <w:topLinePunct w:val="0"/>
        <w:bidi w:val="0"/>
        <w:snapToGrid w:val="0"/>
        <w:spacing w:before="120" w:after="120" w:line="300" w:lineRule="auto"/>
        <w:ind w:firstLine="480" w:firstLineChars="20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甲方有权按照本合同约定或有关法律法规、政府管理的相关职能规定，对本项目进行监督和检查，并有权要求乙方按照监督检查情况制定相应措施并加以整改。发现乙方违反本合同约定，经甲方通知后仍不整改的，甲方有权解除本合同。</w:t>
      </w:r>
    </w:p>
    <w:p w14:paraId="130E6518">
      <w:pPr>
        <w:pStyle w:val="13"/>
        <w:keepNext w:val="0"/>
        <w:keepLines w:val="0"/>
        <w:pageBreakBefore w:val="0"/>
        <w:kinsoku/>
        <w:wordWrap/>
        <w:topLinePunct w:val="0"/>
        <w:bidi w:val="0"/>
        <w:snapToGrid w:val="0"/>
        <w:spacing w:before="120" w:after="120" w:line="300" w:lineRule="auto"/>
        <w:ind w:firstLine="480" w:firstLineChars="20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5.甲方有权在乙方履行合同过程中出现损害或可能损害公共利益、公共安全情形时解除并终止本合同的履行。</w:t>
      </w:r>
    </w:p>
    <w:p w14:paraId="46C1ADFC">
      <w:pPr>
        <w:pStyle w:val="13"/>
        <w:keepNext w:val="0"/>
        <w:keepLines w:val="0"/>
        <w:pageBreakBefore w:val="0"/>
        <w:kinsoku/>
        <w:wordWrap/>
        <w:topLinePunct w:val="0"/>
        <w:bidi w:val="0"/>
        <w:snapToGrid w:val="0"/>
        <w:spacing w:before="120" w:after="120" w:line="300" w:lineRule="auto"/>
        <w:ind w:firstLine="480" w:firstLineChars="20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6.甲方有权根据国家政策或法律法规的变动和上级部门要求对服务项目的需求标准和质量要求作出相应变动或者取消该服务项目。</w:t>
      </w:r>
    </w:p>
    <w:p w14:paraId="7A2750AB">
      <w:pPr>
        <w:pStyle w:val="13"/>
        <w:keepNext w:val="0"/>
        <w:keepLines w:val="0"/>
        <w:pageBreakBefore w:val="0"/>
        <w:kinsoku/>
        <w:wordWrap/>
        <w:topLinePunct w:val="0"/>
        <w:bidi w:val="0"/>
        <w:snapToGrid w:val="0"/>
        <w:spacing w:before="120" w:after="120" w:line="300" w:lineRule="auto"/>
        <w:ind w:firstLine="480" w:firstLineChars="20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7.甲方有权对项目资金使用情况进行监督、检查，并要求乙方提供相关资料。</w:t>
      </w:r>
    </w:p>
    <w:p w14:paraId="39D72B11">
      <w:pPr>
        <w:pStyle w:val="13"/>
        <w:keepNext w:val="0"/>
        <w:keepLines w:val="0"/>
        <w:pageBreakBefore w:val="0"/>
        <w:kinsoku/>
        <w:wordWrap/>
        <w:topLinePunct w:val="0"/>
        <w:bidi w:val="0"/>
        <w:snapToGrid w:val="0"/>
        <w:spacing w:before="120" w:after="120" w:line="300" w:lineRule="auto"/>
        <w:ind w:firstLine="480" w:firstLineChars="20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8.甲方有权将乙方履行合同情况及不符合政府购买服务管理规定情况，向相关部门报告并纳入不良信用记录、年检（报）、评估、执法等监管体系中。</w:t>
      </w:r>
    </w:p>
    <w:p w14:paraId="7B281B47">
      <w:pPr>
        <w:pStyle w:val="13"/>
        <w:keepNext w:val="0"/>
        <w:keepLines w:val="0"/>
        <w:pageBreakBefore w:val="0"/>
        <w:kinsoku/>
        <w:wordWrap/>
        <w:topLinePunct w:val="0"/>
        <w:bidi w:val="0"/>
        <w:snapToGrid w:val="0"/>
        <w:spacing w:before="120" w:after="120" w:line="300" w:lineRule="auto"/>
        <w:ind w:firstLine="480" w:firstLineChars="200"/>
        <w:textAlignment w:val="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en-US" w:eastAsia="zh-CN" w:bidi="ar-SA"/>
        </w:rPr>
        <w:t>9.</w:t>
      </w:r>
      <w:r>
        <w:rPr>
          <w:rFonts w:hint="eastAsia" w:ascii="宋体" w:hAnsi="宋体" w:eastAsia="宋体" w:cs="宋体"/>
          <w:kern w:val="2"/>
          <w:sz w:val="24"/>
          <w:szCs w:val="24"/>
          <w:lang w:val="zh-CN" w:eastAsia="zh-CN" w:bidi="ar-SA"/>
        </w:rPr>
        <w:t>甲方有权根据客观事实及工作实际要求对本合同进行调整和变更，调整和变更情况应当及时告知乙方，乙方如有不同意见应及时书面反馈，最终变更结果以双方商定结果为准。</w:t>
      </w:r>
    </w:p>
    <w:p w14:paraId="16F5F054">
      <w:pPr>
        <w:pStyle w:val="13"/>
        <w:keepNext w:val="0"/>
        <w:keepLines w:val="0"/>
        <w:pageBreakBefore w:val="0"/>
        <w:kinsoku/>
        <w:wordWrap/>
        <w:topLinePunct w:val="0"/>
        <w:bidi w:val="0"/>
        <w:snapToGrid w:val="0"/>
        <w:spacing w:before="120" w:after="120" w:line="300" w:lineRule="auto"/>
        <w:ind w:left="2" w:leftChars="1" w:firstLine="480" w:firstLineChars="200"/>
        <w:textAlignment w:val="auto"/>
        <w:outlineLvl w:val="1"/>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（二）乙方的权利和义务</w:t>
      </w:r>
    </w:p>
    <w:p w14:paraId="19762B9C">
      <w:pPr>
        <w:pStyle w:val="13"/>
        <w:keepNext w:val="0"/>
        <w:keepLines w:val="0"/>
        <w:pageBreakBefore w:val="0"/>
        <w:kinsoku/>
        <w:wordWrap/>
        <w:topLinePunct w:val="0"/>
        <w:bidi w:val="0"/>
        <w:snapToGrid w:val="0"/>
        <w:spacing w:before="120" w:after="120" w:line="300" w:lineRule="auto"/>
        <w:ind w:firstLine="480" w:firstLineChars="20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乙方必须严格按照《产品质量法》、《产品质量监督抽查管理暂行办法》、《浙江省产品质量监督管理条例》、《浙江省检验机构管理条例》、《浙江省产品质量监督抽查工作实施办法（试行）》《产品质量常山县监督抽查实施细则》及任务下达文件（委托书）等相关要求开展监督抽查中的产品采样、企业信息调查、检验检测、质量分析、报告寄送、信息录入维护等，确保监督抽查公正性和有效性；</w:t>
      </w:r>
    </w:p>
    <w:p w14:paraId="7D06C540">
      <w:pPr>
        <w:keepNext w:val="0"/>
        <w:keepLines w:val="0"/>
        <w:pageBreakBefore w:val="0"/>
        <w:kinsoku/>
        <w:wordWrap/>
        <w:topLinePunct w:val="0"/>
        <w:bidi w:val="0"/>
        <w:spacing w:line="300" w:lineRule="auto"/>
        <w:ind w:firstLine="480" w:firstLineChars="200"/>
        <w:textAlignment w:val="auto"/>
        <w:rPr>
          <w:rStyle w:val="32"/>
          <w:rFonts w:hint="eastAsia" w:ascii="宋体" w:hAnsi="宋体" w:eastAsia="宋体" w:cs="宋体"/>
          <w:color w:val="auto"/>
          <w:kern w:val="0"/>
          <w:sz w:val="24"/>
          <w:szCs w:val="24"/>
          <w:highlight w:val="none"/>
          <w:lang w:val="en-US" w:eastAsia="zh-CN" w:bidi="ar-SA"/>
        </w:rPr>
      </w:pPr>
      <w:r>
        <w:rPr>
          <w:rFonts w:hint="eastAsia" w:ascii="宋体" w:hAnsi="宋体" w:eastAsia="宋体" w:cs="宋体"/>
          <w:kern w:val="2"/>
          <w:sz w:val="24"/>
          <w:szCs w:val="24"/>
          <w:lang w:val="en-US" w:eastAsia="zh-CN" w:bidi="ar-SA"/>
        </w:rPr>
        <w:t>2.建立抽样人员随机选派工作机制，按</w:t>
      </w:r>
      <w:r>
        <w:rPr>
          <w:rStyle w:val="32"/>
          <w:rFonts w:hint="eastAsia" w:ascii="宋体" w:hAnsi="宋体" w:eastAsia="宋体" w:cs="宋体"/>
          <w:color w:val="auto"/>
          <w:kern w:val="0"/>
          <w:sz w:val="24"/>
          <w:szCs w:val="24"/>
          <w:highlight w:val="none"/>
          <w:lang w:val="en-US" w:eastAsia="zh-CN" w:bidi="ar-SA"/>
        </w:rPr>
        <w:t>照甲方的规定，合理安排抽样检验进度，抽样过程全程录像（录像保留二年），确保抽查工作质量和效率。及时将检验报告等规定材料及有关情况报送甲方，因客观原因无法按时上报的，应事先向甲方书面说明情况；</w:t>
      </w:r>
    </w:p>
    <w:p w14:paraId="41AF7AB3">
      <w:pPr>
        <w:pStyle w:val="13"/>
        <w:keepNext w:val="0"/>
        <w:keepLines w:val="0"/>
        <w:pageBreakBefore w:val="0"/>
        <w:kinsoku/>
        <w:wordWrap/>
        <w:topLinePunct w:val="0"/>
        <w:bidi w:val="0"/>
        <w:snapToGrid w:val="0"/>
        <w:spacing w:before="120" w:after="120" w:line="300" w:lineRule="auto"/>
        <w:ind w:left="2" w:leftChars="1" w:firstLine="480" w:firstLineChars="20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3.按照甲方要求，及时开展检验、检测及质量判定，或按相关技术要求出具检测数据。使用软件汇总上报检验结果数据，按要求开展产品质量分析，提交项目总结报告，对报告的客观性、准确性、真实性负责；</w:t>
      </w:r>
    </w:p>
    <w:p w14:paraId="63281432">
      <w:pPr>
        <w:keepNext w:val="0"/>
        <w:keepLines w:val="0"/>
        <w:pageBreakBefore w:val="0"/>
        <w:kinsoku/>
        <w:wordWrap/>
        <w:topLinePunct w:val="0"/>
        <w:bidi w:val="0"/>
        <w:spacing w:line="300" w:lineRule="auto"/>
        <w:ind w:firstLine="491" w:firstLineChars="205"/>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4.积极参与甲方组织开展的监督抽查不合格异议处置和产品质量突发事件的调查应对；</w:t>
      </w:r>
    </w:p>
    <w:p w14:paraId="492DCC39">
      <w:pPr>
        <w:pStyle w:val="13"/>
        <w:keepNext w:val="0"/>
        <w:keepLines w:val="0"/>
        <w:pageBreakBefore w:val="0"/>
        <w:kinsoku/>
        <w:wordWrap/>
        <w:topLinePunct w:val="0"/>
        <w:bidi w:val="0"/>
        <w:snapToGrid w:val="0"/>
        <w:spacing w:before="120" w:after="120" w:line="300" w:lineRule="auto"/>
        <w:ind w:firstLine="480" w:firstLineChars="200"/>
        <w:textAlignment w:val="auto"/>
        <w:rPr>
          <w:rFonts w:hint="eastAsia" w:ascii="宋体" w:hAnsi="宋体" w:cs="宋体"/>
          <w:b/>
          <w:sz w:val="24"/>
          <w:lang w:val="en-US" w:eastAsia="zh-CN"/>
        </w:rPr>
      </w:pPr>
      <w:r>
        <w:rPr>
          <w:rFonts w:hint="eastAsia" w:ascii="宋体" w:hAnsi="宋体" w:eastAsia="宋体" w:cs="宋体"/>
          <w:kern w:val="2"/>
          <w:sz w:val="24"/>
          <w:szCs w:val="24"/>
          <w:lang w:val="en-US" w:eastAsia="zh-CN" w:bidi="ar-SA"/>
        </w:rPr>
        <w:t>5.严格遵守国家法律、法规和抽查工作纪律，按照财政和甲方要求管理使用抽检经费，配合甲方对抽检工作质量、任务进度及经费使用情况的检查考核。</w:t>
      </w:r>
    </w:p>
    <w:p w14:paraId="60EE00BF">
      <w:pPr>
        <w:keepNext w:val="0"/>
        <w:keepLines w:val="0"/>
        <w:pageBreakBefore w:val="0"/>
        <w:kinsoku/>
        <w:wordWrap/>
        <w:topLinePunct w:val="0"/>
        <w:bidi w:val="0"/>
        <w:spacing w:line="300" w:lineRule="auto"/>
        <w:ind w:firstLine="482" w:firstLineChars="200"/>
        <w:textAlignment w:val="auto"/>
        <w:outlineLvl w:val="0"/>
        <w:rPr>
          <w:rFonts w:hint="eastAsia" w:ascii="宋体" w:hAnsi="宋体" w:cs="宋体"/>
          <w:b/>
          <w:sz w:val="24"/>
        </w:rPr>
      </w:pPr>
      <w:r>
        <w:rPr>
          <w:rFonts w:hint="eastAsia" w:ascii="宋体" w:hAnsi="宋体" w:cs="宋体"/>
          <w:b/>
          <w:sz w:val="24"/>
          <w:lang w:val="en-US" w:eastAsia="zh-CN"/>
        </w:rPr>
        <w:t>五</w:t>
      </w:r>
      <w:r>
        <w:rPr>
          <w:rFonts w:hint="eastAsia" w:ascii="宋体" w:hAnsi="宋体" w:cs="宋体"/>
          <w:b/>
          <w:sz w:val="24"/>
        </w:rPr>
        <w:t>、违约责任及处理</w:t>
      </w:r>
      <w:bookmarkEnd w:id="165"/>
    </w:p>
    <w:p w14:paraId="15C86483">
      <w:pPr>
        <w:pStyle w:val="13"/>
        <w:keepNext w:val="0"/>
        <w:keepLines w:val="0"/>
        <w:pageBreakBefore w:val="0"/>
        <w:kinsoku/>
        <w:wordWrap/>
        <w:topLinePunct w:val="0"/>
        <w:bidi w:val="0"/>
        <w:snapToGrid w:val="0"/>
        <w:spacing w:before="120" w:after="120" w:line="300" w:lineRule="auto"/>
        <w:ind w:firstLine="480" w:firstLineChars="200"/>
        <w:textAlignment w:val="auto"/>
        <w:rPr>
          <w:rFonts w:ascii="宋体" w:hAnsi="宋体" w:eastAsia="宋体" w:cs="仿宋_GB2312"/>
          <w:color w:val="auto"/>
          <w:sz w:val="24"/>
          <w:szCs w:val="24"/>
          <w:highlight w:val="none"/>
        </w:rPr>
      </w:pPr>
      <w:r>
        <w:rPr>
          <w:rFonts w:hint="eastAsia" w:ascii="宋体" w:hAnsi="宋体" w:eastAsia="宋体" w:cs="仿宋_GB2312"/>
          <w:color w:val="auto"/>
          <w:sz w:val="24"/>
          <w:szCs w:val="24"/>
          <w:highlight w:val="none"/>
        </w:rPr>
        <w:t>1.甲方未按本合同约定支付经费的，乙方有权终止本项目服务工作；</w:t>
      </w:r>
    </w:p>
    <w:p w14:paraId="60829A60">
      <w:pPr>
        <w:pStyle w:val="13"/>
        <w:keepNext w:val="0"/>
        <w:keepLines w:val="0"/>
        <w:pageBreakBefore w:val="0"/>
        <w:kinsoku/>
        <w:wordWrap/>
        <w:topLinePunct w:val="0"/>
        <w:bidi w:val="0"/>
        <w:snapToGrid w:val="0"/>
        <w:spacing w:before="120" w:after="120" w:line="300" w:lineRule="auto"/>
        <w:ind w:left="2" w:leftChars="1" w:firstLine="480" w:firstLineChars="200"/>
        <w:textAlignment w:val="auto"/>
        <w:rPr>
          <w:rFonts w:ascii="宋体" w:hAnsi="宋体" w:eastAsia="宋体" w:cs="仿宋_GB2312"/>
          <w:color w:val="auto"/>
          <w:sz w:val="24"/>
          <w:szCs w:val="24"/>
          <w:highlight w:val="none"/>
        </w:rPr>
      </w:pPr>
      <w:r>
        <w:rPr>
          <w:rFonts w:hint="eastAsia" w:ascii="宋体" w:hAnsi="宋体" w:eastAsia="宋体" w:cs="仿宋_GB2312"/>
          <w:color w:val="auto"/>
          <w:sz w:val="24"/>
          <w:szCs w:val="24"/>
          <w:highlight w:val="none"/>
        </w:rPr>
        <w:t>2.乙方</w:t>
      </w:r>
      <w:r>
        <w:rPr>
          <w:rFonts w:ascii="宋体" w:hAnsi="宋体" w:eastAsia="宋体" w:cs="仿宋_GB2312"/>
          <w:color w:val="auto"/>
          <w:sz w:val="24"/>
          <w:szCs w:val="24"/>
          <w:highlight w:val="none"/>
        </w:rPr>
        <w:t>无正当理由</w:t>
      </w:r>
      <w:r>
        <w:rPr>
          <w:rFonts w:hint="eastAsia" w:ascii="宋体" w:hAnsi="宋体" w:eastAsia="宋体" w:cs="仿宋_GB2312"/>
          <w:color w:val="auto"/>
          <w:sz w:val="24"/>
          <w:szCs w:val="24"/>
          <w:highlight w:val="none"/>
        </w:rPr>
        <w:t>未按规定开展工作</w:t>
      </w:r>
      <w:r>
        <w:rPr>
          <w:rFonts w:ascii="宋体" w:hAnsi="宋体" w:eastAsia="宋体" w:cs="仿宋_GB2312"/>
          <w:color w:val="auto"/>
          <w:sz w:val="24"/>
          <w:szCs w:val="24"/>
          <w:highlight w:val="none"/>
        </w:rPr>
        <w:t>，</w:t>
      </w:r>
      <w:r>
        <w:rPr>
          <w:rFonts w:hint="eastAsia" w:ascii="宋体" w:hAnsi="宋体" w:eastAsia="宋体" w:cs="仿宋_GB2312"/>
          <w:color w:val="auto"/>
          <w:sz w:val="24"/>
          <w:szCs w:val="24"/>
          <w:highlight w:val="none"/>
        </w:rPr>
        <w:t>甲方可视具体情况拒付部分或全部经费。同时，乙方需支付甲方应付款的10%作为违约金，并甲方有权解除本合同；</w:t>
      </w:r>
    </w:p>
    <w:p w14:paraId="166441D8">
      <w:pPr>
        <w:keepNext w:val="0"/>
        <w:keepLines w:val="0"/>
        <w:pageBreakBefore w:val="0"/>
        <w:kinsoku/>
        <w:wordWrap/>
        <w:topLinePunct w:val="0"/>
        <w:bidi w:val="0"/>
        <w:spacing w:line="300" w:lineRule="auto"/>
        <w:ind w:firstLine="480" w:firstLineChars="200"/>
        <w:textAlignment w:val="auto"/>
        <w:rPr>
          <w:rFonts w:hint="eastAsia" w:ascii="宋体" w:hAnsi="宋体" w:cs="仿宋_GB2312"/>
          <w:color w:val="auto"/>
          <w:sz w:val="24"/>
          <w:highlight w:val="none"/>
        </w:rPr>
      </w:pPr>
      <w:r>
        <w:rPr>
          <w:rFonts w:hint="eastAsia" w:ascii="宋体" w:hAnsi="宋体" w:cs="仿宋_GB2312"/>
          <w:color w:val="auto"/>
          <w:sz w:val="24"/>
          <w:highlight w:val="none"/>
        </w:rPr>
        <w:t>3.乙方如出现以任何形式泄露抽检信息以及数据的行为，甲方将终止委托工作，停止拨付经费，乙方需退回已拨付费用，同时承担后续可能出现的赔偿责任。</w:t>
      </w:r>
    </w:p>
    <w:p w14:paraId="66C0706F">
      <w:pPr>
        <w:keepNext w:val="0"/>
        <w:keepLines w:val="0"/>
        <w:pageBreakBefore w:val="0"/>
        <w:kinsoku/>
        <w:wordWrap/>
        <w:topLinePunct w:val="0"/>
        <w:bidi w:val="0"/>
        <w:spacing w:line="300" w:lineRule="auto"/>
        <w:ind w:firstLine="480" w:firstLineChars="200"/>
        <w:textAlignment w:val="auto"/>
        <w:rPr>
          <w:rFonts w:hint="eastAsia" w:ascii="宋体" w:hAnsi="宋体" w:cs="仿宋_GB2312"/>
          <w:color w:val="auto"/>
          <w:sz w:val="24"/>
          <w:highlight w:val="none"/>
        </w:rPr>
      </w:pPr>
      <w:r>
        <w:rPr>
          <w:rFonts w:hint="eastAsia" w:ascii="宋体" w:hAnsi="宋体" w:cs="仿宋_GB2312"/>
          <w:color w:val="auto"/>
          <w:sz w:val="24"/>
          <w:highlight w:val="none"/>
        </w:rPr>
        <w:t>4.</w:t>
      </w:r>
      <w:r>
        <w:rPr>
          <w:rFonts w:ascii="宋体" w:hAnsi="宋体" w:cs="仿宋_GB2312"/>
          <w:color w:val="auto"/>
          <w:sz w:val="24"/>
          <w:highlight w:val="none"/>
        </w:rPr>
        <w:t>如</w:t>
      </w:r>
      <w:r>
        <w:rPr>
          <w:rFonts w:hint="eastAsia" w:ascii="宋体" w:hAnsi="宋体" w:cs="仿宋_GB2312"/>
          <w:color w:val="auto"/>
          <w:sz w:val="24"/>
          <w:highlight w:val="none"/>
        </w:rPr>
        <w:t>乙方出具虚假、错误检测数据或检验报告的，甲方将扣除相应经费，乙方需承担后续可能出现的赔偿责任，并由相关部门对乙方上述行为依法进行处置。</w:t>
      </w:r>
    </w:p>
    <w:p w14:paraId="4087BEA8">
      <w:pPr>
        <w:keepNext w:val="0"/>
        <w:keepLines w:val="0"/>
        <w:pageBreakBefore w:val="0"/>
        <w:kinsoku/>
        <w:wordWrap/>
        <w:topLinePunct w:val="0"/>
        <w:bidi w:val="0"/>
        <w:spacing w:line="300" w:lineRule="auto"/>
        <w:ind w:firstLine="480" w:firstLineChars="200"/>
        <w:textAlignment w:val="auto"/>
        <w:outlineLvl w:val="0"/>
        <w:rPr>
          <w:rFonts w:hint="eastAsia" w:ascii="宋体" w:hAnsi="宋体" w:cs="仿宋_GB2312"/>
          <w:color w:val="auto"/>
          <w:sz w:val="24"/>
          <w:highlight w:val="none"/>
        </w:rPr>
      </w:pPr>
      <w:r>
        <w:rPr>
          <w:rFonts w:hint="eastAsia" w:ascii="宋体" w:hAnsi="宋体" w:cs="仿宋_GB2312"/>
          <w:color w:val="auto"/>
          <w:sz w:val="24"/>
          <w:highlight w:val="none"/>
        </w:rPr>
        <w:t>5.乙方存在其他违反法律法规行为的，甲方有权解除本合同，并有权解除合同拒付合同款项和要求乙方退还已收取的合同款项。</w:t>
      </w:r>
    </w:p>
    <w:p w14:paraId="794F4AE8">
      <w:pPr>
        <w:keepNext w:val="0"/>
        <w:keepLines w:val="0"/>
        <w:pageBreakBefore w:val="0"/>
        <w:kinsoku/>
        <w:wordWrap/>
        <w:topLinePunct w:val="0"/>
        <w:bidi w:val="0"/>
        <w:spacing w:line="300" w:lineRule="auto"/>
        <w:ind w:firstLine="482" w:firstLineChars="200"/>
        <w:textAlignment w:val="auto"/>
        <w:rPr>
          <w:rFonts w:hint="eastAsia" w:ascii="宋体" w:hAnsi="宋体" w:cs="仿宋_GB2312"/>
          <w:b/>
          <w:bCs/>
          <w:color w:val="auto"/>
          <w:sz w:val="24"/>
          <w:highlight w:val="none"/>
          <w:lang w:val="en-US" w:eastAsia="zh-CN"/>
        </w:rPr>
      </w:pPr>
      <w:r>
        <w:rPr>
          <w:rFonts w:hint="eastAsia" w:ascii="宋体" w:hAnsi="宋体" w:cs="仿宋_GB2312"/>
          <w:b/>
          <w:bCs/>
          <w:color w:val="auto"/>
          <w:sz w:val="24"/>
          <w:highlight w:val="none"/>
          <w:lang w:val="en-US" w:eastAsia="zh-CN"/>
        </w:rPr>
        <w:t>六、不可抗力事件处理</w:t>
      </w:r>
    </w:p>
    <w:p w14:paraId="35422A21">
      <w:pPr>
        <w:keepNext w:val="0"/>
        <w:keepLines w:val="0"/>
        <w:pageBreakBefore w:val="0"/>
        <w:kinsoku/>
        <w:wordWrap/>
        <w:topLinePunct w:val="0"/>
        <w:bidi w:val="0"/>
        <w:spacing w:line="300" w:lineRule="auto"/>
        <w:ind w:firstLine="720" w:firstLineChars="300"/>
        <w:textAlignment w:val="auto"/>
        <w:rPr>
          <w:rFonts w:hint="eastAsia" w:ascii="宋体" w:hAnsi="宋体" w:cs="仿宋_GB2312"/>
          <w:color w:val="auto"/>
          <w:sz w:val="24"/>
          <w:highlight w:val="none"/>
          <w:lang w:val="en-US" w:eastAsia="zh-CN"/>
        </w:rPr>
      </w:pPr>
      <w:r>
        <w:rPr>
          <w:rFonts w:hint="eastAsia" w:ascii="宋体" w:hAnsi="宋体" w:cs="仿宋_GB2312"/>
          <w:color w:val="auto"/>
          <w:sz w:val="24"/>
          <w:highlight w:val="none"/>
          <w:lang w:val="en-US" w:eastAsia="zh-CN"/>
        </w:rPr>
        <w:t>1.在合同有效期内，任何一方因不可抗力事件导致不能履行合同，则合同履行期可延长，其延长期与不可抗力影响期相同。</w:t>
      </w:r>
    </w:p>
    <w:p w14:paraId="563F6316">
      <w:pPr>
        <w:keepNext w:val="0"/>
        <w:keepLines w:val="0"/>
        <w:pageBreakBefore w:val="0"/>
        <w:kinsoku/>
        <w:wordWrap/>
        <w:topLinePunct w:val="0"/>
        <w:bidi w:val="0"/>
        <w:spacing w:line="300" w:lineRule="auto"/>
        <w:ind w:firstLine="480" w:firstLineChars="200"/>
        <w:textAlignment w:val="auto"/>
        <w:rPr>
          <w:rFonts w:hint="eastAsia" w:ascii="宋体" w:hAnsi="宋体" w:cs="仿宋_GB2312"/>
          <w:color w:val="auto"/>
          <w:sz w:val="24"/>
          <w:highlight w:val="none"/>
          <w:lang w:val="en-US" w:eastAsia="zh-CN"/>
        </w:rPr>
      </w:pPr>
      <w:r>
        <w:rPr>
          <w:rFonts w:hint="eastAsia" w:ascii="宋体" w:hAnsi="宋体" w:cs="仿宋_GB2312"/>
          <w:color w:val="auto"/>
          <w:sz w:val="24"/>
          <w:highlight w:val="none"/>
          <w:lang w:val="en-US" w:eastAsia="zh-CN"/>
        </w:rPr>
        <w:t xml:space="preserve">   2.不可抗力事件发生后，应立即通知对方，并寄送有关权威机构出具的证明。</w:t>
      </w:r>
    </w:p>
    <w:p w14:paraId="67FA80A7">
      <w:pPr>
        <w:keepNext w:val="0"/>
        <w:keepLines w:val="0"/>
        <w:pageBreakBefore w:val="0"/>
        <w:kinsoku/>
        <w:wordWrap/>
        <w:topLinePunct w:val="0"/>
        <w:bidi w:val="0"/>
        <w:spacing w:line="300" w:lineRule="auto"/>
        <w:ind w:firstLine="480" w:firstLineChars="200"/>
        <w:textAlignment w:val="auto"/>
        <w:rPr>
          <w:rFonts w:hint="eastAsia" w:ascii="宋体" w:hAnsi="宋体" w:cs="仿宋_GB2312"/>
          <w:color w:val="auto"/>
          <w:sz w:val="24"/>
          <w:highlight w:val="none"/>
        </w:rPr>
      </w:pPr>
      <w:r>
        <w:rPr>
          <w:rFonts w:hint="eastAsia" w:ascii="宋体" w:hAnsi="宋体" w:cs="仿宋_GB2312"/>
          <w:color w:val="auto"/>
          <w:sz w:val="24"/>
          <w:highlight w:val="none"/>
          <w:lang w:val="en-US" w:eastAsia="zh-CN"/>
        </w:rPr>
        <w:t xml:space="preserve">   3.不可抗力事件延续120天以上，双方应通过友好协商，确定是否继续履行合同</w:t>
      </w:r>
      <w:r>
        <w:rPr>
          <w:rFonts w:hint="eastAsia" w:ascii="宋体" w:hAnsi="宋体" w:cs="仿宋_GB2312"/>
          <w:color w:val="auto"/>
          <w:sz w:val="24"/>
          <w:highlight w:val="none"/>
        </w:rPr>
        <w:t>。</w:t>
      </w:r>
    </w:p>
    <w:p w14:paraId="128CF220">
      <w:pPr>
        <w:spacing w:line="500" w:lineRule="exact"/>
        <w:ind w:firstLine="482" w:firstLineChars="200"/>
        <w:outlineLvl w:val="0"/>
        <w:rPr>
          <w:rFonts w:hint="eastAsia" w:ascii="宋体" w:hAnsi="宋体" w:cs="宋体"/>
          <w:b/>
          <w:sz w:val="24"/>
        </w:rPr>
      </w:pPr>
      <w:r>
        <w:rPr>
          <w:rFonts w:hint="eastAsia" w:ascii="宋体" w:hAnsi="宋体" w:cs="宋体"/>
          <w:b/>
          <w:sz w:val="24"/>
          <w:lang w:val="en-US" w:eastAsia="zh-CN"/>
        </w:rPr>
        <w:t>七</w:t>
      </w:r>
      <w:r>
        <w:rPr>
          <w:rFonts w:hint="eastAsia" w:ascii="宋体" w:hAnsi="宋体" w:cs="宋体"/>
          <w:b/>
          <w:sz w:val="24"/>
        </w:rPr>
        <w:t>、其他</w:t>
      </w:r>
    </w:p>
    <w:p w14:paraId="7BF89050">
      <w:pPr>
        <w:keepNext w:val="0"/>
        <w:keepLines w:val="0"/>
        <w:pageBreakBefore w:val="0"/>
        <w:kinsoku/>
        <w:wordWrap/>
        <w:topLinePunct w:val="0"/>
        <w:bidi w:val="0"/>
        <w:spacing w:line="300" w:lineRule="auto"/>
        <w:ind w:firstLine="480" w:firstLineChars="200"/>
        <w:textAlignment w:val="auto"/>
        <w:rPr>
          <w:rFonts w:hint="eastAsia" w:ascii="宋体" w:hAnsi="宋体" w:cs="仿宋_GB2312"/>
          <w:color w:val="auto"/>
          <w:sz w:val="24"/>
          <w:highlight w:val="none"/>
          <w:lang w:val="en-US" w:eastAsia="zh-CN"/>
        </w:rPr>
      </w:pPr>
      <w:r>
        <w:rPr>
          <w:rFonts w:hint="eastAsia" w:ascii="宋体" w:hAnsi="宋体" w:cs="仿宋_GB2312"/>
          <w:color w:val="auto"/>
          <w:sz w:val="24"/>
          <w:highlight w:val="none"/>
          <w:lang w:val="en-US" w:eastAsia="zh-CN"/>
        </w:rPr>
        <w:t>（1）合同中未尽事项，按采购文件要求执行。</w:t>
      </w:r>
    </w:p>
    <w:p w14:paraId="4269F553">
      <w:pPr>
        <w:keepNext w:val="0"/>
        <w:keepLines w:val="0"/>
        <w:pageBreakBefore w:val="0"/>
        <w:kinsoku/>
        <w:wordWrap/>
        <w:topLinePunct w:val="0"/>
        <w:bidi w:val="0"/>
        <w:spacing w:line="300" w:lineRule="auto"/>
        <w:ind w:firstLine="480" w:firstLineChars="200"/>
        <w:textAlignment w:val="auto"/>
        <w:rPr>
          <w:rFonts w:hint="eastAsia" w:ascii="宋体" w:hAnsi="宋体" w:cs="仿宋_GB2312"/>
          <w:color w:val="auto"/>
          <w:sz w:val="24"/>
          <w:highlight w:val="none"/>
          <w:lang w:val="en-US" w:eastAsia="zh-CN"/>
        </w:rPr>
      </w:pPr>
      <w:r>
        <w:rPr>
          <w:rFonts w:hint="eastAsia" w:ascii="宋体" w:hAnsi="宋体" w:cs="仿宋_GB2312"/>
          <w:color w:val="auto"/>
          <w:sz w:val="24"/>
          <w:highlight w:val="none"/>
          <w:lang w:val="en-US" w:eastAsia="zh-CN"/>
        </w:rPr>
        <w:t>（2）申请常山县仲裁委员会仲裁。</w:t>
      </w:r>
    </w:p>
    <w:p w14:paraId="63FB1D5F">
      <w:pPr>
        <w:keepNext w:val="0"/>
        <w:keepLines w:val="0"/>
        <w:pageBreakBefore w:val="0"/>
        <w:kinsoku/>
        <w:wordWrap/>
        <w:topLinePunct w:val="0"/>
        <w:bidi w:val="0"/>
        <w:spacing w:line="300" w:lineRule="auto"/>
        <w:ind w:firstLine="480" w:firstLineChars="200"/>
        <w:textAlignment w:val="auto"/>
        <w:rPr>
          <w:rFonts w:hint="eastAsia" w:ascii="宋体" w:hAnsi="宋体" w:cs="仿宋_GB2312"/>
          <w:color w:val="auto"/>
          <w:sz w:val="24"/>
          <w:highlight w:val="none"/>
          <w:lang w:val="en-US" w:eastAsia="zh-CN"/>
        </w:rPr>
      </w:pPr>
      <w:r>
        <w:rPr>
          <w:rFonts w:hint="eastAsia" w:ascii="宋体" w:hAnsi="宋体" w:cs="仿宋_GB2312"/>
          <w:color w:val="auto"/>
          <w:sz w:val="24"/>
          <w:highlight w:val="none"/>
          <w:lang w:val="en-US" w:eastAsia="zh-CN"/>
        </w:rPr>
        <w:t>（3）向常山县人民法院起诉。</w:t>
      </w:r>
    </w:p>
    <w:p w14:paraId="36B61D5C">
      <w:pPr>
        <w:keepNext w:val="0"/>
        <w:keepLines w:val="0"/>
        <w:pageBreakBefore w:val="0"/>
        <w:kinsoku/>
        <w:wordWrap/>
        <w:topLinePunct w:val="0"/>
        <w:bidi w:val="0"/>
        <w:spacing w:line="300" w:lineRule="auto"/>
        <w:ind w:firstLine="480" w:firstLineChars="200"/>
        <w:textAlignment w:val="auto"/>
        <w:rPr>
          <w:rFonts w:hint="eastAsia" w:ascii="宋体" w:hAnsi="宋体" w:cs="仿宋_GB2312"/>
          <w:color w:val="auto"/>
          <w:sz w:val="24"/>
          <w:highlight w:val="none"/>
          <w:lang w:val="en-US" w:eastAsia="zh-CN"/>
        </w:rPr>
      </w:pPr>
      <w:r>
        <w:rPr>
          <w:rFonts w:hint="eastAsia" w:ascii="宋体" w:hAnsi="宋体" w:cs="仿宋_GB2312"/>
          <w:color w:val="auto"/>
          <w:sz w:val="24"/>
          <w:highlight w:val="none"/>
          <w:lang w:val="en-US" w:eastAsia="zh-CN"/>
        </w:rPr>
        <w:t>本合同自甲乙双方签字盖章之日起生效。</w:t>
      </w:r>
    </w:p>
    <w:p w14:paraId="43A6B18E">
      <w:pPr>
        <w:keepNext w:val="0"/>
        <w:keepLines w:val="0"/>
        <w:pageBreakBefore w:val="0"/>
        <w:kinsoku/>
        <w:wordWrap/>
        <w:topLinePunct w:val="0"/>
        <w:bidi w:val="0"/>
        <w:spacing w:line="300" w:lineRule="auto"/>
        <w:ind w:firstLine="480" w:firstLineChars="200"/>
        <w:textAlignment w:val="auto"/>
        <w:rPr>
          <w:rFonts w:hAnsi="宋体"/>
          <w:color w:val="auto"/>
        </w:rPr>
      </w:pPr>
      <w:r>
        <w:rPr>
          <w:rFonts w:hint="eastAsia" w:ascii="宋体" w:hAnsi="宋体" w:cs="仿宋_GB2312"/>
          <w:color w:val="auto"/>
          <w:sz w:val="24"/>
          <w:highlight w:val="none"/>
          <w:lang w:val="en-US" w:eastAsia="zh-CN"/>
        </w:rPr>
        <w:t>本合同正本一式五份，具有同等法律效力，甲乙双方各执二份；代理机构一份。</w:t>
      </w:r>
    </w:p>
    <w:p w14:paraId="5646B71F">
      <w:pPr>
        <w:keepNext w:val="0"/>
        <w:keepLines w:val="0"/>
        <w:pageBreakBefore w:val="0"/>
        <w:kinsoku/>
        <w:wordWrap/>
        <w:topLinePunct w:val="0"/>
        <w:bidi w:val="0"/>
        <w:spacing w:line="300" w:lineRule="auto"/>
        <w:ind w:firstLine="480" w:firstLineChars="200"/>
        <w:textAlignment w:val="auto"/>
        <w:rPr>
          <w:rFonts w:hint="eastAsia" w:ascii="宋体" w:hAnsi="宋体" w:eastAsia="宋体" w:cs="仿宋_GB2312"/>
          <w:color w:val="auto"/>
          <w:sz w:val="24"/>
          <w:highlight w:val="none"/>
          <w:lang w:val="en-US" w:eastAsia="zh-CN"/>
        </w:rPr>
      </w:pPr>
    </w:p>
    <w:p w14:paraId="0798D354">
      <w:pPr>
        <w:keepNext w:val="0"/>
        <w:keepLines w:val="0"/>
        <w:pageBreakBefore w:val="0"/>
        <w:kinsoku/>
        <w:wordWrap/>
        <w:topLinePunct w:val="0"/>
        <w:bidi w:val="0"/>
        <w:spacing w:line="300" w:lineRule="auto"/>
        <w:ind w:firstLine="480" w:firstLineChars="200"/>
        <w:textAlignment w:val="auto"/>
        <w:rPr>
          <w:rFonts w:hint="eastAsia"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 xml:space="preserve">甲方（盖章）：                         乙方（盖章）： </w:t>
      </w:r>
    </w:p>
    <w:p w14:paraId="5468566A">
      <w:pPr>
        <w:keepNext w:val="0"/>
        <w:keepLines w:val="0"/>
        <w:pageBreakBefore w:val="0"/>
        <w:kinsoku/>
        <w:wordWrap/>
        <w:topLinePunct w:val="0"/>
        <w:bidi w:val="0"/>
        <w:spacing w:line="300" w:lineRule="auto"/>
        <w:ind w:firstLine="480" w:firstLineChars="200"/>
        <w:textAlignment w:val="auto"/>
        <w:rPr>
          <w:rFonts w:hint="eastAsia"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法定代表人                            法定代表人</w:t>
      </w:r>
    </w:p>
    <w:p w14:paraId="303C7CAE">
      <w:pPr>
        <w:keepNext w:val="0"/>
        <w:keepLines w:val="0"/>
        <w:pageBreakBefore w:val="0"/>
        <w:kinsoku/>
        <w:wordWrap/>
        <w:topLinePunct w:val="0"/>
        <w:bidi w:val="0"/>
        <w:spacing w:line="300" w:lineRule="auto"/>
        <w:ind w:firstLine="480" w:firstLineChars="200"/>
        <w:textAlignment w:val="auto"/>
        <w:rPr>
          <w:rFonts w:hint="eastAsia"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或受委托人（签字）：                   或受委托人（签字）：</w:t>
      </w:r>
    </w:p>
    <w:p w14:paraId="60B92750">
      <w:pPr>
        <w:keepNext w:val="0"/>
        <w:keepLines w:val="0"/>
        <w:pageBreakBefore w:val="0"/>
        <w:kinsoku/>
        <w:wordWrap/>
        <w:topLinePunct w:val="0"/>
        <w:bidi w:val="0"/>
        <w:spacing w:line="300" w:lineRule="auto"/>
        <w:ind w:firstLine="480" w:firstLineChars="200"/>
        <w:textAlignment w:val="auto"/>
        <w:rPr>
          <w:rFonts w:hint="eastAsia"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联系人：                               联系人：</w:t>
      </w:r>
    </w:p>
    <w:p w14:paraId="5FA51935">
      <w:pPr>
        <w:keepNext w:val="0"/>
        <w:keepLines w:val="0"/>
        <w:pageBreakBefore w:val="0"/>
        <w:kinsoku/>
        <w:wordWrap/>
        <w:topLinePunct w:val="0"/>
        <w:bidi w:val="0"/>
        <w:spacing w:line="300" w:lineRule="auto"/>
        <w:ind w:firstLine="480" w:firstLineChars="200"/>
        <w:textAlignment w:val="auto"/>
        <w:rPr>
          <w:rFonts w:hint="eastAsia"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地址：                                 地址：</w:t>
      </w:r>
    </w:p>
    <w:p w14:paraId="0A640B20">
      <w:pPr>
        <w:keepNext w:val="0"/>
        <w:keepLines w:val="0"/>
        <w:pageBreakBefore w:val="0"/>
        <w:kinsoku/>
        <w:wordWrap/>
        <w:topLinePunct w:val="0"/>
        <w:bidi w:val="0"/>
        <w:spacing w:line="300" w:lineRule="auto"/>
        <w:ind w:firstLine="480" w:firstLineChars="200"/>
        <w:textAlignment w:val="auto"/>
        <w:rPr>
          <w:rFonts w:hint="eastAsia"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电话：                                 电话：</w:t>
      </w:r>
    </w:p>
    <w:p w14:paraId="486BE67A">
      <w:pPr>
        <w:keepNext w:val="0"/>
        <w:keepLines w:val="0"/>
        <w:pageBreakBefore w:val="0"/>
        <w:kinsoku/>
        <w:wordWrap/>
        <w:topLinePunct w:val="0"/>
        <w:bidi w:val="0"/>
        <w:spacing w:line="300" w:lineRule="auto"/>
        <w:ind w:firstLine="480" w:firstLineChars="200"/>
        <w:textAlignment w:val="auto"/>
        <w:rPr>
          <w:rFonts w:hint="eastAsia"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传真：                                 传真：</w:t>
      </w:r>
    </w:p>
    <w:p w14:paraId="38FD03B5">
      <w:pPr>
        <w:keepNext w:val="0"/>
        <w:keepLines w:val="0"/>
        <w:pageBreakBefore w:val="0"/>
        <w:kinsoku/>
        <w:wordWrap/>
        <w:topLinePunct w:val="0"/>
        <w:bidi w:val="0"/>
        <w:spacing w:line="300" w:lineRule="auto"/>
        <w:ind w:firstLine="480" w:firstLineChars="200"/>
        <w:textAlignment w:val="auto"/>
        <w:rPr>
          <w:rFonts w:hint="eastAsia"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开户银行：                             开户银行：</w:t>
      </w:r>
    </w:p>
    <w:p w14:paraId="2526CF38">
      <w:pPr>
        <w:keepNext w:val="0"/>
        <w:keepLines w:val="0"/>
        <w:pageBreakBefore w:val="0"/>
        <w:kinsoku/>
        <w:wordWrap/>
        <w:topLinePunct w:val="0"/>
        <w:bidi w:val="0"/>
        <w:spacing w:line="300" w:lineRule="auto"/>
        <w:ind w:firstLine="480" w:firstLineChars="200"/>
        <w:textAlignment w:val="auto"/>
        <w:rPr>
          <w:rFonts w:hint="eastAsia"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帐号：                                 帐号：</w:t>
      </w:r>
    </w:p>
    <w:p w14:paraId="72DFA8DF">
      <w:pPr>
        <w:keepNext w:val="0"/>
        <w:keepLines w:val="0"/>
        <w:pageBreakBefore w:val="0"/>
        <w:kinsoku/>
        <w:wordWrap/>
        <w:topLinePunct w:val="0"/>
        <w:bidi w:val="0"/>
        <w:spacing w:line="300" w:lineRule="auto"/>
        <w:ind w:firstLine="480" w:firstLineChars="200"/>
        <w:textAlignment w:val="auto"/>
        <w:rPr>
          <w:rFonts w:hint="eastAsia"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签订时间：                             签订时间：</w:t>
      </w:r>
    </w:p>
    <w:p w14:paraId="6CE2E2BA">
      <w:pPr>
        <w:keepNext w:val="0"/>
        <w:keepLines w:val="0"/>
        <w:pageBreakBefore w:val="0"/>
        <w:kinsoku/>
        <w:wordWrap/>
        <w:topLinePunct w:val="0"/>
        <w:bidi w:val="0"/>
        <w:spacing w:line="300" w:lineRule="auto"/>
        <w:ind w:firstLine="480" w:firstLineChars="200"/>
        <w:textAlignment w:val="auto"/>
        <w:rPr>
          <w:rFonts w:hint="eastAsia" w:ascii="宋体" w:hAnsi="宋体" w:eastAsia="宋体" w:cs="仿宋_GB2312"/>
          <w:color w:val="auto"/>
          <w:sz w:val="24"/>
          <w:highlight w:val="none"/>
          <w:lang w:val="en-US" w:eastAsia="zh-CN"/>
        </w:rPr>
      </w:pPr>
    </w:p>
    <w:p w14:paraId="6AFCA878">
      <w:pPr>
        <w:spacing w:line="480" w:lineRule="exact"/>
        <w:jc w:val="left"/>
        <w:rPr>
          <w:rFonts w:hint="eastAsia" w:ascii="宋体" w:hAnsi="宋体" w:cs="宋体"/>
          <w:b/>
          <w:bCs/>
          <w:sz w:val="24"/>
          <w:szCs w:val="24"/>
        </w:rPr>
      </w:pPr>
      <w:r>
        <w:rPr>
          <w:rFonts w:hint="eastAsia" w:ascii="宋体" w:hAnsi="宋体" w:cs="宋体"/>
          <w:b/>
          <w:bCs/>
          <w:sz w:val="24"/>
          <w:szCs w:val="24"/>
        </w:rPr>
        <w:t>注：本合同仅作示范文本，具体以双方签订的正式合同为准，合同内容不得违背本采购</w:t>
      </w:r>
    </w:p>
    <w:p w14:paraId="460BF2B6">
      <w:pPr>
        <w:pStyle w:val="50"/>
        <w:rPr>
          <w:rFonts w:hint="eastAsia" w:ascii="宋体" w:hAnsi="宋体" w:eastAsia="宋体" w:cs="宋体"/>
          <w:b/>
          <w:bCs/>
          <w:kern w:val="2"/>
          <w:sz w:val="24"/>
          <w:szCs w:val="24"/>
          <w:lang w:val="en-US" w:eastAsia="zh-CN" w:bidi="ar-SA"/>
        </w:rPr>
        <w:sectPr>
          <w:footerReference r:id="rId12" w:type="default"/>
          <w:pgSz w:w="11906" w:h="16838"/>
          <w:pgMar w:top="1440" w:right="1080" w:bottom="1440" w:left="1080" w:header="851" w:footer="992" w:gutter="0"/>
          <w:pgNumType w:fmt="numberInDash"/>
          <w:cols w:space="720" w:num="1"/>
          <w:docGrid w:type="lines" w:linePitch="312" w:charSpace="0"/>
        </w:sectPr>
      </w:pPr>
      <w:r>
        <w:rPr>
          <w:rFonts w:hint="eastAsia" w:ascii="宋体" w:hAnsi="宋体" w:eastAsia="宋体" w:cs="宋体"/>
          <w:b/>
          <w:bCs/>
          <w:kern w:val="2"/>
          <w:sz w:val="24"/>
          <w:szCs w:val="24"/>
          <w:lang w:val="en-US" w:eastAsia="zh-CN" w:bidi="ar-SA"/>
        </w:rPr>
        <w:t>文件实质性要求。</w:t>
      </w:r>
    </w:p>
    <w:p w14:paraId="2CB79E06">
      <w:pPr>
        <w:pStyle w:val="50"/>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附件1</w:t>
      </w:r>
    </w:p>
    <w:p w14:paraId="5F893A77">
      <w:pPr>
        <w:numPr>
          <w:ilvl w:val="0"/>
          <w:numId w:val="0"/>
        </w:numPr>
        <w:tabs>
          <w:tab w:val="left" w:pos="9135"/>
        </w:tabs>
        <w:spacing w:line="440" w:lineRule="exact"/>
        <w:ind w:left="360" w:leftChars="0" w:hanging="360" w:firstLineChars="0"/>
        <w:jc w:val="center"/>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抽样、检验、结果报告及质量要求</w:t>
      </w:r>
    </w:p>
    <w:p w14:paraId="118B5CCD">
      <w:pPr>
        <w:numPr>
          <w:ilvl w:val="0"/>
          <w:numId w:val="0"/>
        </w:numPr>
        <w:tabs>
          <w:tab w:val="left" w:pos="9135"/>
        </w:tabs>
        <w:spacing w:line="440" w:lineRule="exact"/>
        <w:ind w:left="360" w:leftChars="0" w:hanging="360" w:firstLineChars="0"/>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 xml:space="preserve">1、抽样 </w:t>
      </w:r>
    </w:p>
    <w:p w14:paraId="2A8D6844">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(1)抽检时间：每次的抽检具体时间由</w:t>
      </w:r>
      <w:r>
        <w:rPr>
          <w:rFonts w:hint="eastAsia" w:ascii="宋体" w:hAnsi="宋体" w:cs="宋体"/>
          <w:color w:val="000000"/>
          <w:kern w:val="2"/>
          <w:sz w:val="24"/>
          <w:szCs w:val="24"/>
          <w:highlight w:val="none"/>
          <w:lang w:val="en-US" w:eastAsia="zh-CN" w:bidi="ar-SA"/>
        </w:rPr>
        <w:t>甲方</w:t>
      </w:r>
      <w:r>
        <w:rPr>
          <w:rFonts w:hint="eastAsia" w:ascii="宋体" w:hAnsi="宋体" w:eastAsia="宋体" w:cs="宋体"/>
          <w:color w:val="000000"/>
          <w:kern w:val="2"/>
          <w:sz w:val="24"/>
          <w:szCs w:val="24"/>
          <w:highlight w:val="none"/>
          <w:lang w:val="en-US" w:eastAsia="zh-CN" w:bidi="ar-SA"/>
        </w:rPr>
        <w:t>根据计划任务安排确定并选择委托，</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应在接到</w:t>
      </w:r>
      <w:r>
        <w:rPr>
          <w:rFonts w:hint="eastAsia" w:ascii="宋体" w:hAnsi="宋体" w:cs="宋体"/>
          <w:color w:val="000000"/>
          <w:kern w:val="2"/>
          <w:sz w:val="24"/>
          <w:szCs w:val="24"/>
          <w:highlight w:val="none"/>
          <w:lang w:val="en-US" w:eastAsia="zh-CN" w:bidi="ar-SA"/>
        </w:rPr>
        <w:t>甲方</w:t>
      </w:r>
      <w:r>
        <w:rPr>
          <w:rFonts w:hint="eastAsia" w:ascii="宋体" w:hAnsi="宋体" w:eastAsia="宋体" w:cs="宋体"/>
          <w:color w:val="000000"/>
          <w:kern w:val="2"/>
          <w:sz w:val="24"/>
          <w:szCs w:val="24"/>
          <w:highlight w:val="none"/>
          <w:lang w:val="en-US" w:eastAsia="zh-CN" w:bidi="ar-SA"/>
        </w:rPr>
        <w:t>检测通知后2天内，组织安排好相关人员及车辆，负责抽样。在同等条件下，</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应当优先安排</w:t>
      </w:r>
      <w:r>
        <w:rPr>
          <w:rFonts w:hint="eastAsia" w:ascii="宋体" w:hAnsi="宋体" w:cs="宋体"/>
          <w:color w:val="000000"/>
          <w:kern w:val="2"/>
          <w:sz w:val="24"/>
          <w:szCs w:val="24"/>
          <w:highlight w:val="none"/>
          <w:lang w:val="en-US" w:eastAsia="zh-CN" w:bidi="ar-SA"/>
        </w:rPr>
        <w:t>甲方</w:t>
      </w:r>
      <w:r>
        <w:rPr>
          <w:rFonts w:hint="eastAsia" w:ascii="宋体" w:hAnsi="宋体" w:eastAsia="宋体" w:cs="宋体"/>
          <w:color w:val="000000"/>
          <w:kern w:val="2"/>
          <w:sz w:val="24"/>
          <w:szCs w:val="24"/>
          <w:highlight w:val="none"/>
          <w:lang w:val="en-US" w:eastAsia="zh-CN" w:bidi="ar-SA"/>
        </w:rPr>
        <w:t>的任务，准备好每次检验所需的交通工具并承担费用，保证抽检任务顺利完成。</w:t>
      </w:r>
    </w:p>
    <w:p w14:paraId="08624407">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(2)抽样地点：常山县范围内，每次任务根据实际工作要求由</w:t>
      </w:r>
      <w:r>
        <w:rPr>
          <w:rFonts w:hint="eastAsia" w:ascii="宋体" w:hAnsi="宋体" w:cs="宋体"/>
          <w:color w:val="000000"/>
          <w:kern w:val="2"/>
          <w:sz w:val="24"/>
          <w:szCs w:val="24"/>
          <w:highlight w:val="none"/>
          <w:lang w:val="en-US" w:eastAsia="zh-CN" w:bidi="ar-SA"/>
        </w:rPr>
        <w:t>甲方</w:t>
      </w:r>
      <w:r>
        <w:rPr>
          <w:rFonts w:hint="eastAsia" w:ascii="宋体" w:hAnsi="宋体" w:eastAsia="宋体" w:cs="宋体"/>
          <w:color w:val="000000"/>
          <w:kern w:val="2"/>
          <w:sz w:val="24"/>
          <w:szCs w:val="24"/>
          <w:highlight w:val="none"/>
          <w:lang w:val="en-US" w:eastAsia="zh-CN" w:bidi="ar-SA"/>
        </w:rPr>
        <w:t>进行分配。</w:t>
      </w:r>
    </w:p>
    <w:p w14:paraId="13EE2B9D">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(3)抽样时</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抽样人员不得少于2人，并负责填写抽检文书，提取检品、封样储运等工作。</w:t>
      </w:r>
    </w:p>
    <w:p w14:paraId="545CCE3F">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(4)样品采集完成后应快速送检，并按样品相关要求保存。</w:t>
      </w:r>
    </w:p>
    <w:p w14:paraId="7CFDC5F2">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(5)抽样人员：</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须安排抽样人员进行培训并持证上岗，抽样人员在执行抽样任务时应当出示监督抽检通知书、委托书等文件及有效身份证明文件。</w:t>
      </w:r>
    </w:p>
    <w:p w14:paraId="1C60A70E">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(6)抽检对象：监督抽查的样品应当由抽样人员在市场上待销的产品中随机抽取，抽取的样品应当是有产品质量检验合格证明或者以其他形式表明合格的产品。</w:t>
      </w:r>
    </w:p>
    <w:p w14:paraId="10669D84">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(7)抽样办法：抽样人员应当核对被抽样经营者的营业执照、许可证等资质证明文件。抽样人员应按照相关安全法律法规规定的采样方法抽取样品，抽样数量原则上应当满足检验和复检的要求。</w:t>
      </w:r>
    </w:p>
    <w:p w14:paraId="7E531B03">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w:t>
      </w:r>
      <w:r>
        <w:rPr>
          <w:rFonts w:hint="eastAsia" w:ascii="宋体" w:hAnsi="宋体" w:cs="宋体"/>
          <w:color w:val="000000"/>
          <w:kern w:val="2"/>
          <w:sz w:val="24"/>
          <w:szCs w:val="24"/>
          <w:highlight w:val="none"/>
          <w:lang w:val="en-US" w:eastAsia="zh-CN" w:bidi="ar-SA"/>
        </w:rPr>
        <w:t>8</w:t>
      </w:r>
      <w:r>
        <w:rPr>
          <w:rFonts w:hint="eastAsia" w:ascii="宋体" w:hAnsi="宋体" w:eastAsia="宋体" w:cs="宋体"/>
          <w:color w:val="000000"/>
          <w:kern w:val="2"/>
          <w:sz w:val="24"/>
          <w:szCs w:val="24"/>
          <w:highlight w:val="none"/>
          <w:lang w:val="en-US" w:eastAsia="zh-CN" w:bidi="ar-SA"/>
        </w:rPr>
        <w:t>)确认样品：样品须按照法律法规和相关国家安全标准、行业标准、地方标准的规定，分为检验样品和复检备份样品。抽样人员应当采取有效的防拆封措施，对复检备份样品单独封样由抽样人员、被抽检人或其依法指定的代表签字或者盖章确认、加贴封条，当场将检验样品和复检备份样品一起提取，不得留置于被抽检人处或交由被抽检人运送、保管。</w:t>
      </w:r>
    </w:p>
    <w:p w14:paraId="498432BC">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w:t>
      </w:r>
      <w:r>
        <w:rPr>
          <w:rFonts w:hint="eastAsia" w:ascii="宋体" w:hAnsi="宋体" w:cs="宋体"/>
          <w:color w:val="000000"/>
          <w:kern w:val="2"/>
          <w:sz w:val="24"/>
          <w:szCs w:val="24"/>
          <w:highlight w:val="none"/>
          <w:lang w:val="en-US" w:eastAsia="zh-CN" w:bidi="ar-SA"/>
        </w:rPr>
        <w:t>9</w:t>
      </w:r>
      <w:r>
        <w:rPr>
          <w:rFonts w:hint="eastAsia" w:ascii="宋体" w:hAnsi="宋体" w:eastAsia="宋体" w:cs="宋体"/>
          <w:color w:val="000000"/>
          <w:kern w:val="2"/>
          <w:sz w:val="24"/>
          <w:szCs w:val="24"/>
          <w:highlight w:val="none"/>
          <w:lang w:val="en-US" w:eastAsia="zh-CN" w:bidi="ar-SA"/>
        </w:rPr>
        <w:t>)文书记录：抽样人员应当使用规范的抽样文书，准确、详细、客观地记录抽样信息，认真填写《抽样单》，须与被抽检人或其依法指定的代表在《抽样单》上签名（盖章），应尽量通过拍照、录像、留存购物票据等方式保存抽样信息。</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对抽样过程及《抽样单》记录内容的合法性、真实性负责，《抽样单》等抽样记录材料保存期限不得少于2年。</w:t>
      </w:r>
    </w:p>
    <w:p w14:paraId="506E9A45">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 xml:space="preserve"> (</w:t>
      </w:r>
      <w:r>
        <w:rPr>
          <w:rFonts w:hint="eastAsia" w:ascii="宋体" w:hAnsi="宋体" w:cs="宋体"/>
          <w:color w:val="000000"/>
          <w:kern w:val="2"/>
          <w:sz w:val="24"/>
          <w:szCs w:val="24"/>
          <w:highlight w:val="none"/>
          <w:lang w:val="en-US" w:eastAsia="zh-CN" w:bidi="ar-SA"/>
        </w:rPr>
        <w:t>10</w:t>
      </w:r>
      <w:r>
        <w:rPr>
          <w:rFonts w:hint="eastAsia" w:ascii="宋体" w:hAnsi="宋体" w:eastAsia="宋体" w:cs="宋体"/>
          <w:color w:val="000000"/>
          <w:kern w:val="2"/>
          <w:sz w:val="24"/>
          <w:szCs w:val="24"/>
          <w:highlight w:val="none"/>
          <w:lang w:val="en-US" w:eastAsia="zh-CN" w:bidi="ar-SA"/>
        </w:rPr>
        <w:t>)样品运输：由</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负责，</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须配备每次抽检所需的运输工具，须依照法律法规和相关安全标准规定及商品标签要求的方式、条件运输，采取相应措施，确保样品安全，不发生影响检验结论的变化。</w:t>
      </w:r>
    </w:p>
    <w:p w14:paraId="321DFBA6">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 xml:space="preserve"> (1</w:t>
      </w:r>
      <w:r>
        <w:rPr>
          <w:rFonts w:hint="eastAsia" w:ascii="宋体" w:hAnsi="宋体" w:cs="宋体"/>
          <w:color w:val="000000"/>
          <w:kern w:val="2"/>
          <w:sz w:val="24"/>
          <w:szCs w:val="24"/>
          <w:highlight w:val="none"/>
          <w:lang w:val="en-US" w:eastAsia="zh-CN" w:bidi="ar-SA"/>
        </w:rPr>
        <w:t>1</w:t>
      </w:r>
      <w:r>
        <w:rPr>
          <w:rFonts w:hint="eastAsia" w:ascii="宋体" w:hAnsi="宋体" w:eastAsia="宋体" w:cs="宋体"/>
          <w:color w:val="000000"/>
          <w:kern w:val="2"/>
          <w:sz w:val="24"/>
          <w:szCs w:val="24"/>
          <w:highlight w:val="none"/>
          <w:lang w:val="en-US" w:eastAsia="zh-CN" w:bidi="ar-SA"/>
        </w:rPr>
        <w:t>)样品保管：由</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负责，接收商品质量监督抽检的样品时，应当查验、记录样品的外观、状态、封条有无破损以及其他可能对对检验结果或者综合判定产生影响的情况，并确认样品与抽样文书的记录相符，对检验样品和复检备份样品分别加贴相应标识后，依照法律法规和相关安全标准规定及商品标签要求的方式、条件保存，确保样品不遗失、不调换、不损坏，并按照法律法规要求进行销毁等处理。检验发现样品抽取不规范或有其他问题的，应及时向</w:t>
      </w:r>
      <w:r>
        <w:rPr>
          <w:rFonts w:hint="eastAsia" w:ascii="宋体" w:hAnsi="宋体" w:cs="宋体"/>
          <w:color w:val="000000"/>
          <w:kern w:val="2"/>
          <w:sz w:val="24"/>
          <w:szCs w:val="24"/>
          <w:highlight w:val="none"/>
          <w:lang w:val="en-US" w:eastAsia="zh-CN" w:bidi="ar-SA"/>
        </w:rPr>
        <w:t>甲方</w:t>
      </w:r>
      <w:r>
        <w:rPr>
          <w:rFonts w:hint="eastAsia" w:ascii="宋体" w:hAnsi="宋体" w:eastAsia="宋体" w:cs="宋体"/>
          <w:color w:val="000000"/>
          <w:kern w:val="2"/>
          <w:sz w:val="24"/>
          <w:szCs w:val="24"/>
          <w:highlight w:val="none"/>
          <w:lang w:val="en-US" w:eastAsia="zh-CN" w:bidi="ar-SA"/>
        </w:rPr>
        <w:t>报告，按</w:t>
      </w:r>
      <w:r>
        <w:rPr>
          <w:rFonts w:hint="eastAsia" w:ascii="宋体" w:hAnsi="宋体" w:cs="宋体"/>
          <w:color w:val="000000"/>
          <w:kern w:val="2"/>
          <w:sz w:val="24"/>
          <w:szCs w:val="24"/>
          <w:highlight w:val="none"/>
          <w:lang w:val="en-US" w:eastAsia="zh-CN" w:bidi="ar-SA"/>
        </w:rPr>
        <w:t>甲方</w:t>
      </w:r>
      <w:r>
        <w:rPr>
          <w:rFonts w:hint="eastAsia" w:ascii="宋体" w:hAnsi="宋体" w:eastAsia="宋体" w:cs="宋体"/>
          <w:color w:val="000000"/>
          <w:kern w:val="2"/>
          <w:sz w:val="24"/>
          <w:szCs w:val="24"/>
          <w:highlight w:val="none"/>
          <w:lang w:val="en-US" w:eastAsia="zh-CN" w:bidi="ar-SA"/>
        </w:rPr>
        <w:t>的意见处置。</w:t>
      </w:r>
    </w:p>
    <w:p w14:paraId="02B2C195">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w:t>
      </w:r>
      <w:r>
        <w:rPr>
          <w:rFonts w:hint="eastAsia" w:ascii="宋体" w:hAnsi="宋体" w:cs="宋体"/>
          <w:color w:val="000000"/>
          <w:kern w:val="2"/>
          <w:sz w:val="24"/>
          <w:szCs w:val="24"/>
          <w:highlight w:val="none"/>
          <w:lang w:val="en-US" w:eastAsia="zh-CN" w:bidi="ar-SA"/>
        </w:rPr>
        <w:t>2</w:t>
      </w:r>
      <w:r>
        <w:rPr>
          <w:rFonts w:hint="eastAsia" w:ascii="宋体" w:hAnsi="宋体" w:eastAsia="宋体" w:cs="宋体"/>
          <w:color w:val="000000"/>
          <w:kern w:val="2"/>
          <w:sz w:val="24"/>
          <w:szCs w:val="24"/>
          <w:highlight w:val="none"/>
          <w:lang w:val="en-US" w:eastAsia="zh-CN" w:bidi="ar-SA"/>
        </w:rPr>
        <w:t>)</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应及时报告产品质量监督抽查情况，并汇总于抽样月份的25日将汇总表报送</w:t>
      </w:r>
      <w:r>
        <w:rPr>
          <w:rFonts w:hint="eastAsia" w:ascii="宋体" w:hAnsi="宋体" w:cs="宋体"/>
          <w:color w:val="000000"/>
          <w:kern w:val="2"/>
          <w:sz w:val="24"/>
          <w:szCs w:val="24"/>
          <w:highlight w:val="none"/>
          <w:lang w:val="en-US" w:eastAsia="zh-CN" w:bidi="ar-SA"/>
        </w:rPr>
        <w:t>甲方</w:t>
      </w:r>
      <w:r>
        <w:rPr>
          <w:rFonts w:hint="eastAsia" w:ascii="宋体" w:hAnsi="宋体" w:eastAsia="宋体" w:cs="宋体"/>
          <w:color w:val="000000"/>
          <w:kern w:val="2"/>
          <w:sz w:val="24"/>
          <w:szCs w:val="24"/>
          <w:highlight w:val="none"/>
          <w:lang w:val="en-US" w:eastAsia="zh-CN" w:bidi="ar-SA"/>
        </w:rPr>
        <w:t>，计划内无法抽到样品的，要说明原因。</w:t>
      </w:r>
    </w:p>
    <w:p w14:paraId="15C1FC4A">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w:t>
      </w:r>
      <w:r>
        <w:rPr>
          <w:rFonts w:hint="eastAsia" w:ascii="宋体" w:hAnsi="宋体" w:cs="宋体"/>
          <w:color w:val="000000"/>
          <w:kern w:val="2"/>
          <w:sz w:val="24"/>
          <w:szCs w:val="24"/>
          <w:highlight w:val="none"/>
          <w:lang w:val="en-US" w:eastAsia="zh-CN" w:bidi="ar-SA"/>
        </w:rPr>
        <w:t>3</w:t>
      </w:r>
      <w:r>
        <w:rPr>
          <w:rFonts w:hint="eastAsia" w:ascii="宋体" w:hAnsi="宋体" w:eastAsia="宋体" w:cs="宋体"/>
          <w:color w:val="000000"/>
          <w:kern w:val="2"/>
          <w:sz w:val="24"/>
          <w:szCs w:val="24"/>
          <w:highlight w:val="none"/>
          <w:lang w:val="en-US" w:eastAsia="zh-CN" w:bidi="ar-SA"/>
        </w:rPr>
        <w:t>)</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要建立监督抽查样品的管理规范，应有样品登记、编号等流转记录，配备必要的设备设施，在规定条件下保存备样，确保备样的有效性。对检验结论为不合格的产品，其备样应保留至被抽查单位不合格后处理工作结束后方可处置。</w:t>
      </w:r>
    </w:p>
    <w:p w14:paraId="255FD9DB">
      <w:pPr>
        <w:numPr>
          <w:ilvl w:val="0"/>
          <w:numId w:val="0"/>
        </w:numPr>
        <w:tabs>
          <w:tab w:val="left" w:pos="9135"/>
        </w:tabs>
        <w:spacing w:line="440" w:lineRule="exact"/>
        <w:ind w:left="360" w:leftChars="0" w:hanging="360" w:firstLineChars="0"/>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2、 检验及结果报告</w:t>
      </w:r>
    </w:p>
    <w:p w14:paraId="53A9328A">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（1）检验实验室：所有样品必须在响应文件中明确的承担本项目检测的实验室中进行检测。</w:t>
      </w:r>
    </w:p>
    <w:p w14:paraId="45D2347B">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（2）检验依据：依照法律法规和相关国家安全标准、行业标准、地方标准、备案有效的企业标准。</w:t>
      </w:r>
    </w:p>
    <w:p w14:paraId="0626AA02">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（3）检验方法：</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应当对检验工作负责，须按照法律法规、国家安全标准、行业标准、地方标准、备案有效的企业标准和检验技术要求开展检验工作，如实、准确、完整、及时地填写检验原始记录，保证检验工作的科学、独立、客观和规范。为处理案件稽查、事故调查、应急处置等工作需要，经</w:t>
      </w:r>
      <w:r>
        <w:rPr>
          <w:rFonts w:hint="eastAsia" w:ascii="宋体" w:hAnsi="宋体" w:cs="宋体"/>
          <w:color w:val="000000"/>
          <w:kern w:val="2"/>
          <w:sz w:val="24"/>
          <w:szCs w:val="24"/>
          <w:highlight w:val="none"/>
          <w:lang w:val="en-US" w:eastAsia="zh-CN" w:bidi="ar-SA"/>
        </w:rPr>
        <w:t>甲方</w:t>
      </w:r>
      <w:r>
        <w:rPr>
          <w:rFonts w:hint="eastAsia" w:ascii="宋体" w:hAnsi="宋体" w:eastAsia="宋体" w:cs="宋体"/>
          <w:color w:val="000000"/>
          <w:kern w:val="2"/>
          <w:sz w:val="24"/>
          <w:szCs w:val="24"/>
          <w:highlight w:val="none"/>
          <w:lang w:val="en-US" w:eastAsia="zh-CN" w:bidi="ar-SA"/>
        </w:rPr>
        <w:t>同意，可以采用非安全标准等规定的检验方法，分析查找安全问题的原因。</w:t>
      </w:r>
    </w:p>
    <w:p w14:paraId="32D56E48">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 xml:space="preserve"> （4）结果判定：</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应根据国家相关标准进行判定检测项目是否合格并出具检查结果，同时</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要对检测结果进行综合评价和原因分析，并作出消费提示，另外还应及时提交检测数据明细。</w:t>
      </w:r>
    </w:p>
    <w:p w14:paraId="0D5EFE77">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（5）出具结果：</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须在收到样品之日起20个工作日内出具检测报告，出具的检验报告应具有相关执法效力。在出具检测报告之日起五个工作日内，并将相关抽样单、检验报告抽查和检验情况汇总表等资料严格按照《浙江省产品质量监督抽查工作实施办法（试行）》要求进行寄送和报送。</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负责核查销售者、生产者和标称生产者的检验结果送达情况，并汇总《企业检验结果送达表》报送</w:t>
      </w:r>
      <w:r>
        <w:rPr>
          <w:rFonts w:hint="eastAsia" w:ascii="宋体" w:hAnsi="宋体" w:cs="宋体"/>
          <w:color w:val="000000"/>
          <w:kern w:val="2"/>
          <w:sz w:val="24"/>
          <w:szCs w:val="24"/>
          <w:highlight w:val="none"/>
          <w:lang w:val="en-US" w:eastAsia="zh-CN" w:bidi="ar-SA"/>
        </w:rPr>
        <w:t>甲方</w:t>
      </w:r>
      <w:r>
        <w:rPr>
          <w:rFonts w:hint="eastAsia" w:ascii="宋体" w:hAnsi="宋体" w:eastAsia="宋体" w:cs="宋体"/>
          <w:color w:val="000000"/>
          <w:kern w:val="2"/>
          <w:sz w:val="24"/>
          <w:szCs w:val="24"/>
          <w:highlight w:val="none"/>
          <w:lang w:val="en-US" w:eastAsia="zh-CN" w:bidi="ar-SA"/>
        </w:rPr>
        <w:t>。</w:t>
      </w:r>
    </w:p>
    <w:p w14:paraId="4940226F">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（6）</w:t>
      </w: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应在出具检测结果后15个工作日内提交抽查检验情况分析报告（应包括不合格项目原因分析和消费提示等）并报送给</w:t>
      </w:r>
      <w:r>
        <w:rPr>
          <w:rFonts w:hint="eastAsia" w:ascii="宋体" w:hAnsi="宋体" w:cs="宋体"/>
          <w:color w:val="000000"/>
          <w:kern w:val="2"/>
          <w:sz w:val="24"/>
          <w:szCs w:val="24"/>
          <w:highlight w:val="none"/>
          <w:lang w:val="en-US" w:eastAsia="zh-CN" w:bidi="ar-SA"/>
        </w:rPr>
        <w:t>甲方</w:t>
      </w:r>
      <w:r>
        <w:rPr>
          <w:rFonts w:hint="eastAsia" w:ascii="宋体" w:hAnsi="宋体" w:eastAsia="宋体" w:cs="宋体"/>
          <w:color w:val="000000"/>
          <w:kern w:val="2"/>
          <w:sz w:val="24"/>
          <w:szCs w:val="24"/>
          <w:highlight w:val="none"/>
          <w:lang w:val="en-US" w:eastAsia="zh-CN" w:bidi="ar-SA"/>
        </w:rPr>
        <w:t>。</w:t>
      </w:r>
    </w:p>
    <w:p w14:paraId="14449A2A">
      <w:pPr>
        <w:numPr>
          <w:ilvl w:val="0"/>
          <w:numId w:val="0"/>
        </w:numPr>
        <w:tabs>
          <w:tab w:val="left" w:pos="426"/>
          <w:tab w:val="left" w:pos="567"/>
        </w:tabs>
        <w:spacing w:line="440" w:lineRule="exact"/>
        <w:ind w:left="360" w:leftChars="0" w:hanging="360" w:firstLineChars="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（7）复检工作由</w:t>
      </w:r>
      <w:r>
        <w:rPr>
          <w:rFonts w:hint="eastAsia" w:ascii="宋体" w:hAnsi="宋体" w:cs="宋体"/>
          <w:color w:val="000000"/>
          <w:kern w:val="2"/>
          <w:sz w:val="24"/>
          <w:szCs w:val="24"/>
          <w:highlight w:val="none"/>
          <w:lang w:val="en-US" w:eastAsia="zh-CN" w:bidi="ar-SA"/>
        </w:rPr>
        <w:t>甲方</w:t>
      </w:r>
      <w:r>
        <w:rPr>
          <w:rFonts w:hint="eastAsia" w:ascii="宋体" w:hAnsi="宋体" w:eastAsia="宋体" w:cs="宋体"/>
          <w:color w:val="000000"/>
          <w:kern w:val="2"/>
          <w:sz w:val="24"/>
          <w:szCs w:val="24"/>
          <w:highlight w:val="none"/>
          <w:lang w:val="en-US" w:eastAsia="zh-CN" w:bidi="ar-SA"/>
        </w:rPr>
        <w:t>指定的具有复检资质的第三方机构承担，初检机构应配合复检机构完成样品交接等复检工作，并承担合理的备样寄送费用。</w:t>
      </w:r>
    </w:p>
    <w:p w14:paraId="3318F748">
      <w:pPr>
        <w:numPr>
          <w:ilvl w:val="0"/>
          <w:numId w:val="0"/>
        </w:numPr>
        <w:tabs>
          <w:tab w:val="left" w:pos="9135"/>
        </w:tabs>
        <w:spacing w:line="440" w:lineRule="exact"/>
        <w:ind w:left="360" w:leftChars="0" w:hanging="360" w:firstLineChars="0"/>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3、抽检质量要求</w:t>
      </w:r>
    </w:p>
    <w:p w14:paraId="78B0EF60">
      <w:pPr>
        <w:numPr>
          <w:ilvl w:val="0"/>
          <w:numId w:val="0"/>
        </w:numPr>
        <w:tabs>
          <w:tab w:val="left" w:pos="9135"/>
        </w:tabs>
        <w:spacing w:line="440" w:lineRule="exact"/>
        <w:ind w:left="433" w:leftChars="206" w:firstLine="69" w:firstLineChars="29"/>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乙方</w:t>
      </w:r>
      <w:r>
        <w:rPr>
          <w:rFonts w:hint="eastAsia" w:ascii="宋体" w:hAnsi="宋体" w:eastAsia="宋体" w:cs="宋体"/>
          <w:color w:val="000000"/>
          <w:kern w:val="2"/>
          <w:sz w:val="24"/>
          <w:szCs w:val="24"/>
          <w:highlight w:val="none"/>
          <w:lang w:val="en-US" w:eastAsia="zh-CN" w:bidi="ar-SA"/>
        </w:rPr>
        <w:t>应保证检测结果的准确性，如某一批次的检测结果因异议、复检导致改</w:t>
      </w:r>
      <w:r>
        <w:rPr>
          <w:rFonts w:hint="eastAsia" w:ascii="宋体" w:hAnsi="宋体" w:eastAsia="宋体" w:cs="宋体"/>
          <w:b w:val="0"/>
          <w:bCs w:val="0"/>
          <w:color w:val="000000"/>
          <w:kern w:val="2"/>
          <w:sz w:val="24"/>
          <w:szCs w:val="24"/>
          <w:highlight w:val="none"/>
          <w:lang w:val="en-US" w:eastAsia="zh-CN" w:bidi="ar-SA"/>
        </w:rPr>
        <w:t>判的，</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可扣除3倍的该批次检测费金额进行处罚。</w:t>
      </w:r>
    </w:p>
    <w:p w14:paraId="568DD5E7">
      <w:pPr>
        <w:numPr>
          <w:ilvl w:val="0"/>
          <w:numId w:val="0"/>
        </w:numPr>
        <w:tabs>
          <w:tab w:val="left" w:pos="9135"/>
        </w:tabs>
        <w:spacing w:line="440" w:lineRule="exact"/>
        <w:ind w:left="360" w:leftChars="0" w:hanging="360" w:firstLineChars="0"/>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4、其他服务要求</w:t>
      </w:r>
    </w:p>
    <w:p w14:paraId="02FFA265">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（1）</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要严格按照国家相关标准及规定，加强对组织实施、样品抽样、实验室检测、数据报送等关键环节的质量控制，确保检测结果准确可靠。</w:t>
      </w:r>
    </w:p>
    <w:p w14:paraId="5A412102">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（2）</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应当对抽样、检验过程负责，如实、准确、完整、及时地完成工作。参与监督抽查工作的抽检人员应严格按照要求进行抽样、检验和结果上报，不得随意更改抽样地点和样品信息，不得瞒报、谎报、漏报、错报检测数据，不得擅自发布有关抽检信息，不得事先通知被抽检单位，不得牟取不正当利益，确保结果的真实客观和准确。</w:t>
      </w:r>
    </w:p>
    <w:p w14:paraId="1412127B">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（3）做好数据统计和录入工作。</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应在收到样品2个工作日内将抽样信息输入</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指定系统，监督抽查结果数据在完成检验工作的5个工作日内输入“浙江省产品质量智慧监管平台”系统，录入所需相关费用由</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承担。</w:t>
      </w:r>
    </w:p>
    <w:p w14:paraId="4BB26558">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（4）保密责任：涉及抽样的全部情况包括数据及结果，</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必须保密，不得向除</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外的任何单位与个人透露情况。</w:t>
      </w:r>
    </w:p>
    <w:p w14:paraId="4F9F5126">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（5）失误责任：</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对检验结果的真实性负责，如果因故意隐瞒、弄虚作假、错误检验数据和结论等行为而给被检验人造成损失的，或者给社会带来不良影响的，</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应当负责赔偿，并承担相应法律责任。</w:t>
      </w:r>
    </w:p>
    <w:p w14:paraId="36052A1C">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（6）配合服务：</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应积极配合委托方开展抽检及售后工作，应安排专人到</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处配合开展检测工作。</w:t>
      </w:r>
    </w:p>
    <w:p w14:paraId="0DA45A51">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（7）配合复检：</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应配合</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开展复检工作，及时做好复检样品交接工作。复检结果与初检结果不一致时，复检费用由</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承担；若复检结果与初检结果一致，复检费用由复检申请人承担。</w:t>
      </w:r>
    </w:p>
    <w:p w14:paraId="56ADF3C8">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（8）信息服务：</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主动向</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提供进度报告、发布进度信息。</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应及时向</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提供检验结果分析，本次抽查任务完成后，应向</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提交具体产品的分析报告。</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提出查看原始数据的，</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需2天内提供原始数据供</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查看，</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也可到</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实验室现场查看原始数据。</w:t>
      </w:r>
    </w:p>
    <w:p w14:paraId="470FAFA0">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（9）业务建档制度：</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须针对常山县市场监督管理局检测业务建立单独的业务档案资料，并按规定进行备案。</w:t>
      </w:r>
    </w:p>
    <w:p w14:paraId="1BB70756">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（10）违规处理：</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可在委托期间对</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是否规范操作进行监督检查，如发生违规操作或其他违法违纪行为，一经发现将立即终止该次检测活动，</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将记录备案，并扣罚</w:t>
      </w:r>
      <w:r>
        <w:rPr>
          <w:rFonts w:hint="eastAsia" w:ascii="宋体" w:hAnsi="宋体"/>
          <w:sz w:val="24"/>
        </w:rPr>
        <w:t>合</w:t>
      </w:r>
      <w:r>
        <w:rPr>
          <w:rFonts w:hint="eastAsia" w:ascii="宋体" w:hAnsi="宋体"/>
          <w:color w:val="000000" w:themeColor="text1"/>
          <w:sz w:val="24"/>
          <w14:textFill>
            <w14:solidFill>
              <w14:schemeClr w14:val="tx1"/>
            </w14:solidFill>
          </w14:textFill>
        </w:rPr>
        <w:t>同金额的10%</w:t>
      </w:r>
      <w:r>
        <w:rPr>
          <w:rFonts w:hint="eastAsia" w:ascii="宋体" w:hAnsi="宋体"/>
          <w:color w:val="000000" w:themeColor="text1"/>
          <w:sz w:val="24"/>
          <w:lang w:eastAsia="zh-CN"/>
          <w14:textFill>
            <w14:solidFill>
              <w14:schemeClr w14:val="tx1"/>
            </w14:solidFill>
          </w14:textFill>
        </w:rPr>
        <w:t>的违约金</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w:t>
      </w:r>
      <w:r>
        <w:rPr>
          <w:rFonts w:hint="eastAsia" w:ascii="宋体" w:hAnsi="宋体" w:eastAsia="宋体" w:cs="宋体"/>
          <w:b w:val="0"/>
          <w:bCs w:val="0"/>
          <w:color w:val="000000"/>
          <w:kern w:val="2"/>
          <w:sz w:val="24"/>
          <w:szCs w:val="24"/>
          <w:highlight w:val="none"/>
          <w:lang w:val="en-US" w:eastAsia="zh-CN" w:bidi="ar-SA"/>
        </w:rPr>
        <w:t>情形严重的，</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有权单方面终止合同，并将</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列入不诚信</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名单，拒绝其参加今后</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单位相关检测项目的投标资格。如有需要将依法追究</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和相关人员的法律责任。</w:t>
      </w:r>
    </w:p>
    <w:p w14:paraId="78514498">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（11）</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如在投标文件中承诺派遣熟练的专职人员（不得兼任其他工作）在</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单位为本项目提供抽样安排、报告送达、日常联系等服务的，必须在合同签订后2日内到位，并在本项目合同履行周期内在采购单位内办公，遵守采购单位规章制度，未按承诺派专职人员或人员未按时到位的按严重违约处理，</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有权单方终止合同，并将</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列入不诚信</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名单。</w:t>
      </w:r>
    </w:p>
    <w:p w14:paraId="26AB032F">
      <w:pPr>
        <w:spacing w:line="500" w:lineRule="exact"/>
        <w:jc w:val="center"/>
        <w:rPr>
          <w:rFonts w:hint="eastAsia" w:ascii="宋体" w:hAnsi="宋体" w:eastAsia="宋体" w:cs="宋体"/>
          <w:b/>
          <w:color w:val="000000" w:themeColor="text1"/>
          <w:sz w:val="24"/>
          <w:highlight w:val="none"/>
          <w:lang w:val="en-US" w:eastAsia="zh-CN"/>
          <w14:textFill>
            <w14:solidFill>
              <w14:schemeClr w14:val="tx1"/>
            </w14:solidFill>
          </w14:textFill>
        </w:rPr>
      </w:pPr>
      <w:r>
        <w:rPr>
          <w:rFonts w:hint="eastAsia" w:ascii="宋体" w:hAnsi="宋体" w:eastAsia="宋体" w:cs="宋体"/>
          <w:b/>
          <w:color w:val="000000" w:themeColor="text1"/>
          <w:sz w:val="24"/>
          <w:highlight w:val="none"/>
          <w:lang w:val="en-US" w:eastAsia="zh-CN"/>
          <w14:textFill>
            <w14:solidFill>
              <w14:schemeClr w14:val="tx1"/>
            </w14:solidFill>
          </w14:textFill>
        </w:rPr>
        <w:t>考核机制</w:t>
      </w:r>
    </w:p>
    <w:p w14:paraId="2C93BB64">
      <w:pPr>
        <w:keepNext w:val="0"/>
        <w:keepLines w:val="0"/>
        <w:pageBreakBefore w:val="0"/>
        <w:kinsoku/>
        <w:wordWrap/>
        <w:overflowPunct/>
        <w:topLinePunct w:val="0"/>
        <w:autoSpaceDE/>
        <w:autoSpaceDN/>
        <w:bidi w:val="0"/>
        <w:adjustRightInd/>
        <w:spacing w:line="50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按照《常山县产品质量承检机构工作质量跟踪考评表》设定指标，</w:t>
      </w:r>
      <w:r>
        <w:rPr>
          <w:rFonts w:hint="eastAsia" w:ascii="宋体" w:hAnsi="宋体" w:cs="宋体"/>
          <w:color w:val="000000" w:themeColor="text1"/>
          <w:sz w:val="24"/>
          <w:szCs w:val="24"/>
          <w:highlight w:val="none"/>
          <w:lang w:val="en-US" w:eastAsia="zh-CN"/>
          <w14:textFill>
            <w14:solidFill>
              <w14:schemeClr w14:val="tx1"/>
            </w14:solidFill>
          </w14:textFill>
        </w:rPr>
        <w:t>每季度</w:t>
      </w:r>
      <w:r>
        <w:rPr>
          <w:rFonts w:hint="eastAsia" w:ascii="宋体" w:hAnsi="宋体" w:eastAsia="宋体" w:cs="宋体"/>
          <w:color w:val="000000" w:themeColor="text1"/>
          <w:sz w:val="24"/>
          <w:szCs w:val="24"/>
          <w:highlight w:val="none"/>
          <w:lang w:val="en-US" w:eastAsia="zh-CN"/>
          <w14:textFill>
            <w14:solidFill>
              <w14:schemeClr w14:val="tx1"/>
            </w14:solidFill>
          </w14:textFill>
        </w:rPr>
        <w:t>一次的集中考评，考评结果直接与中标资质挂钩，如果一次得分在85分以下的，暂停委托承检，并限期整改；整改不符合要求或考评再次85分以下的，或无正当理由拒绝承担检测委托的，终止或解除委托合同履行，并按照合约规定追究相应的违约责任。</w:t>
      </w:r>
    </w:p>
    <w:p w14:paraId="6C2F4AB2">
      <w:pPr>
        <w:spacing w:line="440" w:lineRule="exact"/>
        <w:ind w:firstLine="480" w:firstLineChars="200"/>
        <w:jc w:val="center"/>
        <w:rPr>
          <w:rFonts w:hint="eastAsia" w:ascii="宋体" w:hAnsi="宋体" w:eastAsia="宋体" w:cs="宋体"/>
          <w:sz w:val="24"/>
          <w:highlight w:val="none"/>
        </w:rPr>
      </w:pPr>
      <w:r>
        <w:rPr>
          <w:rFonts w:hint="eastAsia" w:ascii="宋体" w:hAnsi="宋体" w:eastAsia="宋体" w:cs="宋体"/>
          <w:sz w:val="24"/>
          <w:szCs w:val="24"/>
          <w:highlight w:val="none"/>
        </w:rPr>
        <w:t>工作质量跟踪考评表</w:t>
      </w:r>
    </w:p>
    <w:tbl>
      <w:tblPr>
        <w:tblStyle w:val="2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37"/>
        <w:gridCol w:w="5898"/>
        <w:gridCol w:w="894"/>
        <w:gridCol w:w="897"/>
      </w:tblGrid>
      <w:tr w14:paraId="518799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4" w:hRule="atLeast"/>
          <w:jc w:val="center"/>
        </w:trPr>
        <w:tc>
          <w:tcPr>
            <w:tcW w:w="1337" w:type="dxa"/>
            <w:vMerge w:val="restart"/>
            <w:tcBorders>
              <w:top w:val="single" w:color="auto" w:sz="4" w:space="0"/>
              <w:left w:val="single" w:color="auto" w:sz="4" w:space="0"/>
              <w:bottom w:val="single" w:color="auto" w:sz="4" w:space="0"/>
              <w:right w:val="single" w:color="auto" w:sz="4" w:space="0"/>
            </w:tcBorders>
            <w:noWrap w:val="0"/>
            <w:vAlign w:val="center"/>
          </w:tcPr>
          <w:p w14:paraId="66ADE4B9">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考核项目及分值</w:t>
            </w:r>
          </w:p>
        </w:tc>
        <w:tc>
          <w:tcPr>
            <w:tcW w:w="5898" w:type="dxa"/>
            <w:vMerge w:val="restart"/>
            <w:tcBorders>
              <w:top w:val="single" w:color="auto" w:sz="4" w:space="0"/>
              <w:left w:val="single" w:color="auto" w:sz="4" w:space="0"/>
              <w:bottom w:val="single" w:color="auto" w:sz="4" w:space="0"/>
              <w:right w:val="single" w:color="auto" w:sz="4" w:space="0"/>
            </w:tcBorders>
            <w:noWrap w:val="0"/>
            <w:vAlign w:val="center"/>
          </w:tcPr>
          <w:p w14:paraId="5F373CFB">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内容及要求</w:t>
            </w:r>
          </w:p>
        </w:tc>
        <w:tc>
          <w:tcPr>
            <w:tcW w:w="894" w:type="dxa"/>
            <w:vMerge w:val="restart"/>
            <w:tcBorders>
              <w:top w:val="single" w:color="auto" w:sz="4" w:space="0"/>
              <w:left w:val="single" w:color="auto" w:sz="4" w:space="0"/>
              <w:bottom w:val="single" w:color="auto" w:sz="4" w:space="0"/>
              <w:right w:val="single" w:color="auto" w:sz="4" w:space="0"/>
            </w:tcBorders>
            <w:noWrap w:val="0"/>
            <w:vAlign w:val="center"/>
          </w:tcPr>
          <w:p w14:paraId="3DEC2127">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得分</w:t>
            </w:r>
          </w:p>
        </w:tc>
        <w:tc>
          <w:tcPr>
            <w:tcW w:w="897" w:type="dxa"/>
            <w:vMerge w:val="restart"/>
            <w:tcBorders>
              <w:top w:val="single" w:color="auto" w:sz="4" w:space="0"/>
              <w:left w:val="single" w:color="auto" w:sz="4" w:space="0"/>
              <w:bottom w:val="single" w:color="auto" w:sz="4" w:space="0"/>
              <w:right w:val="single" w:color="auto" w:sz="4" w:space="0"/>
            </w:tcBorders>
            <w:noWrap w:val="0"/>
            <w:vAlign w:val="center"/>
          </w:tcPr>
          <w:p w14:paraId="7F7A3817">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备注说明</w:t>
            </w:r>
          </w:p>
        </w:tc>
      </w:tr>
      <w:tr w14:paraId="6C6DCF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20"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0472322F">
            <w:pPr>
              <w:widowControl/>
              <w:spacing w:line="320" w:lineRule="exact"/>
              <w:jc w:val="left"/>
              <w:rPr>
                <w:rFonts w:hint="eastAsia" w:ascii="宋体" w:hAnsi="宋体" w:eastAsia="宋体" w:cs="宋体"/>
                <w:bCs/>
                <w:kern w:val="0"/>
                <w:sz w:val="24"/>
                <w:highlight w:val="none"/>
              </w:rPr>
            </w:pPr>
          </w:p>
        </w:tc>
        <w:tc>
          <w:tcPr>
            <w:tcW w:w="5898" w:type="dxa"/>
            <w:vMerge w:val="continue"/>
            <w:tcBorders>
              <w:top w:val="single" w:color="auto" w:sz="4" w:space="0"/>
              <w:left w:val="single" w:color="auto" w:sz="4" w:space="0"/>
              <w:bottom w:val="single" w:color="auto" w:sz="4" w:space="0"/>
              <w:right w:val="single" w:color="auto" w:sz="4" w:space="0"/>
            </w:tcBorders>
            <w:noWrap w:val="0"/>
            <w:vAlign w:val="center"/>
          </w:tcPr>
          <w:p w14:paraId="08C3854E">
            <w:pPr>
              <w:widowControl/>
              <w:spacing w:line="320" w:lineRule="exact"/>
              <w:jc w:val="left"/>
              <w:rPr>
                <w:rFonts w:hint="eastAsia" w:ascii="宋体" w:hAnsi="宋体" w:eastAsia="宋体" w:cs="宋体"/>
                <w:bCs/>
                <w:kern w:val="0"/>
                <w:sz w:val="24"/>
                <w:highlight w:val="none"/>
              </w:rPr>
            </w:pPr>
          </w:p>
        </w:tc>
        <w:tc>
          <w:tcPr>
            <w:tcW w:w="894" w:type="dxa"/>
            <w:vMerge w:val="continue"/>
            <w:tcBorders>
              <w:top w:val="single" w:color="auto" w:sz="4" w:space="0"/>
              <w:left w:val="single" w:color="auto" w:sz="4" w:space="0"/>
              <w:bottom w:val="single" w:color="auto" w:sz="4" w:space="0"/>
              <w:right w:val="single" w:color="auto" w:sz="4" w:space="0"/>
            </w:tcBorders>
            <w:noWrap w:val="0"/>
            <w:vAlign w:val="center"/>
          </w:tcPr>
          <w:p w14:paraId="3CF82786">
            <w:pPr>
              <w:widowControl/>
              <w:spacing w:line="320" w:lineRule="exact"/>
              <w:jc w:val="left"/>
              <w:rPr>
                <w:rFonts w:hint="eastAsia" w:ascii="宋体" w:hAnsi="宋体" w:eastAsia="宋体" w:cs="宋体"/>
                <w:bCs/>
                <w:kern w:val="0"/>
                <w:sz w:val="24"/>
                <w:highlight w:val="none"/>
              </w:rPr>
            </w:pPr>
          </w:p>
        </w:tc>
        <w:tc>
          <w:tcPr>
            <w:tcW w:w="897" w:type="dxa"/>
            <w:vMerge w:val="continue"/>
            <w:tcBorders>
              <w:top w:val="single" w:color="auto" w:sz="4" w:space="0"/>
              <w:left w:val="single" w:color="auto" w:sz="4" w:space="0"/>
              <w:bottom w:val="single" w:color="auto" w:sz="4" w:space="0"/>
              <w:right w:val="single" w:color="auto" w:sz="4" w:space="0"/>
            </w:tcBorders>
            <w:noWrap w:val="0"/>
            <w:vAlign w:val="center"/>
          </w:tcPr>
          <w:p w14:paraId="2A1C1D32">
            <w:pPr>
              <w:widowControl/>
              <w:spacing w:line="320" w:lineRule="exact"/>
              <w:jc w:val="left"/>
              <w:rPr>
                <w:rFonts w:hint="eastAsia" w:ascii="宋体" w:hAnsi="宋体" w:eastAsia="宋体" w:cs="宋体"/>
                <w:bCs/>
                <w:kern w:val="0"/>
                <w:sz w:val="24"/>
                <w:highlight w:val="none"/>
              </w:rPr>
            </w:pPr>
          </w:p>
        </w:tc>
      </w:tr>
      <w:tr w14:paraId="310AAC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jc w:val="center"/>
        </w:trPr>
        <w:tc>
          <w:tcPr>
            <w:tcW w:w="1337" w:type="dxa"/>
            <w:vMerge w:val="restart"/>
            <w:tcBorders>
              <w:top w:val="single" w:color="auto" w:sz="4" w:space="0"/>
              <w:left w:val="single" w:color="auto" w:sz="4" w:space="0"/>
              <w:bottom w:val="single" w:color="auto" w:sz="4" w:space="0"/>
              <w:right w:val="single" w:color="auto" w:sz="4" w:space="0"/>
            </w:tcBorders>
            <w:noWrap w:val="0"/>
            <w:vAlign w:val="center"/>
          </w:tcPr>
          <w:p w14:paraId="398A805F">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服务态度</w:t>
            </w:r>
          </w:p>
          <w:p w14:paraId="27A4C3E2">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（20分）</w:t>
            </w:r>
          </w:p>
        </w:tc>
        <w:tc>
          <w:tcPr>
            <w:tcW w:w="5898" w:type="dxa"/>
            <w:tcBorders>
              <w:top w:val="single" w:color="auto" w:sz="4" w:space="0"/>
              <w:left w:val="single" w:color="auto" w:sz="4" w:space="0"/>
              <w:bottom w:val="single" w:color="auto" w:sz="4" w:space="0"/>
              <w:right w:val="single" w:color="auto" w:sz="4" w:space="0"/>
            </w:tcBorders>
            <w:noWrap w:val="0"/>
            <w:vAlign w:val="top"/>
          </w:tcPr>
          <w:p w14:paraId="74FE316B">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1.及时、准确地提供商品相关标准的咨询服务。（5分）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1EB93F45">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3CF52DD5">
            <w:pPr>
              <w:widowControl/>
              <w:spacing w:line="320" w:lineRule="exact"/>
              <w:rPr>
                <w:rFonts w:hint="eastAsia" w:ascii="宋体" w:hAnsi="宋体" w:eastAsia="宋体" w:cs="宋体"/>
                <w:bCs/>
                <w:kern w:val="0"/>
                <w:sz w:val="24"/>
                <w:highlight w:val="none"/>
              </w:rPr>
            </w:pPr>
          </w:p>
        </w:tc>
      </w:tr>
      <w:tr w14:paraId="59C2BD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14FE845E">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1FA7A205">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2.根据检测单位要求，及时安排抽样时间、地点和抽样人员，不及时或者安排有误的每次扣1分。（5分）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4A2D57AD">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05EDDD76">
            <w:pPr>
              <w:widowControl/>
              <w:spacing w:line="320" w:lineRule="exact"/>
              <w:rPr>
                <w:rFonts w:hint="eastAsia" w:ascii="宋体" w:hAnsi="宋体" w:eastAsia="宋体" w:cs="宋体"/>
                <w:bCs/>
                <w:kern w:val="0"/>
                <w:sz w:val="24"/>
                <w:highlight w:val="none"/>
              </w:rPr>
            </w:pPr>
          </w:p>
        </w:tc>
      </w:tr>
      <w:tr w14:paraId="2B25C5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6B1AB092">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1C279FC6">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3.规范抽样，抽样程序和样品信息无差错，差错一次扣2分。（5分）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0D73E295">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42C5119A">
            <w:pPr>
              <w:widowControl/>
              <w:spacing w:line="320" w:lineRule="exact"/>
              <w:rPr>
                <w:rFonts w:hint="eastAsia" w:ascii="宋体" w:hAnsi="宋体" w:eastAsia="宋体" w:cs="宋体"/>
                <w:bCs/>
                <w:kern w:val="0"/>
                <w:sz w:val="24"/>
                <w:highlight w:val="none"/>
              </w:rPr>
            </w:pPr>
          </w:p>
        </w:tc>
      </w:tr>
      <w:tr w14:paraId="41C0E3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57BD220C">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64C61167">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4.及时做好相关信息的反馈和输入工作，延迟一次扣1分。（5分）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449F1132">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7154B946">
            <w:pPr>
              <w:widowControl/>
              <w:spacing w:line="320" w:lineRule="exact"/>
              <w:rPr>
                <w:rFonts w:hint="eastAsia" w:ascii="宋体" w:hAnsi="宋体" w:eastAsia="宋体" w:cs="宋体"/>
                <w:bCs/>
                <w:kern w:val="0"/>
                <w:sz w:val="24"/>
                <w:highlight w:val="none"/>
              </w:rPr>
            </w:pPr>
          </w:p>
        </w:tc>
      </w:tr>
      <w:tr w14:paraId="13777F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jc w:val="center"/>
        </w:trPr>
        <w:tc>
          <w:tcPr>
            <w:tcW w:w="1337" w:type="dxa"/>
            <w:vMerge w:val="restart"/>
            <w:tcBorders>
              <w:top w:val="single" w:color="auto" w:sz="4" w:space="0"/>
              <w:left w:val="single" w:color="auto" w:sz="4" w:space="0"/>
              <w:bottom w:val="single" w:color="auto" w:sz="4" w:space="0"/>
              <w:right w:val="single" w:color="auto" w:sz="4" w:space="0"/>
            </w:tcBorders>
            <w:noWrap w:val="0"/>
            <w:vAlign w:val="center"/>
          </w:tcPr>
          <w:p w14:paraId="79015E5F">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服务能力</w:t>
            </w:r>
          </w:p>
          <w:p w14:paraId="7EED168F">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（30分）</w:t>
            </w:r>
          </w:p>
        </w:tc>
        <w:tc>
          <w:tcPr>
            <w:tcW w:w="5898" w:type="dxa"/>
            <w:tcBorders>
              <w:top w:val="single" w:color="auto" w:sz="4" w:space="0"/>
              <w:left w:val="single" w:color="auto" w:sz="4" w:space="0"/>
              <w:bottom w:val="single" w:color="auto" w:sz="4" w:space="0"/>
              <w:right w:val="single" w:color="auto" w:sz="4" w:space="0"/>
            </w:tcBorders>
            <w:noWrap w:val="0"/>
            <w:vAlign w:val="top"/>
          </w:tcPr>
          <w:p w14:paraId="3985D3B9">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1.严格按照《检验检测机构资质认定管理办法》</w:t>
            </w:r>
            <w:r>
              <w:rPr>
                <w:rFonts w:hint="eastAsia" w:ascii="宋体" w:hAnsi="宋体" w:eastAsia="宋体" w:cs="宋体"/>
                <w:bCs/>
                <w:sz w:val="24"/>
                <w:highlight w:val="none"/>
              </w:rPr>
              <w:t>及检验检测机构质量管理体系</w:t>
            </w:r>
            <w:r>
              <w:rPr>
                <w:rFonts w:hint="eastAsia" w:ascii="宋体" w:hAnsi="宋体" w:eastAsia="宋体" w:cs="宋体"/>
                <w:bCs/>
                <w:kern w:val="0"/>
                <w:sz w:val="24"/>
                <w:highlight w:val="none"/>
              </w:rPr>
              <w:t>的相关要求开展检验工作，内部质量控制严格，检验数据准确，差错一次扣5分，导致严重后果的一次扣10分。（20分）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70CC44BC">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7DA81980">
            <w:pPr>
              <w:widowControl/>
              <w:spacing w:line="320" w:lineRule="exact"/>
              <w:rPr>
                <w:rFonts w:hint="eastAsia" w:ascii="宋体" w:hAnsi="宋体" w:eastAsia="宋体" w:cs="宋体"/>
                <w:bCs/>
                <w:kern w:val="0"/>
                <w:sz w:val="24"/>
                <w:highlight w:val="none"/>
              </w:rPr>
            </w:pPr>
          </w:p>
        </w:tc>
      </w:tr>
      <w:tr w14:paraId="110F96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5"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38EF0133">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08174D34">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2.定期参加资质认定部门组织的能力验证，没有参加不得分，一次不通过扣5分。（10分）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453F26B7">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399D9B7F">
            <w:pPr>
              <w:widowControl/>
              <w:spacing w:line="320" w:lineRule="exact"/>
              <w:rPr>
                <w:rFonts w:hint="eastAsia" w:ascii="宋体" w:hAnsi="宋体" w:eastAsia="宋体" w:cs="宋体"/>
                <w:bCs/>
                <w:kern w:val="0"/>
                <w:sz w:val="24"/>
                <w:highlight w:val="none"/>
              </w:rPr>
            </w:pPr>
          </w:p>
        </w:tc>
      </w:tr>
      <w:tr w14:paraId="63FB5E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jc w:val="center"/>
        </w:trPr>
        <w:tc>
          <w:tcPr>
            <w:tcW w:w="1337" w:type="dxa"/>
            <w:vMerge w:val="restart"/>
            <w:tcBorders>
              <w:top w:val="single" w:color="auto" w:sz="4" w:space="0"/>
              <w:left w:val="single" w:color="auto" w:sz="4" w:space="0"/>
              <w:bottom w:val="single" w:color="auto" w:sz="4" w:space="0"/>
              <w:right w:val="single" w:color="auto" w:sz="4" w:space="0"/>
            </w:tcBorders>
            <w:noWrap w:val="0"/>
            <w:vAlign w:val="center"/>
          </w:tcPr>
          <w:p w14:paraId="722B3AB0">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服务质量</w:t>
            </w:r>
          </w:p>
          <w:p w14:paraId="6B342F9B">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（50分）</w:t>
            </w:r>
          </w:p>
        </w:tc>
        <w:tc>
          <w:tcPr>
            <w:tcW w:w="5898" w:type="dxa"/>
            <w:tcBorders>
              <w:top w:val="single" w:color="auto" w:sz="4" w:space="0"/>
              <w:left w:val="single" w:color="auto" w:sz="4" w:space="0"/>
              <w:bottom w:val="single" w:color="auto" w:sz="4" w:space="0"/>
              <w:right w:val="single" w:color="auto" w:sz="4" w:space="0"/>
            </w:tcBorders>
            <w:noWrap w:val="0"/>
            <w:vAlign w:val="top"/>
          </w:tcPr>
          <w:p w14:paraId="0B076882">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1.按时完成抽样检验任务，拖延时间影响抽检任务进度的，一次酌情扣2至4分。（10分）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78C48B6E">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213FBC02">
            <w:pPr>
              <w:widowControl/>
              <w:spacing w:line="320" w:lineRule="exact"/>
              <w:rPr>
                <w:rFonts w:hint="eastAsia" w:ascii="宋体" w:hAnsi="宋体" w:eastAsia="宋体" w:cs="宋体"/>
                <w:bCs/>
                <w:kern w:val="0"/>
                <w:sz w:val="24"/>
                <w:highlight w:val="none"/>
              </w:rPr>
            </w:pPr>
          </w:p>
        </w:tc>
      </w:tr>
      <w:tr w14:paraId="64C5F4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50"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581DDD1B">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713ABD18">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2.初检结果与复检结果不一致的，一次扣2分。（10分）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664DCD77">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6A0C7268">
            <w:pPr>
              <w:widowControl/>
              <w:spacing w:line="320" w:lineRule="exact"/>
              <w:rPr>
                <w:rFonts w:hint="eastAsia" w:ascii="宋体" w:hAnsi="宋体" w:eastAsia="宋体" w:cs="宋体"/>
                <w:bCs/>
                <w:kern w:val="0"/>
                <w:sz w:val="24"/>
                <w:highlight w:val="none"/>
              </w:rPr>
            </w:pPr>
          </w:p>
        </w:tc>
      </w:tr>
      <w:tr w14:paraId="2A893A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0"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0CD29138">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649272B1">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3.按照规定及时寄发《抽样检验结果通知书》，一次不按时扣2分，造成严重后果的，一次扣10分。（10分）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48614E1A">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1BFC38D1">
            <w:pPr>
              <w:widowControl/>
              <w:spacing w:line="320" w:lineRule="exact"/>
              <w:rPr>
                <w:rFonts w:hint="eastAsia" w:ascii="宋体" w:hAnsi="宋体" w:eastAsia="宋体" w:cs="宋体"/>
                <w:bCs/>
                <w:kern w:val="0"/>
                <w:sz w:val="24"/>
                <w:highlight w:val="none"/>
              </w:rPr>
            </w:pPr>
          </w:p>
        </w:tc>
      </w:tr>
      <w:tr w14:paraId="69C76A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cantSplit/>
          <w:trHeight w:val="284"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75802F9F">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7DD329D5">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4.汇总信息和分析报告有无差错，差错一次扣2分，造成严重后果的，一次扣10分。（10分）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6BEDCC3F">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329D62C7">
            <w:pPr>
              <w:widowControl/>
              <w:spacing w:line="320" w:lineRule="exact"/>
              <w:rPr>
                <w:rFonts w:hint="eastAsia" w:ascii="宋体" w:hAnsi="宋体" w:eastAsia="宋体" w:cs="宋体"/>
                <w:bCs/>
                <w:kern w:val="0"/>
                <w:sz w:val="24"/>
                <w:highlight w:val="none"/>
              </w:rPr>
            </w:pPr>
          </w:p>
        </w:tc>
      </w:tr>
      <w:tr w14:paraId="084ABA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3" w:hRule="atLeast"/>
          <w:jc w:val="center"/>
        </w:trPr>
        <w:tc>
          <w:tcPr>
            <w:tcW w:w="1337" w:type="dxa"/>
            <w:vMerge w:val="continue"/>
            <w:tcBorders>
              <w:top w:val="single" w:color="auto" w:sz="4" w:space="0"/>
              <w:left w:val="single" w:color="auto" w:sz="4" w:space="0"/>
              <w:bottom w:val="single" w:color="auto" w:sz="4" w:space="0"/>
              <w:right w:val="single" w:color="auto" w:sz="4" w:space="0"/>
            </w:tcBorders>
            <w:noWrap w:val="0"/>
            <w:vAlign w:val="center"/>
          </w:tcPr>
          <w:p w14:paraId="3A725FB8">
            <w:pPr>
              <w:widowControl/>
              <w:spacing w:line="320" w:lineRule="exact"/>
              <w:jc w:val="left"/>
              <w:rPr>
                <w:rFonts w:hint="eastAsia" w:ascii="宋体" w:hAnsi="宋体" w:eastAsia="宋体" w:cs="宋体"/>
                <w:bCs/>
                <w:kern w:val="0"/>
                <w:sz w:val="24"/>
                <w:highlight w:val="none"/>
              </w:rPr>
            </w:pPr>
          </w:p>
        </w:tc>
        <w:tc>
          <w:tcPr>
            <w:tcW w:w="5898" w:type="dxa"/>
            <w:tcBorders>
              <w:top w:val="single" w:color="auto" w:sz="4" w:space="0"/>
              <w:left w:val="single" w:color="auto" w:sz="4" w:space="0"/>
              <w:bottom w:val="single" w:color="auto" w:sz="4" w:space="0"/>
              <w:right w:val="single" w:color="auto" w:sz="4" w:space="0"/>
            </w:tcBorders>
            <w:noWrap w:val="0"/>
            <w:vAlign w:val="top"/>
          </w:tcPr>
          <w:p w14:paraId="6A1A81AD">
            <w:pPr>
              <w:widowControl/>
              <w:spacing w:line="320" w:lineRule="exact"/>
              <w:rPr>
                <w:rFonts w:hint="eastAsia" w:ascii="宋体" w:hAnsi="宋体" w:eastAsia="宋体" w:cs="宋体"/>
                <w:bCs/>
                <w:kern w:val="0"/>
                <w:sz w:val="24"/>
                <w:highlight w:val="none"/>
              </w:rPr>
            </w:pPr>
            <w:r>
              <w:rPr>
                <w:rFonts w:hint="eastAsia" w:ascii="宋体" w:hAnsi="宋体" w:eastAsia="宋体" w:cs="宋体"/>
                <w:bCs/>
                <w:kern w:val="0"/>
                <w:sz w:val="24"/>
                <w:highlight w:val="none"/>
              </w:rPr>
              <w:t>5.对检测数据和结论严格遵守保密原则，发现泄漏信息一次扣5分。（10分）</w:t>
            </w:r>
          </w:p>
        </w:tc>
        <w:tc>
          <w:tcPr>
            <w:tcW w:w="894" w:type="dxa"/>
            <w:tcBorders>
              <w:top w:val="single" w:color="auto" w:sz="4" w:space="0"/>
              <w:left w:val="single" w:color="auto" w:sz="4" w:space="0"/>
              <w:bottom w:val="single" w:color="auto" w:sz="4" w:space="0"/>
              <w:right w:val="single" w:color="auto" w:sz="4" w:space="0"/>
            </w:tcBorders>
            <w:noWrap w:val="0"/>
            <w:vAlign w:val="top"/>
          </w:tcPr>
          <w:p w14:paraId="58098081">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474332C1">
            <w:pPr>
              <w:widowControl/>
              <w:spacing w:line="320" w:lineRule="exact"/>
              <w:rPr>
                <w:rFonts w:hint="eastAsia" w:ascii="宋体" w:hAnsi="宋体" w:eastAsia="宋体" w:cs="宋体"/>
                <w:bCs/>
                <w:kern w:val="0"/>
                <w:sz w:val="24"/>
                <w:highlight w:val="none"/>
              </w:rPr>
            </w:pPr>
          </w:p>
        </w:tc>
      </w:tr>
      <w:tr w14:paraId="126203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5" w:hRule="atLeas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14:paraId="4DD9FCF0">
            <w:pPr>
              <w:widowControl/>
              <w:spacing w:line="320" w:lineRule="exact"/>
              <w:jc w:val="center"/>
              <w:rPr>
                <w:rFonts w:hint="eastAsia" w:ascii="宋体" w:hAnsi="宋体" w:eastAsia="宋体" w:cs="宋体"/>
                <w:bCs/>
                <w:kern w:val="0"/>
                <w:sz w:val="24"/>
                <w:highlight w:val="none"/>
              </w:rPr>
            </w:pPr>
            <w:r>
              <w:rPr>
                <w:rFonts w:hint="eastAsia" w:ascii="宋体" w:hAnsi="宋体" w:eastAsia="宋体" w:cs="宋体"/>
                <w:bCs/>
                <w:kern w:val="0"/>
                <w:sz w:val="24"/>
                <w:highlight w:val="none"/>
              </w:rPr>
              <w:t>考评总分</w:t>
            </w:r>
          </w:p>
        </w:tc>
        <w:tc>
          <w:tcPr>
            <w:tcW w:w="5898" w:type="dxa"/>
            <w:tcBorders>
              <w:top w:val="single" w:color="auto" w:sz="4" w:space="0"/>
              <w:left w:val="single" w:color="auto" w:sz="4" w:space="0"/>
              <w:bottom w:val="single" w:color="auto" w:sz="4" w:space="0"/>
              <w:right w:val="single" w:color="auto" w:sz="4" w:space="0"/>
            </w:tcBorders>
            <w:noWrap w:val="0"/>
            <w:vAlign w:val="top"/>
          </w:tcPr>
          <w:p w14:paraId="4E86D996">
            <w:pPr>
              <w:widowControl/>
              <w:spacing w:line="320" w:lineRule="exact"/>
              <w:rPr>
                <w:rFonts w:hint="eastAsia" w:ascii="宋体" w:hAnsi="宋体" w:eastAsia="宋体" w:cs="宋体"/>
                <w:bCs/>
                <w:kern w:val="0"/>
                <w:sz w:val="24"/>
                <w:highlight w:val="none"/>
              </w:rPr>
            </w:pPr>
          </w:p>
        </w:tc>
        <w:tc>
          <w:tcPr>
            <w:tcW w:w="894" w:type="dxa"/>
            <w:tcBorders>
              <w:top w:val="single" w:color="auto" w:sz="4" w:space="0"/>
              <w:left w:val="single" w:color="auto" w:sz="4" w:space="0"/>
              <w:bottom w:val="single" w:color="auto" w:sz="4" w:space="0"/>
              <w:right w:val="single" w:color="auto" w:sz="4" w:space="0"/>
            </w:tcBorders>
            <w:noWrap w:val="0"/>
            <w:vAlign w:val="top"/>
          </w:tcPr>
          <w:p w14:paraId="5713DBDC">
            <w:pPr>
              <w:widowControl/>
              <w:spacing w:line="320" w:lineRule="exact"/>
              <w:rPr>
                <w:rFonts w:hint="eastAsia" w:ascii="宋体" w:hAnsi="宋体" w:eastAsia="宋体" w:cs="宋体"/>
                <w:bCs/>
                <w:kern w:val="0"/>
                <w:sz w:val="24"/>
                <w:highlight w:val="none"/>
              </w:rPr>
            </w:pPr>
          </w:p>
        </w:tc>
        <w:tc>
          <w:tcPr>
            <w:tcW w:w="897" w:type="dxa"/>
            <w:tcBorders>
              <w:top w:val="single" w:color="auto" w:sz="4" w:space="0"/>
              <w:left w:val="single" w:color="auto" w:sz="4" w:space="0"/>
              <w:bottom w:val="single" w:color="auto" w:sz="4" w:space="0"/>
              <w:right w:val="single" w:color="auto" w:sz="4" w:space="0"/>
            </w:tcBorders>
            <w:noWrap w:val="0"/>
            <w:vAlign w:val="top"/>
          </w:tcPr>
          <w:p w14:paraId="1F511018">
            <w:pPr>
              <w:widowControl/>
              <w:spacing w:line="320" w:lineRule="exact"/>
              <w:rPr>
                <w:rFonts w:hint="eastAsia" w:ascii="宋体" w:hAnsi="宋体" w:eastAsia="宋体" w:cs="宋体"/>
                <w:bCs/>
                <w:kern w:val="0"/>
                <w:sz w:val="24"/>
                <w:highlight w:val="none"/>
              </w:rPr>
            </w:pPr>
          </w:p>
        </w:tc>
      </w:tr>
    </w:tbl>
    <w:p w14:paraId="17770502">
      <w:pPr>
        <w:keepNext w:val="0"/>
        <w:keepLines w:val="0"/>
        <w:pageBreakBefore w:val="0"/>
        <w:kinsoku/>
        <w:wordWrap/>
        <w:overflowPunct/>
        <w:topLinePunct w:val="0"/>
        <w:autoSpaceDE/>
        <w:autoSpaceDN/>
        <w:bidi w:val="0"/>
        <w:adjustRightInd/>
        <w:spacing w:line="50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备注：</w:t>
      </w:r>
    </w:p>
    <w:p w14:paraId="080DA9A3">
      <w:pPr>
        <w:keepNext w:val="0"/>
        <w:keepLines w:val="0"/>
        <w:pageBreakBefore w:val="0"/>
        <w:kinsoku/>
        <w:wordWrap/>
        <w:overflowPunct/>
        <w:topLinePunct w:val="0"/>
        <w:autoSpaceDE/>
        <w:autoSpaceDN/>
        <w:bidi w:val="0"/>
        <w:adjustRightInd/>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1、采用一票否决制。否决事项：上</w:t>
      </w:r>
      <w:r>
        <w:rPr>
          <w:rFonts w:hint="eastAsia" w:ascii="宋体" w:hAnsi="宋体" w:cs="宋体"/>
          <w:color w:val="auto"/>
          <w:sz w:val="24"/>
          <w:szCs w:val="24"/>
          <w:highlight w:val="none"/>
          <w:lang w:val="en-US" w:eastAsia="zh-CN"/>
        </w:rPr>
        <w:t>季度</w:t>
      </w:r>
      <w:r>
        <w:rPr>
          <w:rFonts w:hint="eastAsia" w:ascii="宋体" w:hAnsi="宋体" w:eastAsia="宋体" w:cs="宋体"/>
          <w:color w:val="auto"/>
          <w:sz w:val="24"/>
          <w:szCs w:val="24"/>
          <w:highlight w:val="none"/>
        </w:rPr>
        <w:t>由于承检工作质量造成不良社会影响；发现承检项目无资质授权、上</w:t>
      </w:r>
      <w:r>
        <w:rPr>
          <w:rFonts w:hint="eastAsia" w:ascii="宋体" w:hAnsi="宋体" w:cs="宋体"/>
          <w:color w:val="auto"/>
          <w:sz w:val="24"/>
          <w:szCs w:val="24"/>
          <w:highlight w:val="none"/>
          <w:lang w:val="en-US" w:eastAsia="zh-CN"/>
        </w:rPr>
        <w:t>季</w:t>
      </w:r>
      <w:r>
        <w:rPr>
          <w:rFonts w:hint="eastAsia" w:ascii="宋体" w:hAnsi="宋体" w:eastAsia="宋体" w:cs="宋体"/>
          <w:color w:val="auto"/>
          <w:sz w:val="24"/>
          <w:szCs w:val="24"/>
          <w:highlight w:val="none"/>
        </w:rPr>
        <w:t>度承检工作存在超范围检验、与被检单位串通、出具虚假检验结果等违规违纪行为；</w:t>
      </w:r>
    </w:p>
    <w:p w14:paraId="773D0624">
      <w:pPr>
        <w:keepNext w:val="0"/>
        <w:keepLines w:val="0"/>
        <w:pageBreakBefore w:val="0"/>
        <w:kinsoku/>
        <w:wordWrap/>
        <w:overflowPunct/>
        <w:topLinePunct w:val="0"/>
        <w:autoSpaceDE/>
        <w:autoSpaceDN/>
        <w:bidi w:val="0"/>
        <w:adjustRightInd/>
        <w:spacing w:line="500" w:lineRule="exact"/>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color w:val="auto"/>
          <w:sz w:val="24"/>
          <w:szCs w:val="24"/>
          <w:highlight w:val="none"/>
        </w:rPr>
        <w:t>2、该年度两次以上（不含两次）拒绝</w:t>
      </w:r>
      <w:r>
        <w:rPr>
          <w:rFonts w:hint="eastAsia" w:ascii="宋体" w:hAnsi="宋体" w:cs="宋体"/>
          <w:color w:val="auto"/>
          <w:sz w:val="24"/>
          <w:szCs w:val="24"/>
          <w:highlight w:val="none"/>
          <w:lang w:eastAsia="zh-CN"/>
        </w:rPr>
        <w:t>甲方</w:t>
      </w:r>
      <w:r>
        <w:rPr>
          <w:rFonts w:hint="eastAsia" w:ascii="宋体" w:hAnsi="宋体" w:eastAsia="宋体" w:cs="宋体"/>
          <w:color w:val="auto"/>
          <w:sz w:val="24"/>
          <w:szCs w:val="24"/>
          <w:highlight w:val="none"/>
        </w:rPr>
        <w:t>分配工作的将取消合同期限内的监测资格。</w:t>
      </w:r>
    </w:p>
    <w:p w14:paraId="6862850E">
      <w:pPr>
        <w:numPr>
          <w:ilvl w:val="0"/>
          <w:numId w:val="0"/>
        </w:numPr>
        <w:tabs>
          <w:tab w:val="left" w:pos="9135"/>
        </w:tabs>
        <w:spacing w:line="440" w:lineRule="exact"/>
        <w:ind w:left="360" w:leftChars="0" w:hanging="360" w:firstLineChars="0"/>
        <w:jc w:val="center"/>
        <w:rPr>
          <w:rFonts w:hint="default" w:ascii="宋体" w:hAnsi="宋体" w:eastAsia="宋体" w:cs="宋体"/>
          <w:kern w:val="2"/>
          <w:sz w:val="24"/>
          <w:szCs w:val="24"/>
          <w:lang w:val="en-US" w:eastAsia="zh-CN" w:bidi="ar-SA"/>
        </w:rPr>
      </w:pPr>
      <w:r>
        <w:rPr>
          <w:rFonts w:hint="eastAsia" w:ascii="宋体" w:hAnsi="宋体" w:eastAsia="宋体" w:cs="宋体"/>
          <w:b/>
          <w:bCs/>
          <w:color w:val="000000"/>
          <w:kern w:val="2"/>
          <w:sz w:val="24"/>
          <w:szCs w:val="24"/>
          <w:highlight w:val="none"/>
          <w:lang w:val="en-US" w:eastAsia="zh-CN" w:bidi="ar-SA"/>
        </w:rPr>
        <w:t>其他要求</w:t>
      </w:r>
    </w:p>
    <w:p w14:paraId="5D705BE3">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default" w:ascii="宋体" w:hAnsi="宋体" w:eastAsia="宋体" w:cs="宋体"/>
          <w:b w:val="0"/>
          <w:bCs w:val="0"/>
          <w:color w:val="000000"/>
          <w:kern w:val="2"/>
          <w:sz w:val="24"/>
          <w:szCs w:val="24"/>
          <w:highlight w:val="none"/>
          <w:lang w:val="en-US" w:eastAsia="zh-CN" w:bidi="ar-SA"/>
        </w:rPr>
        <w:t>1、</w:t>
      </w:r>
      <w:r>
        <w:rPr>
          <w:rFonts w:hint="eastAsia" w:ascii="宋体" w:hAnsi="宋体" w:eastAsia="宋体" w:cs="宋体"/>
          <w:b w:val="0"/>
          <w:bCs w:val="0"/>
          <w:color w:val="000000"/>
          <w:kern w:val="2"/>
          <w:sz w:val="24"/>
          <w:szCs w:val="24"/>
          <w:highlight w:val="none"/>
          <w:lang w:val="en-US" w:eastAsia="zh-CN" w:bidi="ar-SA"/>
        </w:rPr>
        <w:t>承检方应保证所受托检测项目能提供计量认证标识，保证检测结果的合法性、科学性、公正性和有效性。</w:t>
      </w:r>
    </w:p>
    <w:p w14:paraId="62F70BBE">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cs="宋体"/>
          <w:b w:val="0"/>
          <w:bCs w:val="0"/>
          <w:color w:val="000000"/>
          <w:kern w:val="2"/>
          <w:sz w:val="24"/>
          <w:szCs w:val="24"/>
          <w:highlight w:val="none"/>
          <w:lang w:val="en-US" w:eastAsia="zh-CN" w:bidi="ar-SA"/>
        </w:rPr>
        <w:t>2</w:t>
      </w:r>
      <w:r>
        <w:rPr>
          <w:rFonts w:hint="default" w:ascii="宋体" w:hAnsi="宋体" w:eastAsia="宋体" w:cs="宋体"/>
          <w:b w:val="0"/>
          <w:bCs w:val="0"/>
          <w:color w:val="000000"/>
          <w:kern w:val="2"/>
          <w:sz w:val="24"/>
          <w:szCs w:val="24"/>
          <w:highlight w:val="none"/>
          <w:lang w:val="en-US" w:eastAsia="zh-CN" w:bidi="ar-SA"/>
        </w:rPr>
        <w:t>、</w:t>
      </w:r>
      <w:r>
        <w:rPr>
          <w:rFonts w:hint="eastAsia" w:ascii="宋体" w:hAnsi="宋体" w:eastAsia="宋体" w:cs="宋体"/>
          <w:b w:val="0"/>
          <w:bCs w:val="0"/>
          <w:color w:val="000000"/>
          <w:kern w:val="2"/>
          <w:sz w:val="24"/>
          <w:szCs w:val="24"/>
          <w:highlight w:val="none"/>
          <w:lang w:val="en-US" w:eastAsia="zh-CN" w:bidi="ar-SA"/>
        </w:rPr>
        <w:t>项目实施过程中项目组负责人发生变动的，需提前通知</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并获同意才能更换，更换后的人员专业素质、技术能力及经验等情况不能低于原先水准。如</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对项目组人员服务能力或态度不满意的，承检方必须及时更换。</w:t>
      </w:r>
    </w:p>
    <w:p w14:paraId="5A60559C">
      <w:pPr>
        <w:numPr>
          <w:ilvl w:val="0"/>
          <w:numId w:val="0"/>
        </w:numPr>
        <w:tabs>
          <w:tab w:val="left" w:pos="9135"/>
        </w:tabs>
        <w:spacing w:line="440" w:lineRule="exact"/>
        <w:ind w:left="363" w:leftChars="92" w:hanging="170" w:hangingChars="71"/>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cs="宋体"/>
          <w:b w:val="0"/>
          <w:bCs w:val="0"/>
          <w:color w:val="000000"/>
          <w:kern w:val="2"/>
          <w:sz w:val="24"/>
          <w:szCs w:val="24"/>
          <w:highlight w:val="none"/>
          <w:lang w:val="en-US" w:eastAsia="zh-CN" w:bidi="ar-SA"/>
        </w:rPr>
        <w:t>3</w:t>
      </w:r>
      <w:r>
        <w:rPr>
          <w:rFonts w:hint="default" w:ascii="宋体" w:hAnsi="宋体" w:eastAsia="宋体" w:cs="宋体"/>
          <w:b w:val="0"/>
          <w:bCs w:val="0"/>
          <w:color w:val="000000"/>
          <w:kern w:val="2"/>
          <w:sz w:val="24"/>
          <w:szCs w:val="24"/>
          <w:highlight w:val="none"/>
          <w:lang w:val="en-US" w:eastAsia="zh-CN" w:bidi="ar-SA"/>
        </w:rPr>
        <w:t>、</w:t>
      </w:r>
      <w:r>
        <w:rPr>
          <w:rFonts w:hint="eastAsia" w:ascii="宋体" w:hAnsi="宋体" w:eastAsia="宋体" w:cs="宋体"/>
          <w:b w:val="0"/>
          <w:bCs w:val="0"/>
          <w:color w:val="000000"/>
          <w:kern w:val="2"/>
          <w:sz w:val="24"/>
          <w:szCs w:val="24"/>
          <w:highlight w:val="none"/>
          <w:lang w:val="en-US" w:eastAsia="zh-CN" w:bidi="ar-SA"/>
        </w:rPr>
        <w:t>本项目必须由具备法定资质的检验检测机构完全承担，有资质的产品必须由承检方自己检验，没有资质的产品可以分包，但需要提交书面申请经</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同意，未经</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书面同意，承检方不得分包，擅自分包检验任务甚至转包检验任务的，将取消其本项目检测服务资格。</w:t>
      </w:r>
    </w:p>
    <w:p w14:paraId="06B3687A">
      <w:pPr>
        <w:pStyle w:val="6"/>
        <w:spacing w:line="360" w:lineRule="auto"/>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cs="宋体"/>
          <w:b w:val="0"/>
          <w:bCs w:val="0"/>
          <w:color w:val="000000"/>
          <w:kern w:val="2"/>
          <w:sz w:val="24"/>
          <w:szCs w:val="24"/>
          <w:highlight w:val="none"/>
          <w:lang w:val="en-US" w:eastAsia="zh-CN" w:bidi="ar-SA"/>
        </w:rPr>
        <w:t>4</w:t>
      </w:r>
      <w:r>
        <w:rPr>
          <w:rFonts w:hint="default" w:ascii="宋体" w:hAnsi="宋体" w:eastAsia="宋体" w:cs="宋体"/>
          <w:b w:val="0"/>
          <w:bCs w:val="0"/>
          <w:color w:val="000000"/>
          <w:kern w:val="2"/>
          <w:sz w:val="24"/>
          <w:szCs w:val="24"/>
          <w:highlight w:val="none"/>
          <w:lang w:val="en-US" w:eastAsia="zh-CN" w:bidi="ar-SA"/>
        </w:rPr>
        <w:t>、</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如发现承检方违反本合同规定，出现违法违规行为或严重违约行为的，</w:t>
      </w:r>
      <w:r>
        <w:rPr>
          <w:rFonts w:hint="eastAsia" w:ascii="宋体" w:hAnsi="宋体" w:cs="宋体"/>
          <w:b w:val="0"/>
          <w:bCs w:val="0"/>
          <w:color w:val="000000"/>
          <w:kern w:val="2"/>
          <w:sz w:val="24"/>
          <w:szCs w:val="24"/>
          <w:highlight w:val="none"/>
          <w:lang w:val="en-US" w:eastAsia="zh-CN" w:bidi="ar-SA"/>
        </w:rPr>
        <w:t>甲方</w:t>
      </w:r>
      <w:r>
        <w:rPr>
          <w:rFonts w:hint="eastAsia" w:ascii="宋体" w:hAnsi="宋体" w:eastAsia="宋体" w:cs="宋体"/>
          <w:b w:val="0"/>
          <w:bCs w:val="0"/>
          <w:color w:val="000000"/>
          <w:kern w:val="2"/>
          <w:sz w:val="24"/>
          <w:szCs w:val="24"/>
          <w:highlight w:val="none"/>
          <w:lang w:val="en-US" w:eastAsia="zh-CN" w:bidi="ar-SA"/>
        </w:rPr>
        <w:t>除单方终止合同外，将依法追究承检方和相关人员的法律责任，并将承检方列入不诚信</w:t>
      </w:r>
      <w:r>
        <w:rPr>
          <w:rFonts w:hint="eastAsia" w:ascii="宋体" w:hAnsi="宋体" w:cs="宋体"/>
          <w:b w:val="0"/>
          <w:bCs w:val="0"/>
          <w:color w:val="000000"/>
          <w:kern w:val="2"/>
          <w:sz w:val="24"/>
          <w:szCs w:val="24"/>
          <w:highlight w:val="none"/>
          <w:lang w:val="en-US" w:eastAsia="zh-CN" w:bidi="ar-SA"/>
        </w:rPr>
        <w:t>乙方</w:t>
      </w:r>
      <w:r>
        <w:rPr>
          <w:rFonts w:hint="eastAsia" w:ascii="宋体" w:hAnsi="宋体" w:eastAsia="宋体" w:cs="宋体"/>
          <w:b w:val="0"/>
          <w:bCs w:val="0"/>
          <w:color w:val="000000"/>
          <w:kern w:val="2"/>
          <w:sz w:val="24"/>
          <w:szCs w:val="24"/>
          <w:highlight w:val="none"/>
          <w:lang w:val="en-US" w:eastAsia="zh-CN" w:bidi="ar-SA"/>
        </w:rPr>
        <w:t>名单，拒绝其参加今后采购单位相关检测项目的投标资格。承检方合同履约质量明显不良的，将在今后采购单位检测招标项目相关评分项中作相应扣分。</w:t>
      </w:r>
    </w:p>
    <w:p w14:paraId="2C3622B8">
      <w:pPr>
        <w:pStyle w:val="6"/>
        <w:spacing w:line="360" w:lineRule="auto"/>
        <w:ind w:firstLine="0" w:firstLineChars="0"/>
        <w:rPr>
          <w:rFonts w:hint="eastAsia" w:ascii="宋体" w:hAnsi="宋体" w:eastAsia="宋体" w:cs="宋体"/>
          <w:b w:val="0"/>
          <w:bCs w:val="0"/>
          <w:color w:val="000000"/>
          <w:kern w:val="2"/>
          <w:sz w:val="24"/>
          <w:szCs w:val="24"/>
          <w:highlight w:val="none"/>
          <w:lang w:val="en-US" w:eastAsia="zh-CN" w:bidi="ar-SA"/>
        </w:rPr>
      </w:pPr>
    </w:p>
    <w:p w14:paraId="03A2CDB7">
      <w:pPr>
        <w:pStyle w:val="6"/>
        <w:spacing w:line="360" w:lineRule="auto"/>
        <w:ind w:firstLine="0" w:firstLineChars="0"/>
        <w:rPr>
          <w:rFonts w:hint="eastAsia" w:ascii="宋体" w:hAnsi="宋体" w:eastAsia="宋体" w:cs="宋体"/>
          <w:b w:val="0"/>
          <w:bCs w:val="0"/>
          <w:color w:val="000000"/>
          <w:kern w:val="2"/>
          <w:sz w:val="24"/>
          <w:szCs w:val="24"/>
          <w:highlight w:val="none"/>
          <w:lang w:val="en-US" w:eastAsia="zh-CN" w:bidi="ar-SA"/>
        </w:rPr>
      </w:pPr>
    </w:p>
    <w:p w14:paraId="31C5F6A9">
      <w:pPr>
        <w:pStyle w:val="6"/>
        <w:spacing w:line="360" w:lineRule="auto"/>
        <w:ind w:firstLine="0" w:firstLineChars="0"/>
        <w:rPr>
          <w:rFonts w:hint="eastAsia"/>
          <w:b/>
          <w:bCs/>
        </w:rPr>
      </w:pPr>
    </w:p>
    <w:p w14:paraId="37EAC790">
      <w:pPr>
        <w:pStyle w:val="6"/>
        <w:spacing w:line="360" w:lineRule="auto"/>
        <w:ind w:firstLine="0" w:firstLineChars="0"/>
        <w:rPr>
          <w:rFonts w:hint="eastAsia"/>
          <w:b/>
          <w:bCs/>
        </w:rPr>
      </w:pPr>
    </w:p>
    <w:p w14:paraId="4363782D">
      <w:pPr>
        <w:pStyle w:val="6"/>
        <w:spacing w:line="360" w:lineRule="auto"/>
        <w:ind w:firstLine="0" w:firstLineChars="0"/>
        <w:rPr>
          <w:rFonts w:hint="eastAsia"/>
          <w:b/>
          <w:bCs/>
        </w:rPr>
      </w:pPr>
    </w:p>
    <w:p w14:paraId="33B26D73">
      <w:pPr>
        <w:pStyle w:val="6"/>
        <w:spacing w:line="360" w:lineRule="auto"/>
        <w:ind w:firstLine="0" w:firstLineChars="0"/>
        <w:rPr>
          <w:rFonts w:hint="eastAsia"/>
          <w:b/>
          <w:bCs/>
        </w:rPr>
      </w:pPr>
    </w:p>
    <w:p w14:paraId="68422AC2">
      <w:pPr>
        <w:pStyle w:val="6"/>
        <w:spacing w:line="360" w:lineRule="auto"/>
        <w:ind w:firstLine="0" w:firstLineChars="0"/>
        <w:rPr>
          <w:rFonts w:hint="eastAsia"/>
          <w:b/>
          <w:bCs/>
        </w:rPr>
      </w:pPr>
    </w:p>
    <w:p w14:paraId="05DB097D">
      <w:pPr>
        <w:pStyle w:val="6"/>
        <w:spacing w:line="360" w:lineRule="auto"/>
        <w:ind w:firstLine="0" w:firstLineChars="0"/>
        <w:rPr>
          <w:rFonts w:hint="eastAsia"/>
          <w:b/>
          <w:bCs/>
        </w:rPr>
      </w:pPr>
    </w:p>
    <w:p w14:paraId="08CCBDFA">
      <w:pPr>
        <w:pStyle w:val="6"/>
        <w:spacing w:line="360" w:lineRule="auto"/>
        <w:ind w:firstLine="0" w:firstLineChars="0"/>
        <w:rPr>
          <w:rFonts w:hint="eastAsia"/>
          <w:b/>
          <w:bCs/>
        </w:rPr>
      </w:pPr>
    </w:p>
    <w:p w14:paraId="3034A9F7">
      <w:pPr>
        <w:pStyle w:val="6"/>
        <w:spacing w:line="360" w:lineRule="auto"/>
        <w:ind w:firstLine="0" w:firstLineChars="0"/>
        <w:rPr>
          <w:rFonts w:hint="eastAsia"/>
          <w:b/>
          <w:bCs/>
        </w:rPr>
      </w:pPr>
      <w:r>
        <w:rPr>
          <w:rFonts w:hint="eastAsia"/>
          <w:b/>
          <w:bCs/>
        </w:rPr>
        <w:t>合同附件2：报价明细表</w:t>
      </w:r>
    </w:p>
    <w:p w14:paraId="5FFC5996">
      <w:pPr>
        <w:pStyle w:val="6"/>
        <w:spacing w:line="360" w:lineRule="auto"/>
        <w:ind w:firstLine="0" w:firstLineChars="0"/>
        <w:jc w:val="center"/>
        <w:rPr>
          <w:rFonts w:hint="eastAsia"/>
          <w:b/>
          <w:bCs/>
        </w:rPr>
      </w:pPr>
      <w:r>
        <w:rPr>
          <w:rFonts w:hint="eastAsia" w:cs="宋体"/>
          <w:b/>
          <w:bCs/>
          <w:kern w:val="0"/>
          <w:lang w:val="en-US" w:eastAsia="zh-CN"/>
        </w:rPr>
        <w:t xml:space="preserve">                                               </w:t>
      </w:r>
      <w:r>
        <w:rPr>
          <w:rFonts w:hint="eastAsia" w:cs="宋体"/>
          <w:b/>
          <w:bCs/>
          <w:kern w:val="0"/>
        </w:rPr>
        <w:t>单位：元</w:t>
      </w:r>
    </w:p>
    <w:tbl>
      <w:tblPr>
        <w:tblStyle w:val="22"/>
        <w:tblW w:w="486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6"/>
        <w:gridCol w:w="1268"/>
        <w:gridCol w:w="1978"/>
        <w:gridCol w:w="1568"/>
        <w:gridCol w:w="2262"/>
        <w:gridCol w:w="1008"/>
        <w:gridCol w:w="1008"/>
      </w:tblGrid>
      <w:tr w14:paraId="7B078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trPr>
        <w:tc>
          <w:tcPr>
            <w:tcW w:w="307" w:type="pct"/>
            <w:vAlign w:val="center"/>
          </w:tcPr>
          <w:p w14:paraId="0DB5948C">
            <w:pPr>
              <w:spacing w:line="360" w:lineRule="auto"/>
              <w:jc w:val="center"/>
              <w:rPr>
                <w:rFonts w:hint="eastAsia" w:ascii="宋体" w:hAnsi="宋体" w:cs="宋体"/>
                <w:b/>
                <w:sz w:val="24"/>
              </w:rPr>
            </w:pPr>
            <w:r>
              <w:rPr>
                <w:rFonts w:hint="eastAsia" w:ascii="宋体" w:hAnsi="宋体" w:cs="宋体"/>
                <w:b/>
                <w:sz w:val="24"/>
              </w:rPr>
              <w:t>序号</w:t>
            </w:r>
          </w:p>
        </w:tc>
        <w:tc>
          <w:tcPr>
            <w:tcW w:w="654" w:type="pct"/>
            <w:vAlign w:val="center"/>
          </w:tcPr>
          <w:p w14:paraId="4C225349">
            <w:pPr>
              <w:spacing w:line="360" w:lineRule="auto"/>
              <w:jc w:val="center"/>
              <w:rPr>
                <w:rFonts w:hint="default" w:ascii="宋体" w:hAnsi="宋体" w:eastAsia="宋体" w:cs="宋体"/>
                <w:b/>
                <w:sz w:val="24"/>
                <w:lang w:val="en-US" w:eastAsia="zh-CN"/>
              </w:rPr>
            </w:pPr>
            <w:r>
              <w:rPr>
                <w:rFonts w:hint="eastAsia" w:ascii="宋体" w:hAnsi="宋体" w:cs="宋体"/>
                <w:b/>
                <w:sz w:val="24"/>
                <w:lang w:val="en-US" w:eastAsia="zh-CN"/>
              </w:rPr>
              <w:t>产品类别</w:t>
            </w:r>
          </w:p>
        </w:tc>
        <w:tc>
          <w:tcPr>
            <w:tcW w:w="1020" w:type="pct"/>
            <w:vAlign w:val="center"/>
          </w:tcPr>
          <w:p w14:paraId="46739D1E">
            <w:pPr>
              <w:spacing w:line="360" w:lineRule="auto"/>
              <w:jc w:val="center"/>
              <w:rPr>
                <w:rFonts w:hint="eastAsia" w:ascii="宋体" w:hAnsi="宋体" w:cs="宋体"/>
                <w:b/>
                <w:sz w:val="24"/>
              </w:rPr>
            </w:pPr>
            <w:r>
              <w:rPr>
                <w:rFonts w:hint="eastAsia" w:ascii="宋体" w:hAnsi="宋体" w:cs="宋体"/>
                <w:b/>
                <w:sz w:val="24"/>
              </w:rPr>
              <w:t>产品名称</w:t>
            </w:r>
          </w:p>
        </w:tc>
        <w:tc>
          <w:tcPr>
            <w:tcW w:w="809" w:type="pct"/>
            <w:vAlign w:val="center"/>
          </w:tcPr>
          <w:p w14:paraId="7A0BB6B8">
            <w:pPr>
              <w:spacing w:line="360" w:lineRule="auto"/>
              <w:jc w:val="center"/>
              <w:rPr>
                <w:rFonts w:hint="default" w:ascii="宋体" w:hAnsi="宋体" w:eastAsia="宋体" w:cs="宋体"/>
                <w:b/>
                <w:sz w:val="24"/>
                <w:lang w:val="en-US" w:eastAsia="zh-CN"/>
              </w:rPr>
            </w:pPr>
            <w:r>
              <w:rPr>
                <w:rFonts w:hint="eastAsia" w:ascii="宋体" w:hAnsi="宋体" w:cs="宋体"/>
                <w:b/>
                <w:sz w:val="24"/>
                <w:lang w:val="en-US" w:eastAsia="zh-CN"/>
              </w:rPr>
              <w:t>检测项目</w:t>
            </w:r>
          </w:p>
        </w:tc>
        <w:tc>
          <w:tcPr>
            <w:tcW w:w="1167" w:type="pct"/>
            <w:vAlign w:val="center"/>
          </w:tcPr>
          <w:p w14:paraId="5D3F5CB4">
            <w:pPr>
              <w:spacing w:line="360" w:lineRule="auto"/>
              <w:jc w:val="center"/>
              <w:rPr>
                <w:rFonts w:hint="default" w:ascii="宋体" w:hAnsi="宋体" w:eastAsia="宋体" w:cs="宋体"/>
                <w:b/>
                <w:sz w:val="24"/>
                <w:lang w:val="en-US" w:eastAsia="zh-CN"/>
              </w:rPr>
            </w:pPr>
            <w:r>
              <w:rPr>
                <w:rFonts w:hint="eastAsia" w:ascii="宋体" w:hAnsi="宋体" w:cs="宋体"/>
                <w:b/>
                <w:sz w:val="24"/>
                <w:lang w:val="en-US" w:eastAsia="zh-CN"/>
              </w:rPr>
              <w:t>每批次投标单价（元）</w:t>
            </w:r>
          </w:p>
        </w:tc>
        <w:tc>
          <w:tcPr>
            <w:tcW w:w="520" w:type="pct"/>
            <w:vAlign w:val="center"/>
          </w:tcPr>
          <w:p w14:paraId="36F3A710">
            <w:pPr>
              <w:spacing w:line="360" w:lineRule="auto"/>
              <w:jc w:val="center"/>
              <w:rPr>
                <w:rFonts w:hint="default" w:ascii="宋体" w:hAnsi="宋体" w:eastAsia="宋体" w:cs="宋体"/>
                <w:b/>
                <w:sz w:val="24"/>
                <w:lang w:val="en-US" w:eastAsia="zh-CN"/>
              </w:rPr>
            </w:pPr>
            <w:r>
              <w:rPr>
                <w:rFonts w:hint="eastAsia" w:ascii="宋体" w:hAnsi="宋体" w:cs="宋体"/>
                <w:b/>
                <w:sz w:val="24"/>
                <w:lang w:val="en-US" w:eastAsia="zh-CN"/>
              </w:rPr>
              <w:t>批次数</w:t>
            </w:r>
          </w:p>
        </w:tc>
        <w:tc>
          <w:tcPr>
            <w:tcW w:w="520" w:type="pct"/>
            <w:vAlign w:val="center"/>
          </w:tcPr>
          <w:p w14:paraId="704C8A51">
            <w:pPr>
              <w:spacing w:line="360" w:lineRule="auto"/>
              <w:jc w:val="center"/>
              <w:rPr>
                <w:rFonts w:hint="default" w:ascii="宋体" w:hAnsi="宋体" w:cs="宋体"/>
                <w:b/>
                <w:sz w:val="24"/>
                <w:lang w:val="en-US" w:eastAsia="zh-CN"/>
              </w:rPr>
            </w:pPr>
            <w:r>
              <w:rPr>
                <w:rFonts w:hint="eastAsia" w:ascii="宋体" w:hAnsi="宋体" w:cs="宋体"/>
                <w:b/>
                <w:sz w:val="24"/>
                <w:lang w:val="en-US" w:eastAsia="zh-CN"/>
              </w:rPr>
              <w:t>投标报价（元）</w:t>
            </w:r>
          </w:p>
        </w:tc>
      </w:tr>
      <w:tr w14:paraId="2B821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307" w:type="pct"/>
            <w:vAlign w:val="center"/>
          </w:tcPr>
          <w:p w14:paraId="07F46401">
            <w:pPr>
              <w:spacing w:line="360" w:lineRule="auto"/>
              <w:jc w:val="center"/>
              <w:rPr>
                <w:rFonts w:hint="eastAsia" w:ascii="宋体" w:hAnsi="宋体" w:cs="宋体"/>
                <w:sz w:val="24"/>
              </w:rPr>
            </w:pPr>
            <w:r>
              <w:rPr>
                <w:rFonts w:hint="eastAsia" w:ascii="宋体" w:hAnsi="宋体" w:cs="宋体"/>
                <w:sz w:val="24"/>
              </w:rPr>
              <w:t>1</w:t>
            </w:r>
          </w:p>
        </w:tc>
        <w:tc>
          <w:tcPr>
            <w:tcW w:w="654" w:type="pct"/>
            <w:vAlign w:val="center"/>
          </w:tcPr>
          <w:p w14:paraId="3BD3347E">
            <w:pPr>
              <w:widowControl/>
              <w:adjustRightInd/>
              <w:snapToGrid w:val="0"/>
              <w:spacing w:line="360" w:lineRule="auto"/>
              <w:jc w:val="center"/>
              <w:textAlignment w:val="center"/>
              <w:rPr>
                <w:rFonts w:hint="eastAsia" w:ascii="宋体" w:hAnsi="宋体" w:cs="宋体"/>
                <w:sz w:val="24"/>
              </w:rPr>
            </w:pPr>
          </w:p>
        </w:tc>
        <w:tc>
          <w:tcPr>
            <w:tcW w:w="1020" w:type="pct"/>
            <w:vAlign w:val="center"/>
          </w:tcPr>
          <w:p w14:paraId="7F0E6620">
            <w:pPr>
              <w:widowControl/>
              <w:adjustRightInd/>
              <w:snapToGrid w:val="0"/>
              <w:spacing w:line="360" w:lineRule="auto"/>
              <w:jc w:val="center"/>
              <w:textAlignment w:val="center"/>
              <w:rPr>
                <w:rFonts w:hint="eastAsia" w:ascii="宋体" w:hAnsi="宋体" w:cs="宋体"/>
                <w:sz w:val="24"/>
              </w:rPr>
            </w:pPr>
          </w:p>
        </w:tc>
        <w:tc>
          <w:tcPr>
            <w:tcW w:w="809" w:type="pct"/>
            <w:vAlign w:val="center"/>
          </w:tcPr>
          <w:p w14:paraId="7FEA74C0">
            <w:pPr>
              <w:widowControl/>
              <w:spacing w:line="360" w:lineRule="auto"/>
              <w:jc w:val="center"/>
              <w:textAlignment w:val="center"/>
              <w:rPr>
                <w:rFonts w:hint="eastAsia" w:ascii="宋体" w:hAnsi="宋体" w:cs="宋体"/>
                <w:sz w:val="24"/>
              </w:rPr>
            </w:pPr>
          </w:p>
        </w:tc>
        <w:tc>
          <w:tcPr>
            <w:tcW w:w="1167" w:type="pct"/>
            <w:vAlign w:val="center"/>
          </w:tcPr>
          <w:p w14:paraId="31ED0D5E">
            <w:pPr>
              <w:widowControl/>
              <w:spacing w:line="360" w:lineRule="auto"/>
              <w:jc w:val="center"/>
              <w:textAlignment w:val="center"/>
              <w:rPr>
                <w:rFonts w:hint="eastAsia" w:ascii="宋体" w:hAnsi="宋体" w:cs="宋体"/>
                <w:sz w:val="24"/>
              </w:rPr>
            </w:pPr>
          </w:p>
        </w:tc>
        <w:tc>
          <w:tcPr>
            <w:tcW w:w="520" w:type="pct"/>
            <w:vAlign w:val="center"/>
          </w:tcPr>
          <w:p w14:paraId="5FD2AA70">
            <w:pPr>
              <w:widowControl/>
              <w:spacing w:line="360" w:lineRule="auto"/>
              <w:jc w:val="center"/>
              <w:textAlignment w:val="center"/>
              <w:rPr>
                <w:rFonts w:hint="eastAsia" w:ascii="宋体" w:hAnsi="宋体" w:cs="宋体"/>
                <w:sz w:val="24"/>
              </w:rPr>
            </w:pPr>
          </w:p>
        </w:tc>
        <w:tc>
          <w:tcPr>
            <w:tcW w:w="520" w:type="pct"/>
            <w:vAlign w:val="center"/>
          </w:tcPr>
          <w:p w14:paraId="55C258BD">
            <w:pPr>
              <w:widowControl/>
              <w:spacing w:line="360" w:lineRule="auto"/>
              <w:jc w:val="center"/>
              <w:textAlignment w:val="center"/>
              <w:rPr>
                <w:rFonts w:hint="eastAsia" w:ascii="宋体" w:hAnsi="宋体" w:cs="宋体"/>
                <w:sz w:val="24"/>
              </w:rPr>
            </w:pPr>
          </w:p>
        </w:tc>
      </w:tr>
      <w:tr w14:paraId="3BEDF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07" w:type="pct"/>
            <w:vAlign w:val="center"/>
          </w:tcPr>
          <w:p w14:paraId="0E7A62ED">
            <w:pPr>
              <w:spacing w:line="360" w:lineRule="auto"/>
              <w:jc w:val="center"/>
              <w:rPr>
                <w:rFonts w:hint="eastAsia" w:ascii="宋体" w:hAnsi="宋体" w:cs="宋体"/>
                <w:sz w:val="24"/>
              </w:rPr>
            </w:pPr>
            <w:r>
              <w:rPr>
                <w:rFonts w:hint="eastAsia" w:ascii="宋体" w:hAnsi="宋体" w:cs="宋体"/>
                <w:sz w:val="24"/>
              </w:rPr>
              <w:t>2</w:t>
            </w:r>
          </w:p>
        </w:tc>
        <w:tc>
          <w:tcPr>
            <w:tcW w:w="654" w:type="pct"/>
            <w:vAlign w:val="center"/>
          </w:tcPr>
          <w:p w14:paraId="362AC0A7">
            <w:pPr>
              <w:widowControl/>
              <w:adjustRightInd/>
              <w:snapToGrid w:val="0"/>
              <w:spacing w:line="360" w:lineRule="auto"/>
              <w:jc w:val="center"/>
              <w:textAlignment w:val="center"/>
              <w:rPr>
                <w:rFonts w:hint="eastAsia" w:ascii="宋体" w:hAnsi="宋体" w:cs="宋体"/>
                <w:sz w:val="24"/>
              </w:rPr>
            </w:pPr>
          </w:p>
        </w:tc>
        <w:tc>
          <w:tcPr>
            <w:tcW w:w="1020" w:type="pct"/>
            <w:vAlign w:val="center"/>
          </w:tcPr>
          <w:p w14:paraId="037A8219">
            <w:pPr>
              <w:widowControl/>
              <w:adjustRightInd/>
              <w:snapToGrid w:val="0"/>
              <w:spacing w:line="360" w:lineRule="auto"/>
              <w:jc w:val="center"/>
              <w:textAlignment w:val="center"/>
              <w:rPr>
                <w:rFonts w:hint="eastAsia" w:ascii="宋体" w:hAnsi="宋体" w:cs="宋体"/>
                <w:sz w:val="24"/>
              </w:rPr>
            </w:pPr>
          </w:p>
        </w:tc>
        <w:tc>
          <w:tcPr>
            <w:tcW w:w="809" w:type="pct"/>
            <w:vAlign w:val="center"/>
          </w:tcPr>
          <w:p w14:paraId="3E8A11C2">
            <w:pPr>
              <w:widowControl/>
              <w:spacing w:line="360" w:lineRule="auto"/>
              <w:jc w:val="center"/>
              <w:textAlignment w:val="center"/>
              <w:rPr>
                <w:rFonts w:hint="eastAsia" w:ascii="宋体" w:hAnsi="宋体" w:cs="宋体"/>
                <w:sz w:val="24"/>
              </w:rPr>
            </w:pPr>
          </w:p>
        </w:tc>
        <w:tc>
          <w:tcPr>
            <w:tcW w:w="1167" w:type="pct"/>
            <w:vAlign w:val="center"/>
          </w:tcPr>
          <w:p w14:paraId="54EAD5B5">
            <w:pPr>
              <w:widowControl/>
              <w:spacing w:line="360" w:lineRule="auto"/>
              <w:jc w:val="center"/>
              <w:textAlignment w:val="center"/>
              <w:rPr>
                <w:rFonts w:hint="eastAsia" w:ascii="宋体" w:hAnsi="宋体" w:cs="宋体"/>
                <w:sz w:val="24"/>
              </w:rPr>
            </w:pPr>
          </w:p>
        </w:tc>
        <w:tc>
          <w:tcPr>
            <w:tcW w:w="520" w:type="pct"/>
            <w:vAlign w:val="center"/>
          </w:tcPr>
          <w:p w14:paraId="7F7CF88A">
            <w:pPr>
              <w:widowControl/>
              <w:spacing w:line="360" w:lineRule="auto"/>
              <w:jc w:val="center"/>
              <w:textAlignment w:val="center"/>
              <w:rPr>
                <w:rFonts w:hint="eastAsia" w:ascii="宋体" w:hAnsi="宋体" w:cs="宋体"/>
                <w:sz w:val="24"/>
              </w:rPr>
            </w:pPr>
          </w:p>
        </w:tc>
        <w:tc>
          <w:tcPr>
            <w:tcW w:w="520" w:type="pct"/>
            <w:vAlign w:val="center"/>
          </w:tcPr>
          <w:p w14:paraId="61B1B9E3">
            <w:pPr>
              <w:widowControl/>
              <w:spacing w:line="360" w:lineRule="auto"/>
              <w:jc w:val="center"/>
              <w:textAlignment w:val="center"/>
              <w:rPr>
                <w:rFonts w:hint="eastAsia" w:ascii="宋体" w:hAnsi="宋体" w:cs="宋体"/>
                <w:sz w:val="24"/>
              </w:rPr>
            </w:pPr>
          </w:p>
        </w:tc>
      </w:tr>
      <w:tr w14:paraId="75304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07" w:type="pct"/>
            <w:vAlign w:val="center"/>
          </w:tcPr>
          <w:p w14:paraId="4ED7AA46">
            <w:pPr>
              <w:spacing w:line="360" w:lineRule="auto"/>
              <w:jc w:val="center"/>
              <w:rPr>
                <w:rFonts w:hint="eastAsia" w:ascii="宋体" w:hAnsi="宋体" w:cs="宋体"/>
                <w:sz w:val="24"/>
              </w:rPr>
            </w:pPr>
            <w:r>
              <w:rPr>
                <w:rFonts w:hint="eastAsia" w:ascii="宋体" w:hAnsi="宋体" w:cs="宋体"/>
                <w:sz w:val="24"/>
              </w:rPr>
              <w:t>3</w:t>
            </w:r>
          </w:p>
        </w:tc>
        <w:tc>
          <w:tcPr>
            <w:tcW w:w="654" w:type="pct"/>
            <w:vAlign w:val="center"/>
          </w:tcPr>
          <w:p w14:paraId="63782E6D">
            <w:pPr>
              <w:widowControl/>
              <w:adjustRightInd/>
              <w:snapToGrid w:val="0"/>
              <w:spacing w:line="360" w:lineRule="auto"/>
              <w:jc w:val="center"/>
              <w:textAlignment w:val="center"/>
              <w:rPr>
                <w:rFonts w:hint="eastAsia" w:ascii="宋体" w:hAnsi="宋体" w:cs="宋体"/>
                <w:sz w:val="24"/>
              </w:rPr>
            </w:pPr>
          </w:p>
        </w:tc>
        <w:tc>
          <w:tcPr>
            <w:tcW w:w="1020" w:type="pct"/>
            <w:vAlign w:val="center"/>
          </w:tcPr>
          <w:p w14:paraId="600330AF">
            <w:pPr>
              <w:widowControl/>
              <w:adjustRightInd/>
              <w:snapToGrid w:val="0"/>
              <w:spacing w:line="360" w:lineRule="auto"/>
              <w:jc w:val="center"/>
              <w:textAlignment w:val="center"/>
              <w:rPr>
                <w:rFonts w:hint="eastAsia" w:ascii="宋体" w:hAnsi="宋体" w:cs="宋体"/>
                <w:sz w:val="24"/>
              </w:rPr>
            </w:pPr>
          </w:p>
        </w:tc>
        <w:tc>
          <w:tcPr>
            <w:tcW w:w="809" w:type="pct"/>
            <w:vAlign w:val="center"/>
          </w:tcPr>
          <w:p w14:paraId="781F5ED8">
            <w:pPr>
              <w:widowControl/>
              <w:spacing w:line="360" w:lineRule="auto"/>
              <w:jc w:val="center"/>
              <w:textAlignment w:val="center"/>
              <w:rPr>
                <w:rFonts w:hint="eastAsia" w:ascii="宋体" w:hAnsi="宋体" w:cs="宋体"/>
                <w:sz w:val="24"/>
              </w:rPr>
            </w:pPr>
          </w:p>
        </w:tc>
        <w:tc>
          <w:tcPr>
            <w:tcW w:w="1167" w:type="pct"/>
            <w:vAlign w:val="center"/>
          </w:tcPr>
          <w:p w14:paraId="40BF600C">
            <w:pPr>
              <w:widowControl/>
              <w:spacing w:line="360" w:lineRule="auto"/>
              <w:jc w:val="center"/>
              <w:textAlignment w:val="center"/>
              <w:rPr>
                <w:rFonts w:hint="eastAsia" w:ascii="宋体" w:hAnsi="宋体" w:cs="宋体"/>
                <w:sz w:val="24"/>
              </w:rPr>
            </w:pPr>
          </w:p>
        </w:tc>
        <w:tc>
          <w:tcPr>
            <w:tcW w:w="520" w:type="pct"/>
            <w:vAlign w:val="center"/>
          </w:tcPr>
          <w:p w14:paraId="377F4973">
            <w:pPr>
              <w:widowControl/>
              <w:spacing w:line="360" w:lineRule="auto"/>
              <w:jc w:val="center"/>
              <w:textAlignment w:val="center"/>
              <w:rPr>
                <w:rFonts w:hint="eastAsia" w:ascii="宋体" w:hAnsi="宋体" w:cs="宋体"/>
                <w:sz w:val="24"/>
              </w:rPr>
            </w:pPr>
          </w:p>
        </w:tc>
        <w:tc>
          <w:tcPr>
            <w:tcW w:w="520" w:type="pct"/>
            <w:vAlign w:val="center"/>
          </w:tcPr>
          <w:p w14:paraId="26380EDA">
            <w:pPr>
              <w:widowControl/>
              <w:spacing w:line="360" w:lineRule="auto"/>
              <w:jc w:val="center"/>
              <w:textAlignment w:val="center"/>
              <w:rPr>
                <w:rFonts w:hint="eastAsia" w:ascii="宋体" w:hAnsi="宋体" w:cs="宋体"/>
                <w:sz w:val="24"/>
              </w:rPr>
            </w:pPr>
          </w:p>
        </w:tc>
      </w:tr>
      <w:tr w14:paraId="12925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07" w:type="pct"/>
            <w:vAlign w:val="center"/>
          </w:tcPr>
          <w:p w14:paraId="0ED99ACB">
            <w:pPr>
              <w:spacing w:line="360" w:lineRule="auto"/>
              <w:jc w:val="center"/>
              <w:rPr>
                <w:rFonts w:hint="eastAsia" w:ascii="宋体" w:hAnsi="宋体" w:cs="宋体"/>
                <w:sz w:val="24"/>
              </w:rPr>
            </w:pPr>
            <w:r>
              <w:rPr>
                <w:rFonts w:hint="eastAsia" w:ascii="宋体" w:hAnsi="宋体" w:cs="宋体"/>
                <w:sz w:val="24"/>
              </w:rPr>
              <w:t>4</w:t>
            </w:r>
          </w:p>
        </w:tc>
        <w:tc>
          <w:tcPr>
            <w:tcW w:w="654" w:type="pct"/>
            <w:vAlign w:val="center"/>
          </w:tcPr>
          <w:p w14:paraId="0FC932A3">
            <w:pPr>
              <w:widowControl/>
              <w:adjustRightInd/>
              <w:snapToGrid w:val="0"/>
              <w:spacing w:line="360" w:lineRule="auto"/>
              <w:jc w:val="center"/>
              <w:textAlignment w:val="center"/>
              <w:rPr>
                <w:rFonts w:hint="eastAsia" w:ascii="宋体" w:hAnsi="宋体" w:cs="宋体"/>
                <w:sz w:val="24"/>
              </w:rPr>
            </w:pPr>
          </w:p>
        </w:tc>
        <w:tc>
          <w:tcPr>
            <w:tcW w:w="1020" w:type="pct"/>
            <w:vAlign w:val="center"/>
          </w:tcPr>
          <w:p w14:paraId="60B0F706">
            <w:pPr>
              <w:widowControl/>
              <w:adjustRightInd/>
              <w:snapToGrid w:val="0"/>
              <w:spacing w:line="360" w:lineRule="auto"/>
              <w:jc w:val="center"/>
              <w:textAlignment w:val="center"/>
              <w:rPr>
                <w:rFonts w:hint="eastAsia" w:ascii="宋体" w:hAnsi="宋体" w:cs="宋体"/>
                <w:sz w:val="24"/>
              </w:rPr>
            </w:pPr>
          </w:p>
        </w:tc>
        <w:tc>
          <w:tcPr>
            <w:tcW w:w="809" w:type="pct"/>
            <w:vAlign w:val="center"/>
          </w:tcPr>
          <w:p w14:paraId="130E8AD0">
            <w:pPr>
              <w:widowControl/>
              <w:spacing w:line="360" w:lineRule="auto"/>
              <w:jc w:val="center"/>
              <w:textAlignment w:val="center"/>
              <w:rPr>
                <w:rFonts w:hint="eastAsia" w:ascii="宋体" w:hAnsi="宋体" w:cs="宋体"/>
                <w:sz w:val="24"/>
              </w:rPr>
            </w:pPr>
          </w:p>
        </w:tc>
        <w:tc>
          <w:tcPr>
            <w:tcW w:w="1167" w:type="pct"/>
            <w:vAlign w:val="center"/>
          </w:tcPr>
          <w:p w14:paraId="4CC3B9CC">
            <w:pPr>
              <w:widowControl/>
              <w:spacing w:line="360" w:lineRule="auto"/>
              <w:jc w:val="center"/>
              <w:textAlignment w:val="center"/>
              <w:rPr>
                <w:rFonts w:hint="eastAsia" w:ascii="宋体" w:hAnsi="宋体" w:cs="宋体"/>
                <w:sz w:val="24"/>
              </w:rPr>
            </w:pPr>
          </w:p>
        </w:tc>
        <w:tc>
          <w:tcPr>
            <w:tcW w:w="520" w:type="pct"/>
            <w:vAlign w:val="center"/>
          </w:tcPr>
          <w:p w14:paraId="65EAF6B3">
            <w:pPr>
              <w:widowControl/>
              <w:spacing w:line="360" w:lineRule="auto"/>
              <w:jc w:val="center"/>
              <w:textAlignment w:val="center"/>
              <w:rPr>
                <w:rFonts w:hint="eastAsia" w:ascii="宋体" w:hAnsi="宋体" w:cs="宋体"/>
                <w:sz w:val="24"/>
              </w:rPr>
            </w:pPr>
          </w:p>
        </w:tc>
        <w:tc>
          <w:tcPr>
            <w:tcW w:w="520" w:type="pct"/>
            <w:vAlign w:val="center"/>
          </w:tcPr>
          <w:p w14:paraId="2CFE33CD">
            <w:pPr>
              <w:widowControl/>
              <w:spacing w:line="360" w:lineRule="auto"/>
              <w:jc w:val="center"/>
              <w:textAlignment w:val="center"/>
              <w:rPr>
                <w:rFonts w:hint="eastAsia" w:ascii="宋体" w:hAnsi="宋体" w:cs="宋体"/>
                <w:sz w:val="24"/>
              </w:rPr>
            </w:pPr>
          </w:p>
        </w:tc>
      </w:tr>
      <w:tr w14:paraId="74557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07" w:type="pct"/>
            <w:vAlign w:val="center"/>
          </w:tcPr>
          <w:p w14:paraId="7BD6C1D7">
            <w:pPr>
              <w:spacing w:line="360" w:lineRule="auto"/>
              <w:jc w:val="center"/>
              <w:rPr>
                <w:rFonts w:hint="eastAsia" w:ascii="宋体" w:hAnsi="宋体" w:cs="宋体"/>
                <w:sz w:val="24"/>
              </w:rPr>
            </w:pPr>
            <w:r>
              <w:rPr>
                <w:rFonts w:hint="eastAsia" w:ascii="宋体" w:hAnsi="宋体" w:cs="宋体"/>
                <w:sz w:val="24"/>
              </w:rPr>
              <w:t>5</w:t>
            </w:r>
          </w:p>
        </w:tc>
        <w:tc>
          <w:tcPr>
            <w:tcW w:w="654" w:type="pct"/>
            <w:vAlign w:val="center"/>
          </w:tcPr>
          <w:p w14:paraId="01A901D3">
            <w:pPr>
              <w:widowControl/>
              <w:adjustRightInd/>
              <w:snapToGrid w:val="0"/>
              <w:spacing w:line="360" w:lineRule="auto"/>
              <w:jc w:val="center"/>
              <w:textAlignment w:val="center"/>
              <w:rPr>
                <w:rFonts w:hint="eastAsia" w:ascii="宋体" w:hAnsi="宋体" w:cs="宋体"/>
                <w:sz w:val="24"/>
              </w:rPr>
            </w:pPr>
          </w:p>
        </w:tc>
        <w:tc>
          <w:tcPr>
            <w:tcW w:w="1020" w:type="pct"/>
            <w:vAlign w:val="center"/>
          </w:tcPr>
          <w:p w14:paraId="5E7760FD">
            <w:pPr>
              <w:widowControl/>
              <w:adjustRightInd/>
              <w:snapToGrid w:val="0"/>
              <w:spacing w:line="360" w:lineRule="auto"/>
              <w:jc w:val="center"/>
              <w:textAlignment w:val="center"/>
              <w:rPr>
                <w:rFonts w:hint="eastAsia" w:ascii="宋体" w:hAnsi="宋体" w:cs="宋体"/>
                <w:sz w:val="24"/>
              </w:rPr>
            </w:pPr>
          </w:p>
        </w:tc>
        <w:tc>
          <w:tcPr>
            <w:tcW w:w="809" w:type="pct"/>
            <w:vAlign w:val="center"/>
          </w:tcPr>
          <w:p w14:paraId="54F1334A">
            <w:pPr>
              <w:widowControl/>
              <w:spacing w:line="360" w:lineRule="auto"/>
              <w:jc w:val="center"/>
              <w:textAlignment w:val="center"/>
              <w:rPr>
                <w:rFonts w:hint="eastAsia" w:ascii="宋体" w:hAnsi="宋体" w:cs="宋体"/>
                <w:sz w:val="24"/>
              </w:rPr>
            </w:pPr>
          </w:p>
        </w:tc>
        <w:tc>
          <w:tcPr>
            <w:tcW w:w="1167" w:type="pct"/>
            <w:vAlign w:val="center"/>
          </w:tcPr>
          <w:p w14:paraId="332470B0">
            <w:pPr>
              <w:widowControl/>
              <w:spacing w:line="360" w:lineRule="auto"/>
              <w:jc w:val="center"/>
              <w:textAlignment w:val="center"/>
              <w:rPr>
                <w:rFonts w:hint="eastAsia" w:ascii="宋体" w:hAnsi="宋体" w:cs="宋体"/>
                <w:sz w:val="24"/>
              </w:rPr>
            </w:pPr>
          </w:p>
        </w:tc>
        <w:tc>
          <w:tcPr>
            <w:tcW w:w="520" w:type="pct"/>
            <w:vAlign w:val="center"/>
          </w:tcPr>
          <w:p w14:paraId="49F7EF01">
            <w:pPr>
              <w:widowControl/>
              <w:spacing w:line="360" w:lineRule="auto"/>
              <w:jc w:val="center"/>
              <w:textAlignment w:val="center"/>
              <w:rPr>
                <w:rFonts w:hint="eastAsia" w:ascii="宋体" w:hAnsi="宋体" w:cs="宋体"/>
                <w:sz w:val="24"/>
              </w:rPr>
            </w:pPr>
          </w:p>
        </w:tc>
        <w:tc>
          <w:tcPr>
            <w:tcW w:w="520" w:type="pct"/>
            <w:vAlign w:val="center"/>
          </w:tcPr>
          <w:p w14:paraId="6133573B">
            <w:pPr>
              <w:widowControl/>
              <w:spacing w:line="360" w:lineRule="auto"/>
              <w:jc w:val="center"/>
              <w:textAlignment w:val="center"/>
              <w:rPr>
                <w:rFonts w:hint="eastAsia" w:ascii="宋体" w:hAnsi="宋体" w:cs="宋体"/>
                <w:sz w:val="24"/>
              </w:rPr>
            </w:pPr>
          </w:p>
        </w:tc>
      </w:tr>
      <w:tr w14:paraId="49FE6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07" w:type="pct"/>
            <w:vAlign w:val="center"/>
          </w:tcPr>
          <w:p w14:paraId="6A0202C9">
            <w:pPr>
              <w:spacing w:line="360" w:lineRule="auto"/>
              <w:jc w:val="center"/>
              <w:rPr>
                <w:rFonts w:hint="eastAsia" w:ascii="宋体" w:hAnsi="宋体" w:cs="宋体"/>
                <w:sz w:val="24"/>
              </w:rPr>
            </w:pPr>
            <w:r>
              <w:rPr>
                <w:rFonts w:hint="eastAsia" w:ascii="宋体" w:hAnsi="宋体" w:cs="宋体"/>
                <w:sz w:val="24"/>
              </w:rPr>
              <w:t>……</w:t>
            </w:r>
          </w:p>
        </w:tc>
        <w:tc>
          <w:tcPr>
            <w:tcW w:w="654" w:type="pct"/>
            <w:vAlign w:val="center"/>
          </w:tcPr>
          <w:p w14:paraId="380DBF33">
            <w:pPr>
              <w:widowControl/>
              <w:adjustRightInd/>
              <w:snapToGrid w:val="0"/>
              <w:spacing w:line="360" w:lineRule="auto"/>
              <w:jc w:val="center"/>
              <w:textAlignment w:val="center"/>
              <w:rPr>
                <w:rFonts w:hint="eastAsia" w:ascii="宋体" w:hAnsi="宋体" w:cs="宋体"/>
                <w:sz w:val="24"/>
              </w:rPr>
            </w:pPr>
          </w:p>
        </w:tc>
        <w:tc>
          <w:tcPr>
            <w:tcW w:w="1020" w:type="pct"/>
            <w:vAlign w:val="center"/>
          </w:tcPr>
          <w:p w14:paraId="4AC46C29">
            <w:pPr>
              <w:widowControl/>
              <w:adjustRightInd/>
              <w:snapToGrid w:val="0"/>
              <w:spacing w:line="360" w:lineRule="auto"/>
              <w:jc w:val="center"/>
              <w:textAlignment w:val="center"/>
              <w:rPr>
                <w:rFonts w:hint="eastAsia" w:ascii="宋体" w:hAnsi="宋体" w:cs="宋体"/>
                <w:sz w:val="24"/>
              </w:rPr>
            </w:pPr>
          </w:p>
        </w:tc>
        <w:tc>
          <w:tcPr>
            <w:tcW w:w="809" w:type="pct"/>
            <w:vAlign w:val="center"/>
          </w:tcPr>
          <w:p w14:paraId="09C2D5BE">
            <w:pPr>
              <w:widowControl/>
              <w:spacing w:line="360" w:lineRule="auto"/>
              <w:jc w:val="center"/>
              <w:textAlignment w:val="center"/>
              <w:rPr>
                <w:rFonts w:hint="eastAsia" w:ascii="宋体" w:hAnsi="宋体" w:cs="宋体"/>
                <w:sz w:val="24"/>
              </w:rPr>
            </w:pPr>
          </w:p>
        </w:tc>
        <w:tc>
          <w:tcPr>
            <w:tcW w:w="1167" w:type="pct"/>
            <w:vAlign w:val="center"/>
          </w:tcPr>
          <w:p w14:paraId="41697CA3">
            <w:pPr>
              <w:widowControl/>
              <w:spacing w:line="360" w:lineRule="auto"/>
              <w:jc w:val="center"/>
              <w:textAlignment w:val="center"/>
              <w:rPr>
                <w:rFonts w:hint="eastAsia" w:ascii="宋体" w:hAnsi="宋体" w:cs="宋体"/>
                <w:sz w:val="24"/>
              </w:rPr>
            </w:pPr>
          </w:p>
        </w:tc>
        <w:tc>
          <w:tcPr>
            <w:tcW w:w="520" w:type="pct"/>
            <w:vAlign w:val="center"/>
          </w:tcPr>
          <w:p w14:paraId="79920830">
            <w:pPr>
              <w:widowControl/>
              <w:spacing w:line="360" w:lineRule="auto"/>
              <w:jc w:val="center"/>
              <w:textAlignment w:val="center"/>
              <w:rPr>
                <w:rFonts w:hint="eastAsia" w:ascii="宋体" w:hAnsi="宋体" w:cs="宋体"/>
                <w:sz w:val="24"/>
              </w:rPr>
            </w:pPr>
          </w:p>
        </w:tc>
        <w:tc>
          <w:tcPr>
            <w:tcW w:w="520" w:type="pct"/>
            <w:vAlign w:val="center"/>
          </w:tcPr>
          <w:p w14:paraId="6B70823F">
            <w:pPr>
              <w:widowControl/>
              <w:spacing w:line="360" w:lineRule="auto"/>
              <w:jc w:val="center"/>
              <w:textAlignment w:val="center"/>
              <w:rPr>
                <w:rFonts w:hint="eastAsia" w:ascii="宋体" w:hAnsi="宋体" w:cs="宋体"/>
                <w:sz w:val="24"/>
              </w:rPr>
            </w:pPr>
          </w:p>
        </w:tc>
      </w:tr>
    </w:tbl>
    <w:p w14:paraId="1E118A67">
      <w:pPr>
        <w:spacing w:line="360" w:lineRule="auto"/>
        <w:jc w:val="both"/>
        <w:rPr>
          <w:rFonts w:hint="eastAsia"/>
          <w:b/>
          <w:bCs/>
        </w:rPr>
        <w:sectPr>
          <w:pgSz w:w="11906" w:h="16838"/>
          <w:pgMar w:top="1440" w:right="1080" w:bottom="1440" w:left="1080" w:header="851" w:footer="992" w:gutter="0"/>
          <w:pgNumType w:fmt="numberInDash"/>
          <w:cols w:space="720" w:num="1"/>
          <w:docGrid w:type="lines" w:linePitch="312" w:charSpace="0"/>
        </w:sectPr>
      </w:pPr>
    </w:p>
    <w:p w14:paraId="57503FF4">
      <w:pPr>
        <w:spacing w:line="360" w:lineRule="auto"/>
        <w:jc w:val="both"/>
        <w:rPr>
          <w:rFonts w:hint="eastAsia"/>
          <w:b/>
          <w:bCs/>
          <w:lang w:val="en-US" w:eastAsia="zh-CN"/>
        </w:rPr>
      </w:pPr>
      <w:r>
        <w:rPr>
          <w:rFonts w:hint="eastAsia"/>
          <w:b/>
          <w:bCs/>
        </w:rPr>
        <w:t>合同附件</w:t>
      </w:r>
      <w:r>
        <w:rPr>
          <w:rFonts w:hint="eastAsia"/>
          <w:b/>
          <w:bCs/>
          <w:lang w:val="en-US" w:eastAsia="zh-CN"/>
        </w:rPr>
        <w:t>3：</w:t>
      </w:r>
    </w:p>
    <w:p w14:paraId="2E1F6279">
      <w:pPr>
        <w:numPr>
          <w:ilvl w:val="0"/>
          <w:numId w:val="0"/>
        </w:numPr>
        <w:spacing w:line="360" w:lineRule="auto"/>
        <w:jc w:val="both"/>
        <w:rPr>
          <w:rFonts w:hint="default"/>
          <w:b/>
          <w:bCs/>
          <w:lang w:val="en-US" w:eastAsia="zh-CN"/>
        </w:rPr>
      </w:pPr>
      <w:r>
        <w:rPr>
          <w:rFonts w:hint="eastAsia" w:ascii="Times New Roman" w:hAnsi="Times New Roman" w:eastAsia="宋体" w:cs="Times New Roman"/>
          <w:b/>
          <w:bCs/>
          <w:kern w:val="2"/>
          <w:sz w:val="21"/>
          <w:szCs w:val="24"/>
          <w:lang w:val="en-US" w:eastAsia="zh-CN" w:bidi="ar-SA"/>
        </w:rPr>
        <w:t>1）</w:t>
      </w:r>
      <w:r>
        <w:rPr>
          <w:rFonts w:hint="eastAsia"/>
          <w:b/>
          <w:bCs/>
          <w:lang w:val="en-US" w:eastAsia="zh-CN"/>
        </w:rPr>
        <w:t>分包项目明细（不得超过15%比例 )                             单位：元</w:t>
      </w:r>
    </w:p>
    <w:tbl>
      <w:tblPr>
        <w:tblStyle w:val="22"/>
        <w:tblW w:w="5349" w:type="pct"/>
        <w:tblInd w:w="-5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8"/>
        <w:gridCol w:w="1753"/>
        <w:gridCol w:w="1378"/>
        <w:gridCol w:w="2126"/>
        <w:gridCol w:w="1242"/>
        <w:gridCol w:w="1384"/>
        <w:gridCol w:w="1135"/>
        <w:gridCol w:w="832"/>
      </w:tblGrid>
      <w:tr w14:paraId="122BB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trPr>
        <w:tc>
          <w:tcPr>
            <w:tcW w:w="379" w:type="pct"/>
            <w:vAlign w:val="center"/>
          </w:tcPr>
          <w:p w14:paraId="78EEFAE1">
            <w:pPr>
              <w:spacing w:line="360" w:lineRule="auto"/>
              <w:jc w:val="center"/>
              <w:rPr>
                <w:rFonts w:hint="eastAsia" w:ascii="宋体" w:hAnsi="宋体" w:cs="宋体"/>
                <w:b/>
                <w:sz w:val="24"/>
              </w:rPr>
            </w:pPr>
            <w:r>
              <w:rPr>
                <w:rFonts w:hint="eastAsia" w:ascii="宋体" w:hAnsi="宋体" w:cs="宋体"/>
                <w:b/>
                <w:sz w:val="24"/>
              </w:rPr>
              <w:t>序号</w:t>
            </w:r>
          </w:p>
        </w:tc>
        <w:tc>
          <w:tcPr>
            <w:tcW w:w="822" w:type="pct"/>
            <w:vAlign w:val="center"/>
          </w:tcPr>
          <w:p w14:paraId="25446589">
            <w:pPr>
              <w:spacing w:line="360" w:lineRule="auto"/>
              <w:jc w:val="center"/>
              <w:rPr>
                <w:rFonts w:hint="eastAsia" w:ascii="宋体" w:hAnsi="宋体" w:cs="宋体"/>
                <w:b/>
                <w:sz w:val="24"/>
                <w:lang w:val="en-US" w:eastAsia="zh-CN"/>
              </w:rPr>
            </w:pPr>
            <w:r>
              <w:rPr>
                <w:rFonts w:hint="eastAsia" w:ascii="宋体" w:hAnsi="宋体" w:cs="宋体"/>
                <w:b/>
                <w:sz w:val="24"/>
                <w:lang w:val="en-US" w:eastAsia="zh-CN"/>
              </w:rPr>
              <w:t>所分包机构</w:t>
            </w:r>
          </w:p>
        </w:tc>
        <w:tc>
          <w:tcPr>
            <w:tcW w:w="646" w:type="pct"/>
            <w:vAlign w:val="center"/>
          </w:tcPr>
          <w:p w14:paraId="70F677C3">
            <w:pPr>
              <w:spacing w:line="360" w:lineRule="auto"/>
              <w:jc w:val="center"/>
              <w:rPr>
                <w:rFonts w:hint="eastAsia" w:ascii="宋体" w:hAnsi="宋体" w:cs="宋体"/>
                <w:b/>
                <w:sz w:val="24"/>
                <w:lang w:val="en-US" w:eastAsia="zh-CN"/>
              </w:rPr>
            </w:pPr>
            <w:r>
              <w:rPr>
                <w:rFonts w:hint="eastAsia" w:ascii="宋体" w:hAnsi="宋体" w:cs="宋体"/>
                <w:b/>
                <w:sz w:val="24"/>
                <w:lang w:val="en-US" w:eastAsia="zh-CN"/>
              </w:rPr>
              <w:t>所分包产品类别</w:t>
            </w:r>
          </w:p>
        </w:tc>
        <w:tc>
          <w:tcPr>
            <w:tcW w:w="997" w:type="pct"/>
            <w:vAlign w:val="center"/>
          </w:tcPr>
          <w:p w14:paraId="27D66D03">
            <w:pPr>
              <w:spacing w:line="360" w:lineRule="auto"/>
              <w:jc w:val="center"/>
              <w:rPr>
                <w:rFonts w:hint="eastAsia" w:ascii="宋体" w:hAnsi="宋体" w:cs="宋体"/>
                <w:b/>
                <w:sz w:val="24"/>
              </w:rPr>
            </w:pPr>
            <w:r>
              <w:rPr>
                <w:rFonts w:hint="eastAsia" w:ascii="宋体" w:hAnsi="宋体" w:cs="宋体"/>
                <w:b/>
                <w:sz w:val="24"/>
                <w:lang w:val="en-US" w:eastAsia="zh-CN"/>
              </w:rPr>
              <w:t>所分包</w:t>
            </w:r>
            <w:r>
              <w:rPr>
                <w:rFonts w:hint="eastAsia" w:ascii="宋体" w:hAnsi="宋体" w:cs="宋体"/>
                <w:b/>
                <w:sz w:val="24"/>
              </w:rPr>
              <w:t>产品名称</w:t>
            </w:r>
          </w:p>
        </w:tc>
        <w:tc>
          <w:tcPr>
            <w:tcW w:w="582" w:type="pct"/>
            <w:vAlign w:val="center"/>
          </w:tcPr>
          <w:p w14:paraId="12BBE621">
            <w:pPr>
              <w:spacing w:line="360" w:lineRule="auto"/>
              <w:jc w:val="center"/>
              <w:rPr>
                <w:rFonts w:hint="eastAsia" w:ascii="宋体" w:hAnsi="宋体" w:cs="宋体"/>
                <w:b/>
                <w:sz w:val="24"/>
              </w:rPr>
            </w:pPr>
            <w:r>
              <w:rPr>
                <w:rFonts w:hint="eastAsia" w:ascii="宋体" w:hAnsi="宋体" w:cs="宋体"/>
                <w:b/>
                <w:sz w:val="24"/>
                <w:lang w:val="en-US" w:eastAsia="zh-CN"/>
              </w:rPr>
              <w:t>检测项目</w:t>
            </w:r>
          </w:p>
        </w:tc>
        <w:tc>
          <w:tcPr>
            <w:tcW w:w="649" w:type="pct"/>
            <w:vAlign w:val="center"/>
          </w:tcPr>
          <w:p w14:paraId="773ABC37">
            <w:pPr>
              <w:spacing w:line="360" w:lineRule="auto"/>
              <w:jc w:val="center"/>
              <w:rPr>
                <w:rFonts w:hint="eastAsia" w:ascii="宋体" w:hAnsi="宋体" w:cs="宋体"/>
                <w:b/>
                <w:sz w:val="24"/>
              </w:rPr>
            </w:pPr>
            <w:r>
              <w:rPr>
                <w:rFonts w:hint="eastAsia" w:ascii="宋体" w:hAnsi="宋体" w:cs="宋体"/>
                <w:b/>
                <w:sz w:val="24"/>
                <w:lang w:val="en-US" w:eastAsia="zh-CN"/>
              </w:rPr>
              <w:t>每批次投标单价（元）</w:t>
            </w:r>
          </w:p>
        </w:tc>
        <w:tc>
          <w:tcPr>
            <w:tcW w:w="532" w:type="pct"/>
            <w:vAlign w:val="center"/>
          </w:tcPr>
          <w:p w14:paraId="7CEF34FD">
            <w:pPr>
              <w:spacing w:line="360" w:lineRule="auto"/>
              <w:jc w:val="center"/>
              <w:rPr>
                <w:rFonts w:hint="eastAsia" w:ascii="宋体" w:hAnsi="宋体" w:cs="宋体"/>
                <w:b/>
                <w:sz w:val="24"/>
              </w:rPr>
            </w:pPr>
            <w:r>
              <w:rPr>
                <w:rFonts w:hint="eastAsia" w:ascii="宋体" w:hAnsi="宋体" w:cs="宋体"/>
                <w:b/>
                <w:sz w:val="24"/>
                <w:lang w:val="en-US" w:eastAsia="zh-CN"/>
              </w:rPr>
              <w:t>批次数</w:t>
            </w:r>
          </w:p>
        </w:tc>
        <w:tc>
          <w:tcPr>
            <w:tcW w:w="390" w:type="pct"/>
            <w:vAlign w:val="center"/>
          </w:tcPr>
          <w:p w14:paraId="4C737DFE">
            <w:pPr>
              <w:spacing w:line="360" w:lineRule="auto"/>
              <w:jc w:val="center"/>
              <w:rPr>
                <w:rFonts w:hint="eastAsia" w:ascii="宋体" w:hAnsi="宋体" w:cs="宋体"/>
                <w:b/>
                <w:sz w:val="24"/>
              </w:rPr>
            </w:pPr>
            <w:r>
              <w:rPr>
                <w:rFonts w:hint="eastAsia" w:ascii="宋体" w:hAnsi="宋体" w:cs="宋体"/>
                <w:b/>
                <w:sz w:val="24"/>
                <w:lang w:val="en-US" w:eastAsia="zh-CN"/>
              </w:rPr>
              <w:t>投标报价（元）</w:t>
            </w:r>
          </w:p>
        </w:tc>
      </w:tr>
      <w:tr w14:paraId="53FB9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379" w:type="pct"/>
            <w:vAlign w:val="center"/>
          </w:tcPr>
          <w:p w14:paraId="2063E2FA">
            <w:pPr>
              <w:spacing w:line="360" w:lineRule="auto"/>
              <w:jc w:val="center"/>
              <w:rPr>
                <w:rFonts w:hint="eastAsia" w:ascii="宋体" w:hAnsi="宋体" w:cs="宋体"/>
                <w:sz w:val="24"/>
              </w:rPr>
            </w:pPr>
            <w:r>
              <w:rPr>
                <w:rFonts w:hint="eastAsia" w:ascii="宋体" w:hAnsi="宋体" w:cs="宋体"/>
                <w:sz w:val="24"/>
              </w:rPr>
              <w:t>1</w:t>
            </w:r>
          </w:p>
        </w:tc>
        <w:tc>
          <w:tcPr>
            <w:tcW w:w="822" w:type="pct"/>
            <w:vAlign w:val="center"/>
          </w:tcPr>
          <w:p w14:paraId="37779014">
            <w:pPr>
              <w:widowControl/>
              <w:adjustRightInd/>
              <w:snapToGrid w:val="0"/>
              <w:spacing w:line="360" w:lineRule="auto"/>
              <w:jc w:val="center"/>
              <w:textAlignment w:val="center"/>
              <w:rPr>
                <w:rFonts w:hint="eastAsia" w:ascii="宋体" w:hAnsi="宋体" w:cs="宋体"/>
                <w:sz w:val="24"/>
              </w:rPr>
            </w:pPr>
          </w:p>
        </w:tc>
        <w:tc>
          <w:tcPr>
            <w:tcW w:w="646" w:type="pct"/>
            <w:vAlign w:val="center"/>
          </w:tcPr>
          <w:p w14:paraId="5A1E1858">
            <w:pPr>
              <w:widowControl/>
              <w:adjustRightInd/>
              <w:snapToGrid w:val="0"/>
              <w:spacing w:line="360" w:lineRule="auto"/>
              <w:jc w:val="center"/>
              <w:textAlignment w:val="center"/>
              <w:rPr>
                <w:rFonts w:hint="eastAsia" w:ascii="宋体" w:hAnsi="宋体" w:cs="宋体"/>
                <w:sz w:val="24"/>
              </w:rPr>
            </w:pPr>
          </w:p>
        </w:tc>
        <w:tc>
          <w:tcPr>
            <w:tcW w:w="997" w:type="pct"/>
            <w:vAlign w:val="center"/>
          </w:tcPr>
          <w:p w14:paraId="0A5B0BB5">
            <w:pPr>
              <w:widowControl/>
              <w:adjustRightInd/>
              <w:snapToGrid w:val="0"/>
              <w:spacing w:line="360" w:lineRule="auto"/>
              <w:jc w:val="center"/>
              <w:textAlignment w:val="center"/>
              <w:rPr>
                <w:rFonts w:hint="eastAsia" w:ascii="宋体" w:hAnsi="宋体" w:cs="宋体"/>
                <w:sz w:val="24"/>
              </w:rPr>
            </w:pPr>
          </w:p>
        </w:tc>
        <w:tc>
          <w:tcPr>
            <w:tcW w:w="582" w:type="pct"/>
            <w:vAlign w:val="center"/>
          </w:tcPr>
          <w:p w14:paraId="0CF9A3E2">
            <w:pPr>
              <w:widowControl/>
              <w:spacing w:line="360" w:lineRule="auto"/>
              <w:jc w:val="center"/>
              <w:textAlignment w:val="center"/>
              <w:rPr>
                <w:rFonts w:hint="eastAsia" w:ascii="宋体" w:hAnsi="宋体" w:cs="宋体"/>
                <w:sz w:val="24"/>
              </w:rPr>
            </w:pPr>
          </w:p>
        </w:tc>
        <w:tc>
          <w:tcPr>
            <w:tcW w:w="649" w:type="pct"/>
            <w:vAlign w:val="center"/>
          </w:tcPr>
          <w:p w14:paraId="54AF6496">
            <w:pPr>
              <w:widowControl/>
              <w:spacing w:line="360" w:lineRule="auto"/>
              <w:jc w:val="center"/>
              <w:textAlignment w:val="center"/>
              <w:rPr>
                <w:rFonts w:hint="eastAsia" w:ascii="宋体" w:hAnsi="宋体" w:cs="宋体"/>
                <w:sz w:val="24"/>
              </w:rPr>
            </w:pPr>
          </w:p>
        </w:tc>
        <w:tc>
          <w:tcPr>
            <w:tcW w:w="532" w:type="pct"/>
            <w:vAlign w:val="center"/>
          </w:tcPr>
          <w:p w14:paraId="3D693FE6">
            <w:pPr>
              <w:widowControl/>
              <w:spacing w:line="360" w:lineRule="auto"/>
              <w:jc w:val="center"/>
              <w:textAlignment w:val="center"/>
              <w:rPr>
                <w:rFonts w:hint="eastAsia" w:ascii="宋体" w:hAnsi="宋体" w:cs="宋体"/>
                <w:sz w:val="24"/>
              </w:rPr>
            </w:pPr>
          </w:p>
        </w:tc>
        <w:tc>
          <w:tcPr>
            <w:tcW w:w="390" w:type="pct"/>
            <w:vAlign w:val="center"/>
          </w:tcPr>
          <w:p w14:paraId="5537332E">
            <w:pPr>
              <w:widowControl/>
              <w:spacing w:line="360" w:lineRule="auto"/>
              <w:jc w:val="center"/>
              <w:textAlignment w:val="center"/>
              <w:rPr>
                <w:rFonts w:hint="eastAsia" w:ascii="宋体" w:hAnsi="宋体" w:cs="宋体"/>
                <w:sz w:val="24"/>
              </w:rPr>
            </w:pPr>
          </w:p>
        </w:tc>
      </w:tr>
      <w:tr w14:paraId="10B4D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79" w:type="pct"/>
            <w:vAlign w:val="center"/>
          </w:tcPr>
          <w:p w14:paraId="40C188A1">
            <w:pPr>
              <w:spacing w:line="360" w:lineRule="auto"/>
              <w:jc w:val="center"/>
              <w:rPr>
                <w:rFonts w:hint="eastAsia" w:ascii="宋体" w:hAnsi="宋体" w:cs="宋体"/>
                <w:sz w:val="24"/>
              </w:rPr>
            </w:pPr>
            <w:r>
              <w:rPr>
                <w:rFonts w:hint="eastAsia" w:ascii="宋体" w:hAnsi="宋体" w:cs="宋体"/>
                <w:sz w:val="24"/>
              </w:rPr>
              <w:t>2</w:t>
            </w:r>
          </w:p>
        </w:tc>
        <w:tc>
          <w:tcPr>
            <w:tcW w:w="822" w:type="pct"/>
            <w:vAlign w:val="center"/>
          </w:tcPr>
          <w:p w14:paraId="088B1D8A">
            <w:pPr>
              <w:widowControl/>
              <w:adjustRightInd/>
              <w:snapToGrid w:val="0"/>
              <w:spacing w:line="360" w:lineRule="auto"/>
              <w:jc w:val="center"/>
              <w:textAlignment w:val="center"/>
              <w:rPr>
                <w:rFonts w:hint="eastAsia" w:ascii="宋体" w:hAnsi="宋体" w:cs="宋体"/>
                <w:sz w:val="24"/>
              </w:rPr>
            </w:pPr>
          </w:p>
        </w:tc>
        <w:tc>
          <w:tcPr>
            <w:tcW w:w="646" w:type="pct"/>
            <w:vAlign w:val="center"/>
          </w:tcPr>
          <w:p w14:paraId="38BFEEA8">
            <w:pPr>
              <w:widowControl/>
              <w:adjustRightInd/>
              <w:snapToGrid w:val="0"/>
              <w:spacing w:line="360" w:lineRule="auto"/>
              <w:jc w:val="center"/>
              <w:textAlignment w:val="center"/>
              <w:rPr>
                <w:rFonts w:hint="eastAsia" w:ascii="宋体" w:hAnsi="宋体" w:cs="宋体"/>
                <w:sz w:val="24"/>
              </w:rPr>
            </w:pPr>
          </w:p>
        </w:tc>
        <w:tc>
          <w:tcPr>
            <w:tcW w:w="997" w:type="pct"/>
            <w:vAlign w:val="center"/>
          </w:tcPr>
          <w:p w14:paraId="40975517">
            <w:pPr>
              <w:widowControl/>
              <w:adjustRightInd/>
              <w:snapToGrid w:val="0"/>
              <w:spacing w:line="360" w:lineRule="auto"/>
              <w:jc w:val="center"/>
              <w:textAlignment w:val="center"/>
              <w:rPr>
                <w:rFonts w:hint="eastAsia" w:ascii="宋体" w:hAnsi="宋体" w:cs="宋体"/>
                <w:sz w:val="24"/>
              </w:rPr>
            </w:pPr>
          </w:p>
        </w:tc>
        <w:tc>
          <w:tcPr>
            <w:tcW w:w="582" w:type="pct"/>
            <w:vAlign w:val="center"/>
          </w:tcPr>
          <w:p w14:paraId="2F2EF376">
            <w:pPr>
              <w:widowControl/>
              <w:spacing w:line="360" w:lineRule="auto"/>
              <w:jc w:val="center"/>
              <w:textAlignment w:val="center"/>
              <w:rPr>
                <w:rFonts w:hint="eastAsia" w:ascii="宋体" w:hAnsi="宋体" w:cs="宋体"/>
                <w:sz w:val="24"/>
              </w:rPr>
            </w:pPr>
          </w:p>
        </w:tc>
        <w:tc>
          <w:tcPr>
            <w:tcW w:w="649" w:type="pct"/>
            <w:vAlign w:val="center"/>
          </w:tcPr>
          <w:p w14:paraId="085651DF">
            <w:pPr>
              <w:widowControl/>
              <w:spacing w:line="360" w:lineRule="auto"/>
              <w:jc w:val="center"/>
              <w:textAlignment w:val="center"/>
              <w:rPr>
                <w:rFonts w:hint="eastAsia" w:ascii="宋体" w:hAnsi="宋体" w:cs="宋体"/>
                <w:sz w:val="24"/>
              </w:rPr>
            </w:pPr>
          </w:p>
        </w:tc>
        <w:tc>
          <w:tcPr>
            <w:tcW w:w="532" w:type="pct"/>
            <w:vAlign w:val="center"/>
          </w:tcPr>
          <w:p w14:paraId="6CB66A14">
            <w:pPr>
              <w:widowControl/>
              <w:spacing w:line="360" w:lineRule="auto"/>
              <w:jc w:val="center"/>
              <w:textAlignment w:val="center"/>
              <w:rPr>
                <w:rFonts w:hint="eastAsia" w:ascii="宋体" w:hAnsi="宋体" w:cs="宋体"/>
                <w:sz w:val="24"/>
              </w:rPr>
            </w:pPr>
          </w:p>
        </w:tc>
        <w:tc>
          <w:tcPr>
            <w:tcW w:w="390" w:type="pct"/>
            <w:vAlign w:val="center"/>
          </w:tcPr>
          <w:p w14:paraId="312EA8A4">
            <w:pPr>
              <w:widowControl/>
              <w:spacing w:line="360" w:lineRule="auto"/>
              <w:jc w:val="center"/>
              <w:textAlignment w:val="center"/>
              <w:rPr>
                <w:rFonts w:hint="eastAsia" w:ascii="宋体" w:hAnsi="宋体" w:cs="宋体"/>
                <w:sz w:val="24"/>
              </w:rPr>
            </w:pPr>
          </w:p>
        </w:tc>
      </w:tr>
      <w:tr w14:paraId="4894E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79" w:type="pct"/>
            <w:vAlign w:val="center"/>
          </w:tcPr>
          <w:p w14:paraId="487791B0">
            <w:pPr>
              <w:spacing w:line="360" w:lineRule="auto"/>
              <w:jc w:val="center"/>
              <w:rPr>
                <w:rFonts w:hint="eastAsia" w:ascii="宋体" w:hAnsi="宋体" w:cs="宋体"/>
                <w:sz w:val="24"/>
              </w:rPr>
            </w:pPr>
            <w:r>
              <w:rPr>
                <w:rFonts w:hint="eastAsia" w:ascii="宋体" w:hAnsi="宋体" w:cs="宋体"/>
                <w:sz w:val="24"/>
              </w:rPr>
              <w:t>3</w:t>
            </w:r>
          </w:p>
        </w:tc>
        <w:tc>
          <w:tcPr>
            <w:tcW w:w="822" w:type="pct"/>
            <w:vAlign w:val="center"/>
          </w:tcPr>
          <w:p w14:paraId="4F4765CD">
            <w:pPr>
              <w:widowControl/>
              <w:adjustRightInd/>
              <w:snapToGrid w:val="0"/>
              <w:spacing w:line="360" w:lineRule="auto"/>
              <w:jc w:val="center"/>
              <w:textAlignment w:val="center"/>
              <w:rPr>
                <w:rFonts w:hint="eastAsia" w:ascii="宋体" w:hAnsi="宋体" w:cs="宋体"/>
                <w:sz w:val="24"/>
              </w:rPr>
            </w:pPr>
          </w:p>
        </w:tc>
        <w:tc>
          <w:tcPr>
            <w:tcW w:w="646" w:type="pct"/>
            <w:vAlign w:val="center"/>
          </w:tcPr>
          <w:p w14:paraId="18AF20CD">
            <w:pPr>
              <w:widowControl/>
              <w:adjustRightInd/>
              <w:snapToGrid w:val="0"/>
              <w:spacing w:line="360" w:lineRule="auto"/>
              <w:jc w:val="center"/>
              <w:textAlignment w:val="center"/>
              <w:rPr>
                <w:rFonts w:hint="eastAsia" w:ascii="宋体" w:hAnsi="宋体" w:cs="宋体"/>
                <w:sz w:val="24"/>
              </w:rPr>
            </w:pPr>
          </w:p>
        </w:tc>
        <w:tc>
          <w:tcPr>
            <w:tcW w:w="997" w:type="pct"/>
            <w:vAlign w:val="center"/>
          </w:tcPr>
          <w:p w14:paraId="001DD6B0">
            <w:pPr>
              <w:widowControl/>
              <w:adjustRightInd/>
              <w:snapToGrid w:val="0"/>
              <w:spacing w:line="360" w:lineRule="auto"/>
              <w:jc w:val="center"/>
              <w:textAlignment w:val="center"/>
              <w:rPr>
                <w:rFonts w:hint="eastAsia" w:ascii="宋体" w:hAnsi="宋体" w:cs="宋体"/>
                <w:sz w:val="24"/>
              </w:rPr>
            </w:pPr>
          </w:p>
        </w:tc>
        <w:tc>
          <w:tcPr>
            <w:tcW w:w="582" w:type="pct"/>
            <w:vAlign w:val="center"/>
          </w:tcPr>
          <w:p w14:paraId="3C6ECA20">
            <w:pPr>
              <w:widowControl/>
              <w:spacing w:line="360" w:lineRule="auto"/>
              <w:jc w:val="center"/>
              <w:textAlignment w:val="center"/>
              <w:rPr>
                <w:rFonts w:hint="eastAsia" w:ascii="宋体" w:hAnsi="宋体" w:cs="宋体"/>
                <w:sz w:val="24"/>
              </w:rPr>
            </w:pPr>
          </w:p>
        </w:tc>
        <w:tc>
          <w:tcPr>
            <w:tcW w:w="649" w:type="pct"/>
            <w:vAlign w:val="center"/>
          </w:tcPr>
          <w:p w14:paraId="3DAC6B2A">
            <w:pPr>
              <w:widowControl/>
              <w:spacing w:line="360" w:lineRule="auto"/>
              <w:jc w:val="center"/>
              <w:textAlignment w:val="center"/>
              <w:rPr>
                <w:rFonts w:hint="eastAsia" w:ascii="宋体" w:hAnsi="宋体" w:cs="宋体"/>
                <w:sz w:val="24"/>
              </w:rPr>
            </w:pPr>
          </w:p>
        </w:tc>
        <w:tc>
          <w:tcPr>
            <w:tcW w:w="532" w:type="pct"/>
            <w:vAlign w:val="center"/>
          </w:tcPr>
          <w:p w14:paraId="262759B3">
            <w:pPr>
              <w:widowControl/>
              <w:spacing w:line="360" w:lineRule="auto"/>
              <w:jc w:val="center"/>
              <w:textAlignment w:val="center"/>
              <w:rPr>
                <w:rFonts w:hint="eastAsia" w:ascii="宋体" w:hAnsi="宋体" w:cs="宋体"/>
                <w:sz w:val="24"/>
              </w:rPr>
            </w:pPr>
          </w:p>
        </w:tc>
        <w:tc>
          <w:tcPr>
            <w:tcW w:w="390" w:type="pct"/>
            <w:vAlign w:val="center"/>
          </w:tcPr>
          <w:p w14:paraId="1D5DE3C3">
            <w:pPr>
              <w:widowControl/>
              <w:spacing w:line="360" w:lineRule="auto"/>
              <w:jc w:val="center"/>
              <w:textAlignment w:val="center"/>
              <w:rPr>
                <w:rFonts w:hint="eastAsia" w:ascii="宋体" w:hAnsi="宋体" w:cs="宋体"/>
                <w:sz w:val="24"/>
              </w:rPr>
            </w:pPr>
          </w:p>
        </w:tc>
      </w:tr>
      <w:tr w14:paraId="0257A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79" w:type="pct"/>
            <w:vAlign w:val="center"/>
          </w:tcPr>
          <w:p w14:paraId="2B007D44">
            <w:pPr>
              <w:spacing w:line="360" w:lineRule="auto"/>
              <w:jc w:val="center"/>
              <w:rPr>
                <w:rFonts w:hint="eastAsia" w:ascii="宋体" w:hAnsi="宋体" w:cs="宋体"/>
                <w:sz w:val="24"/>
              </w:rPr>
            </w:pPr>
            <w:r>
              <w:rPr>
                <w:rFonts w:hint="eastAsia" w:ascii="宋体" w:hAnsi="宋体" w:cs="宋体"/>
                <w:sz w:val="24"/>
              </w:rPr>
              <w:t>4</w:t>
            </w:r>
          </w:p>
        </w:tc>
        <w:tc>
          <w:tcPr>
            <w:tcW w:w="822" w:type="pct"/>
            <w:vAlign w:val="center"/>
          </w:tcPr>
          <w:p w14:paraId="0E8D6B4D">
            <w:pPr>
              <w:widowControl/>
              <w:adjustRightInd/>
              <w:snapToGrid w:val="0"/>
              <w:spacing w:line="360" w:lineRule="auto"/>
              <w:jc w:val="center"/>
              <w:textAlignment w:val="center"/>
              <w:rPr>
                <w:rFonts w:hint="eastAsia" w:ascii="宋体" w:hAnsi="宋体" w:cs="宋体"/>
                <w:sz w:val="24"/>
              </w:rPr>
            </w:pPr>
          </w:p>
        </w:tc>
        <w:tc>
          <w:tcPr>
            <w:tcW w:w="646" w:type="pct"/>
            <w:vAlign w:val="center"/>
          </w:tcPr>
          <w:p w14:paraId="6256859C">
            <w:pPr>
              <w:widowControl/>
              <w:adjustRightInd/>
              <w:snapToGrid w:val="0"/>
              <w:spacing w:line="360" w:lineRule="auto"/>
              <w:jc w:val="center"/>
              <w:textAlignment w:val="center"/>
              <w:rPr>
                <w:rFonts w:hint="eastAsia" w:ascii="宋体" w:hAnsi="宋体" w:cs="宋体"/>
                <w:sz w:val="24"/>
              </w:rPr>
            </w:pPr>
          </w:p>
        </w:tc>
        <w:tc>
          <w:tcPr>
            <w:tcW w:w="997" w:type="pct"/>
            <w:vAlign w:val="center"/>
          </w:tcPr>
          <w:p w14:paraId="23B884A8">
            <w:pPr>
              <w:widowControl/>
              <w:adjustRightInd/>
              <w:snapToGrid w:val="0"/>
              <w:spacing w:line="360" w:lineRule="auto"/>
              <w:jc w:val="center"/>
              <w:textAlignment w:val="center"/>
              <w:rPr>
                <w:rFonts w:hint="eastAsia" w:ascii="宋体" w:hAnsi="宋体" w:cs="宋体"/>
                <w:sz w:val="24"/>
              </w:rPr>
            </w:pPr>
          </w:p>
        </w:tc>
        <w:tc>
          <w:tcPr>
            <w:tcW w:w="582" w:type="pct"/>
            <w:vAlign w:val="center"/>
          </w:tcPr>
          <w:p w14:paraId="1055D526">
            <w:pPr>
              <w:widowControl/>
              <w:spacing w:line="360" w:lineRule="auto"/>
              <w:jc w:val="center"/>
              <w:textAlignment w:val="center"/>
              <w:rPr>
                <w:rFonts w:hint="eastAsia" w:ascii="宋体" w:hAnsi="宋体" w:cs="宋体"/>
                <w:sz w:val="24"/>
              </w:rPr>
            </w:pPr>
          </w:p>
        </w:tc>
        <w:tc>
          <w:tcPr>
            <w:tcW w:w="649" w:type="pct"/>
            <w:vAlign w:val="center"/>
          </w:tcPr>
          <w:p w14:paraId="118C9D8D">
            <w:pPr>
              <w:widowControl/>
              <w:spacing w:line="360" w:lineRule="auto"/>
              <w:jc w:val="center"/>
              <w:textAlignment w:val="center"/>
              <w:rPr>
                <w:rFonts w:hint="eastAsia" w:ascii="宋体" w:hAnsi="宋体" w:cs="宋体"/>
                <w:sz w:val="24"/>
              </w:rPr>
            </w:pPr>
          </w:p>
        </w:tc>
        <w:tc>
          <w:tcPr>
            <w:tcW w:w="532" w:type="pct"/>
            <w:vAlign w:val="center"/>
          </w:tcPr>
          <w:p w14:paraId="0ED27250">
            <w:pPr>
              <w:widowControl/>
              <w:spacing w:line="360" w:lineRule="auto"/>
              <w:jc w:val="center"/>
              <w:textAlignment w:val="center"/>
              <w:rPr>
                <w:rFonts w:hint="eastAsia" w:ascii="宋体" w:hAnsi="宋体" w:cs="宋体"/>
                <w:sz w:val="24"/>
              </w:rPr>
            </w:pPr>
          </w:p>
        </w:tc>
        <w:tc>
          <w:tcPr>
            <w:tcW w:w="390" w:type="pct"/>
            <w:vAlign w:val="center"/>
          </w:tcPr>
          <w:p w14:paraId="2CEB769E">
            <w:pPr>
              <w:widowControl/>
              <w:spacing w:line="360" w:lineRule="auto"/>
              <w:jc w:val="center"/>
              <w:textAlignment w:val="center"/>
              <w:rPr>
                <w:rFonts w:hint="eastAsia" w:ascii="宋体" w:hAnsi="宋体" w:cs="宋体"/>
                <w:sz w:val="24"/>
              </w:rPr>
            </w:pPr>
          </w:p>
        </w:tc>
      </w:tr>
      <w:tr w14:paraId="547C3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79" w:type="pct"/>
            <w:vAlign w:val="center"/>
          </w:tcPr>
          <w:p w14:paraId="4010A3E9">
            <w:pPr>
              <w:spacing w:line="360" w:lineRule="auto"/>
              <w:jc w:val="center"/>
              <w:rPr>
                <w:rFonts w:hint="eastAsia" w:ascii="宋体" w:hAnsi="宋体" w:cs="宋体"/>
                <w:sz w:val="24"/>
              </w:rPr>
            </w:pPr>
            <w:r>
              <w:rPr>
                <w:rFonts w:hint="eastAsia" w:ascii="宋体" w:hAnsi="宋体" w:cs="宋体"/>
                <w:sz w:val="24"/>
              </w:rPr>
              <w:t>5</w:t>
            </w:r>
          </w:p>
        </w:tc>
        <w:tc>
          <w:tcPr>
            <w:tcW w:w="822" w:type="pct"/>
            <w:vAlign w:val="center"/>
          </w:tcPr>
          <w:p w14:paraId="22110A6B">
            <w:pPr>
              <w:widowControl/>
              <w:adjustRightInd/>
              <w:snapToGrid w:val="0"/>
              <w:spacing w:line="360" w:lineRule="auto"/>
              <w:jc w:val="center"/>
              <w:textAlignment w:val="center"/>
              <w:rPr>
                <w:rFonts w:hint="eastAsia" w:ascii="宋体" w:hAnsi="宋体" w:cs="宋体"/>
                <w:sz w:val="24"/>
              </w:rPr>
            </w:pPr>
          </w:p>
        </w:tc>
        <w:tc>
          <w:tcPr>
            <w:tcW w:w="646" w:type="pct"/>
            <w:vAlign w:val="center"/>
          </w:tcPr>
          <w:p w14:paraId="7B8B1A9D">
            <w:pPr>
              <w:widowControl/>
              <w:adjustRightInd/>
              <w:snapToGrid w:val="0"/>
              <w:spacing w:line="360" w:lineRule="auto"/>
              <w:jc w:val="center"/>
              <w:textAlignment w:val="center"/>
              <w:rPr>
                <w:rFonts w:hint="eastAsia" w:ascii="宋体" w:hAnsi="宋体" w:cs="宋体"/>
                <w:sz w:val="24"/>
              </w:rPr>
            </w:pPr>
          </w:p>
        </w:tc>
        <w:tc>
          <w:tcPr>
            <w:tcW w:w="997" w:type="pct"/>
            <w:vAlign w:val="center"/>
          </w:tcPr>
          <w:p w14:paraId="027289A9">
            <w:pPr>
              <w:widowControl/>
              <w:adjustRightInd/>
              <w:snapToGrid w:val="0"/>
              <w:spacing w:line="360" w:lineRule="auto"/>
              <w:jc w:val="center"/>
              <w:textAlignment w:val="center"/>
              <w:rPr>
                <w:rFonts w:hint="eastAsia" w:ascii="宋体" w:hAnsi="宋体" w:cs="宋体"/>
                <w:sz w:val="24"/>
              </w:rPr>
            </w:pPr>
          </w:p>
        </w:tc>
        <w:tc>
          <w:tcPr>
            <w:tcW w:w="582" w:type="pct"/>
            <w:vAlign w:val="center"/>
          </w:tcPr>
          <w:p w14:paraId="585DB87A">
            <w:pPr>
              <w:widowControl/>
              <w:spacing w:line="360" w:lineRule="auto"/>
              <w:jc w:val="center"/>
              <w:textAlignment w:val="center"/>
              <w:rPr>
                <w:rFonts w:hint="eastAsia" w:ascii="宋体" w:hAnsi="宋体" w:cs="宋体"/>
                <w:sz w:val="24"/>
              </w:rPr>
            </w:pPr>
          </w:p>
        </w:tc>
        <w:tc>
          <w:tcPr>
            <w:tcW w:w="649" w:type="pct"/>
            <w:vAlign w:val="center"/>
          </w:tcPr>
          <w:p w14:paraId="67EEED4B">
            <w:pPr>
              <w:widowControl/>
              <w:spacing w:line="360" w:lineRule="auto"/>
              <w:jc w:val="center"/>
              <w:textAlignment w:val="center"/>
              <w:rPr>
                <w:rFonts w:hint="eastAsia" w:ascii="宋体" w:hAnsi="宋体" w:cs="宋体"/>
                <w:sz w:val="24"/>
              </w:rPr>
            </w:pPr>
          </w:p>
        </w:tc>
        <w:tc>
          <w:tcPr>
            <w:tcW w:w="532" w:type="pct"/>
            <w:vAlign w:val="center"/>
          </w:tcPr>
          <w:p w14:paraId="358AF687">
            <w:pPr>
              <w:widowControl/>
              <w:spacing w:line="360" w:lineRule="auto"/>
              <w:jc w:val="center"/>
              <w:textAlignment w:val="center"/>
              <w:rPr>
                <w:rFonts w:hint="eastAsia" w:ascii="宋体" w:hAnsi="宋体" w:cs="宋体"/>
                <w:sz w:val="24"/>
              </w:rPr>
            </w:pPr>
          </w:p>
        </w:tc>
        <w:tc>
          <w:tcPr>
            <w:tcW w:w="390" w:type="pct"/>
            <w:vAlign w:val="center"/>
          </w:tcPr>
          <w:p w14:paraId="5564B35A">
            <w:pPr>
              <w:widowControl/>
              <w:spacing w:line="360" w:lineRule="auto"/>
              <w:jc w:val="center"/>
              <w:textAlignment w:val="center"/>
              <w:rPr>
                <w:rFonts w:hint="eastAsia" w:ascii="宋体" w:hAnsi="宋体" w:cs="宋体"/>
                <w:sz w:val="24"/>
              </w:rPr>
            </w:pPr>
          </w:p>
        </w:tc>
      </w:tr>
      <w:tr w14:paraId="59728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79" w:type="pct"/>
            <w:vAlign w:val="center"/>
          </w:tcPr>
          <w:p w14:paraId="4311ACE2">
            <w:pPr>
              <w:spacing w:line="360" w:lineRule="auto"/>
              <w:jc w:val="center"/>
              <w:rPr>
                <w:rFonts w:hint="eastAsia" w:ascii="宋体" w:hAnsi="宋体" w:cs="宋体"/>
                <w:sz w:val="24"/>
              </w:rPr>
            </w:pPr>
            <w:r>
              <w:rPr>
                <w:rFonts w:hint="eastAsia" w:ascii="宋体" w:hAnsi="宋体" w:cs="宋体"/>
                <w:sz w:val="24"/>
              </w:rPr>
              <w:t>……</w:t>
            </w:r>
          </w:p>
        </w:tc>
        <w:tc>
          <w:tcPr>
            <w:tcW w:w="822" w:type="pct"/>
            <w:vAlign w:val="center"/>
          </w:tcPr>
          <w:p w14:paraId="2B223C57">
            <w:pPr>
              <w:widowControl/>
              <w:adjustRightInd/>
              <w:snapToGrid w:val="0"/>
              <w:spacing w:line="360" w:lineRule="auto"/>
              <w:jc w:val="center"/>
              <w:textAlignment w:val="center"/>
              <w:rPr>
                <w:rFonts w:hint="eastAsia" w:ascii="宋体" w:hAnsi="宋体" w:cs="宋体"/>
                <w:sz w:val="24"/>
              </w:rPr>
            </w:pPr>
          </w:p>
        </w:tc>
        <w:tc>
          <w:tcPr>
            <w:tcW w:w="646" w:type="pct"/>
            <w:vAlign w:val="center"/>
          </w:tcPr>
          <w:p w14:paraId="67EB7676">
            <w:pPr>
              <w:widowControl/>
              <w:adjustRightInd/>
              <w:snapToGrid w:val="0"/>
              <w:spacing w:line="360" w:lineRule="auto"/>
              <w:jc w:val="center"/>
              <w:textAlignment w:val="center"/>
              <w:rPr>
                <w:rFonts w:hint="eastAsia" w:ascii="宋体" w:hAnsi="宋体" w:cs="宋体"/>
                <w:sz w:val="24"/>
              </w:rPr>
            </w:pPr>
          </w:p>
        </w:tc>
        <w:tc>
          <w:tcPr>
            <w:tcW w:w="997" w:type="pct"/>
            <w:vAlign w:val="center"/>
          </w:tcPr>
          <w:p w14:paraId="5CD6E05C">
            <w:pPr>
              <w:widowControl/>
              <w:adjustRightInd/>
              <w:snapToGrid w:val="0"/>
              <w:spacing w:line="360" w:lineRule="auto"/>
              <w:jc w:val="center"/>
              <w:textAlignment w:val="center"/>
              <w:rPr>
                <w:rFonts w:hint="eastAsia" w:ascii="宋体" w:hAnsi="宋体" w:cs="宋体"/>
                <w:sz w:val="24"/>
              </w:rPr>
            </w:pPr>
          </w:p>
        </w:tc>
        <w:tc>
          <w:tcPr>
            <w:tcW w:w="582" w:type="pct"/>
            <w:vAlign w:val="center"/>
          </w:tcPr>
          <w:p w14:paraId="7A5C8215">
            <w:pPr>
              <w:widowControl/>
              <w:spacing w:line="360" w:lineRule="auto"/>
              <w:jc w:val="center"/>
              <w:textAlignment w:val="center"/>
              <w:rPr>
                <w:rFonts w:hint="eastAsia" w:ascii="宋体" w:hAnsi="宋体" w:cs="宋体"/>
                <w:sz w:val="24"/>
              </w:rPr>
            </w:pPr>
          </w:p>
        </w:tc>
        <w:tc>
          <w:tcPr>
            <w:tcW w:w="649" w:type="pct"/>
            <w:vAlign w:val="center"/>
          </w:tcPr>
          <w:p w14:paraId="4C12A5D1">
            <w:pPr>
              <w:widowControl/>
              <w:spacing w:line="360" w:lineRule="auto"/>
              <w:jc w:val="center"/>
              <w:textAlignment w:val="center"/>
              <w:rPr>
                <w:rFonts w:hint="eastAsia" w:ascii="宋体" w:hAnsi="宋体" w:cs="宋体"/>
                <w:sz w:val="24"/>
              </w:rPr>
            </w:pPr>
          </w:p>
        </w:tc>
        <w:tc>
          <w:tcPr>
            <w:tcW w:w="532" w:type="pct"/>
            <w:vAlign w:val="center"/>
          </w:tcPr>
          <w:p w14:paraId="220ED7E2">
            <w:pPr>
              <w:widowControl/>
              <w:spacing w:line="360" w:lineRule="auto"/>
              <w:jc w:val="center"/>
              <w:textAlignment w:val="center"/>
              <w:rPr>
                <w:rFonts w:hint="eastAsia" w:ascii="宋体" w:hAnsi="宋体" w:cs="宋体"/>
                <w:sz w:val="24"/>
              </w:rPr>
            </w:pPr>
          </w:p>
        </w:tc>
        <w:tc>
          <w:tcPr>
            <w:tcW w:w="390" w:type="pct"/>
            <w:vAlign w:val="center"/>
          </w:tcPr>
          <w:p w14:paraId="76A6B74F">
            <w:pPr>
              <w:widowControl/>
              <w:spacing w:line="360" w:lineRule="auto"/>
              <w:jc w:val="center"/>
              <w:textAlignment w:val="center"/>
              <w:rPr>
                <w:rFonts w:hint="eastAsia" w:ascii="宋体" w:hAnsi="宋体" w:cs="宋体"/>
                <w:sz w:val="24"/>
              </w:rPr>
            </w:pPr>
          </w:p>
        </w:tc>
      </w:tr>
    </w:tbl>
    <w:p w14:paraId="187E0F39">
      <w:pPr>
        <w:numPr>
          <w:ilvl w:val="0"/>
          <w:numId w:val="0"/>
        </w:numPr>
        <w:tabs>
          <w:tab w:val="left" w:pos="9135"/>
        </w:tabs>
        <w:spacing w:line="440" w:lineRule="exact"/>
        <w:jc w:val="center"/>
        <w:rPr>
          <w:rFonts w:hint="eastAsia" w:ascii="宋体" w:hAnsi="宋体" w:eastAsia="宋体" w:cs="宋体"/>
          <w:b/>
          <w:sz w:val="36"/>
          <w:szCs w:val="36"/>
        </w:rPr>
      </w:pPr>
    </w:p>
    <w:p w14:paraId="7F7B94D5">
      <w:pPr>
        <w:numPr>
          <w:ilvl w:val="0"/>
          <w:numId w:val="0"/>
        </w:numPr>
        <w:tabs>
          <w:tab w:val="left" w:pos="9135"/>
        </w:tabs>
        <w:spacing w:line="440" w:lineRule="exact"/>
        <w:jc w:val="center"/>
        <w:rPr>
          <w:rFonts w:hint="eastAsia" w:ascii="宋体" w:hAnsi="宋体" w:eastAsia="宋体" w:cs="宋体"/>
          <w:b/>
          <w:sz w:val="36"/>
          <w:szCs w:val="36"/>
        </w:rPr>
      </w:pPr>
    </w:p>
    <w:p w14:paraId="3281441A">
      <w:pPr>
        <w:numPr>
          <w:ilvl w:val="0"/>
          <w:numId w:val="0"/>
        </w:numPr>
        <w:tabs>
          <w:tab w:val="left" w:pos="9135"/>
        </w:tabs>
        <w:spacing w:line="440" w:lineRule="exact"/>
        <w:jc w:val="center"/>
        <w:rPr>
          <w:rFonts w:hint="eastAsia" w:ascii="宋体" w:hAnsi="宋体" w:eastAsia="宋体" w:cs="宋体"/>
          <w:b/>
          <w:sz w:val="36"/>
          <w:szCs w:val="36"/>
        </w:rPr>
      </w:pPr>
    </w:p>
    <w:p w14:paraId="20A0054D">
      <w:pPr>
        <w:numPr>
          <w:ilvl w:val="0"/>
          <w:numId w:val="0"/>
        </w:numPr>
        <w:tabs>
          <w:tab w:val="left" w:pos="9135"/>
        </w:tabs>
        <w:spacing w:line="440" w:lineRule="exact"/>
        <w:jc w:val="center"/>
        <w:rPr>
          <w:rFonts w:hint="eastAsia" w:ascii="宋体" w:hAnsi="宋体" w:eastAsia="宋体" w:cs="宋体"/>
          <w:b/>
          <w:sz w:val="36"/>
          <w:szCs w:val="36"/>
        </w:rPr>
      </w:pPr>
    </w:p>
    <w:p w14:paraId="6086B518">
      <w:pPr>
        <w:numPr>
          <w:ilvl w:val="0"/>
          <w:numId w:val="0"/>
        </w:numPr>
        <w:tabs>
          <w:tab w:val="left" w:pos="9135"/>
        </w:tabs>
        <w:spacing w:line="440" w:lineRule="exact"/>
        <w:jc w:val="center"/>
        <w:rPr>
          <w:rFonts w:hint="eastAsia" w:ascii="宋体" w:hAnsi="宋体" w:eastAsia="宋体" w:cs="宋体"/>
          <w:b/>
          <w:sz w:val="36"/>
          <w:szCs w:val="36"/>
        </w:rPr>
      </w:pPr>
    </w:p>
    <w:p w14:paraId="4CAAB615">
      <w:pPr>
        <w:numPr>
          <w:ilvl w:val="0"/>
          <w:numId w:val="0"/>
        </w:numPr>
        <w:tabs>
          <w:tab w:val="left" w:pos="9135"/>
        </w:tabs>
        <w:spacing w:line="440" w:lineRule="exact"/>
        <w:jc w:val="center"/>
        <w:rPr>
          <w:rFonts w:hint="eastAsia" w:ascii="宋体" w:hAnsi="宋体" w:eastAsia="宋体" w:cs="宋体"/>
          <w:b/>
          <w:sz w:val="36"/>
          <w:szCs w:val="36"/>
        </w:rPr>
      </w:pPr>
    </w:p>
    <w:p w14:paraId="24FE415D">
      <w:pPr>
        <w:numPr>
          <w:ilvl w:val="0"/>
          <w:numId w:val="0"/>
        </w:numPr>
        <w:tabs>
          <w:tab w:val="left" w:pos="9135"/>
        </w:tabs>
        <w:spacing w:line="440" w:lineRule="exact"/>
        <w:jc w:val="center"/>
        <w:rPr>
          <w:rFonts w:hint="eastAsia" w:ascii="宋体" w:hAnsi="宋体" w:eastAsia="宋体" w:cs="宋体"/>
          <w:b/>
          <w:sz w:val="36"/>
          <w:szCs w:val="36"/>
        </w:rPr>
      </w:pPr>
    </w:p>
    <w:p w14:paraId="797020BD">
      <w:pPr>
        <w:numPr>
          <w:ilvl w:val="0"/>
          <w:numId w:val="0"/>
        </w:numPr>
        <w:tabs>
          <w:tab w:val="left" w:pos="9135"/>
        </w:tabs>
        <w:spacing w:line="440" w:lineRule="exact"/>
        <w:jc w:val="center"/>
        <w:rPr>
          <w:rFonts w:hint="eastAsia" w:ascii="宋体" w:hAnsi="宋体" w:eastAsia="宋体" w:cs="宋体"/>
          <w:b/>
          <w:sz w:val="36"/>
          <w:szCs w:val="36"/>
        </w:rPr>
      </w:pPr>
    </w:p>
    <w:p w14:paraId="41EFDBB3">
      <w:pPr>
        <w:numPr>
          <w:ilvl w:val="0"/>
          <w:numId w:val="0"/>
        </w:numPr>
        <w:tabs>
          <w:tab w:val="left" w:pos="9135"/>
        </w:tabs>
        <w:spacing w:line="440" w:lineRule="exact"/>
        <w:jc w:val="center"/>
        <w:rPr>
          <w:rFonts w:hint="eastAsia" w:ascii="宋体" w:hAnsi="宋体" w:eastAsia="宋体" w:cs="宋体"/>
          <w:b/>
          <w:sz w:val="36"/>
          <w:szCs w:val="36"/>
        </w:rPr>
      </w:pPr>
    </w:p>
    <w:p w14:paraId="2B99F305">
      <w:pPr>
        <w:numPr>
          <w:ilvl w:val="0"/>
          <w:numId w:val="0"/>
        </w:numPr>
        <w:tabs>
          <w:tab w:val="left" w:pos="9135"/>
        </w:tabs>
        <w:spacing w:line="440" w:lineRule="exact"/>
        <w:jc w:val="center"/>
        <w:rPr>
          <w:rFonts w:hint="eastAsia" w:ascii="宋体" w:hAnsi="宋体" w:eastAsia="宋体" w:cs="宋体"/>
          <w:b/>
          <w:sz w:val="36"/>
          <w:szCs w:val="36"/>
        </w:rPr>
      </w:pPr>
    </w:p>
    <w:p w14:paraId="39A23384">
      <w:pPr>
        <w:numPr>
          <w:ilvl w:val="0"/>
          <w:numId w:val="0"/>
        </w:numPr>
        <w:tabs>
          <w:tab w:val="left" w:pos="9135"/>
        </w:tabs>
        <w:spacing w:line="440" w:lineRule="exact"/>
        <w:jc w:val="center"/>
        <w:rPr>
          <w:rFonts w:hint="eastAsia" w:ascii="宋体" w:hAnsi="宋体" w:eastAsia="宋体" w:cs="宋体"/>
          <w:b/>
          <w:sz w:val="36"/>
          <w:szCs w:val="36"/>
        </w:rPr>
      </w:pPr>
    </w:p>
    <w:p w14:paraId="1C77C90D">
      <w:pPr>
        <w:numPr>
          <w:ilvl w:val="0"/>
          <w:numId w:val="0"/>
        </w:numPr>
        <w:tabs>
          <w:tab w:val="left" w:pos="9135"/>
        </w:tabs>
        <w:spacing w:line="440" w:lineRule="exact"/>
        <w:jc w:val="center"/>
        <w:rPr>
          <w:rFonts w:hint="eastAsia" w:ascii="宋体" w:hAnsi="宋体" w:eastAsia="宋体" w:cs="宋体"/>
          <w:b/>
          <w:sz w:val="36"/>
          <w:szCs w:val="36"/>
        </w:rPr>
      </w:pPr>
    </w:p>
    <w:p w14:paraId="1AACF3BC">
      <w:pPr>
        <w:numPr>
          <w:ilvl w:val="0"/>
          <w:numId w:val="0"/>
        </w:numPr>
        <w:tabs>
          <w:tab w:val="left" w:pos="9135"/>
        </w:tabs>
        <w:spacing w:line="440" w:lineRule="exact"/>
        <w:jc w:val="center"/>
        <w:rPr>
          <w:rFonts w:hint="eastAsia" w:ascii="宋体" w:hAnsi="宋体" w:eastAsia="宋体" w:cs="宋体"/>
          <w:b/>
          <w:sz w:val="36"/>
          <w:szCs w:val="36"/>
        </w:rPr>
      </w:pPr>
    </w:p>
    <w:p w14:paraId="46DA4418">
      <w:pPr>
        <w:numPr>
          <w:ilvl w:val="0"/>
          <w:numId w:val="0"/>
        </w:numPr>
        <w:tabs>
          <w:tab w:val="left" w:pos="9135"/>
        </w:tabs>
        <w:spacing w:line="440" w:lineRule="exact"/>
        <w:jc w:val="center"/>
        <w:rPr>
          <w:rFonts w:hint="eastAsia" w:ascii="宋体" w:hAnsi="宋体" w:eastAsia="宋体" w:cs="宋体"/>
          <w:b/>
          <w:sz w:val="36"/>
          <w:szCs w:val="36"/>
        </w:rPr>
      </w:pPr>
    </w:p>
    <w:p w14:paraId="6D647544">
      <w:pPr>
        <w:numPr>
          <w:ilvl w:val="0"/>
          <w:numId w:val="0"/>
        </w:numPr>
        <w:tabs>
          <w:tab w:val="left" w:pos="9135"/>
        </w:tabs>
        <w:spacing w:line="440" w:lineRule="exact"/>
        <w:jc w:val="center"/>
        <w:rPr>
          <w:rFonts w:hint="eastAsia" w:ascii="宋体" w:hAnsi="宋体" w:eastAsia="宋体" w:cs="宋体"/>
          <w:b/>
          <w:sz w:val="36"/>
          <w:szCs w:val="36"/>
        </w:rPr>
      </w:pPr>
    </w:p>
    <w:p w14:paraId="21222B76">
      <w:pPr>
        <w:numPr>
          <w:ilvl w:val="0"/>
          <w:numId w:val="0"/>
        </w:numPr>
        <w:tabs>
          <w:tab w:val="left" w:pos="9135"/>
        </w:tabs>
        <w:spacing w:line="440" w:lineRule="exact"/>
        <w:jc w:val="center"/>
        <w:rPr>
          <w:rFonts w:hint="eastAsia" w:ascii="宋体" w:hAnsi="宋体" w:eastAsia="宋体" w:cs="宋体"/>
          <w:b/>
          <w:sz w:val="36"/>
          <w:szCs w:val="36"/>
        </w:rPr>
      </w:pPr>
    </w:p>
    <w:p w14:paraId="639A0978">
      <w:pPr>
        <w:numPr>
          <w:ilvl w:val="0"/>
          <w:numId w:val="0"/>
        </w:numPr>
        <w:tabs>
          <w:tab w:val="left" w:pos="9135"/>
        </w:tabs>
        <w:spacing w:line="440" w:lineRule="exact"/>
        <w:jc w:val="center"/>
        <w:rPr>
          <w:rFonts w:hint="eastAsia" w:ascii="宋体" w:hAnsi="宋体" w:eastAsia="宋体" w:cs="宋体"/>
          <w:b/>
          <w:sz w:val="36"/>
          <w:szCs w:val="36"/>
        </w:rPr>
      </w:pPr>
    </w:p>
    <w:p w14:paraId="7191414A">
      <w:pPr>
        <w:numPr>
          <w:ilvl w:val="0"/>
          <w:numId w:val="0"/>
        </w:numPr>
        <w:tabs>
          <w:tab w:val="left" w:pos="9135"/>
        </w:tabs>
        <w:spacing w:line="440" w:lineRule="exact"/>
        <w:jc w:val="center"/>
        <w:rPr>
          <w:rFonts w:hint="eastAsia" w:ascii="宋体" w:hAnsi="宋体" w:eastAsia="宋体" w:cs="宋体"/>
          <w:b/>
          <w:sz w:val="36"/>
          <w:szCs w:val="36"/>
        </w:rPr>
      </w:pPr>
    </w:p>
    <w:p w14:paraId="3B6887AD">
      <w:pPr>
        <w:numPr>
          <w:ilvl w:val="0"/>
          <w:numId w:val="0"/>
        </w:numPr>
        <w:tabs>
          <w:tab w:val="left" w:pos="9135"/>
        </w:tabs>
        <w:spacing w:line="440" w:lineRule="exact"/>
        <w:jc w:val="center"/>
        <w:rPr>
          <w:rFonts w:hint="eastAsia" w:ascii="宋体" w:hAnsi="宋体" w:eastAsia="宋体" w:cs="宋体"/>
          <w:b/>
          <w:sz w:val="36"/>
          <w:szCs w:val="36"/>
        </w:rPr>
      </w:pPr>
    </w:p>
    <w:p w14:paraId="2A7B7822">
      <w:pPr>
        <w:numPr>
          <w:ilvl w:val="0"/>
          <w:numId w:val="0"/>
        </w:numPr>
        <w:tabs>
          <w:tab w:val="left" w:pos="9135"/>
        </w:tabs>
        <w:spacing w:line="440" w:lineRule="exact"/>
        <w:ind w:firstLine="2168" w:firstLineChars="600"/>
        <w:jc w:val="both"/>
        <w:rPr>
          <w:rFonts w:hint="eastAsia" w:ascii="宋体" w:hAnsi="宋体" w:eastAsia="宋体" w:cs="宋体"/>
          <w:b/>
          <w:sz w:val="36"/>
          <w:szCs w:val="36"/>
        </w:rPr>
      </w:pPr>
      <w:r>
        <w:rPr>
          <w:rFonts w:hint="eastAsia" w:ascii="宋体" w:hAnsi="宋体" w:eastAsia="宋体" w:cs="宋体"/>
          <w:b/>
          <w:sz w:val="36"/>
          <w:szCs w:val="36"/>
        </w:rPr>
        <w:t>第五章  评标原则及方法</w:t>
      </w:r>
    </w:p>
    <w:p w14:paraId="3F1F4E5B">
      <w:pPr>
        <w:pStyle w:val="37"/>
        <w:tabs>
          <w:tab w:val="left" w:pos="3990"/>
        </w:tabs>
        <w:spacing w:line="440" w:lineRule="exact"/>
        <w:ind w:firstLine="482" w:firstLineChars="200"/>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根据《中华人民共和国政府采购法》等相关法规特制定以下评标办法。</w:t>
      </w:r>
    </w:p>
    <w:p w14:paraId="0505C7D6">
      <w:pPr>
        <w:pStyle w:val="37"/>
        <w:tabs>
          <w:tab w:val="left" w:pos="3990"/>
        </w:tabs>
        <w:spacing w:line="440" w:lineRule="exact"/>
        <w:ind w:firstLine="482" w:firstLineChars="200"/>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一、评标原则</w:t>
      </w:r>
    </w:p>
    <w:p w14:paraId="08C08E83">
      <w:pPr>
        <w:pStyle w:val="37"/>
        <w:tabs>
          <w:tab w:val="left" w:pos="3990"/>
        </w:tabs>
        <w:spacing w:line="440" w:lineRule="exact"/>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评标工作遵循公平、公正、科学、择优原则和诚实、信誉、效率的原则。本着科学、严谨的态度，认真进行评标。择优选用，推进技术进步，确保工程质量、交货按期，节约投资，最大限度的保护当事人权益。严格按照采购文件的商务、技术要求，对投标文件进行综合评定，提出优选方案，编写评标报告。对落标单位，评标委员会不做任何落标解释。投标人不得以任何方式干扰招投标工作的进行，一经发现其投标文件将被拒绝。</w:t>
      </w:r>
    </w:p>
    <w:p w14:paraId="2DC241A5">
      <w:pPr>
        <w:pStyle w:val="37"/>
        <w:tabs>
          <w:tab w:val="left" w:pos="3990"/>
        </w:tabs>
        <w:spacing w:line="440" w:lineRule="exact"/>
        <w:ind w:firstLine="482" w:firstLineChars="200"/>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二、评标组织</w:t>
      </w:r>
    </w:p>
    <w:p w14:paraId="5E9EE1AD">
      <w:pPr>
        <w:pStyle w:val="37"/>
        <w:tabs>
          <w:tab w:val="left" w:pos="3990"/>
        </w:tabs>
        <w:spacing w:line="440" w:lineRule="exact"/>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评标专家确定方式：共5人组成，其中采购人代表1名，其余4名专家从政采云政府采购评审专家库中随机抽取产生。评标委员会负责对投标文件进行审查、质疑、评估和比较。询标（如有）时投标人法定代表人或其授权代理人必须在线或在场，负责解答有关事宜，否则事后不得对采购过程及结果提出异议。</w:t>
      </w:r>
    </w:p>
    <w:p w14:paraId="6C16E52B">
      <w:pPr>
        <w:pStyle w:val="37"/>
        <w:tabs>
          <w:tab w:val="left" w:pos="3990"/>
        </w:tabs>
        <w:spacing w:line="440" w:lineRule="exact"/>
        <w:ind w:firstLine="482" w:firstLineChars="200"/>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三、评标程序</w:t>
      </w:r>
    </w:p>
    <w:p w14:paraId="42B39C69">
      <w:pPr>
        <w:pStyle w:val="37"/>
        <w:tabs>
          <w:tab w:val="left" w:pos="3990"/>
        </w:tabs>
        <w:spacing w:line="440" w:lineRule="exact"/>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评标委员会首先对符合资格条件的投标人的投标文件进行符合性审查，以确定其是否满足招标文件的实质性要求；然后按招标文件中规定的评标方法和标准，对符合性审查合格的投标文件进行商务和技术评估；综合比较与评价。商务技术文件评审结束后公布投标人技术资信得分情况，之后开报价文件；对报价文件评审后，根据综合评审结果，推荐中标候选人并提交评审报告。</w:t>
      </w:r>
    </w:p>
    <w:p w14:paraId="28B43763">
      <w:pPr>
        <w:pStyle w:val="37"/>
        <w:tabs>
          <w:tab w:val="left" w:pos="3990"/>
        </w:tabs>
        <w:spacing w:line="440" w:lineRule="exact"/>
        <w:ind w:firstLine="482" w:firstLineChars="200"/>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四、评标办法</w:t>
      </w:r>
    </w:p>
    <w:p w14:paraId="1A92D14D">
      <w:pPr>
        <w:pStyle w:val="37"/>
        <w:tabs>
          <w:tab w:val="left" w:pos="3990"/>
        </w:tabs>
        <w:spacing w:line="440" w:lineRule="exact"/>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本次招标的评标办法采用综合评分法。即以投标人完全响应招标文件设定的全部责任条款为前提，由评标委员会按招标文件中规定的各项因素进行综合评审。根据本项目采购文件要求，按照本办法规定的内容和分值设置，评审后得分最高的投标人推荐为中标候选人（计算结果保留两位小数，四舍五入）。</w:t>
      </w:r>
    </w:p>
    <w:p w14:paraId="119374F6">
      <w:pPr>
        <w:pStyle w:val="37"/>
        <w:tabs>
          <w:tab w:val="left" w:pos="3990"/>
        </w:tabs>
        <w:spacing w:line="440" w:lineRule="exact"/>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2.技术资信分的评定由各评委成员按评分细则进行评审打分，每人一张评分表，并记名。投标文件各项评分内容由评标委员会成员各自独立评分；评分时保留小数点后 1 位小数，计算评分值时保留小数点后 2 位小数，由评标委员会当场统一计算。评标委员会成员对投标人各项评分合计数的算术平均值为各投标人技术资信得分，分值计算公式为：评标委员会各成员评分合计数／评标委员会组成人数（结果四舍五入后保留两位小数）。</w:t>
      </w:r>
    </w:p>
    <w:p w14:paraId="487F1BD9">
      <w:pPr>
        <w:spacing w:line="420" w:lineRule="exact"/>
        <w:ind w:firstLine="413" w:firstLineChars="196"/>
        <w:jc w:val="left"/>
        <w:rPr>
          <w:rFonts w:hint="eastAsia" w:ascii="宋体" w:hAnsi="宋体" w:cs="宋体"/>
          <w:b/>
          <w:szCs w:val="21"/>
        </w:rPr>
      </w:pPr>
    </w:p>
    <w:p w14:paraId="502B0037">
      <w:pPr>
        <w:spacing w:line="420" w:lineRule="exact"/>
        <w:jc w:val="left"/>
        <w:rPr>
          <w:rFonts w:hint="eastAsia" w:ascii="宋体" w:hAnsi="宋体" w:cs="宋体"/>
          <w:b/>
          <w:szCs w:val="21"/>
        </w:rPr>
      </w:pPr>
    </w:p>
    <w:p w14:paraId="535AE318">
      <w:pPr>
        <w:spacing w:line="420" w:lineRule="exact"/>
        <w:ind w:firstLine="472" w:firstLineChars="196"/>
        <w:jc w:val="left"/>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五、评分细则</w:t>
      </w:r>
    </w:p>
    <w:p w14:paraId="5CBE35EC">
      <w:pPr>
        <w:spacing w:line="420" w:lineRule="exact"/>
        <w:ind w:firstLine="472" w:firstLineChars="196"/>
        <w:jc w:val="left"/>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（一）商务技术评分细则（80分）</w:t>
      </w:r>
    </w:p>
    <w:tbl>
      <w:tblPr>
        <w:tblStyle w:val="22"/>
        <w:tblW w:w="98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61"/>
        <w:gridCol w:w="6582"/>
        <w:gridCol w:w="1107"/>
      </w:tblGrid>
      <w:tr w14:paraId="608EC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9" w:hRule="atLeast"/>
          <w:jc w:val="center"/>
        </w:trPr>
        <w:tc>
          <w:tcPr>
            <w:tcW w:w="8743" w:type="dxa"/>
            <w:gridSpan w:val="2"/>
            <w:shd w:val="clear" w:color="auto" w:fill="FFFFFF"/>
            <w:noWrap w:val="0"/>
            <w:vAlign w:val="center"/>
          </w:tcPr>
          <w:p w14:paraId="4FE1D4A0">
            <w:pPr>
              <w:spacing w:line="440" w:lineRule="exact"/>
              <w:jc w:val="center"/>
              <w:rPr>
                <w:rFonts w:ascii="宋体" w:hAnsi="宋体" w:cs="宋体"/>
                <w:b/>
                <w:color w:val="auto"/>
                <w:szCs w:val="21"/>
              </w:rPr>
            </w:pPr>
            <w:bookmarkStart w:id="166" w:name="报价评分标准"/>
            <w:r>
              <w:rPr>
                <w:rFonts w:hint="eastAsia" w:ascii="宋体" w:hAnsi="宋体" w:cs="宋体"/>
                <w:b/>
                <w:color w:val="auto"/>
                <w:szCs w:val="21"/>
              </w:rPr>
              <w:t>评分标准</w:t>
            </w:r>
          </w:p>
        </w:tc>
        <w:tc>
          <w:tcPr>
            <w:tcW w:w="1107" w:type="dxa"/>
            <w:shd w:val="clear" w:color="auto" w:fill="FFFFFF"/>
            <w:noWrap w:val="0"/>
            <w:vAlign w:val="center"/>
          </w:tcPr>
          <w:p w14:paraId="25944492">
            <w:pPr>
              <w:spacing w:line="440" w:lineRule="exact"/>
              <w:jc w:val="center"/>
              <w:rPr>
                <w:rFonts w:ascii="宋体" w:hAnsi="宋体" w:cs="宋体"/>
                <w:b/>
                <w:color w:val="auto"/>
                <w:szCs w:val="21"/>
              </w:rPr>
            </w:pPr>
            <w:r>
              <w:rPr>
                <w:rFonts w:hint="eastAsia" w:ascii="宋体" w:hAnsi="宋体" w:cs="宋体"/>
                <w:b/>
                <w:color w:val="auto"/>
                <w:szCs w:val="21"/>
              </w:rPr>
              <w:t>分值</w:t>
            </w:r>
          </w:p>
        </w:tc>
      </w:tr>
      <w:tr w14:paraId="2443B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161" w:type="dxa"/>
            <w:vMerge w:val="restart"/>
            <w:shd w:val="clear" w:color="auto" w:fill="FFFFFF"/>
            <w:noWrap w:val="0"/>
            <w:vAlign w:val="center"/>
          </w:tcPr>
          <w:p w14:paraId="64E12357">
            <w:pPr>
              <w:tabs>
                <w:tab w:val="left" w:pos="838"/>
              </w:tabs>
              <w:spacing w:line="440" w:lineRule="exact"/>
              <w:jc w:val="center"/>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商</w:t>
            </w:r>
          </w:p>
          <w:p w14:paraId="02098FD8">
            <w:pPr>
              <w:tabs>
                <w:tab w:val="left" w:pos="838"/>
              </w:tabs>
              <w:spacing w:line="440" w:lineRule="exact"/>
              <w:jc w:val="center"/>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务</w:t>
            </w:r>
          </w:p>
          <w:p w14:paraId="220B71E2">
            <w:pPr>
              <w:tabs>
                <w:tab w:val="left" w:pos="838"/>
              </w:tabs>
              <w:spacing w:line="440" w:lineRule="exact"/>
              <w:jc w:val="center"/>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部</w:t>
            </w:r>
          </w:p>
          <w:p w14:paraId="29D6BD74">
            <w:pPr>
              <w:tabs>
                <w:tab w:val="left" w:pos="838"/>
              </w:tabs>
              <w:spacing w:line="440" w:lineRule="exact"/>
              <w:jc w:val="center"/>
              <w:rPr>
                <w:rFonts w:hint="default" w:ascii="宋体" w:hAnsi="宋体" w:eastAsia="宋体" w:cs="宋体"/>
                <w:color w:val="auto"/>
                <w:kern w:val="0"/>
                <w:szCs w:val="21"/>
                <w:lang w:val="en-US" w:eastAsia="zh-CN" w:bidi="ar"/>
              </w:rPr>
            </w:pPr>
            <w:r>
              <w:rPr>
                <w:rFonts w:hint="eastAsia" w:ascii="宋体" w:hAnsi="宋体" w:eastAsia="宋体" w:cs="宋体"/>
                <w:b/>
                <w:bCs/>
                <w:kern w:val="2"/>
                <w:sz w:val="24"/>
                <w:szCs w:val="24"/>
                <w:lang w:val="en-US" w:eastAsia="zh-CN" w:bidi="ar-SA"/>
              </w:rPr>
              <w:t>分</w:t>
            </w:r>
          </w:p>
        </w:tc>
        <w:tc>
          <w:tcPr>
            <w:tcW w:w="6582" w:type="dxa"/>
            <w:shd w:val="clear" w:color="auto" w:fill="FFFFFF"/>
            <w:noWrap w:val="0"/>
            <w:vAlign w:val="center"/>
          </w:tcPr>
          <w:p w14:paraId="6991961C">
            <w:pPr>
              <w:snapToGrid w:val="0"/>
              <w:spacing w:line="360" w:lineRule="exact"/>
              <w:jc w:val="left"/>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en-US" w:eastAsia="zh-CN" w:bidi="ar-SA"/>
              </w:rPr>
              <w:t>2022年01月01日以来（以合同签订日期为准）承担类似产品质量抽检任务的，每个得1分，最高得2分。</w:t>
            </w:r>
          </w:p>
          <w:p w14:paraId="62717A51">
            <w:pPr>
              <w:snapToGrid w:val="0"/>
              <w:spacing w:line="360" w:lineRule="exact"/>
              <w:jc w:val="left"/>
              <w:rPr>
                <w:rFonts w:ascii="宋体" w:hAnsi="宋体" w:cs="宋体"/>
                <w:color w:val="auto"/>
                <w:szCs w:val="21"/>
              </w:rPr>
            </w:pPr>
            <w:r>
              <w:rPr>
                <w:rFonts w:hint="eastAsia" w:ascii="宋体" w:hAnsi="宋体" w:eastAsia="宋体" w:cs="宋体"/>
                <w:b/>
                <w:bCs/>
                <w:kern w:val="2"/>
                <w:sz w:val="24"/>
                <w:szCs w:val="24"/>
                <w:lang w:val="en-US" w:eastAsia="zh-CN" w:bidi="ar-SA"/>
              </w:rPr>
              <w:t>注：需提供中标通知书或合同原件扫描件并加盖</w:t>
            </w:r>
            <w:r>
              <w:rPr>
                <w:rFonts w:hint="eastAsia" w:ascii="宋体" w:hAnsi="宋体" w:cs="宋体"/>
                <w:b/>
                <w:bCs/>
                <w:kern w:val="2"/>
                <w:sz w:val="24"/>
                <w:szCs w:val="24"/>
                <w:lang w:val="en-US" w:eastAsia="zh-CN" w:bidi="ar-SA"/>
              </w:rPr>
              <w:t>电子</w:t>
            </w:r>
            <w:r>
              <w:rPr>
                <w:rFonts w:hint="eastAsia" w:ascii="宋体" w:hAnsi="宋体" w:eastAsia="宋体" w:cs="宋体"/>
                <w:b/>
                <w:bCs/>
                <w:kern w:val="2"/>
                <w:sz w:val="24"/>
                <w:szCs w:val="24"/>
                <w:lang w:val="en-US" w:eastAsia="zh-CN" w:bidi="ar-SA"/>
              </w:rPr>
              <w:t>公章，未提供则不得分。</w:t>
            </w:r>
          </w:p>
        </w:tc>
        <w:tc>
          <w:tcPr>
            <w:tcW w:w="1107" w:type="dxa"/>
            <w:shd w:val="clear" w:color="auto" w:fill="FFFFFF"/>
            <w:noWrap w:val="0"/>
            <w:vAlign w:val="center"/>
          </w:tcPr>
          <w:p w14:paraId="07A29D03">
            <w:pPr>
              <w:pStyle w:val="27"/>
              <w:spacing w:line="440" w:lineRule="exact"/>
              <w:jc w:val="center"/>
              <w:rPr>
                <w:rStyle w:val="38"/>
                <w:rFonts w:hint="default"/>
                <w:color w:val="auto"/>
                <w:kern w:val="2"/>
                <w:lang w:bidi="ar"/>
              </w:rPr>
            </w:pPr>
            <w:r>
              <w:rPr>
                <w:rStyle w:val="38"/>
                <w:rFonts w:hint="default"/>
                <w:b w:val="0"/>
                <w:bCs w:val="0"/>
                <w:color w:val="auto"/>
                <w:kern w:val="2"/>
                <w:lang w:bidi="ar"/>
              </w:rPr>
              <w:t>2</w:t>
            </w:r>
          </w:p>
        </w:tc>
      </w:tr>
      <w:tr w14:paraId="30350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161" w:type="dxa"/>
            <w:vMerge w:val="continue"/>
            <w:shd w:val="clear" w:color="auto" w:fill="FFFFFF"/>
            <w:noWrap w:val="0"/>
            <w:vAlign w:val="center"/>
          </w:tcPr>
          <w:p w14:paraId="7808581D">
            <w:pPr>
              <w:widowControl/>
              <w:spacing w:line="440" w:lineRule="exact"/>
              <w:jc w:val="center"/>
              <w:textAlignment w:val="center"/>
              <w:rPr>
                <w:rFonts w:hint="default" w:ascii="宋体" w:hAnsi="宋体" w:eastAsia="宋体" w:cs="宋体"/>
                <w:color w:val="auto"/>
                <w:kern w:val="0"/>
                <w:szCs w:val="21"/>
                <w:lang w:val="en-US" w:eastAsia="zh-CN" w:bidi="ar"/>
              </w:rPr>
            </w:pPr>
          </w:p>
        </w:tc>
        <w:tc>
          <w:tcPr>
            <w:tcW w:w="6582" w:type="dxa"/>
            <w:shd w:val="clear" w:color="auto" w:fill="FFFFFF"/>
            <w:noWrap w:val="0"/>
            <w:vAlign w:val="center"/>
          </w:tcPr>
          <w:p w14:paraId="4D1B366B">
            <w:pPr>
              <w:spacing w:line="360" w:lineRule="exac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zh-CN" w:eastAsia="zh-CN" w:bidi="ar-SA"/>
              </w:rPr>
              <w:t>具有CNAS资质认定的得</w:t>
            </w:r>
            <w:r>
              <w:rPr>
                <w:rFonts w:hint="eastAsia" w:ascii="宋体" w:hAnsi="宋体" w:eastAsia="宋体" w:cs="宋体"/>
                <w:kern w:val="2"/>
                <w:sz w:val="24"/>
                <w:szCs w:val="24"/>
                <w:lang w:val="en-US" w:eastAsia="zh-CN" w:bidi="ar-SA"/>
              </w:rPr>
              <w:t>1</w:t>
            </w:r>
            <w:r>
              <w:rPr>
                <w:rFonts w:hint="eastAsia" w:ascii="宋体" w:hAnsi="宋体" w:eastAsia="宋体" w:cs="宋体"/>
                <w:kern w:val="2"/>
                <w:sz w:val="24"/>
                <w:szCs w:val="24"/>
                <w:lang w:val="zh-CN" w:eastAsia="zh-CN" w:bidi="ar-SA"/>
              </w:rPr>
              <w:t>分</w:t>
            </w:r>
            <w:r>
              <w:rPr>
                <w:rFonts w:hint="eastAsia" w:ascii="宋体" w:hAnsi="宋体" w:eastAsia="宋体" w:cs="宋体"/>
                <w:kern w:val="2"/>
                <w:sz w:val="24"/>
                <w:szCs w:val="24"/>
                <w:lang w:val="en-US" w:eastAsia="zh-CN" w:bidi="ar-SA"/>
              </w:rPr>
              <w:t>。</w:t>
            </w:r>
          </w:p>
          <w:p w14:paraId="776CA24E">
            <w:pPr>
              <w:spacing w:line="360" w:lineRule="exact"/>
              <w:rPr>
                <w:rFonts w:hint="eastAsia" w:ascii="宋体" w:hAnsi="宋体" w:cs="宋体"/>
                <w:color w:val="auto"/>
                <w:szCs w:val="21"/>
              </w:rPr>
            </w:pPr>
            <w:r>
              <w:rPr>
                <w:rFonts w:hint="eastAsia" w:ascii="宋体" w:hAnsi="宋体" w:eastAsia="宋体" w:cs="宋体"/>
                <w:b/>
                <w:bCs/>
                <w:kern w:val="2"/>
                <w:sz w:val="24"/>
                <w:szCs w:val="24"/>
                <w:lang w:val="en-US" w:eastAsia="zh-CN" w:bidi="ar-SA"/>
              </w:rPr>
              <w:t>注：提供证书扫描件并加盖</w:t>
            </w:r>
            <w:r>
              <w:rPr>
                <w:rFonts w:hint="eastAsia" w:ascii="宋体" w:hAnsi="宋体" w:cs="宋体"/>
                <w:b/>
                <w:bCs/>
                <w:kern w:val="2"/>
                <w:sz w:val="24"/>
                <w:szCs w:val="24"/>
                <w:lang w:val="en-US" w:eastAsia="zh-CN" w:bidi="ar-SA"/>
              </w:rPr>
              <w:t>电子</w:t>
            </w:r>
            <w:r>
              <w:rPr>
                <w:rFonts w:hint="eastAsia" w:ascii="宋体" w:hAnsi="宋体" w:eastAsia="宋体" w:cs="宋体"/>
                <w:b/>
                <w:bCs/>
                <w:kern w:val="2"/>
                <w:sz w:val="24"/>
                <w:szCs w:val="24"/>
                <w:lang w:val="en-US" w:eastAsia="zh-CN" w:bidi="ar-SA"/>
              </w:rPr>
              <w:t>公章。</w:t>
            </w:r>
          </w:p>
        </w:tc>
        <w:tc>
          <w:tcPr>
            <w:tcW w:w="1107" w:type="dxa"/>
            <w:shd w:val="clear" w:color="auto" w:fill="FFFFFF"/>
            <w:noWrap w:val="0"/>
            <w:vAlign w:val="center"/>
          </w:tcPr>
          <w:p w14:paraId="74705B97">
            <w:pPr>
              <w:pStyle w:val="27"/>
              <w:spacing w:line="440" w:lineRule="exact"/>
              <w:jc w:val="center"/>
              <w:rPr>
                <w:rStyle w:val="38"/>
                <w:rFonts w:hint="eastAsia" w:eastAsia="宋体"/>
                <w:b w:val="0"/>
                <w:bCs w:val="0"/>
                <w:color w:val="auto"/>
                <w:kern w:val="2"/>
                <w:lang w:val="en-US" w:eastAsia="zh-CN" w:bidi="ar"/>
              </w:rPr>
            </w:pPr>
            <w:r>
              <w:rPr>
                <w:rStyle w:val="38"/>
                <w:rFonts w:hint="eastAsia"/>
                <w:b w:val="0"/>
                <w:bCs w:val="0"/>
                <w:color w:val="auto"/>
                <w:kern w:val="2"/>
                <w:lang w:val="en-US" w:eastAsia="zh-CN" w:bidi="ar"/>
              </w:rPr>
              <w:t>1</w:t>
            </w:r>
          </w:p>
        </w:tc>
      </w:tr>
      <w:tr w14:paraId="467EC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161" w:type="dxa"/>
            <w:vMerge w:val="continue"/>
            <w:shd w:val="clear" w:color="auto" w:fill="FFFFFF"/>
            <w:noWrap w:val="0"/>
            <w:vAlign w:val="center"/>
          </w:tcPr>
          <w:p w14:paraId="1EEB2D71">
            <w:pPr>
              <w:widowControl/>
              <w:spacing w:line="440" w:lineRule="exact"/>
              <w:jc w:val="center"/>
              <w:textAlignment w:val="center"/>
              <w:rPr>
                <w:rFonts w:ascii="宋体" w:hAnsi="宋体" w:cs="宋体"/>
                <w:color w:val="auto"/>
                <w:kern w:val="0"/>
                <w:szCs w:val="21"/>
                <w:lang w:bidi="ar"/>
              </w:rPr>
            </w:pPr>
          </w:p>
        </w:tc>
        <w:tc>
          <w:tcPr>
            <w:tcW w:w="6582" w:type="dxa"/>
            <w:shd w:val="clear" w:color="auto" w:fill="FFFFFF"/>
            <w:noWrap w:val="0"/>
            <w:vAlign w:val="center"/>
          </w:tcPr>
          <w:p w14:paraId="275613F0">
            <w:pPr>
              <w:spacing w:line="360" w:lineRule="exact"/>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2022年</w:t>
            </w:r>
            <w:r>
              <w:rPr>
                <w:rFonts w:hint="eastAsia" w:ascii="宋体" w:hAnsi="宋体" w:eastAsia="宋体" w:cs="宋体"/>
                <w:kern w:val="2"/>
                <w:sz w:val="24"/>
                <w:szCs w:val="24"/>
                <w:lang w:val="en-US" w:eastAsia="zh-CN" w:bidi="ar-SA"/>
              </w:rPr>
              <w:t>01月01日</w:t>
            </w:r>
            <w:r>
              <w:rPr>
                <w:rFonts w:hint="eastAsia" w:ascii="宋体" w:hAnsi="宋体" w:eastAsia="宋体" w:cs="宋体"/>
                <w:kern w:val="2"/>
                <w:sz w:val="24"/>
                <w:szCs w:val="24"/>
                <w:lang w:val="zh-CN" w:eastAsia="zh-CN" w:bidi="ar-SA"/>
              </w:rPr>
              <w:t>以来供应商或其人员被聘为国家级技术评审组成员的每人得1分，或具有有效期内的相关专利的每个得1分。本项最高得2分。</w:t>
            </w:r>
          </w:p>
          <w:p w14:paraId="7B36AFA8">
            <w:pPr>
              <w:tabs>
                <w:tab w:val="left" w:pos="838"/>
              </w:tabs>
              <w:spacing w:line="440" w:lineRule="exact"/>
              <w:jc w:val="left"/>
              <w:rPr>
                <w:rFonts w:hint="eastAsia" w:ascii="宋体" w:hAnsi="宋体"/>
                <w:b/>
                <w:bCs/>
                <w:color w:val="auto"/>
              </w:rPr>
            </w:pPr>
            <w:r>
              <w:rPr>
                <w:rFonts w:hint="eastAsia" w:ascii="宋体" w:hAnsi="宋体" w:eastAsia="宋体" w:cs="宋体"/>
                <w:b/>
                <w:bCs/>
                <w:kern w:val="2"/>
                <w:sz w:val="24"/>
                <w:szCs w:val="24"/>
                <w:lang w:val="en-US" w:eastAsia="zh-CN" w:bidi="ar-SA"/>
              </w:rPr>
              <w:t>注：相关证明材料原件扫描件并加盖</w:t>
            </w:r>
            <w:r>
              <w:rPr>
                <w:rFonts w:hint="eastAsia" w:ascii="宋体" w:hAnsi="宋体" w:cs="宋体"/>
                <w:b/>
                <w:bCs/>
                <w:kern w:val="2"/>
                <w:sz w:val="24"/>
                <w:szCs w:val="24"/>
                <w:lang w:val="en-US" w:eastAsia="zh-CN" w:bidi="ar-SA"/>
              </w:rPr>
              <w:t>电子</w:t>
            </w:r>
            <w:r>
              <w:rPr>
                <w:rFonts w:hint="eastAsia" w:ascii="宋体" w:hAnsi="宋体" w:eastAsia="宋体" w:cs="宋体"/>
                <w:b/>
                <w:bCs/>
                <w:kern w:val="2"/>
                <w:sz w:val="24"/>
                <w:szCs w:val="24"/>
                <w:lang w:val="en-US" w:eastAsia="zh-CN" w:bidi="ar-SA"/>
              </w:rPr>
              <w:t>公章。</w:t>
            </w:r>
          </w:p>
        </w:tc>
        <w:tc>
          <w:tcPr>
            <w:tcW w:w="1107" w:type="dxa"/>
            <w:shd w:val="clear" w:color="auto" w:fill="FFFFFF"/>
            <w:noWrap w:val="0"/>
            <w:vAlign w:val="center"/>
          </w:tcPr>
          <w:p w14:paraId="4C114534">
            <w:pPr>
              <w:pStyle w:val="27"/>
              <w:spacing w:line="440" w:lineRule="exact"/>
              <w:jc w:val="center"/>
              <w:rPr>
                <w:rStyle w:val="38"/>
                <w:rFonts w:hint="eastAsia" w:eastAsia="宋体"/>
                <w:b w:val="0"/>
                <w:bCs w:val="0"/>
                <w:color w:val="auto"/>
                <w:kern w:val="2"/>
                <w:lang w:val="en-US" w:eastAsia="zh-CN" w:bidi="ar"/>
              </w:rPr>
            </w:pPr>
            <w:r>
              <w:rPr>
                <w:rStyle w:val="38"/>
                <w:rFonts w:hint="eastAsia"/>
                <w:b w:val="0"/>
                <w:bCs w:val="0"/>
                <w:color w:val="auto"/>
                <w:kern w:val="2"/>
                <w:lang w:val="en-US" w:eastAsia="zh-CN" w:bidi="ar"/>
              </w:rPr>
              <w:t>2</w:t>
            </w:r>
          </w:p>
        </w:tc>
      </w:tr>
      <w:tr w14:paraId="2414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161" w:type="dxa"/>
            <w:vMerge w:val="continue"/>
            <w:shd w:val="clear" w:color="auto" w:fill="FFFFFF"/>
            <w:noWrap w:val="0"/>
            <w:vAlign w:val="center"/>
          </w:tcPr>
          <w:p w14:paraId="7C3BAFB8">
            <w:pPr>
              <w:widowControl/>
              <w:spacing w:line="440" w:lineRule="exact"/>
              <w:jc w:val="center"/>
              <w:textAlignment w:val="center"/>
              <w:rPr>
                <w:rFonts w:ascii="宋体" w:hAnsi="宋体" w:cs="宋体"/>
                <w:color w:val="auto"/>
                <w:kern w:val="0"/>
                <w:szCs w:val="21"/>
                <w:lang w:bidi="ar"/>
              </w:rPr>
            </w:pPr>
          </w:p>
        </w:tc>
        <w:tc>
          <w:tcPr>
            <w:tcW w:w="6582" w:type="dxa"/>
            <w:shd w:val="clear" w:color="auto" w:fill="FFFFFF"/>
            <w:noWrap w:val="0"/>
            <w:vAlign w:val="center"/>
          </w:tcPr>
          <w:p w14:paraId="104E86E2">
            <w:pPr>
              <w:keepNext w:val="0"/>
              <w:keepLines w:val="0"/>
              <w:pageBreakBefore w:val="0"/>
              <w:widowControl w:val="0"/>
              <w:kinsoku/>
              <w:wordWrap/>
              <w:overflowPunct/>
              <w:topLinePunct w:val="0"/>
              <w:autoSpaceDE/>
              <w:autoSpaceDN/>
              <w:bidi w:val="0"/>
              <w:adjustRightInd/>
              <w:snapToGrid w:val="0"/>
              <w:spacing w:line="380" w:lineRule="exact"/>
              <w:ind w:right="105" w:rightChars="50"/>
              <w:jc w:val="both"/>
              <w:textAlignment w:val="auto"/>
              <w:rPr>
                <w:rStyle w:val="32"/>
                <w:rFonts w:hint="eastAsia" w:ascii="宋体" w:hAnsi="宋体" w:eastAsia="宋体" w:cs="宋体"/>
                <w:color w:val="000000" w:themeColor="text1"/>
                <w:kern w:val="0"/>
                <w:sz w:val="24"/>
                <w:szCs w:val="24"/>
                <w:highlight w:val="none"/>
                <w14:textFill>
                  <w14:solidFill>
                    <w14:schemeClr w14:val="tx1"/>
                  </w14:solidFill>
                </w14:textFill>
              </w:rPr>
            </w:pPr>
            <w:r>
              <w:rPr>
                <w:rStyle w:val="32"/>
                <w:rFonts w:hint="eastAsia" w:ascii="宋体" w:hAnsi="宋体" w:eastAsia="宋体" w:cs="宋体"/>
                <w:color w:val="000000" w:themeColor="text1"/>
                <w:kern w:val="0"/>
                <w:sz w:val="24"/>
                <w:szCs w:val="24"/>
                <w:highlight w:val="none"/>
                <w:lang w:eastAsia="zh-CN"/>
                <w14:textFill>
                  <w14:solidFill>
                    <w14:schemeClr w14:val="tx1"/>
                  </w14:solidFill>
                </w14:textFill>
              </w:rPr>
              <w:t>供应商</w:t>
            </w:r>
            <w:r>
              <w:rPr>
                <w:rStyle w:val="32"/>
                <w:rFonts w:hint="eastAsia" w:ascii="宋体" w:hAnsi="宋体" w:eastAsia="宋体" w:cs="宋体"/>
                <w:color w:val="000000" w:themeColor="text1"/>
                <w:kern w:val="0"/>
                <w:sz w:val="24"/>
                <w:szCs w:val="24"/>
                <w:highlight w:val="none"/>
                <w14:textFill>
                  <w14:solidFill>
                    <w14:schemeClr w14:val="tx1"/>
                  </w14:solidFill>
                </w14:textFill>
              </w:rPr>
              <w:t>取得本项目抽检</w:t>
            </w:r>
            <w:r>
              <w:rPr>
                <w:rStyle w:val="32"/>
                <w:rFonts w:hint="eastAsia" w:ascii="宋体" w:hAnsi="宋体" w:eastAsia="宋体" w:cs="宋体"/>
                <w:color w:val="000000" w:themeColor="text1"/>
                <w:kern w:val="0"/>
                <w:sz w:val="24"/>
                <w:szCs w:val="24"/>
                <w:highlight w:val="none"/>
                <w:lang w:eastAsia="zh-CN"/>
                <w14:textFill>
                  <w14:solidFill>
                    <w14:schemeClr w14:val="tx1"/>
                  </w14:solidFill>
                </w14:textFill>
              </w:rPr>
              <w:t>产品对应</w:t>
            </w:r>
            <w:r>
              <w:rPr>
                <w:rStyle w:val="32"/>
                <w:rFonts w:hint="eastAsia" w:ascii="宋体" w:hAnsi="宋体" w:eastAsia="宋体" w:cs="宋体"/>
                <w:color w:val="000000" w:themeColor="text1"/>
                <w:kern w:val="0"/>
                <w:sz w:val="24"/>
                <w:szCs w:val="24"/>
                <w:highlight w:val="none"/>
                <w14:textFill>
                  <w14:solidFill>
                    <w14:schemeClr w14:val="tx1"/>
                  </w14:solidFill>
                </w14:textFill>
              </w:rPr>
              <w:t>领域</w:t>
            </w:r>
            <w:r>
              <w:rPr>
                <w:rStyle w:val="32"/>
                <w:rFonts w:hint="eastAsia" w:ascii="宋体" w:hAnsi="宋体" w:eastAsia="宋体" w:cs="宋体"/>
                <w:color w:val="000000" w:themeColor="text1"/>
                <w:kern w:val="0"/>
                <w:sz w:val="24"/>
                <w:szCs w:val="24"/>
                <w:highlight w:val="none"/>
                <w:lang w:eastAsia="zh-CN"/>
                <w14:textFill>
                  <w14:solidFill>
                    <w14:schemeClr w14:val="tx1"/>
                  </w14:solidFill>
                </w14:textFill>
              </w:rPr>
              <w:t>的</w:t>
            </w:r>
            <w:r>
              <w:rPr>
                <w:rStyle w:val="32"/>
                <w:rFonts w:hint="eastAsia" w:ascii="宋体" w:hAnsi="宋体" w:eastAsia="宋体" w:cs="宋体"/>
                <w:color w:val="000000" w:themeColor="text1"/>
                <w:kern w:val="0"/>
                <w:sz w:val="24"/>
                <w:szCs w:val="24"/>
                <w:highlight w:val="none"/>
                <w14:textFill>
                  <w14:solidFill>
                    <w14:schemeClr w14:val="tx1"/>
                  </w14:solidFill>
                </w14:textFill>
              </w:rPr>
              <w:t>国家级质检中心的，</w:t>
            </w:r>
            <w:r>
              <w:rPr>
                <w:rStyle w:val="32"/>
                <w:rFonts w:hint="eastAsia" w:ascii="宋体" w:hAnsi="宋体" w:eastAsia="宋体" w:cs="宋体"/>
                <w:color w:val="000000" w:themeColor="text1"/>
                <w:kern w:val="0"/>
                <w:sz w:val="24"/>
                <w:szCs w:val="24"/>
                <w:highlight w:val="none"/>
                <w:lang w:eastAsia="zh-CN"/>
                <w14:textFill>
                  <w14:solidFill>
                    <w14:schemeClr w14:val="tx1"/>
                  </w14:solidFill>
                </w14:textFill>
              </w:rPr>
              <w:t>每个</w:t>
            </w:r>
            <w:r>
              <w:rPr>
                <w:rStyle w:val="32"/>
                <w:rFonts w:hint="eastAsia" w:ascii="宋体" w:hAnsi="宋体" w:eastAsia="宋体" w:cs="宋体"/>
                <w:color w:val="000000" w:themeColor="text1"/>
                <w:kern w:val="0"/>
                <w:sz w:val="24"/>
                <w:szCs w:val="24"/>
                <w:highlight w:val="none"/>
                <w14:textFill>
                  <w14:solidFill>
                    <w14:schemeClr w14:val="tx1"/>
                  </w14:solidFill>
                </w14:textFill>
              </w:rPr>
              <w:t>得</w:t>
            </w:r>
            <w:r>
              <w:rPr>
                <w:rStyle w:val="32"/>
                <w:rFonts w:hint="eastAsia" w:ascii="宋体" w:hAnsi="宋体" w:cs="宋体"/>
                <w:color w:val="000000" w:themeColor="text1"/>
                <w:kern w:val="0"/>
                <w:sz w:val="24"/>
                <w:szCs w:val="24"/>
                <w:highlight w:val="none"/>
                <w:lang w:val="en-US" w:eastAsia="zh-CN"/>
                <w14:textFill>
                  <w14:solidFill>
                    <w14:schemeClr w14:val="tx1"/>
                  </w14:solidFill>
                </w14:textFill>
              </w:rPr>
              <w:t>1</w:t>
            </w:r>
            <w:r>
              <w:rPr>
                <w:rStyle w:val="32"/>
                <w:rFonts w:hint="eastAsia" w:ascii="宋体" w:hAnsi="宋体" w:eastAsia="宋体" w:cs="宋体"/>
                <w:color w:val="000000" w:themeColor="text1"/>
                <w:kern w:val="0"/>
                <w:sz w:val="24"/>
                <w:szCs w:val="24"/>
                <w:highlight w:val="none"/>
                <w14:textFill>
                  <w14:solidFill>
                    <w14:schemeClr w14:val="tx1"/>
                  </w14:solidFill>
                </w14:textFill>
              </w:rPr>
              <w:t>分</w:t>
            </w:r>
            <w:r>
              <w:rPr>
                <w:rStyle w:val="32"/>
                <w:rFonts w:hint="eastAsia" w:ascii="宋体" w:hAnsi="宋体" w:eastAsia="宋体" w:cs="宋体"/>
                <w:color w:val="000000" w:themeColor="text1"/>
                <w:kern w:val="0"/>
                <w:sz w:val="24"/>
                <w:szCs w:val="24"/>
                <w:highlight w:val="none"/>
                <w:lang w:eastAsia="zh-CN"/>
                <w14:textFill>
                  <w14:solidFill>
                    <w14:schemeClr w14:val="tx1"/>
                  </w14:solidFill>
                </w14:textFill>
              </w:rPr>
              <w:t>，</w:t>
            </w:r>
            <w:r>
              <w:rPr>
                <w:rStyle w:val="32"/>
                <w:rFonts w:hint="eastAsia" w:ascii="宋体" w:hAnsi="宋体" w:eastAsia="宋体" w:cs="宋体"/>
                <w:color w:val="000000" w:themeColor="text1"/>
                <w:kern w:val="0"/>
                <w:sz w:val="24"/>
                <w:szCs w:val="24"/>
                <w:highlight w:val="none"/>
                <w14:textFill>
                  <w14:solidFill>
                    <w14:schemeClr w14:val="tx1"/>
                  </w14:solidFill>
                </w14:textFill>
              </w:rPr>
              <w:t>最高</w:t>
            </w:r>
            <w:r>
              <w:rPr>
                <w:rStyle w:val="32"/>
                <w:rFonts w:hint="eastAsia" w:ascii="宋体" w:hAnsi="宋体" w:cs="宋体"/>
                <w:color w:val="000000" w:themeColor="text1"/>
                <w:kern w:val="0"/>
                <w:sz w:val="24"/>
                <w:szCs w:val="24"/>
                <w:highlight w:val="none"/>
                <w:lang w:val="en-US" w:eastAsia="zh-CN"/>
                <w14:textFill>
                  <w14:solidFill>
                    <w14:schemeClr w14:val="tx1"/>
                  </w14:solidFill>
                </w14:textFill>
              </w:rPr>
              <w:t>2</w:t>
            </w:r>
            <w:r>
              <w:rPr>
                <w:rStyle w:val="32"/>
                <w:rFonts w:hint="eastAsia" w:ascii="宋体" w:hAnsi="宋体" w:eastAsia="宋体" w:cs="宋体"/>
                <w:color w:val="000000" w:themeColor="text1"/>
                <w:kern w:val="0"/>
                <w:sz w:val="24"/>
                <w:szCs w:val="24"/>
                <w:highlight w:val="none"/>
                <w14:textFill>
                  <w14:solidFill>
                    <w14:schemeClr w14:val="tx1"/>
                  </w14:solidFill>
                </w14:textFill>
              </w:rPr>
              <w:t>分；</w:t>
            </w:r>
          </w:p>
          <w:p w14:paraId="113C27A7">
            <w:pPr>
              <w:keepNext w:val="0"/>
              <w:keepLines w:val="0"/>
              <w:pageBreakBefore w:val="0"/>
              <w:widowControl w:val="0"/>
              <w:kinsoku/>
              <w:wordWrap/>
              <w:overflowPunct/>
              <w:topLinePunct w:val="0"/>
              <w:autoSpaceDE/>
              <w:autoSpaceDN/>
              <w:bidi w:val="0"/>
              <w:adjustRightInd/>
              <w:snapToGrid w:val="0"/>
              <w:spacing w:line="380" w:lineRule="exact"/>
              <w:ind w:right="105" w:rightChars="50"/>
              <w:jc w:val="both"/>
              <w:textAlignment w:val="auto"/>
              <w:rPr>
                <w:rStyle w:val="32"/>
                <w:rFonts w:hint="eastAsia" w:ascii="宋体" w:hAnsi="宋体" w:eastAsia="宋体" w:cs="宋体"/>
                <w:color w:val="000000" w:themeColor="text1"/>
                <w:kern w:val="0"/>
                <w:sz w:val="24"/>
                <w:szCs w:val="24"/>
                <w:highlight w:val="none"/>
                <w14:textFill>
                  <w14:solidFill>
                    <w14:schemeClr w14:val="tx1"/>
                  </w14:solidFill>
                </w14:textFill>
              </w:rPr>
            </w:pPr>
            <w:r>
              <w:rPr>
                <w:rStyle w:val="32"/>
                <w:rFonts w:hint="eastAsia" w:ascii="宋体" w:hAnsi="宋体" w:eastAsia="宋体" w:cs="宋体"/>
                <w:color w:val="000000" w:themeColor="text1"/>
                <w:kern w:val="0"/>
                <w:sz w:val="24"/>
                <w:szCs w:val="24"/>
                <w:highlight w:val="none"/>
                <w14:textFill>
                  <w14:solidFill>
                    <w14:schemeClr w14:val="tx1"/>
                  </w14:solidFill>
                </w14:textFill>
              </w:rPr>
              <w:t>供应商取得本项目抽检</w:t>
            </w:r>
            <w:r>
              <w:rPr>
                <w:rStyle w:val="32"/>
                <w:rFonts w:hint="eastAsia" w:ascii="宋体" w:hAnsi="宋体" w:eastAsia="宋体" w:cs="宋体"/>
                <w:color w:val="000000" w:themeColor="text1"/>
                <w:kern w:val="0"/>
                <w:sz w:val="24"/>
                <w:szCs w:val="24"/>
                <w:highlight w:val="none"/>
                <w:lang w:eastAsia="zh-CN"/>
                <w14:textFill>
                  <w14:solidFill>
                    <w14:schemeClr w14:val="tx1"/>
                  </w14:solidFill>
                </w14:textFill>
              </w:rPr>
              <w:t>产品对应</w:t>
            </w:r>
            <w:r>
              <w:rPr>
                <w:rStyle w:val="32"/>
                <w:rFonts w:hint="eastAsia" w:ascii="宋体" w:hAnsi="宋体" w:eastAsia="宋体" w:cs="宋体"/>
                <w:color w:val="000000" w:themeColor="text1"/>
                <w:kern w:val="0"/>
                <w:sz w:val="24"/>
                <w:szCs w:val="24"/>
                <w:highlight w:val="none"/>
                <w14:textFill>
                  <w14:solidFill>
                    <w14:schemeClr w14:val="tx1"/>
                  </w14:solidFill>
                </w14:textFill>
              </w:rPr>
              <w:t>领域</w:t>
            </w:r>
            <w:r>
              <w:rPr>
                <w:rStyle w:val="32"/>
                <w:rFonts w:hint="eastAsia" w:ascii="宋体" w:hAnsi="宋体" w:eastAsia="宋体" w:cs="宋体"/>
                <w:color w:val="000000" w:themeColor="text1"/>
                <w:kern w:val="0"/>
                <w:sz w:val="24"/>
                <w:szCs w:val="24"/>
                <w:highlight w:val="none"/>
                <w:lang w:eastAsia="zh-CN"/>
                <w14:textFill>
                  <w14:solidFill>
                    <w14:schemeClr w14:val="tx1"/>
                  </w14:solidFill>
                </w14:textFill>
              </w:rPr>
              <w:t>的</w:t>
            </w:r>
            <w:r>
              <w:rPr>
                <w:rStyle w:val="32"/>
                <w:rFonts w:hint="eastAsia" w:ascii="宋体" w:hAnsi="宋体" w:eastAsia="宋体" w:cs="宋体"/>
                <w:color w:val="000000" w:themeColor="text1"/>
                <w:kern w:val="0"/>
                <w:sz w:val="24"/>
                <w:szCs w:val="24"/>
                <w:highlight w:val="none"/>
                <w14:textFill>
                  <w14:solidFill>
                    <w14:schemeClr w14:val="tx1"/>
                  </w14:solidFill>
                </w14:textFill>
              </w:rPr>
              <w:t>省级质检中心的</w:t>
            </w:r>
            <w:r>
              <w:rPr>
                <w:rStyle w:val="32"/>
                <w:rFonts w:hint="eastAsia" w:ascii="宋体" w:hAnsi="宋体" w:eastAsia="宋体" w:cs="宋体"/>
                <w:color w:val="000000" w:themeColor="text1"/>
                <w:kern w:val="0"/>
                <w:sz w:val="24"/>
                <w:szCs w:val="24"/>
                <w:highlight w:val="none"/>
                <w:lang w:eastAsia="zh-CN"/>
                <w14:textFill>
                  <w14:solidFill>
                    <w14:schemeClr w14:val="tx1"/>
                  </w14:solidFill>
                </w14:textFill>
              </w:rPr>
              <w:t>，每个</w:t>
            </w:r>
            <w:r>
              <w:rPr>
                <w:rStyle w:val="32"/>
                <w:rFonts w:hint="eastAsia" w:ascii="宋体" w:hAnsi="宋体" w:eastAsia="宋体" w:cs="宋体"/>
                <w:color w:val="000000" w:themeColor="text1"/>
                <w:kern w:val="0"/>
                <w:sz w:val="24"/>
                <w:szCs w:val="24"/>
                <w:highlight w:val="none"/>
                <w14:textFill>
                  <w14:solidFill>
                    <w14:schemeClr w14:val="tx1"/>
                  </w14:solidFill>
                </w14:textFill>
              </w:rPr>
              <w:t>得</w:t>
            </w:r>
            <w:r>
              <w:rPr>
                <w:rStyle w:val="32"/>
                <w:rFonts w:hint="eastAsia" w:ascii="宋体" w:hAnsi="宋体" w:cs="宋体"/>
                <w:color w:val="000000" w:themeColor="text1"/>
                <w:kern w:val="0"/>
                <w:sz w:val="24"/>
                <w:szCs w:val="24"/>
                <w:highlight w:val="none"/>
                <w:lang w:val="en-US" w:eastAsia="zh-CN"/>
                <w14:textFill>
                  <w14:solidFill>
                    <w14:schemeClr w14:val="tx1"/>
                  </w14:solidFill>
                </w14:textFill>
              </w:rPr>
              <w:t>0.5</w:t>
            </w:r>
            <w:r>
              <w:rPr>
                <w:rStyle w:val="32"/>
                <w:rFonts w:hint="eastAsia" w:ascii="宋体" w:hAnsi="宋体" w:eastAsia="宋体" w:cs="宋体"/>
                <w:color w:val="000000" w:themeColor="text1"/>
                <w:kern w:val="0"/>
                <w:sz w:val="24"/>
                <w:szCs w:val="24"/>
                <w:highlight w:val="none"/>
                <w14:textFill>
                  <w14:solidFill>
                    <w14:schemeClr w14:val="tx1"/>
                  </w14:solidFill>
                </w14:textFill>
              </w:rPr>
              <w:t>分</w:t>
            </w:r>
            <w:r>
              <w:rPr>
                <w:rStyle w:val="32"/>
                <w:rFonts w:hint="eastAsia" w:ascii="宋体" w:hAnsi="宋体" w:eastAsia="宋体" w:cs="宋体"/>
                <w:color w:val="000000" w:themeColor="text1"/>
                <w:kern w:val="0"/>
                <w:sz w:val="24"/>
                <w:szCs w:val="24"/>
                <w:highlight w:val="none"/>
                <w:lang w:eastAsia="zh-CN"/>
                <w14:textFill>
                  <w14:solidFill>
                    <w14:schemeClr w14:val="tx1"/>
                  </w14:solidFill>
                </w14:textFill>
              </w:rPr>
              <w:t>，</w:t>
            </w:r>
            <w:r>
              <w:rPr>
                <w:rStyle w:val="32"/>
                <w:rFonts w:hint="eastAsia" w:ascii="宋体" w:hAnsi="宋体" w:eastAsia="宋体" w:cs="宋体"/>
                <w:color w:val="000000" w:themeColor="text1"/>
                <w:kern w:val="0"/>
                <w:sz w:val="24"/>
                <w:szCs w:val="24"/>
                <w:highlight w:val="none"/>
                <w14:textFill>
                  <w14:solidFill>
                    <w14:schemeClr w14:val="tx1"/>
                  </w14:solidFill>
                </w14:textFill>
              </w:rPr>
              <w:t>最高</w:t>
            </w:r>
            <w:r>
              <w:rPr>
                <w:rStyle w:val="32"/>
                <w:rFonts w:hint="eastAsia" w:ascii="宋体" w:hAnsi="宋体" w:cs="宋体"/>
                <w:color w:val="000000" w:themeColor="text1"/>
                <w:kern w:val="0"/>
                <w:sz w:val="24"/>
                <w:szCs w:val="24"/>
                <w:highlight w:val="none"/>
                <w:lang w:val="en-US" w:eastAsia="zh-CN"/>
                <w14:textFill>
                  <w14:solidFill>
                    <w14:schemeClr w14:val="tx1"/>
                  </w14:solidFill>
                </w14:textFill>
              </w:rPr>
              <w:t>1</w:t>
            </w:r>
            <w:r>
              <w:rPr>
                <w:rStyle w:val="32"/>
                <w:rFonts w:hint="eastAsia" w:ascii="宋体" w:hAnsi="宋体" w:eastAsia="宋体" w:cs="宋体"/>
                <w:color w:val="000000" w:themeColor="text1"/>
                <w:kern w:val="0"/>
                <w:sz w:val="24"/>
                <w:szCs w:val="24"/>
                <w:highlight w:val="none"/>
                <w14:textFill>
                  <w14:solidFill>
                    <w14:schemeClr w14:val="tx1"/>
                  </w14:solidFill>
                </w14:textFill>
              </w:rPr>
              <w:t>分；</w:t>
            </w:r>
          </w:p>
          <w:p w14:paraId="29E7EEFA">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b/>
                <w:bCs/>
                <w:color w:val="auto"/>
              </w:rPr>
            </w:pPr>
            <w:r>
              <w:rPr>
                <w:rStyle w:val="32"/>
                <w:rFonts w:hint="eastAsia" w:ascii="宋体" w:hAnsi="宋体" w:eastAsia="宋体" w:cs="宋体"/>
                <w:color w:val="000000" w:themeColor="text1"/>
                <w:kern w:val="0"/>
                <w:sz w:val="24"/>
                <w:szCs w:val="24"/>
                <w:highlight w:val="none"/>
                <w:lang w:eastAsia="zh-CN"/>
                <w14:textFill>
                  <w14:solidFill>
                    <w14:schemeClr w14:val="tx1"/>
                  </w14:solidFill>
                </w14:textFill>
              </w:rPr>
              <w:t>注：</w:t>
            </w:r>
            <w:r>
              <w:rPr>
                <w:rFonts w:hint="eastAsia" w:ascii="宋体" w:hAnsi="宋体" w:eastAsia="宋体" w:cs="宋体"/>
                <w:b w:val="0"/>
                <w:bCs w:val="0"/>
                <w:color w:val="000000" w:themeColor="text1"/>
                <w:kern w:val="0"/>
                <w:sz w:val="24"/>
                <w:highlight w:val="none"/>
                <w14:textFill>
                  <w14:solidFill>
                    <w14:schemeClr w14:val="tx1"/>
                  </w14:solidFill>
                </w14:textFill>
              </w:rPr>
              <w:t>提供相关证明材料</w:t>
            </w:r>
            <w:r>
              <w:rPr>
                <w:rFonts w:hint="eastAsia" w:ascii="宋体" w:hAnsi="宋体" w:eastAsia="宋体" w:cs="宋体"/>
                <w:b w:val="0"/>
                <w:bCs w:val="0"/>
                <w:color w:val="000000" w:themeColor="text1"/>
                <w:kern w:val="0"/>
                <w:sz w:val="24"/>
                <w:highlight w:val="none"/>
                <w:lang w:val="en-US" w:eastAsia="zh-CN"/>
                <w14:textFill>
                  <w14:solidFill>
                    <w14:schemeClr w14:val="tx1"/>
                  </w14:solidFill>
                </w14:textFill>
              </w:rPr>
              <w:t>,</w:t>
            </w:r>
            <w:r>
              <w:rPr>
                <w:rFonts w:hint="eastAsia" w:ascii="宋体" w:hAnsi="宋体" w:eastAsia="宋体" w:cs="宋体"/>
                <w:b w:val="0"/>
                <w:bCs w:val="0"/>
                <w:color w:val="000000" w:themeColor="text1"/>
                <w:kern w:val="0"/>
                <w:sz w:val="24"/>
                <w:highlight w:val="none"/>
                <w14:textFill>
                  <w14:solidFill>
                    <w14:schemeClr w14:val="tx1"/>
                  </w14:solidFill>
                </w14:textFill>
              </w:rPr>
              <w:t>并加盖</w:t>
            </w:r>
            <w:r>
              <w:rPr>
                <w:rFonts w:hint="eastAsia" w:ascii="宋体" w:hAnsi="宋体" w:eastAsia="宋体" w:cs="宋体"/>
                <w:b w:val="0"/>
                <w:bCs w:val="0"/>
                <w:color w:val="000000" w:themeColor="text1"/>
                <w:kern w:val="0"/>
                <w:sz w:val="24"/>
                <w:highlight w:val="none"/>
                <w:lang w:val="en-US" w:eastAsia="zh-CN"/>
                <w14:textFill>
                  <w14:solidFill>
                    <w14:schemeClr w14:val="tx1"/>
                  </w14:solidFill>
                </w14:textFill>
              </w:rPr>
              <w:t>加盖电子公章</w:t>
            </w:r>
            <w:r>
              <w:rPr>
                <w:rFonts w:hint="eastAsia" w:ascii="宋体" w:hAnsi="宋体" w:eastAsia="宋体" w:cs="宋体"/>
                <w:b w:val="0"/>
                <w:bCs w:val="0"/>
                <w:color w:val="000000" w:themeColor="text1"/>
                <w:kern w:val="0"/>
                <w:sz w:val="24"/>
                <w:highlight w:val="none"/>
                <w:lang w:eastAsia="zh-CN"/>
                <w14:textFill>
                  <w14:solidFill>
                    <w14:schemeClr w14:val="tx1"/>
                  </w14:solidFill>
                </w14:textFill>
              </w:rPr>
              <w:t>。</w:t>
            </w:r>
          </w:p>
        </w:tc>
        <w:tc>
          <w:tcPr>
            <w:tcW w:w="1107" w:type="dxa"/>
            <w:shd w:val="clear" w:color="auto" w:fill="FFFFFF"/>
            <w:noWrap w:val="0"/>
            <w:vAlign w:val="center"/>
          </w:tcPr>
          <w:p w14:paraId="67DFA027">
            <w:pPr>
              <w:pStyle w:val="27"/>
              <w:spacing w:line="440" w:lineRule="exact"/>
              <w:jc w:val="center"/>
              <w:rPr>
                <w:rStyle w:val="38"/>
                <w:rFonts w:hint="default"/>
                <w:b w:val="0"/>
                <w:bCs w:val="0"/>
                <w:color w:val="auto"/>
                <w:kern w:val="2"/>
                <w:lang w:val="en-US" w:eastAsia="zh-CN" w:bidi="ar"/>
              </w:rPr>
            </w:pPr>
            <w:r>
              <w:rPr>
                <w:rStyle w:val="38"/>
                <w:rFonts w:hint="eastAsia"/>
                <w:b w:val="0"/>
                <w:bCs w:val="0"/>
                <w:color w:val="auto"/>
                <w:kern w:val="2"/>
                <w:lang w:val="en-US" w:eastAsia="zh-CN" w:bidi="ar"/>
              </w:rPr>
              <w:t>3</w:t>
            </w:r>
          </w:p>
        </w:tc>
      </w:tr>
      <w:tr w14:paraId="25AE0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161" w:type="dxa"/>
            <w:vMerge w:val="restart"/>
            <w:shd w:val="clear" w:color="auto" w:fill="FFFFFF"/>
            <w:noWrap w:val="0"/>
            <w:vAlign w:val="center"/>
          </w:tcPr>
          <w:p w14:paraId="65901B19">
            <w:pPr>
              <w:spacing w:line="440" w:lineRule="exact"/>
              <w:jc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技</w:t>
            </w:r>
          </w:p>
          <w:p w14:paraId="6A30A11D">
            <w:pPr>
              <w:spacing w:line="440" w:lineRule="exact"/>
              <w:jc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术</w:t>
            </w:r>
          </w:p>
          <w:p w14:paraId="0EBD533B">
            <w:pPr>
              <w:spacing w:line="440" w:lineRule="exact"/>
              <w:jc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服</w:t>
            </w:r>
          </w:p>
          <w:p w14:paraId="5F413BE8">
            <w:pPr>
              <w:spacing w:line="440" w:lineRule="exact"/>
              <w:jc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务</w:t>
            </w:r>
          </w:p>
          <w:p w14:paraId="75A2749A">
            <w:pPr>
              <w:spacing w:line="440" w:lineRule="exact"/>
              <w:jc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方</w:t>
            </w:r>
          </w:p>
          <w:p w14:paraId="489B7E06">
            <w:pPr>
              <w:spacing w:line="440" w:lineRule="exact"/>
              <w:jc w:val="center"/>
              <w:rPr>
                <w:rFonts w:hint="default" w:ascii="宋体" w:hAnsi="宋体" w:eastAsia="宋体" w:cs="宋体"/>
                <w:bCs/>
                <w:color w:val="auto"/>
                <w:szCs w:val="21"/>
                <w:lang w:val="en-US" w:eastAsia="zh-CN"/>
              </w:rPr>
            </w:pPr>
            <w:r>
              <w:rPr>
                <w:rFonts w:hint="eastAsia" w:ascii="宋体" w:hAnsi="宋体" w:eastAsia="宋体" w:cs="宋体"/>
                <w:b/>
                <w:bCs/>
                <w:color w:val="auto"/>
                <w:sz w:val="24"/>
                <w:szCs w:val="24"/>
                <w:lang w:val="en-US" w:eastAsia="zh-CN"/>
              </w:rPr>
              <w:t>案</w:t>
            </w:r>
          </w:p>
        </w:tc>
        <w:tc>
          <w:tcPr>
            <w:tcW w:w="6582" w:type="dxa"/>
            <w:shd w:val="clear" w:color="auto" w:fill="FFFFFF"/>
            <w:noWrap w:val="0"/>
            <w:vAlign w:val="center"/>
          </w:tcPr>
          <w:p w14:paraId="77071E4D">
            <w:pPr>
              <w:tabs>
                <w:tab w:val="left" w:pos="1080"/>
              </w:tabs>
              <w:spacing w:line="360" w:lineRule="exact"/>
              <w:rPr>
                <w:rFonts w:ascii="宋体" w:hAnsi="宋体" w:cs="宋体"/>
                <w:color w:val="auto"/>
                <w:szCs w:val="21"/>
              </w:rPr>
            </w:pPr>
            <w:r>
              <w:rPr>
                <w:rFonts w:hint="eastAsia" w:ascii="宋体" w:hAnsi="宋体" w:cs="宋体"/>
                <w:color w:val="auto"/>
                <w:sz w:val="24"/>
              </w:rPr>
              <w:t>根据对本项目的理解拟定总体方案，包含行业问题分析（0-3分）、抽检计划建议（0-3分）、工作程序规定（0-3分）</w:t>
            </w:r>
            <w:r>
              <w:rPr>
                <w:rFonts w:hint="eastAsia" w:ascii="宋体" w:hAnsi="宋体" w:eastAsia="宋体" w:cs="宋体"/>
                <w:color w:val="000000" w:themeColor="text1"/>
                <w:sz w:val="22"/>
                <w:szCs w:val="22"/>
                <w:lang w:eastAsia="zh-CN"/>
                <w14:textFill>
                  <w14:solidFill>
                    <w14:schemeClr w14:val="tx1"/>
                  </w14:solidFill>
                </w14:textFill>
              </w:rPr>
              <w:t>等进</w:t>
            </w:r>
            <w:r>
              <w:rPr>
                <w:rFonts w:hint="eastAsia" w:ascii="宋体" w:hAnsi="宋体" w:eastAsia="宋体" w:cs="宋体"/>
                <w:color w:val="auto"/>
                <w:sz w:val="24"/>
                <w:lang w:eastAsia="zh-CN"/>
              </w:rPr>
              <w:t>行综合评定。</w:t>
            </w:r>
          </w:p>
        </w:tc>
        <w:tc>
          <w:tcPr>
            <w:tcW w:w="1107" w:type="dxa"/>
            <w:shd w:val="clear" w:color="auto" w:fill="FFFFFF"/>
            <w:noWrap w:val="0"/>
            <w:vAlign w:val="center"/>
          </w:tcPr>
          <w:p w14:paraId="2F12548C">
            <w:pPr>
              <w:pStyle w:val="27"/>
              <w:spacing w:line="440" w:lineRule="exact"/>
              <w:jc w:val="center"/>
              <w:rPr>
                <w:rStyle w:val="38"/>
                <w:rFonts w:hint="eastAsia" w:eastAsia="宋体"/>
                <w:b w:val="0"/>
                <w:bCs w:val="0"/>
                <w:color w:val="auto"/>
                <w:kern w:val="2"/>
                <w:lang w:eastAsia="zh-CN" w:bidi="ar"/>
              </w:rPr>
            </w:pPr>
            <w:r>
              <w:rPr>
                <w:rStyle w:val="38"/>
                <w:rFonts w:hint="eastAsia"/>
                <w:b w:val="0"/>
                <w:bCs w:val="0"/>
                <w:color w:val="auto"/>
                <w:kern w:val="2"/>
                <w:lang w:val="en-US" w:eastAsia="zh-CN" w:bidi="ar"/>
              </w:rPr>
              <w:t>9</w:t>
            </w:r>
          </w:p>
        </w:tc>
      </w:tr>
      <w:tr w14:paraId="2D855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161" w:type="dxa"/>
            <w:vMerge w:val="continue"/>
            <w:shd w:val="clear" w:color="auto" w:fill="FFFFFF"/>
            <w:noWrap w:val="0"/>
            <w:vAlign w:val="center"/>
          </w:tcPr>
          <w:p w14:paraId="247B94A2">
            <w:pPr>
              <w:widowControl/>
              <w:spacing w:line="440" w:lineRule="exact"/>
              <w:jc w:val="center"/>
              <w:textAlignment w:val="center"/>
              <w:rPr>
                <w:rFonts w:hint="eastAsia" w:ascii="宋体" w:hAnsi="宋体" w:cs="宋体"/>
                <w:color w:val="auto"/>
                <w:szCs w:val="21"/>
              </w:rPr>
            </w:pPr>
          </w:p>
        </w:tc>
        <w:tc>
          <w:tcPr>
            <w:tcW w:w="6582" w:type="dxa"/>
            <w:shd w:val="clear" w:color="auto" w:fill="FFFFFF"/>
            <w:noWrap w:val="0"/>
            <w:vAlign w:val="center"/>
          </w:tcPr>
          <w:p w14:paraId="2955C790">
            <w:pPr>
              <w:tabs>
                <w:tab w:val="left" w:pos="838"/>
              </w:tabs>
              <w:spacing w:line="440" w:lineRule="exact"/>
              <w:jc w:val="left"/>
              <w:rPr>
                <w:rFonts w:hint="eastAsia"/>
                <w:b/>
                <w:color w:val="auto"/>
                <w:szCs w:val="21"/>
              </w:rPr>
            </w:pPr>
            <w:r>
              <w:rPr>
                <w:rFonts w:hint="eastAsia" w:ascii="宋体" w:hAnsi="宋体" w:cs="宋体"/>
                <w:color w:val="auto"/>
                <w:sz w:val="24"/>
              </w:rPr>
              <w:t>根据检验工作期限要求制定抽样工作方案，包括计划制定（0-3分）、人员安排（0-3分）、时间安排（0-3分）等内容</w:t>
            </w:r>
            <w:r>
              <w:rPr>
                <w:rFonts w:hint="eastAsia" w:ascii="宋体" w:hAnsi="宋体" w:eastAsia="宋体" w:cs="宋体"/>
                <w:color w:val="000000" w:themeColor="text1"/>
                <w:sz w:val="22"/>
                <w:szCs w:val="22"/>
                <w:lang w:eastAsia="zh-CN"/>
                <w14:textFill>
                  <w14:solidFill>
                    <w14:schemeClr w14:val="tx1"/>
                  </w14:solidFill>
                </w14:textFill>
              </w:rPr>
              <w:t>进行综合评定。</w:t>
            </w:r>
          </w:p>
        </w:tc>
        <w:tc>
          <w:tcPr>
            <w:tcW w:w="1107" w:type="dxa"/>
            <w:shd w:val="clear" w:color="auto" w:fill="FFFFFF"/>
            <w:noWrap w:val="0"/>
            <w:vAlign w:val="center"/>
          </w:tcPr>
          <w:p w14:paraId="32F51A0F">
            <w:pPr>
              <w:pStyle w:val="27"/>
              <w:spacing w:line="440" w:lineRule="exact"/>
              <w:jc w:val="center"/>
              <w:rPr>
                <w:rStyle w:val="38"/>
                <w:rFonts w:hint="eastAsia" w:eastAsia="宋体"/>
                <w:b w:val="0"/>
                <w:bCs w:val="0"/>
                <w:color w:val="auto"/>
                <w:kern w:val="2"/>
                <w:lang w:val="en-US" w:eastAsia="zh-CN" w:bidi="ar"/>
              </w:rPr>
            </w:pPr>
            <w:r>
              <w:rPr>
                <w:rStyle w:val="38"/>
                <w:rFonts w:hint="eastAsia"/>
                <w:b w:val="0"/>
                <w:bCs w:val="0"/>
                <w:color w:val="auto"/>
                <w:kern w:val="2"/>
                <w:lang w:val="en-US" w:eastAsia="zh-CN" w:bidi="ar"/>
              </w:rPr>
              <w:t>9</w:t>
            </w:r>
          </w:p>
        </w:tc>
      </w:tr>
      <w:tr w14:paraId="1F345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161" w:type="dxa"/>
            <w:vMerge w:val="continue"/>
            <w:shd w:val="clear" w:color="auto" w:fill="FFFFFF"/>
            <w:noWrap w:val="0"/>
            <w:vAlign w:val="center"/>
          </w:tcPr>
          <w:p w14:paraId="07F11569">
            <w:pPr>
              <w:widowControl/>
              <w:spacing w:line="440" w:lineRule="exact"/>
              <w:jc w:val="center"/>
              <w:textAlignment w:val="center"/>
              <w:rPr>
                <w:rFonts w:hint="eastAsia" w:ascii="宋体" w:hAnsi="宋体" w:cs="宋体"/>
                <w:color w:val="auto"/>
                <w:szCs w:val="21"/>
              </w:rPr>
            </w:pPr>
          </w:p>
        </w:tc>
        <w:tc>
          <w:tcPr>
            <w:tcW w:w="6582" w:type="dxa"/>
            <w:shd w:val="clear" w:color="auto" w:fill="FFFFFF"/>
            <w:noWrap w:val="0"/>
            <w:vAlign w:val="center"/>
          </w:tcPr>
          <w:p w14:paraId="4813BBF1">
            <w:pPr>
              <w:tabs>
                <w:tab w:val="left" w:pos="838"/>
              </w:tabs>
              <w:spacing w:line="440" w:lineRule="exact"/>
              <w:jc w:val="left"/>
              <w:rPr>
                <w:rFonts w:hint="eastAsia"/>
                <w:b/>
                <w:color w:val="auto"/>
                <w:szCs w:val="21"/>
              </w:rPr>
            </w:pPr>
            <w:r>
              <w:rPr>
                <w:rFonts w:hint="eastAsia" w:ascii="宋体" w:hAnsi="宋体" w:cs="宋体"/>
                <w:color w:val="auto"/>
                <w:sz w:val="24"/>
              </w:rPr>
              <w:t>根据检验工作质量要求制定检验工作方案，包括进度安排（0-</w:t>
            </w:r>
            <w:r>
              <w:rPr>
                <w:rFonts w:hint="eastAsia" w:ascii="宋体" w:hAnsi="宋体" w:cs="宋体"/>
                <w:color w:val="auto"/>
                <w:sz w:val="24"/>
                <w:lang w:val="en-US" w:eastAsia="zh-CN"/>
              </w:rPr>
              <w:t>2</w:t>
            </w:r>
            <w:r>
              <w:rPr>
                <w:rFonts w:hint="eastAsia" w:ascii="宋体" w:hAnsi="宋体" w:cs="宋体"/>
                <w:color w:val="auto"/>
                <w:sz w:val="24"/>
              </w:rPr>
              <w:t>分）、具体流程（0-</w:t>
            </w:r>
            <w:r>
              <w:rPr>
                <w:rFonts w:hint="eastAsia" w:ascii="宋体" w:hAnsi="宋体" w:cs="宋体"/>
                <w:color w:val="auto"/>
                <w:sz w:val="24"/>
                <w:lang w:val="en-US" w:eastAsia="zh-CN"/>
              </w:rPr>
              <w:t>2</w:t>
            </w:r>
            <w:r>
              <w:rPr>
                <w:rFonts w:hint="eastAsia" w:ascii="宋体" w:hAnsi="宋体" w:cs="宋体"/>
                <w:color w:val="auto"/>
                <w:sz w:val="24"/>
              </w:rPr>
              <w:t>分）、质量管理（0-</w:t>
            </w:r>
            <w:r>
              <w:rPr>
                <w:rFonts w:hint="eastAsia" w:ascii="宋体" w:hAnsi="宋体" w:cs="宋体"/>
                <w:color w:val="auto"/>
                <w:sz w:val="24"/>
                <w:lang w:val="en-US" w:eastAsia="zh-CN"/>
              </w:rPr>
              <w:t>2</w:t>
            </w:r>
            <w:r>
              <w:rPr>
                <w:rFonts w:hint="eastAsia" w:ascii="宋体" w:hAnsi="宋体" w:cs="宋体"/>
                <w:color w:val="auto"/>
                <w:sz w:val="24"/>
              </w:rPr>
              <w:t>分）等内容</w:t>
            </w:r>
            <w:r>
              <w:rPr>
                <w:rFonts w:hint="eastAsia" w:ascii="宋体" w:hAnsi="宋体" w:eastAsia="宋体" w:cs="宋体"/>
                <w:color w:val="000000" w:themeColor="text1"/>
                <w:sz w:val="22"/>
                <w:szCs w:val="22"/>
                <w:lang w:eastAsia="zh-CN"/>
                <w14:textFill>
                  <w14:solidFill>
                    <w14:schemeClr w14:val="tx1"/>
                  </w14:solidFill>
                </w14:textFill>
              </w:rPr>
              <w:t>进行综合评定。</w:t>
            </w:r>
          </w:p>
        </w:tc>
        <w:tc>
          <w:tcPr>
            <w:tcW w:w="1107" w:type="dxa"/>
            <w:shd w:val="clear" w:color="auto" w:fill="FFFFFF"/>
            <w:noWrap w:val="0"/>
            <w:vAlign w:val="center"/>
          </w:tcPr>
          <w:p w14:paraId="154D51A6">
            <w:pPr>
              <w:pStyle w:val="27"/>
              <w:spacing w:line="440" w:lineRule="exact"/>
              <w:jc w:val="center"/>
              <w:rPr>
                <w:rStyle w:val="38"/>
                <w:rFonts w:hint="default"/>
                <w:b w:val="0"/>
                <w:bCs w:val="0"/>
                <w:color w:val="auto"/>
                <w:kern w:val="2"/>
                <w:lang w:bidi="ar"/>
              </w:rPr>
            </w:pPr>
            <w:r>
              <w:rPr>
                <w:rStyle w:val="38"/>
                <w:rFonts w:hint="eastAsia"/>
                <w:b w:val="0"/>
                <w:bCs w:val="0"/>
                <w:color w:val="auto"/>
                <w:kern w:val="2"/>
                <w:lang w:val="en-US" w:eastAsia="zh-CN" w:bidi="ar"/>
              </w:rPr>
              <w:t>6</w:t>
            </w:r>
          </w:p>
        </w:tc>
      </w:tr>
      <w:tr w14:paraId="6129C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2161" w:type="dxa"/>
            <w:vMerge w:val="continue"/>
            <w:shd w:val="clear" w:color="auto" w:fill="FFFFFF"/>
            <w:noWrap w:val="0"/>
            <w:vAlign w:val="center"/>
          </w:tcPr>
          <w:p w14:paraId="423089B4">
            <w:pPr>
              <w:widowControl/>
              <w:spacing w:line="440" w:lineRule="exact"/>
              <w:jc w:val="center"/>
              <w:textAlignment w:val="center"/>
              <w:rPr>
                <w:rFonts w:hint="eastAsia" w:ascii="宋体" w:hAnsi="宋体" w:cs="宋体"/>
                <w:color w:val="auto"/>
                <w:szCs w:val="21"/>
              </w:rPr>
            </w:pPr>
          </w:p>
        </w:tc>
        <w:tc>
          <w:tcPr>
            <w:tcW w:w="6582" w:type="dxa"/>
            <w:shd w:val="clear" w:color="auto" w:fill="FFFFFF"/>
            <w:noWrap w:val="0"/>
            <w:vAlign w:val="center"/>
          </w:tcPr>
          <w:p w14:paraId="670F628A">
            <w:pPr>
              <w:tabs>
                <w:tab w:val="left" w:pos="1080"/>
              </w:tabs>
              <w:spacing w:line="360" w:lineRule="exact"/>
              <w:rPr>
                <w:rFonts w:hint="eastAsia"/>
                <w:color w:val="auto"/>
                <w:lang w:val="zh-CN" w:eastAsia="zh-CN"/>
              </w:rPr>
            </w:pPr>
            <w:r>
              <w:rPr>
                <w:rFonts w:hint="eastAsia" w:ascii="宋体" w:hAnsi="宋体" w:cs="宋体"/>
                <w:color w:val="auto"/>
                <w:sz w:val="24"/>
              </w:rPr>
              <w:t>提供检验工作制度（0-</w:t>
            </w:r>
            <w:r>
              <w:rPr>
                <w:rFonts w:hint="eastAsia" w:ascii="宋体" w:hAnsi="宋体" w:cs="宋体"/>
                <w:color w:val="auto"/>
                <w:sz w:val="24"/>
                <w:lang w:val="en-US" w:eastAsia="zh-CN"/>
              </w:rPr>
              <w:t>2</w:t>
            </w:r>
            <w:r>
              <w:rPr>
                <w:rFonts w:hint="eastAsia" w:ascii="宋体" w:hAnsi="宋体" w:cs="宋体"/>
                <w:color w:val="auto"/>
                <w:sz w:val="24"/>
              </w:rPr>
              <w:t>分）、检验责任追究制度（0-</w:t>
            </w:r>
            <w:r>
              <w:rPr>
                <w:rFonts w:hint="eastAsia" w:ascii="宋体" w:hAnsi="宋体" w:cs="宋体"/>
                <w:color w:val="auto"/>
                <w:sz w:val="24"/>
                <w:lang w:val="en-US" w:eastAsia="zh-CN"/>
              </w:rPr>
              <w:t>2</w:t>
            </w:r>
            <w:r>
              <w:rPr>
                <w:rFonts w:hint="eastAsia" w:ascii="宋体" w:hAnsi="宋体" w:cs="宋体"/>
                <w:color w:val="auto"/>
                <w:sz w:val="24"/>
              </w:rPr>
              <w:t>分）、检</w:t>
            </w:r>
            <w:r>
              <w:rPr>
                <w:rFonts w:hint="eastAsia" w:ascii="宋体" w:hAnsi="宋体" w:eastAsia="宋体" w:cs="宋体"/>
                <w:color w:val="auto"/>
                <w:sz w:val="24"/>
              </w:rPr>
              <w:t>验档案管理制度（0-</w:t>
            </w:r>
            <w:r>
              <w:rPr>
                <w:rFonts w:hint="eastAsia" w:ascii="宋体" w:hAnsi="宋体" w:eastAsia="宋体" w:cs="宋体"/>
                <w:color w:val="auto"/>
                <w:sz w:val="24"/>
                <w:lang w:val="en-US" w:eastAsia="zh-CN"/>
              </w:rPr>
              <w:t>1</w:t>
            </w:r>
            <w:r>
              <w:rPr>
                <w:rFonts w:hint="eastAsia" w:ascii="宋体" w:hAnsi="宋体" w:eastAsia="宋体" w:cs="宋体"/>
                <w:color w:val="auto"/>
                <w:sz w:val="24"/>
              </w:rPr>
              <w:t>分）等</w:t>
            </w:r>
            <w:r>
              <w:rPr>
                <w:rFonts w:hint="eastAsia" w:ascii="宋体" w:hAnsi="宋体" w:eastAsia="宋体" w:cs="宋体"/>
                <w:color w:val="auto"/>
                <w:sz w:val="24"/>
                <w:lang w:eastAsia="zh-CN"/>
              </w:rPr>
              <w:t>进行综合评定。</w:t>
            </w:r>
          </w:p>
        </w:tc>
        <w:tc>
          <w:tcPr>
            <w:tcW w:w="1107" w:type="dxa"/>
            <w:shd w:val="clear" w:color="auto" w:fill="FFFFFF"/>
            <w:noWrap w:val="0"/>
            <w:vAlign w:val="center"/>
          </w:tcPr>
          <w:p w14:paraId="79B7E2B0">
            <w:pPr>
              <w:pStyle w:val="27"/>
              <w:spacing w:line="440" w:lineRule="exact"/>
              <w:jc w:val="center"/>
              <w:rPr>
                <w:rStyle w:val="38"/>
                <w:rFonts w:hint="eastAsia" w:eastAsia="宋体"/>
                <w:b w:val="0"/>
                <w:bCs w:val="0"/>
                <w:color w:val="auto"/>
                <w:kern w:val="2"/>
                <w:lang w:eastAsia="zh-CN" w:bidi="ar"/>
              </w:rPr>
            </w:pPr>
            <w:r>
              <w:rPr>
                <w:rStyle w:val="38"/>
                <w:rFonts w:hint="eastAsia"/>
                <w:b w:val="0"/>
                <w:bCs w:val="0"/>
                <w:color w:val="auto"/>
                <w:kern w:val="2"/>
                <w:lang w:val="en-US" w:eastAsia="zh-CN" w:bidi="ar"/>
              </w:rPr>
              <w:t>5</w:t>
            </w:r>
          </w:p>
        </w:tc>
      </w:tr>
      <w:tr w14:paraId="45DC9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4" w:hRule="atLeast"/>
          <w:jc w:val="center"/>
        </w:trPr>
        <w:tc>
          <w:tcPr>
            <w:tcW w:w="2161" w:type="dxa"/>
            <w:vMerge w:val="continue"/>
            <w:shd w:val="clear" w:color="auto" w:fill="FFFFFF"/>
            <w:noWrap w:val="0"/>
            <w:vAlign w:val="center"/>
          </w:tcPr>
          <w:p w14:paraId="5FC56752">
            <w:pPr>
              <w:widowControl/>
              <w:spacing w:line="440" w:lineRule="exact"/>
              <w:jc w:val="center"/>
              <w:textAlignment w:val="center"/>
              <w:rPr>
                <w:rFonts w:hint="eastAsia" w:ascii="宋体" w:hAnsi="宋体" w:cs="宋体"/>
                <w:color w:val="auto"/>
                <w:szCs w:val="21"/>
              </w:rPr>
            </w:pPr>
          </w:p>
        </w:tc>
        <w:tc>
          <w:tcPr>
            <w:tcW w:w="6582" w:type="dxa"/>
            <w:shd w:val="clear" w:color="auto" w:fill="FFFFFF"/>
            <w:noWrap w:val="0"/>
            <w:vAlign w:val="center"/>
          </w:tcPr>
          <w:p w14:paraId="03A83AA4">
            <w:pPr>
              <w:pStyle w:val="9"/>
              <w:spacing w:after="0" w:line="440" w:lineRule="exact"/>
              <w:rPr>
                <w:rFonts w:hint="eastAsia" w:eastAsia="宋体"/>
                <w:color w:val="auto"/>
                <w:lang w:val="en-US" w:eastAsia="zh-CN"/>
              </w:rPr>
            </w:pPr>
            <w:r>
              <w:rPr>
                <w:rFonts w:hint="eastAsia" w:ascii="宋体" w:hAnsi="宋体" w:eastAsia="宋体" w:cs="宋体"/>
                <w:color w:val="auto"/>
                <w:kern w:val="2"/>
                <w:sz w:val="24"/>
                <w:szCs w:val="24"/>
                <w:lang w:val="en-US" w:eastAsia="zh-CN" w:bidi="ar-SA"/>
              </w:rPr>
              <w:t>针对可能出现的突发情况制定应急方案，包括应急抽检响应（0-2分）、自然灾害（0-2分）、设备仪器车辆故障响应（0-</w:t>
            </w:r>
            <w:r>
              <w:rPr>
                <w:rFonts w:hint="eastAsia" w:ascii="宋体" w:hAnsi="宋体" w:cs="宋体"/>
                <w:color w:val="auto"/>
                <w:kern w:val="2"/>
                <w:sz w:val="24"/>
                <w:szCs w:val="24"/>
                <w:lang w:val="en-US" w:eastAsia="zh-CN" w:bidi="ar-SA"/>
              </w:rPr>
              <w:t>2</w:t>
            </w:r>
            <w:r>
              <w:rPr>
                <w:rFonts w:hint="eastAsia" w:ascii="宋体" w:hAnsi="宋体" w:eastAsia="宋体" w:cs="宋体"/>
                <w:color w:val="auto"/>
                <w:kern w:val="2"/>
                <w:sz w:val="24"/>
                <w:szCs w:val="24"/>
                <w:lang w:val="en-US" w:eastAsia="zh-CN" w:bidi="ar-SA"/>
              </w:rPr>
              <w:t>分）等内容进行综合评定。</w:t>
            </w:r>
          </w:p>
        </w:tc>
        <w:tc>
          <w:tcPr>
            <w:tcW w:w="1107" w:type="dxa"/>
            <w:shd w:val="clear" w:color="auto" w:fill="FFFFFF"/>
            <w:noWrap w:val="0"/>
            <w:vAlign w:val="center"/>
          </w:tcPr>
          <w:p w14:paraId="075CD32F">
            <w:pPr>
              <w:pStyle w:val="27"/>
              <w:spacing w:line="440" w:lineRule="exact"/>
              <w:jc w:val="center"/>
              <w:rPr>
                <w:rStyle w:val="38"/>
                <w:rFonts w:hint="eastAsia" w:eastAsia="宋体"/>
                <w:b w:val="0"/>
                <w:bCs w:val="0"/>
                <w:color w:val="auto"/>
                <w:kern w:val="2"/>
                <w:lang w:eastAsia="zh-CN" w:bidi="ar"/>
              </w:rPr>
            </w:pPr>
            <w:r>
              <w:rPr>
                <w:rStyle w:val="38"/>
                <w:rFonts w:hint="eastAsia"/>
                <w:b w:val="0"/>
                <w:bCs w:val="0"/>
                <w:color w:val="auto"/>
                <w:kern w:val="2"/>
                <w:lang w:val="en-US" w:eastAsia="zh-CN" w:bidi="ar"/>
              </w:rPr>
              <w:t>6</w:t>
            </w:r>
          </w:p>
        </w:tc>
      </w:tr>
      <w:tr w14:paraId="2395C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0" w:hRule="atLeast"/>
          <w:jc w:val="center"/>
        </w:trPr>
        <w:tc>
          <w:tcPr>
            <w:tcW w:w="2161" w:type="dxa"/>
            <w:vMerge w:val="restart"/>
            <w:shd w:val="clear" w:color="auto" w:fill="FFFFFF"/>
            <w:noWrap w:val="0"/>
            <w:vAlign w:val="center"/>
          </w:tcPr>
          <w:p w14:paraId="600C8095">
            <w:pPr>
              <w:spacing w:line="440" w:lineRule="exact"/>
              <w:jc w:val="center"/>
              <w:rPr>
                <w:rFonts w:ascii="宋体" w:hAnsi="宋体" w:eastAsia="宋体" w:cs="宋体"/>
                <w:bCs/>
                <w:color w:val="auto"/>
                <w:szCs w:val="21"/>
              </w:rPr>
            </w:pPr>
            <w:r>
              <w:rPr>
                <w:rFonts w:hint="eastAsia" w:ascii="宋体" w:hAnsi="宋体" w:cs="宋体"/>
                <w:b/>
                <w:bCs/>
                <w:color w:val="auto"/>
                <w:sz w:val="24"/>
                <w:szCs w:val="24"/>
              </w:rPr>
              <w:t>检测能力</w:t>
            </w:r>
          </w:p>
        </w:tc>
        <w:tc>
          <w:tcPr>
            <w:tcW w:w="6582" w:type="dxa"/>
            <w:shd w:val="clear" w:color="auto" w:fill="FFFFFF"/>
            <w:noWrap w:val="0"/>
            <w:vAlign w:val="center"/>
          </w:tcPr>
          <w:p w14:paraId="64BFA4CD">
            <w:pPr>
              <w:tabs>
                <w:tab w:val="left" w:pos="1080"/>
              </w:tabs>
              <w:spacing w:line="360" w:lineRule="exact"/>
              <w:rPr>
                <w:rFonts w:hint="eastAsia"/>
                <w:color w:val="auto"/>
                <w:sz w:val="24"/>
                <w:szCs w:val="24"/>
              </w:rPr>
            </w:pPr>
            <w:r>
              <w:rPr>
                <w:rFonts w:hint="eastAsia"/>
                <w:color w:val="auto"/>
                <w:sz w:val="24"/>
                <w:szCs w:val="24"/>
                <w:lang w:eastAsia="zh-CN"/>
              </w:rPr>
              <w:t>供应商</w:t>
            </w:r>
            <w:r>
              <w:rPr>
                <w:rFonts w:hint="eastAsia"/>
                <w:color w:val="auto"/>
                <w:sz w:val="24"/>
                <w:szCs w:val="24"/>
              </w:rPr>
              <w:t>自身具有满足本项目确定的产品和检测项目明细的全项检验能力。</w:t>
            </w:r>
          </w:p>
          <w:p w14:paraId="52E5EC79">
            <w:pPr>
              <w:tabs>
                <w:tab w:val="left" w:pos="1080"/>
              </w:tabs>
              <w:spacing w:line="360" w:lineRule="exact"/>
              <w:rPr>
                <w:rFonts w:hint="eastAsia"/>
                <w:color w:val="auto"/>
                <w:sz w:val="24"/>
                <w:szCs w:val="24"/>
              </w:rPr>
            </w:pPr>
            <w:r>
              <w:rPr>
                <w:rFonts w:hint="eastAsia"/>
                <w:color w:val="auto"/>
                <w:sz w:val="24"/>
                <w:szCs w:val="24"/>
                <w:lang w:val="en-US" w:eastAsia="zh-CN"/>
              </w:rPr>
              <w:t>检测能力覆盖率100%的得8分；覆盖率80%的得7分；覆盖率60%的得6分；覆盖率60%以下的不得分。</w:t>
            </w:r>
          </w:p>
          <w:p w14:paraId="341D3E7B">
            <w:pPr>
              <w:pStyle w:val="9"/>
              <w:spacing w:after="0" w:line="440" w:lineRule="exact"/>
              <w:rPr>
                <w:rFonts w:hint="eastAsia" w:ascii="宋体" w:hAnsi="宋体" w:cs="宋体"/>
                <w:color w:val="auto"/>
                <w:sz w:val="24"/>
              </w:rPr>
            </w:pPr>
            <w:r>
              <w:rPr>
                <w:rFonts w:hint="eastAsia" w:ascii="宋体" w:hAnsi="宋体" w:eastAsia="宋体" w:cs="宋体"/>
                <w:b/>
                <w:bCs/>
                <w:color w:val="auto"/>
                <w:kern w:val="2"/>
                <w:sz w:val="24"/>
                <w:szCs w:val="24"/>
                <w:lang w:val="zh-CN" w:eastAsia="zh-CN" w:bidi="ar-SA"/>
              </w:rPr>
              <w:t>注：提供实验室检验项目资质表、覆盖率承诺书（</w:t>
            </w:r>
            <w:r>
              <w:rPr>
                <w:rFonts w:hint="eastAsia" w:ascii="宋体" w:hAnsi="宋体" w:eastAsia="宋体" w:cs="宋体"/>
                <w:b/>
                <w:bCs/>
                <w:color w:val="auto"/>
                <w:kern w:val="2"/>
                <w:sz w:val="24"/>
                <w:szCs w:val="24"/>
                <w:lang w:val="en-US" w:eastAsia="zh-CN" w:bidi="ar-SA"/>
              </w:rPr>
              <w:t>格式自拟</w:t>
            </w:r>
            <w:r>
              <w:rPr>
                <w:rFonts w:hint="eastAsia" w:ascii="宋体" w:hAnsi="宋体" w:eastAsia="宋体" w:cs="宋体"/>
                <w:b/>
                <w:bCs/>
                <w:color w:val="auto"/>
                <w:kern w:val="2"/>
                <w:sz w:val="24"/>
                <w:szCs w:val="24"/>
                <w:lang w:val="zh-CN" w:eastAsia="zh-CN" w:bidi="ar-SA"/>
              </w:rPr>
              <w:t>）</w:t>
            </w:r>
            <w:r>
              <w:rPr>
                <w:rFonts w:hint="eastAsia" w:ascii="宋体" w:hAnsi="宋体" w:eastAsia="宋体" w:cs="宋体"/>
                <w:b/>
                <w:bCs/>
                <w:color w:val="auto"/>
                <w:kern w:val="2"/>
                <w:sz w:val="24"/>
                <w:szCs w:val="24"/>
                <w:lang w:val="en-US" w:eastAsia="zh-CN" w:bidi="ar-SA"/>
              </w:rPr>
              <w:t>及</w:t>
            </w:r>
            <w:r>
              <w:rPr>
                <w:rFonts w:hint="eastAsia" w:ascii="宋体" w:hAnsi="宋体" w:eastAsia="宋体" w:cs="宋体"/>
                <w:b/>
                <w:bCs/>
                <w:color w:val="auto"/>
                <w:kern w:val="2"/>
                <w:sz w:val="24"/>
                <w:szCs w:val="24"/>
                <w:lang w:val="zh-CN" w:eastAsia="zh-CN" w:bidi="ar-SA"/>
              </w:rPr>
              <w:t>标明对应资质附表中的页码（</w:t>
            </w:r>
            <w:r>
              <w:rPr>
                <w:rFonts w:hint="eastAsia" w:ascii="宋体" w:hAnsi="宋体" w:eastAsia="宋体" w:cs="宋体"/>
                <w:b/>
                <w:bCs/>
                <w:color w:val="auto"/>
                <w:kern w:val="2"/>
                <w:sz w:val="24"/>
                <w:szCs w:val="24"/>
                <w:lang w:val="en-US" w:eastAsia="zh-CN" w:bidi="ar-SA"/>
              </w:rPr>
              <w:t>格式见附件</w:t>
            </w:r>
            <w:r>
              <w:rPr>
                <w:rFonts w:hint="eastAsia" w:ascii="宋体" w:hAnsi="宋体" w:eastAsia="宋体" w:cs="宋体"/>
                <w:b/>
                <w:bCs/>
                <w:color w:val="auto"/>
                <w:kern w:val="2"/>
                <w:sz w:val="24"/>
                <w:szCs w:val="24"/>
                <w:lang w:val="zh-CN" w:eastAsia="zh-CN" w:bidi="ar-SA"/>
              </w:rPr>
              <w:t>），评委现场核对，证明资料不完整或不一致的不计分；</w:t>
            </w:r>
          </w:p>
        </w:tc>
        <w:tc>
          <w:tcPr>
            <w:tcW w:w="1107" w:type="dxa"/>
            <w:shd w:val="clear" w:color="auto" w:fill="FFFFFF"/>
            <w:noWrap w:val="0"/>
            <w:vAlign w:val="center"/>
          </w:tcPr>
          <w:p w14:paraId="44F9669E">
            <w:pPr>
              <w:pStyle w:val="27"/>
              <w:spacing w:line="440" w:lineRule="exact"/>
              <w:jc w:val="center"/>
              <w:rPr>
                <w:rStyle w:val="38"/>
                <w:rFonts w:hint="default"/>
                <w:b w:val="0"/>
                <w:bCs w:val="0"/>
                <w:color w:val="auto"/>
                <w:kern w:val="2"/>
                <w:lang w:val="en-US" w:eastAsia="zh-CN" w:bidi="ar"/>
              </w:rPr>
            </w:pPr>
            <w:r>
              <w:rPr>
                <w:rStyle w:val="38"/>
                <w:rFonts w:hint="eastAsia"/>
                <w:b w:val="0"/>
                <w:bCs w:val="0"/>
                <w:color w:val="auto"/>
                <w:kern w:val="2"/>
                <w:lang w:val="en-US" w:eastAsia="zh-CN" w:bidi="ar"/>
              </w:rPr>
              <w:t>8</w:t>
            </w:r>
          </w:p>
        </w:tc>
      </w:tr>
      <w:tr w14:paraId="501D2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jc w:val="center"/>
        </w:trPr>
        <w:tc>
          <w:tcPr>
            <w:tcW w:w="2161" w:type="dxa"/>
            <w:vMerge w:val="restart"/>
            <w:shd w:val="clear" w:color="auto" w:fill="FFFFFF"/>
            <w:noWrap w:val="0"/>
            <w:vAlign w:val="center"/>
          </w:tcPr>
          <w:p w14:paraId="7C6DC838">
            <w:pPr>
              <w:spacing w:line="440" w:lineRule="exact"/>
              <w:jc w:val="center"/>
              <w:rPr>
                <w:rFonts w:hint="eastAsia" w:ascii="宋体" w:hAnsi="宋体" w:cs="宋体"/>
                <w:b/>
                <w:bCs/>
                <w:color w:val="auto"/>
                <w:sz w:val="24"/>
                <w:szCs w:val="24"/>
              </w:rPr>
            </w:pPr>
            <w:r>
              <w:rPr>
                <w:rFonts w:hint="eastAsia"/>
                <w:b/>
                <w:bCs/>
                <w:color w:val="auto"/>
                <w:sz w:val="24"/>
                <w:szCs w:val="24"/>
              </w:rPr>
              <w:t>项目实施人员</w:t>
            </w:r>
          </w:p>
        </w:tc>
        <w:tc>
          <w:tcPr>
            <w:tcW w:w="6582" w:type="dxa"/>
            <w:shd w:val="clear" w:color="auto" w:fill="FFFFFF"/>
            <w:noWrap w:val="0"/>
            <w:vAlign w:val="center"/>
          </w:tcPr>
          <w:p w14:paraId="05B37D8A">
            <w:pPr>
              <w:tabs>
                <w:tab w:val="left" w:pos="1080"/>
              </w:tabs>
              <w:spacing w:line="360" w:lineRule="exact"/>
              <w:rPr>
                <w:rFonts w:hint="eastAsia" w:ascii="宋体" w:hAnsi="宋体" w:cs="宋体"/>
                <w:color w:val="auto"/>
                <w:sz w:val="22"/>
                <w:szCs w:val="22"/>
                <w:lang w:val="en-US" w:eastAsia="zh-CN"/>
              </w:rPr>
            </w:pPr>
            <w:r>
              <w:rPr>
                <w:rFonts w:hint="eastAsia"/>
                <w:color w:val="auto"/>
                <w:sz w:val="24"/>
                <w:szCs w:val="24"/>
              </w:rPr>
              <w:t>项目负责人：具有正高级职称的，得</w:t>
            </w:r>
            <w:r>
              <w:rPr>
                <w:rFonts w:hint="eastAsia"/>
                <w:color w:val="auto"/>
                <w:sz w:val="24"/>
                <w:szCs w:val="24"/>
                <w:lang w:val="en-US" w:eastAsia="zh-CN"/>
              </w:rPr>
              <w:t>5</w:t>
            </w:r>
            <w:r>
              <w:rPr>
                <w:rFonts w:hint="eastAsia"/>
                <w:color w:val="auto"/>
                <w:sz w:val="24"/>
                <w:szCs w:val="24"/>
              </w:rPr>
              <w:t>分，具有副高级职称的得2分，其他不得分。</w:t>
            </w:r>
          </w:p>
        </w:tc>
        <w:tc>
          <w:tcPr>
            <w:tcW w:w="1107" w:type="dxa"/>
            <w:shd w:val="clear" w:color="auto" w:fill="FFFFFF"/>
            <w:noWrap w:val="0"/>
            <w:vAlign w:val="center"/>
          </w:tcPr>
          <w:p w14:paraId="506B5D90">
            <w:pPr>
              <w:pStyle w:val="27"/>
              <w:spacing w:line="440" w:lineRule="exact"/>
              <w:jc w:val="center"/>
              <w:rPr>
                <w:rStyle w:val="38"/>
                <w:rFonts w:hint="eastAsia" w:eastAsia="宋体"/>
                <w:b w:val="0"/>
                <w:bCs w:val="0"/>
                <w:color w:val="auto"/>
                <w:kern w:val="2"/>
                <w:lang w:val="en-US" w:eastAsia="zh-CN" w:bidi="ar"/>
              </w:rPr>
            </w:pPr>
            <w:r>
              <w:rPr>
                <w:rStyle w:val="38"/>
                <w:rFonts w:hint="eastAsia"/>
                <w:b w:val="0"/>
                <w:bCs w:val="0"/>
                <w:color w:val="auto"/>
                <w:kern w:val="2"/>
                <w:lang w:val="en-US" w:eastAsia="zh-CN" w:bidi="ar"/>
              </w:rPr>
              <w:t>5</w:t>
            </w:r>
          </w:p>
        </w:tc>
      </w:tr>
      <w:tr w14:paraId="5A761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2161" w:type="dxa"/>
            <w:vMerge w:val="continue"/>
            <w:shd w:val="clear" w:color="auto" w:fill="FFFFFF"/>
            <w:noWrap w:val="0"/>
            <w:vAlign w:val="center"/>
          </w:tcPr>
          <w:p w14:paraId="76E8F0F5">
            <w:pPr>
              <w:spacing w:line="440" w:lineRule="exact"/>
              <w:jc w:val="center"/>
              <w:rPr>
                <w:rFonts w:hint="eastAsia"/>
                <w:b/>
                <w:bCs/>
                <w:color w:val="auto"/>
                <w:sz w:val="24"/>
                <w:szCs w:val="24"/>
              </w:rPr>
            </w:pPr>
          </w:p>
        </w:tc>
        <w:tc>
          <w:tcPr>
            <w:tcW w:w="6582" w:type="dxa"/>
            <w:shd w:val="clear" w:color="auto" w:fill="FFFFFF"/>
            <w:noWrap w:val="0"/>
            <w:vAlign w:val="center"/>
          </w:tcPr>
          <w:p w14:paraId="3E4F7E51">
            <w:pPr>
              <w:tabs>
                <w:tab w:val="left" w:pos="1080"/>
              </w:tabs>
              <w:spacing w:line="360" w:lineRule="exact"/>
              <w:rPr>
                <w:color w:val="auto"/>
                <w:sz w:val="24"/>
                <w:szCs w:val="24"/>
              </w:rPr>
            </w:pPr>
            <w:r>
              <w:rPr>
                <w:rFonts w:hint="eastAsia"/>
                <w:color w:val="auto"/>
                <w:sz w:val="24"/>
                <w:szCs w:val="24"/>
              </w:rPr>
              <w:t>主要技术人员（项目负责人除外）：</w:t>
            </w:r>
          </w:p>
          <w:p w14:paraId="2776D699">
            <w:pPr>
              <w:tabs>
                <w:tab w:val="left" w:pos="1080"/>
              </w:tabs>
              <w:spacing w:line="360" w:lineRule="exact"/>
              <w:rPr>
                <w:rFonts w:hint="eastAsia"/>
                <w:color w:val="auto"/>
                <w:sz w:val="24"/>
                <w:szCs w:val="24"/>
              </w:rPr>
            </w:pPr>
            <w:r>
              <w:rPr>
                <w:rFonts w:hint="eastAsia"/>
                <w:color w:val="auto"/>
                <w:sz w:val="24"/>
                <w:szCs w:val="24"/>
                <w:lang w:val="en-US" w:eastAsia="zh-CN"/>
              </w:rPr>
              <w:t>1.</w:t>
            </w:r>
            <w:r>
              <w:rPr>
                <w:rFonts w:hint="eastAsia"/>
                <w:color w:val="auto"/>
                <w:sz w:val="24"/>
                <w:szCs w:val="24"/>
              </w:rPr>
              <w:t>项目检验人员：具有中级（含）以上技术职称人员数量高于15人（含）的，得5分；14人（含）-10人（含）的，得2分；数量不足10人的，得0分。本项累计最高不超过5分。</w:t>
            </w:r>
          </w:p>
          <w:p w14:paraId="27C70DC3">
            <w:pPr>
              <w:tabs>
                <w:tab w:val="left" w:pos="1080"/>
              </w:tabs>
              <w:spacing w:line="360" w:lineRule="exact"/>
              <w:rPr>
                <w:rFonts w:hint="eastAsia"/>
                <w:color w:val="auto"/>
                <w:sz w:val="24"/>
                <w:szCs w:val="24"/>
              </w:rPr>
            </w:pPr>
            <w:r>
              <w:rPr>
                <w:rFonts w:hint="eastAsia"/>
                <w:color w:val="auto"/>
                <w:sz w:val="24"/>
                <w:szCs w:val="24"/>
                <w:lang w:val="en-US" w:eastAsia="zh-CN"/>
              </w:rPr>
              <w:t>2.</w:t>
            </w:r>
            <w:r>
              <w:rPr>
                <w:rFonts w:hint="eastAsia"/>
                <w:color w:val="auto"/>
                <w:sz w:val="24"/>
                <w:szCs w:val="24"/>
              </w:rPr>
              <w:t>项目抽样人员：抽样人员数量10人（含）及以上的，得3分；9人（含）-5人（含）的，得2分；其他不得分。本项累计最高不超过3分。</w:t>
            </w:r>
          </w:p>
          <w:p w14:paraId="4B8289A5">
            <w:pPr>
              <w:tabs>
                <w:tab w:val="left" w:pos="1080"/>
              </w:tabs>
              <w:spacing w:line="360" w:lineRule="exact"/>
              <w:rPr>
                <w:rFonts w:hint="eastAsia"/>
                <w:color w:val="auto"/>
                <w:sz w:val="24"/>
                <w:szCs w:val="24"/>
              </w:rPr>
            </w:pPr>
            <w:r>
              <w:rPr>
                <w:rFonts w:hint="eastAsia"/>
                <w:b/>
                <w:bCs/>
                <w:color w:val="auto"/>
                <w:sz w:val="24"/>
                <w:szCs w:val="24"/>
              </w:rPr>
              <w:t>注：项目负责人、项目授权签字人、检验人员及抽样人员不可重复，提供相关证明材料，人员名单及岗位配置，相关证书</w:t>
            </w:r>
            <w:r>
              <w:rPr>
                <w:rFonts w:hint="eastAsia"/>
                <w:b/>
                <w:bCs/>
                <w:color w:val="auto"/>
                <w:sz w:val="24"/>
                <w:szCs w:val="24"/>
                <w:lang w:val="en-US" w:eastAsia="zh-CN"/>
              </w:rPr>
              <w:t>扫描件</w:t>
            </w:r>
            <w:r>
              <w:rPr>
                <w:rFonts w:hint="eastAsia"/>
                <w:b/>
                <w:bCs/>
                <w:color w:val="auto"/>
                <w:sz w:val="24"/>
                <w:szCs w:val="24"/>
              </w:rPr>
              <w:t>和供应商为其缴纳的</w:t>
            </w:r>
            <w:r>
              <w:rPr>
                <w:rFonts w:hint="eastAsia" w:ascii="宋体" w:hAnsi="宋体" w:eastAsia="宋体" w:cs="宋体"/>
                <w:b/>
                <w:bCs/>
                <w:kern w:val="2"/>
                <w:sz w:val="24"/>
                <w:szCs w:val="24"/>
                <w:lang w:val="en-US" w:eastAsia="zh-CN" w:bidi="ar-SA"/>
              </w:rPr>
              <w:t>2025年1月</w:t>
            </w:r>
            <w:r>
              <w:rPr>
                <w:rFonts w:hint="eastAsia" w:ascii="宋体" w:hAnsi="宋体" w:cs="宋体"/>
                <w:b/>
                <w:bCs/>
                <w:kern w:val="2"/>
                <w:sz w:val="24"/>
                <w:szCs w:val="24"/>
                <w:lang w:val="en-US" w:eastAsia="zh-CN" w:bidi="ar-SA"/>
              </w:rPr>
              <w:t>、2月、</w:t>
            </w:r>
            <w:r>
              <w:rPr>
                <w:rFonts w:hint="eastAsia" w:ascii="宋体" w:hAnsi="宋体" w:eastAsia="宋体" w:cs="宋体"/>
                <w:b/>
                <w:bCs/>
                <w:kern w:val="2"/>
                <w:sz w:val="24"/>
                <w:szCs w:val="24"/>
                <w:lang w:val="en-US" w:eastAsia="zh-CN" w:bidi="ar-SA"/>
              </w:rPr>
              <w:t>3月</w:t>
            </w:r>
            <w:r>
              <w:rPr>
                <w:rFonts w:hint="eastAsia"/>
                <w:b/>
                <w:bCs/>
                <w:color w:val="auto"/>
                <w:sz w:val="24"/>
                <w:szCs w:val="24"/>
              </w:rPr>
              <w:t>社保证明并</w:t>
            </w:r>
            <w:r>
              <w:rPr>
                <w:rFonts w:hint="eastAsia" w:ascii="宋体" w:hAnsi="宋体" w:eastAsia="宋体" w:cs="宋体"/>
                <w:b/>
                <w:bCs/>
                <w:kern w:val="2"/>
                <w:sz w:val="24"/>
                <w:szCs w:val="24"/>
                <w:lang w:val="en-US" w:eastAsia="zh-CN" w:bidi="ar-SA"/>
              </w:rPr>
              <w:t>加盖</w:t>
            </w:r>
            <w:r>
              <w:rPr>
                <w:rFonts w:hint="eastAsia" w:ascii="宋体" w:hAnsi="宋体" w:cs="宋体"/>
                <w:b/>
                <w:bCs/>
                <w:kern w:val="2"/>
                <w:sz w:val="24"/>
                <w:szCs w:val="24"/>
                <w:lang w:val="en-US" w:eastAsia="zh-CN" w:bidi="ar-SA"/>
              </w:rPr>
              <w:t>电子</w:t>
            </w:r>
            <w:r>
              <w:rPr>
                <w:rFonts w:hint="eastAsia" w:ascii="宋体" w:hAnsi="宋体" w:eastAsia="宋体" w:cs="宋体"/>
                <w:b/>
                <w:bCs/>
                <w:kern w:val="2"/>
                <w:sz w:val="24"/>
                <w:szCs w:val="24"/>
                <w:lang w:val="en-US" w:eastAsia="zh-CN" w:bidi="ar-SA"/>
              </w:rPr>
              <w:t>公章</w:t>
            </w:r>
            <w:r>
              <w:rPr>
                <w:rFonts w:hint="eastAsia"/>
                <w:b/>
                <w:bCs/>
                <w:color w:val="auto"/>
                <w:sz w:val="24"/>
                <w:szCs w:val="24"/>
              </w:rPr>
              <w:t>。</w:t>
            </w:r>
          </w:p>
        </w:tc>
        <w:tc>
          <w:tcPr>
            <w:tcW w:w="1107" w:type="dxa"/>
            <w:shd w:val="clear" w:color="auto" w:fill="FFFFFF"/>
            <w:noWrap w:val="0"/>
            <w:vAlign w:val="center"/>
          </w:tcPr>
          <w:p w14:paraId="0164592C">
            <w:pPr>
              <w:pStyle w:val="27"/>
              <w:spacing w:line="440" w:lineRule="exact"/>
              <w:jc w:val="center"/>
              <w:rPr>
                <w:rStyle w:val="38"/>
                <w:rFonts w:hint="default"/>
                <w:b w:val="0"/>
                <w:bCs w:val="0"/>
                <w:color w:val="auto"/>
                <w:kern w:val="2"/>
                <w:lang w:val="en-US" w:eastAsia="zh-CN" w:bidi="ar"/>
              </w:rPr>
            </w:pPr>
            <w:r>
              <w:rPr>
                <w:rStyle w:val="38"/>
                <w:rFonts w:hint="eastAsia"/>
                <w:b w:val="0"/>
                <w:bCs w:val="0"/>
                <w:color w:val="auto"/>
                <w:kern w:val="2"/>
                <w:lang w:val="en-US" w:eastAsia="zh-CN" w:bidi="ar"/>
              </w:rPr>
              <w:t>8</w:t>
            </w:r>
          </w:p>
        </w:tc>
      </w:tr>
      <w:tr w14:paraId="45130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6" w:hRule="atLeast"/>
          <w:jc w:val="center"/>
        </w:trPr>
        <w:tc>
          <w:tcPr>
            <w:tcW w:w="2161" w:type="dxa"/>
            <w:shd w:val="clear" w:color="auto" w:fill="FFFFFF"/>
            <w:noWrap w:val="0"/>
            <w:vAlign w:val="center"/>
          </w:tcPr>
          <w:p w14:paraId="08786321">
            <w:pPr>
              <w:tabs>
                <w:tab w:val="left" w:pos="1080"/>
              </w:tabs>
              <w:spacing w:line="360" w:lineRule="exact"/>
              <w:jc w:val="center"/>
              <w:rPr>
                <w:rFonts w:hint="eastAsia" w:ascii="宋体" w:hAnsi="宋体" w:cs="宋体"/>
                <w:b/>
                <w:bCs/>
                <w:color w:val="auto"/>
                <w:sz w:val="24"/>
                <w:szCs w:val="24"/>
              </w:rPr>
            </w:pPr>
            <w:r>
              <w:rPr>
                <w:rFonts w:hint="eastAsia" w:ascii="宋体" w:hAnsi="宋体" w:cs="宋体"/>
                <w:b/>
                <w:bCs/>
                <w:color w:val="auto"/>
                <w:sz w:val="24"/>
                <w:szCs w:val="24"/>
              </w:rPr>
              <w:t>检测场地情况</w:t>
            </w:r>
          </w:p>
          <w:p w14:paraId="1970A5F0">
            <w:pPr>
              <w:spacing w:line="440" w:lineRule="exact"/>
              <w:jc w:val="center"/>
              <w:rPr>
                <w:rFonts w:ascii="宋体" w:hAnsi="宋体" w:cs="宋体"/>
                <w:b/>
                <w:color w:val="auto"/>
                <w:szCs w:val="21"/>
              </w:rPr>
            </w:pPr>
          </w:p>
        </w:tc>
        <w:tc>
          <w:tcPr>
            <w:tcW w:w="6582" w:type="dxa"/>
            <w:shd w:val="clear" w:color="auto" w:fill="FFFFFF"/>
            <w:noWrap w:val="0"/>
            <w:vAlign w:val="center"/>
          </w:tcPr>
          <w:p w14:paraId="091CA23B">
            <w:pPr>
              <w:spacing w:line="440" w:lineRule="exact"/>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除行政办公区域外，供应商有满足检测工作需要的、独立的、固定的检测场所。实验室3000㎡（不含）以下得1分；3000㎡-4000㎡（不含）得3分，4000㎡（含）以上得5分。本项最高得5分。</w:t>
            </w:r>
          </w:p>
          <w:p w14:paraId="4C1040E1">
            <w:pPr>
              <w:spacing w:line="440" w:lineRule="exact"/>
              <w:rPr>
                <w:rFonts w:eastAsia="宋体"/>
                <w:color w:val="auto"/>
              </w:rPr>
            </w:pPr>
            <w:r>
              <w:rPr>
                <w:rFonts w:hint="eastAsia" w:ascii="宋体" w:hAnsi="宋体" w:cs="宋体"/>
                <w:color w:val="auto"/>
                <w:sz w:val="24"/>
                <w:szCs w:val="24"/>
                <w:lang w:val="en-US" w:eastAsia="zh-CN"/>
              </w:rPr>
              <w:t>注：提供整个实验室平面布局图，自有场地的提供房产证复印件并加盖电子公章；租用场地的提供房屋租赁合同清晰复印件或原件扫描件并加盖电子公章。</w:t>
            </w:r>
          </w:p>
        </w:tc>
        <w:tc>
          <w:tcPr>
            <w:tcW w:w="1107" w:type="dxa"/>
            <w:shd w:val="clear" w:color="auto" w:fill="FFFFFF"/>
            <w:noWrap w:val="0"/>
            <w:vAlign w:val="center"/>
          </w:tcPr>
          <w:p w14:paraId="68DD12A7">
            <w:pPr>
              <w:pStyle w:val="27"/>
              <w:spacing w:line="440" w:lineRule="exact"/>
              <w:jc w:val="center"/>
              <w:rPr>
                <w:rStyle w:val="38"/>
                <w:rFonts w:hint="eastAsia" w:eastAsia="宋体"/>
                <w:b w:val="0"/>
                <w:bCs w:val="0"/>
                <w:color w:val="auto"/>
                <w:kern w:val="2"/>
                <w:lang w:eastAsia="zh-CN" w:bidi="ar"/>
              </w:rPr>
            </w:pPr>
            <w:r>
              <w:rPr>
                <w:rStyle w:val="38"/>
                <w:rFonts w:hint="eastAsia"/>
                <w:b w:val="0"/>
                <w:bCs w:val="0"/>
                <w:color w:val="auto"/>
                <w:kern w:val="2"/>
                <w:lang w:val="en-US" w:eastAsia="zh-CN" w:bidi="ar"/>
              </w:rPr>
              <w:t>5</w:t>
            </w:r>
          </w:p>
        </w:tc>
      </w:tr>
      <w:tr w14:paraId="113A3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2161" w:type="dxa"/>
            <w:shd w:val="clear" w:color="auto" w:fill="FFFFFF"/>
            <w:noWrap w:val="0"/>
            <w:vAlign w:val="center"/>
          </w:tcPr>
          <w:p w14:paraId="04515F9F">
            <w:pPr>
              <w:tabs>
                <w:tab w:val="left" w:pos="1080"/>
              </w:tabs>
              <w:spacing w:line="360" w:lineRule="exact"/>
              <w:jc w:val="center"/>
              <w:rPr>
                <w:rFonts w:hint="eastAsia"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rPr>
              <w:t>检测设备情况</w:t>
            </w:r>
          </w:p>
          <w:p w14:paraId="49E08A27">
            <w:pPr>
              <w:tabs>
                <w:tab w:val="left" w:pos="1080"/>
              </w:tabs>
              <w:spacing w:line="360" w:lineRule="exact"/>
              <w:jc w:val="center"/>
              <w:rPr>
                <w:rFonts w:hint="eastAsia" w:ascii="Times New Roman" w:hAnsi="Times New Roman" w:eastAsia="宋体" w:cs="Times New Roman"/>
                <w:b/>
                <w:bCs/>
                <w:color w:val="auto"/>
                <w:sz w:val="24"/>
                <w:szCs w:val="24"/>
              </w:rPr>
            </w:pPr>
          </w:p>
        </w:tc>
        <w:tc>
          <w:tcPr>
            <w:tcW w:w="6582" w:type="dxa"/>
            <w:shd w:val="clear" w:color="auto" w:fill="FFFFFF"/>
            <w:noWrap w:val="0"/>
            <w:vAlign w:val="center"/>
          </w:tcPr>
          <w:p w14:paraId="04432C8E">
            <w:pPr>
              <w:spacing w:line="440" w:lineRule="exact"/>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供应商配备满足本项目标段内产品检测的仪器设备，包括运输设备或设施（0-2分）和抽样过程记录设备（0-2分）等，根据设备配置是否合理、齐全，仪器先进性等内容进行综合评分。</w:t>
            </w:r>
          </w:p>
          <w:p w14:paraId="1E8FA3AA">
            <w:pPr>
              <w:spacing w:line="440" w:lineRule="exact"/>
            </w:pPr>
            <w:r>
              <w:rPr>
                <w:rFonts w:hint="eastAsia" w:ascii="宋体" w:hAnsi="宋体" w:cs="宋体"/>
                <w:color w:val="auto"/>
                <w:sz w:val="24"/>
                <w:szCs w:val="24"/>
                <w:lang w:val="en-US" w:eastAsia="zh-CN"/>
              </w:rPr>
              <w:t>注：提供相关设备清单、购置发票（或租赁协议）清晰复印件或原件扫描件并加盖电子公章。</w:t>
            </w:r>
          </w:p>
        </w:tc>
        <w:tc>
          <w:tcPr>
            <w:tcW w:w="1107" w:type="dxa"/>
            <w:shd w:val="clear" w:color="auto" w:fill="FFFFFF"/>
            <w:noWrap w:val="0"/>
            <w:vAlign w:val="center"/>
          </w:tcPr>
          <w:p w14:paraId="456E928D">
            <w:pPr>
              <w:spacing w:line="440" w:lineRule="exact"/>
              <w:jc w:val="center"/>
              <w:textAlignment w:val="center"/>
              <w:rPr>
                <w:rFonts w:hint="eastAsia" w:ascii="宋体" w:hAnsi="宋体" w:eastAsia="宋体" w:cs="宋体"/>
                <w:color w:val="auto"/>
                <w:lang w:eastAsia="zh-CN"/>
              </w:rPr>
            </w:pPr>
            <w:r>
              <w:rPr>
                <w:rFonts w:hint="eastAsia" w:ascii="宋体" w:hAnsi="宋体" w:cs="宋体"/>
                <w:color w:val="auto"/>
                <w:lang w:val="en-US" w:eastAsia="zh-CN"/>
              </w:rPr>
              <w:t>4</w:t>
            </w:r>
          </w:p>
        </w:tc>
      </w:tr>
      <w:tr w14:paraId="06616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2161" w:type="dxa"/>
            <w:vMerge w:val="restart"/>
            <w:shd w:val="clear" w:color="auto" w:fill="FFFFFF"/>
            <w:noWrap w:val="0"/>
            <w:vAlign w:val="center"/>
          </w:tcPr>
          <w:p w14:paraId="6E68E2F3">
            <w:pPr>
              <w:tabs>
                <w:tab w:val="left" w:pos="1080"/>
              </w:tabs>
              <w:spacing w:line="360" w:lineRule="exact"/>
              <w:jc w:val="center"/>
              <w:rPr>
                <w:rFonts w:hint="eastAsia"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lang w:eastAsia="zh-CN"/>
              </w:rPr>
              <w:t>项目</w:t>
            </w:r>
            <w:r>
              <w:rPr>
                <w:rFonts w:hint="eastAsia" w:ascii="Times New Roman" w:hAnsi="Times New Roman" w:eastAsia="宋体" w:cs="Times New Roman"/>
                <w:b/>
                <w:bCs/>
                <w:color w:val="auto"/>
                <w:sz w:val="24"/>
                <w:szCs w:val="24"/>
                <w:lang w:val="en-US" w:eastAsia="zh-CN"/>
              </w:rPr>
              <w:t>认识、理解及合理化建议</w:t>
            </w:r>
          </w:p>
        </w:tc>
        <w:tc>
          <w:tcPr>
            <w:tcW w:w="6582" w:type="dxa"/>
            <w:shd w:val="clear" w:color="auto" w:fill="FFFFFF"/>
            <w:noWrap w:val="0"/>
            <w:vAlign w:val="center"/>
          </w:tcPr>
          <w:p w14:paraId="43286058">
            <w:pPr>
              <w:spacing w:line="440" w:lineRule="exact"/>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根据供应商对项目背景、现状认知、存在问题分析等进行综合评定。（0-3分）</w:t>
            </w:r>
          </w:p>
        </w:tc>
        <w:tc>
          <w:tcPr>
            <w:tcW w:w="1107" w:type="dxa"/>
            <w:vMerge w:val="restart"/>
            <w:shd w:val="clear" w:color="auto" w:fill="FFFFFF"/>
            <w:noWrap w:val="0"/>
            <w:vAlign w:val="center"/>
          </w:tcPr>
          <w:p w14:paraId="6483CBD4">
            <w:pPr>
              <w:spacing w:line="440" w:lineRule="exact"/>
              <w:jc w:val="center"/>
              <w:textAlignment w:val="center"/>
              <w:rPr>
                <w:rFonts w:hint="default" w:ascii="宋体" w:hAnsi="宋体" w:cs="宋体"/>
                <w:color w:val="auto"/>
                <w:lang w:val="en-US" w:eastAsia="zh-CN"/>
              </w:rPr>
            </w:pPr>
            <w:r>
              <w:rPr>
                <w:rFonts w:hint="eastAsia" w:ascii="宋体" w:hAnsi="宋体" w:cs="宋体"/>
                <w:color w:val="auto"/>
                <w:lang w:val="en-US" w:eastAsia="zh-CN"/>
              </w:rPr>
              <w:t>5</w:t>
            </w:r>
          </w:p>
        </w:tc>
      </w:tr>
      <w:tr w14:paraId="03108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jc w:val="center"/>
        </w:trPr>
        <w:tc>
          <w:tcPr>
            <w:tcW w:w="2161" w:type="dxa"/>
            <w:vMerge w:val="continue"/>
            <w:shd w:val="clear" w:color="auto" w:fill="FFFFFF"/>
            <w:noWrap w:val="0"/>
            <w:vAlign w:val="center"/>
          </w:tcPr>
          <w:p w14:paraId="19291A55">
            <w:pPr>
              <w:tabs>
                <w:tab w:val="left" w:pos="1080"/>
              </w:tabs>
              <w:spacing w:line="360" w:lineRule="exact"/>
              <w:jc w:val="center"/>
              <w:rPr>
                <w:rFonts w:hint="eastAsia" w:ascii="Times New Roman" w:hAnsi="Times New Roman" w:eastAsia="宋体" w:cs="Times New Roman"/>
                <w:b/>
                <w:bCs/>
                <w:color w:val="auto"/>
                <w:sz w:val="24"/>
                <w:szCs w:val="24"/>
                <w:lang w:eastAsia="zh-CN"/>
              </w:rPr>
            </w:pPr>
          </w:p>
        </w:tc>
        <w:tc>
          <w:tcPr>
            <w:tcW w:w="6582" w:type="dxa"/>
            <w:shd w:val="clear" w:color="auto" w:fill="FFFFFF"/>
            <w:noWrap w:val="0"/>
            <w:vAlign w:val="center"/>
          </w:tcPr>
          <w:p w14:paraId="76877E10">
            <w:pPr>
              <w:spacing w:line="440" w:lineRule="exact"/>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根据供应商提出的合理化建议的合理性、科学性以及针对性等进行综合评定。（0-2分）</w:t>
            </w:r>
          </w:p>
        </w:tc>
        <w:tc>
          <w:tcPr>
            <w:tcW w:w="1107" w:type="dxa"/>
            <w:vMerge w:val="continue"/>
            <w:shd w:val="clear" w:color="auto" w:fill="FFFFFF"/>
            <w:noWrap w:val="0"/>
            <w:vAlign w:val="center"/>
          </w:tcPr>
          <w:p w14:paraId="42B1DCD9">
            <w:pPr>
              <w:spacing w:line="440" w:lineRule="exact"/>
              <w:jc w:val="center"/>
              <w:textAlignment w:val="center"/>
              <w:rPr>
                <w:rFonts w:hint="eastAsia" w:ascii="宋体" w:hAnsi="宋体" w:cs="宋体"/>
                <w:color w:val="auto"/>
                <w:lang w:val="en-US" w:eastAsia="zh-CN"/>
              </w:rPr>
            </w:pPr>
          </w:p>
        </w:tc>
      </w:tr>
      <w:tr w14:paraId="18ABF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2161" w:type="dxa"/>
            <w:shd w:val="clear" w:color="auto" w:fill="FFFFFF"/>
            <w:noWrap w:val="0"/>
            <w:vAlign w:val="center"/>
          </w:tcPr>
          <w:p w14:paraId="0D022619">
            <w:pPr>
              <w:tabs>
                <w:tab w:val="left" w:pos="1080"/>
              </w:tabs>
              <w:spacing w:line="360" w:lineRule="exact"/>
              <w:jc w:val="center"/>
              <w:rPr>
                <w:rFonts w:hint="eastAsia"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rPr>
              <w:t>响应服务</w:t>
            </w:r>
          </w:p>
        </w:tc>
        <w:tc>
          <w:tcPr>
            <w:tcW w:w="6582" w:type="dxa"/>
            <w:shd w:val="clear" w:color="auto" w:fill="FFFFFF"/>
            <w:noWrap w:val="0"/>
            <w:vAlign w:val="center"/>
          </w:tcPr>
          <w:p w14:paraId="103068BE">
            <w:pPr>
              <w:spacing w:line="440" w:lineRule="exact"/>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接到采购人紧急抽检任务后，供应商承诺并能确保及时到达采购人现场提供服务保障，承诺确保在3小时（含）以内到达的得2分；承诺确保在3.5小时（含）以内到达的得1分；3.5小时以上的不得分。</w:t>
            </w:r>
          </w:p>
          <w:p w14:paraId="2EAC459C">
            <w:pPr>
              <w:spacing w:line="440" w:lineRule="exact"/>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注：提供《服务响应承诺书》、供应商检验检测机构资质认定证书原件扫描件及高德地图截图作为保障响应时间的证明材料；响应时间以供应商提供的检验检测机构资质认定证书地址至采购单位的高德地图驾车预计时间数据为准。</w:t>
            </w:r>
          </w:p>
        </w:tc>
        <w:tc>
          <w:tcPr>
            <w:tcW w:w="1107" w:type="dxa"/>
            <w:shd w:val="clear" w:color="auto" w:fill="FFFFFF"/>
            <w:noWrap w:val="0"/>
            <w:vAlign w:val="center"/>
          </w:tcPr>
          <w:p w14:paraId="7926975C">
            <w:pPr>
              <w:spacing w:line="440" w:lineRule="exact"/>
              <w:jc w:val="center"/>
              <w:textAlignment w:val="center"/>
              <w:rPr>
                <w:rFonts w:hint="default" w:ascii="宋体" w:hAnsi="宋体" w:cs="宋体"/>
                <w:color w:val="auto"/>
                <w:lang w:val="en-US" w:eastAsia="zh-CN"/>
              </w:rPr>
            </w:pPr>
            <w:r>
              <w:rPr>
                <w:rFonts w:hint="eastAsia" w:ascii="宋体" w:hAnsi="宋体" w:cs="宋体"/>
                <w:color w:val="auto"/>
                <w:lang w:val="en-US" w:eastAsia="zh-CN"/>
              </w:rPr>
              <w:t>2</w:t>
            </w:r>
          </w:p>
        </w:tc>
      </w:tr>
    </w:tbl>
    <w:p w14:paraId="7CEB81D7">
      <w:pPr>
        <w:tabs>
          <w:tab w:val="left" w:pos="1080"/>
        </w:tabs>
        <w:spacing w:line="360" w:lineRule="exact"/>
        <w:jc w:val="both"/>
        <w:rPr>
          <w:rFonts w:hint="eastAsia" w:ascii="Times New Roman" w:hAnsi="Times New Roman" w:eastAsia="宋体" w:cs="Times New Roman"/>
          <w:b/>
          <w:bCs/>
          <w:color w:val="auto"/>
          <w:sz w:val="24"/>
          <w:szCs w:val="24"/>
          <w:lang w:val="zh-CN"/>
        </w:rPr>
      </w:pPr>
      <w:r>
        <w:rPr>
          <w:rFonts w:hint="eastAsia" w:ascii="Times New Roman" w:hAnsi="Times New Roman" w:eastAsia="宋体" w:cs="Times New Roman"/>
          <w:b/>
          <w:bCs/>
          <w:color w:val="auto"/>
          <w:sz w:val="24"/>
          <w:szCs w:val="24"/>
        </w:rPr>
        <w:t xml:space="preserve"> （二）报价评分标准</w:t>
      </w:r>
      <w:bookmarkEnd w:id="166"/>
      <w:r>
        <w:rPr>
          <w:rFonts w:hint="eastAsia" w:ascii="Times New Roman" w:hAnsi="Times New Roman" w:eastAsia="宋体" w:cs="Times New Roman"/>
          <w:b/>
          <w:bCs/>
          <w:color w:val="auto"/>
          <w:sz w:val="24"/>
          <w:szCs w:val="24"/>
          <w:lang w:val="zh-CN"/>
        </w:rPr>
        <w:t>（满分</w:t>
      </w:r>
      <w:r>
        <w:rPr>
          <w:rFonts w:hint="eastAsia" w:ascii="Times New Roman" w:hAnsi="Times New Roman" w:eastAsia="宋体" w:cs="Times New Roman"/>
          <w:b/>
          <w:bCs/>
          <w:color w:val="auto"/>
          <w:sz w:val="24"/>
          <w:szCs w:val="24"/>
        </w:rPr>
        <w:t>20</w:t>
      </w:r>
      <w:r>
        <w:rPr>
          <w:rFonts w:hint="eastAsia" w:ascii="Times New Roman" w:hAnsi="Times New Roman" w:eastAsia="宋体" w:cs="Times New Roman"/>
          <w:b/>
          <w:bCs/>
          <w:color w:val="auto"/>
          <w:sz w:val="24"/>
          <w:szCs w:val="24"/>
          <w:lang w:val="zh-CN"/>
        </w:rPr>
        <w:t>分）</w:t>
      </w:r>
    </w:p>
    <w:p w14:paraId="723D6577">
      <w:pPr>
        <w:tabs>
          <w:tab w:val="left" w:pos="3990"/>
        </w:tabs>
        <w:autoSpaceDE w:val="0"/>
        <w:autoSpaceDN w:val="0"/>
        <w:adjustRightInd w:val="0"/>
        <w:spacing w:line="440" w:lineRule="exact"/>
        <w:ind w:firstLine="480" w:firstLineChars="20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1.</w:t>
      </w:r>
      <w:r>
        <w:rPr>
          <w:rFonts w:hint="eastAsia" w:ascii="宋体" w:hAnsi="宋体" w:eastAsia="宋体" w:cs="宋体"/>
          <w:color w:val="auto"/>
          <w:sz w:val="24"/>
          <w:szCs w:val="24"/>
          <w:lang w:val="en-US" w:eastAsia="zh-CN"/>
        </w:rPr>
        <w:t>报价分按低价优先法计算，即满足采购文件要求且投标价格最低的投标报价为评标基准价，其报价分为满分。其他投标人的报价分按照下列公式计算：</w:t>
      </w:r>
      <w:r>
        <w:rPr>
          <w:rFonts w:hint="eastAsia" w:ascii="Times New Roman" w:hAnsi="Times New Roman" w:eastAsia="宋体" w:cs="Times New Roman"/>
          <w:b/>
          <w:bCs/>
          <w:color w:val="auto"/>
          <w:sz w:val="24"/>
          <w:szCs w:val="24"/>
          <w:lang w:val="zh-CN"/>
        </w:rPr>
        <w:t>报价得分=(评标基准价／投标报价)×20%×100，</w:t>
      </w:r>
      <w:r>
        <w:rPr>
          <w:rFonts w:hint="eastAsia" w:ascii="宋体" w:hAnsi="宋体" w:eastAsia="宋体" w:cs="宋体"/>
          <w:color w:val="auto"/>
          <w:sz w:val="24"/>
          <w:szCs w:val="24"/>
          <w:lang w:val="en-US" w:eastAsia="zh-CN"/>
        </w:rPr>
        <w:t>结果四舍五入后保留两位小数</w:t>
      </w:r>
      <w:r>
        <w:rPr>
          <w:rFonts w:hint="eastAsia" w:ascii="宋体" w:hAnsi="宋体" w:eastAsia="宋体" w:cs="宋体"/>
          <w:color w:val="auto"/>
          <w:sz w:val="24"/>
          <w:szCs w:val="24"/>
          <w:lang w:val="zh-CN" w:eastAsia="zh-CN"/>
        </w:rPr>
        <w:t>。报价高于</w:t>
      </w:r>
      <w:r>
        <w:rPr>
          <w:rFonts w:hint="eastAsia" w:ascii="宋体" w:hAnsi="宋体" w:eastAsia="宋体" w:cs="宋体"/>
          <w:color w:val="auto"/>
          <w:sz w:val="24"/>
          <w:szCs w:val="24"/>
          <w:lang w:val="en-US" w:eastAsia="zh-CN"/>
        </w:rPr>
        <w:t>最高限价</w:t>
      </w:r>
      <w:r>
        <w:rPr>
          <w:rFonts w:hint="eastAsia" w:ascii="宋体" w:hAnsi="宋体" w:eastAsia="宋体" w:cs="宋体"/>
          <w:color w:val="auto"/>
          <w:sz w:val="24"/>
          <w:szCs w:val="24"/>
          <w:lang w:val="zh-CN" w:eastAsia="zh-CN"/>
        </w:rPr>
        <w:t>的，按无效投标处理。</w:t>
      </w:r>
    </w:p>
    <w:p w14:paraId="709E5534">
      <w:pPr>
        <w:tabs>
          <w:tab w:val="left" w:pos="3990"/>
        </w:tabs>
        <w:autoSpaceDE w:val="0"/>
        <w:autoSpaceDN w:val="0"/>
        <w:adjustRightInd w:val="0"/>
        <w:spacing w:line="440" w:lineRule="exact"/>
        <w:ind w:firstLine="482" w:firstLineChars="200"/>
        <w:rPr>
          <w:rFonts w:hint="eastAsia" w:ascii="Times New Roman" w:hAnsi="Times New Roman" w:eastAsia="宋体" w:cs="Times New Roman"/>
          <w:b/>
          <w:bCs/>
          <w:color w:val="auto"/>
          <w:sz w:val="24"/>
          <w:szCs w:val="24"/>
          <w:lang w:val="zh-CN"/>
        </w:rPr>
      </w:pPr>
      <w:r>
        <w:rPr>
          <w:rFonts w:hint="eastAsia" w:cs="Times New Roman"/>
          <w:b/>
          <w:bCs/>
          <w:color w:val="auto"/>
          <w:sz w:val="24"/>
          <w:szCs w:val="24"/>
          <w:lang w:val="en-US" w:eastAsia="zh-CN"/>
        </w:rPr>
        <w:t>2</w:t>
      </w:r>
      <w:r>
        <w:rPr>
          <w:rFonts w:hint="eastAsia" w:ascii="Times New Roman" w:hAnsi="Times New Roman" w:eastAsia="宋体" w:cs="Times New Roman"/>
          <w:b/>
          <w:bCs/>
          <w:color w:val="auto"/>
          <w:sz w:val="24"/>
          <w:szCs w:val="24"/>
          <w:lang w:val="zh-CN"/>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6523E53">
      <w:pPr>
        <w:tabs>
          <w:tab w:val="left" w:pos="3990"/>
        </w:tabs>
        <w:autoSpaceDE w:val="0"/>
        <w:autoSpaceDN w:val="0"/>
        <w:adjustRightInd w:val="0"/>
        <w:spacing w:line="440" w:lineRule="exact"/>
        <w:rPr>
          <w:rFonts w:hint="eastAsia" w:ascii="Times New Roman" w:hAnsi="Times New Roman" w:eastAsia="宋体" w:cs="Times New Roman"/>
          <w:b/>
          <w:bCs/>
          <w:color w:val="auto"/>
          <w:sz w:val="24"/>
          <w:szCs w:val="24"/>
          <w:lang w:val="zh-CN"/>
        </w:rPr>
      </w:pPr>
      <w:r>
        <w:rPr>
          <w:rFonts w:hint="eastAsia" w:ascii="Times New Roman" w:hAnsi="Times New Roman" w:eastAsia="宋体" w:cs="Times New Roman"/>
          <w:b/>
          <w:bCs/>
          <w:color w:val="auto"/>
          <w:sz w:val="24"/>
          <w:szCs w:val="24"/>
          <w:lang w:val="zh-CN"/>
        </w:rPr>
        <w:t>六、定标</w:t>
      </w:r>
    </w:p>
    <w:p w14:paraId="557E54B5">
      <w:pPr>
        <w:tabs>
          <w:tab w:val="left" w:pos="3990"/>
        </w:tabs>
        <w:autoSpaceDE w:val="0"/>
        <w:autoSpaceDN w:val="0"/>
        <w:adjustRightInd w:val="0"/>
        <w:spacing w:line="440" w:lineRule="exact"/>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1.投标人综合得分由资信技术分、报价分合计组成，满分为100分。</w:t>
      </w:r>
    </w:p>
    <w:p w14:paraId="025C3DDF">
      <w:pPr>
        <w:tabs>
          <w:tab w:val="left" w:pos="3990"/>
        </w:tabs>
        <w:autoSpaceDE w:val="0"/>
        <w:autoSpaceDN w:val="0"/>
        <w:adjustRightInd w:val="0"/>
        <w:spacing w:line="440" w:lineRule="exact"/>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评标结果按评审后得分由高到低顺序排列。得分相同的，按投标报价由低到高顺序排列。得分与投标报价均相同的并列。本次招标由评标委员会推荐评审得分最高者为第一中标候选人。采购代理机构在评标结束后2个工作日内将评标报告送采购人。采购人应当自收到评标报告之日起5个工作日内，按评标报告推荐的中标候选人确定中标人。中标候选人并列的，由采购人采取随机抽取的方式确定。</w:t>
      </w:r>
    </w:p>
    <w:p w14:paraId="30460ABA">
      <w:pPr>
        <w:tabs>
          <w:tab w:val="left" w:pos="3990"/>
        </w:tabs>
        <w:autoSpaceDE w:val="0"/>
        <w:autoSpaceDN w:val="0"/>
        <w:adjustRightInd w:val="0"/>
        <w:spacing w:line="440" w:lineRule="exact"/>
        <w:rPr>
          <w:rFonts w:hint="eastAsia" w:ascii="Times New Roman" w:hAnsi="Times New Roman" w:eastAsia="宋体" w:cs="Times New Roman"/>
          <w:b/>
          <w:bCs/>
          <w:color w:val="auto"/>
          <w:sz w:val="24"/>
          <w:szCs w:val="24"/>
          <w:lang w:val="zh-CN"/>
        </w:rPr>
      </w:pPr>
      <w:r>
        <w:rPr>
          <w:rFonts w:hint="eastAsia" w:ascii="Times New Roman" w:hAnsi="Times New Roman" w:eastAsia="宋体" w:cs="Times New Roman"/>
          <w:b/>
          <w:bCs/>
          <w:color w:val="auto"/>
          <w:sz w:val="24"/>
          <w:szCs w:val="24"/>
          <w:lang w:val="zh-CN"/>
        </w:rPr>
        <w:t>七、确定中标人</w:t>
      </w:r>
    </w:p>
    <w:p w14:paraId="48E9E64C">
      <w:pPr>
        <w:tabs>
          <w:tab w:val="left" w:pos="3990"/>
        </w:tabs>
        <w:autoSpaceDE w:val="0"/>
        <w:autoSpaceDN w:val="0"/>
        <w:adjustRightInd w:val="0"/>
        <w:spacing w:line="440" w:lineRule="exact"/>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评标结束后，采购单位将在常山县政府网及浙江政府采购网公示中标结果。公示期结束，且在规定期限内无异议则采购代理机构将向中标人发出中标通知书。</w:t>
      </w:r>
    </w:p>
    <w:p w14:paraId="5365BEE0">
      <w:pPr>
        <w:tabs>
          <w:tab w:val="left" w:pos="3990"/>
        </w:tabs>
        <w:autoSpaceDE w:val="0"/>
        <w:autoSpaceDN w:val="0"/>
        <w:adjustRightInd w:val="0"/>
        <w:spacing w:line="440" w:lineRule="exact"/>
        <w:rPr>
          <w:rFonts w:hint="eastAsia" w:ascii="Times New Roman" w:hAnsi="Times New Roman" w:eastAsia="宋体" w:cs="Times New Roman"/>
          <w:b/>
          <w:bCs/>
          <w:color w:val="auto"/>
          <w:sz w:val="24"/>
          <w:szCs w:val="24"/>
          <w:lang w:val="zh-CN"/>
        </w:rPr>
      </w:pPr>
      <w:r>
        <w:rPr>
          <w:rFonts w:hint="eastAsia" w:ascii="Times New Roman" w:hAnsi="Times New Roman" w:eastAsia="宋体" w:cs="Times New Roman"/>
          <w:b/>
          <w:bCs/>
          <w:color w:val="auto"/>
          <w:sz w:val="24"/>
          <w:szCs w:val="24"/>
          <w:lang w:val="zh-CN"/>
        </w:rPr>
        <w:t>八、投标人义务</w:t>
      </w:r>
    </w:p>
    <w:p w14:paraId="08F1B3FE">
      <w:pPr>
        <w:pStyle w:val="7"/>
        <w:spacing w:after="0" w:line="500" w:lineRule="exact"/>
        <w:ind w:left="0" w:leftChars="0" w:firstLineChars="200"/>
        <w:rPr>
          <w:rFonts w:hint="eastAsia" w:ascii="宋体" w:hAnsi="宋体"/>
          <w:sz w:val="32"/>
          <w:szCs w:val="32"/>
        </w:rPr>
      </w:pPr>
      <w:r>
        <w:rPr>
          <w:rFonts w:hint="eastAsia" w:ascii="宋体" w:hAnsi="宋体" w:eastAsia="宋体" w:cs="宋体"/>
          <w:color w:val="auto"/>
          <w:kern w:val="2"/>
          <w:sz w:val="24"/>
          <w:szCs w:val="24"/>
          <w:lang w:val="en-US" w:eastAsia="zh-CN" w:bidi="ar-SA"/>
        </w:rPr>
        <w:t>投标人应随时接受评标委员会的询标，解答包括有关的商务、技术问题等。评标结束，所有评标资料存招标人备查。</w:t>
      </w:r>
      <w:r>
        <w:rPr>
          <w:rFonts w:hint="eastAsia" w:ascii="宋体" w:hAnsi="宋体"/>
          <w:sz w:val="32"/>
          <w:szCs w:val="32"/>
        </w:rPr>
        <w:br w:type="page"/>
      </w:r>
    </w:p>
    <w:p w14:paraId="381CE956">
      <w:pPr>
        <w:pStyle w:val="2"/>
        <w:rPr>
          <w:rFonts w:hint="eastAsia" w:ascii="宋体" w:hAnsi="宋体" w:cs="宋体"/>
          <w:sz w:val="32"/>
          <w:szCs w:val="32"/>
        </w:rPr>
      </w:pPr>
      <w:bookmarkStart w:id="167" w:name="_Toc9390"/>
      <w:r>
        <w:rPr>
          <w:rFonts w:hint="eastAsia" w:ascii="宋体" w:hAnsi="宋体" w:cs="宋体"/>
          <w:sz w:val="32"/>
          <w:szCs w:val="32"/>
        </w:rPr>
        <w:t>第六章  投标文件格式</w:t>
      </w:r>
      <w:bookmarkEnd w:id="167"/>
    </w:p>
    <w:p w14:paraId="5B9B9A19">
      <w:pPr>
        <w:jc w:val="right"/>
        <w:rPr>
          <w:rFonts w:hint="eastAsia" w:ascii="宋体" w:hAnsi="宋体" w:cs="宋体"/>
          <w:b/>
          <w:bCs/>
          <w:sz w:val="30"/>
          <w:szCs w:val="30"/>
        </w:rPr>
      </w:pPr>
      <w:r>
        <w:rPr>
          <w:rFonts w:hint="eastAsia" w:ascii="宋体" w:hAnsi="宋体" w:cs="宋体"/>
          <w:bCs/>
          <w:sz w:val="30"/>
          <w:szCs w:val="30"/>
        </w:rPr>
        <w:t xml:space="preserve">                                                      </w:t>
      </w:r>
    </w:p>
    <w:p w14:paraId="5756D024">
      <w:pPr>
        <w:spacing w:line="460" w:lineRule="exact"/>
        <w:rPr>
          <w:b/>
          <w:color w:val="auto"/>
          <w:sz w:val="24"/>
          <w:szCs w:val="24"/>
        </w:rPr>
      </w:pPr>
      <w:r>
        <w:rPr>
          <w:rFonts w:hint="eastAsia"/>
          <w:b/>
          <w:color w:val="auto"/>
          <w:sz w:val="24"/>
          <w:szCs w:val="24"/>
        </w:rPr>
        <w:t xml:space="preserve">   </w:t>
      </w:r>
    </w:p>
    <w:p w14:paraId="153BFC1C">
      <w:pPr>
        <w:pStyle w:val="34"/>
        <w:jc w:val="right"/>
        <w:rPr>
          <w:rFonts w:ascii="宋体" w:hAnsi="宋体" w:cs="宋体"/>
          <w:color w:val="auto"/>
          <w:sz w:val="32"/>
          <w:szCs w:val="32"/>
        </w:rPr>
      </w:pPr>
    </w:p>
    <w:p w14:paraId="40A79CAF">
      <w:pPr>
        <w:spacing w:before="185"/>
        <w:ind w:right="210"/>
        <w:jc w:val="center"/>
        <w:rPr>
          <w:b/>
          <w:color w:val="auto"/>
          <w:sz w:val="52"/>
          <w:szCs w:val="24"/>
        </w:rPr>
      </w:pPr>
      <w:r>
        <w:rPr>
          <w:b/>
          <w:color w:val="auto"/>
          <w:sz w:val="52"/>
          <w:szCs w:val="24"/>
        </w:rPr>
        <w:t>投 标 文 件</w:t>
      </w:r>
    </w:p>
    <w:p w14:paraId="4C2B3EDB">
      <w:pPr>
        <w:pStyle w:val="9"/>
        <w:spacing w:before="11"/>
        <w:rPr>
          <w:b/>
          <w:color w:val="auto"/>
          <w:sz w:val="60"/>
          <w:szCs w:val="24"/>
        </w:rPr>
      </w:pPr>
    </w:p>
    <w:p w14:paraId="3D58A113">
      <w:pPr>
        <w:ind w:right="208"/>
        <w:jc w:val="center"/>
        <w:rPr>
          <w:b/>
          <w:color w:val="auto"/>
          <w:sz w:val="32"/>
          <w:szCs w:val="24"/>
        </w:rPr>
      </w:pPr>
      <w:r>
        <w:rPr>
          <w:rFonts w:hint="eastAsia" w:eastAsia="宋体"/>
          <w:b/>
          <w:color w:val="auto"/>
          <w:sz w:val="32"/>
          <w:szCs w:val="24"/>
          <w:lang w:eastAsia="zh-CN"/>
        </w:rPr>
        <w:t>资格审查文件</w:t>
      </w:r>
      <w:r>
        <w:rPr>
          <w:rFonts w:ascii="Times New Roman" w:eastAsia="Times New Roman"/>
          <w:b/>
          <w:color w:val="auto"/>
          <w:sz w:val="32"/>
          <w:szCs w:val="24"/>
        </w:rPr>
        <w:t>/</w:t>
      </w:r>
      <w:r>
        <w:rPr>
          <w:rFonts w:hint="eastAsia" w:ascii="Times New Roman" w:eastAsia="Times New Roman"/>
          <w:b/>
          <w:color w:val="auto"/>
          <w:sz w:val="32"/>
          <w:szCs w:val="24"/>
          <w:lang w:val="en-US" w:eastAsia="zh-CN"/>
        </w:rPr>
        <w:t>商务技术文件</w:t>
      </w:r>
      <w:r>
        <w:rPr>
          <w:rFonts w:ascii="Times New Roman" w:eastAsia="Times New Roman"/>
          <w:b/>
          <w:color w:val="auto"/>
          <w:sz w:val="32"/>
          <w:szCs w:val="24"/>
        </w:rPr>
        <w:t>/</w:t>
      </w:r>
      <w:r>
        <w:rPr>
          <w:b/>
          <w:color w:val="auto"/>
          <w:sz w:val="32"/>
          <w:szCs w:val="24"/>
        </w:rPr>
        <w:t>报价文件</w:t>
      </w:r>
    </w:p>
    <w:p w14:paraId="41EEC17F">
      <w:pPr>
        <w:pStyle w:val="34"/>
        <w:rPr>
          <w:b/>
          <w:color w:val="auto"/>
          <w:sz w:val="32"/>
          <w:szCs w:val="20"/>
        </w:rPr>
      </w:pPr>
    </w:p>
    <w:p w14:paraId="333648BC">
      <w:pPr>
        <w:pStyle w:val="34"/>
        <w:rPr>
          <w:b/>
          <w:color w:val="auto"/>
          <w:sz w:val="32"/>
          <w:szCs w:val="20"/>
        </w:rPr>
      </w:pPr>
    </w:p>
    <w:p w14:paraId="75525BE2">
      <w:pPr>
        <w:adjustRightInd w:val="0"/>
        <w:snapToGrid w:val="0"/>
        <w:spacing w:line="720" w:lineRule="auto"/>
        <w:ind w:firstLine="1120" w:firstLineChars="400"/>
        <w:rPr>
          <w:rFonts w:ascii="宋体" w:hAnsi="宋体"/>
          <w:color w:val="auto"/>
          <w:sz w:val="28"/>
          <w:szCs w:val="28"/>
          <w:u w:val="single"/>
        </w:rPr>
      </w:pPr>
      <w:r>
        <w:rPr>
          <w:rFonts w:hint="eastAsia" w:ascii="宋体" w:hAnsi="宋体"/>
          <w:color w:val="auto"/>
          <w:sz w:val="28"/>
          <w:szCs w:val="28"/>
        </w:rPr>
        <w:t>项目名称：</w:t>
      </w:r>
      <w:r>
        <w:rPr>
          <w:rFonts w:hint="eastAsia" w:ascii="宋体" w:hAnsi="宋体"/>
          <w:color w:val="auto"/>
          <w:sz w:val="28"/>
          <w:szCs w:val="28"/>
          <w:u w:val="single"/>
        </w:rPr>
        <w:t xml:space="preserve">                       </w:t>
      </w:r>
    </w:p>
    <w:p w14:paraId="6FDAE159">
      <w:pPr>
        <w:adjustRightInd w:val="0"/>
        <w:snapToGrid w:val="0"/>
        <w:spacing w:line="720" w:lineRule="auto"/>
        <w:ind w:firstLine="1120" w:firstLineChars="400"/>
        <w:rPr>
          <w:rFonts w:ascii="宋体" w:hAnsi="宋体"/>
          <w:color w:val="auto"/>
          <w:sz w:val="28"/>
          <w:szCs w:val="28"/>
        </w:rPr>
      </w:pPr>
      <w:r>
        <w:rPr>
          <w:rFonts w:hint="eastAsia" w:ascii="宋体" w:hAnsi="宋体"/>
          <w:color w:val="auto"/>
          <w:sz w:val="28"/>
          <w:szCs w:val="28"/>
        </w:rPr>
        <w:t>项目编号：</w:t>
      </w:r>
      <w:r>
        <w:rPr>
          <w:rFonts w:hint="eastAsia" w:ascii="宋体" w:hAnsi="宋体"/>
          <w:color w:val="auto"/>
          <w:sz w:val="28"/>
          <w:szCs w:val="28"/>
          <w:u w:val="single"/>
        </w:rPr>
        <w:t>                       </w:t>
      </w:r>
      <w:r>
        <w:rPr>
          <w:rFonts w:ascii="宋体" w:hAnsi="宋体"/>
          <w:color w:val="auto"/>
          <w:sz w:val="28"/>
          <w:szCs w:val="28"/>
        </w:rPr>
        <w:t xml:space="preserve"> </w:t>
      </w:r>
    </w:p>
    <w:p w14:paraId="6165B30C">
      <w:pPr>
        <w:adjustRightInd w:val="0"/>
        <w:snapToGrid w:val="0"/>
        <w:spacing w:line="720" w:lineRule="auto"/>
        <w:ind w:firstLine="1120" w:firstLineChars="400"/>
        <w:rPr>
          <w:rFonts w:ascii="宋体" w:hAnsi="宋体"/>
          <w:color w:val="auto"/>
          <w:sz w:val="28"/>
          <w:szCs w:val="28"/>
        </w:rPr>
      </w:pPr>
      <w:r>
        <w:rPr>
          <w:rFonts w:ascii="宋体" w:hAnsi="宋体"/>
          <w:color w:val="auto"/>
          <w:sz w:val="28"/>
          <w:szCs w:val="28"/>
        </w:rPr>
        <w:t>投标人</w:t>
      </w:r>
      <w:r>
        <w:rPr>
          <w:rFonts w:hint="eastAsia" w:ascii="宋体" w:hAnsi="宋体"/>
          <w:color w:val="auto"/>
          <w:sz w:val="28"/>
          <w:szCs w:val="28"/>
        </w:rPr>
        <w:t>（全称）</w:t>
      </w:r>
      <w:r>
        <w:rPr>
          <w:rFonts w:ascii="宋体" w:hAnsi="宋体"/>
          <w:color w:val="auto"/>
          <w:sz w:val="28"/>
          <w:szCs w:val="28"/>
        </w:rPr>
        <w:t>：</w:t>
      </w:r>
      <w:r>
        <w:rPr>
          <w:rFonts w:hint="eastAsia" w:ascii="宋体" w:hAnsi="宋体"/>
          <w:color w:val="auto"/>
          <w:sz w:val="28"/>
          <w:szCs w:val="28"/>
          <w:u w:val="single"/>
        </w:rPr>
        <w:t xml:space="preserve">            </w:t>
      </w:r>
      <w:r>
        <w:rPr>
          <w:rFonts w:ascii="宋体" w:hAnsi="宋体"/>
          <w:color w:val="auto"/>
          <w:sz w:val="28"/>
          <w:szCs w:val="28"/>
          <w:u w:val="single"/>
        </w:rPr>
        <w:t>（盖章）</w:t>
      </w:r>
    </w:p>
    <w:p w14:paraId="4B8D5105">
      <w:pPr>
        <w:adjustRightInd w:val="0"/>
        <w:snapToGrid w:val="0"/>
        <w:spacing w:line="720" w:lineRule="auto"/>
        <w:ind w:firstLine="1120" w:firstLineChars="400"/>
        <w:rPr>
          <w:rFonts w:ascii="宋体" w:hAnsi="宋体"/>
          <w:color w:val="auto"/>
          <w:sz w:val="28"/>
          <w:szCs w:val="28"/>
          <w:u w:val="single"/>
        </w:rPr>
      </w:pPr>
      <w:r>
        <w:rPr>
          <w:rFonts w:ascii="宋体" w:hAnsi="宋体"/>
          <w:color w:val="auto"/>
          <w:sz w:val="28"/>
          <w:szCs w:val="28"/>
        </w:rPr>
        <w:t>投标人地址：</w:t>
      </w:r>
      <w:r>
        <w:rPr>
          <w:rFonts w:hint="eastAsia" w:ascii="宋体" w:hAnsi="宋体"/>
          <w:color w:val="auto"/>
          <w:sz w:val="28"/>
          <w:szCs w:val="28"/>
          <w:u w:val="single"/>
        </w:rPr>
        <w:t>                     </w:t>
      </w:r>
    </w:p>
    <w:p w14:paraId="1A9119BF">
      <w:pPr>
        <w:pStyle w:val="7"/>
        <w:ind w:left="0" w:leftChars="0" w:firstLine="0" w:firstLineChars="0"/>
        <w:rPr>
          <w:rFonts w:hint="eastAsia" w:ascii="宋体" w:hAnsi="宋体"/>
        </w:rPr>
      </w:pPr>
    </w:p>
    <w:p w14:paraId="13B1C19E">
      <w:pPr>
        <w:pStyle w:val="7"/>
        <w:ind w:left="0" w:leftChars="0" w:firstLine="0" w:firstLineChars="0"/>
        <w:rPr>
          <w:rFonts w:hint="eastAsia" w:ascii="宋体" w:hAnsi="宋体"/>
        </w:rPr>
      </w:pPr>
    </w:p>
    <w:p w14:paraId="365DAAAF">
      <w:pPr>
        <w:pStyle w:val="7"/>
        <w:ind w:left="840" w:hanging="420"/>
        <w:rPr>
          <w:rFonts w:hint="eastAsia" w:ascii="宋体" w:hAnsi="宋体"/>
        </w:rPr>
      </w:pPr>
    </w:p>
    <w:p w14:paraId="56CCA5A5">
      <w:pPr>
        <w:pStyle w:val="10"/>
        <w:ind w:firstLine="300"/>
        <w:rPr>
          <w:rFonts w:hint="eastAsia"/>
        </w:rPr>
      </w:pPr>
    </w:p>
    <w:p w14:paraId="136FA20E">
      <w:pPr>
        <w:spacing w:line="460" w:lineRule="exact"/>
        <w:ind w:firstLine="442" w:firstLineChars="200"/>
        <w:rPr>
          <w:rFonts w:hint="eastAsia" w:ascii="宋体" w:hAnsi="宋体" w:cs="宋体"/>
          <w:b/>
          <w:bCs/>
          <w:sz w:val="22"/>
          <w:szCs w:val="22"/>
        </w:rPr>
      </w:pPr>
    </w:p>
    <w:p w14:paraId="77A0D8AD">
      <w:pPr>
        <w:spacing w:line="460" w:lineRule="exact"/>
        <w:ind w:firstLine="442" w:firstLineChars="200"/>
        <w:rPr>
          <w:rFonts w:hint="eastAsia" w:ascii="宋体" w:hAnsi="宋体" w:cs="宋体"/>
          <w:b/>
          <w:bCs/>
          <w:sz w:val="22"/>
          <w:szCs w:val="22"/>
        </w:rPr>
        <w:sectPr>
          <w:pgSz w:w="11906" w:h="16838"/>
          <w:pgMar w:top="1440" w:right="1080" w:bottom="1440" w:left="1080" w:header="851" w:footer="992" w:gutter="0"/>
          <w:cols w:space="720" w:num="1"/>
          <w:docGrid w:type="lines" w:linePitch="312" w:charSpace="0"/>
        </w:sectPr>
      </w:pPr>
    </w:p>
    <w:p w14:paraId="5701898D">
      <w:pPr>
        <w:spacing w:line="460" w:lineRule="exact"/>
        <w:ind w:firstLine="442" w:firstLineChars="200"/>
        <w:rPr>
          <w:rFonts w:hint="eastAsia" w:ascii="宋体" w:hAnsi="宋体" w:cs="宋体"/>
          <w:b/>
          <w:bCs/>
          <w:sz w:val="22"/>
          <w:szCs w:val="22"/>
        </w:rPr>
      </w:pPr>
      <w:r>
        <w:rPr>
          <w:rFonts w:hint="eastAsia" w:ascii="宋体" w:hAnsi="宋体" w:cs="宋体"/>
          <w:b/>
          <w:bCs/>
          <w:sz w:val="22"/>
          <w:szCs w:val="22"/>
        </w:rPr>
        <w:t>附件1</w:t>
      </w:r>
    </w:p>
    <w:p w14:paraId="373D3572">
      <w:pPr>
        <w:spacing w:line="460" w:lineRule="exact"/>
        <w:rPr>
          <w:rFonts w:hint="eastAsia" w:ascii="宋体" w:hAnsi="宋体" w:cs="宋体"/>
          <w:sz w:val="22"/>
          <w:szCs w:val="22"/>
        </w:rPr>
      </w:pPr>
    </w:p>
    <w:p w14:paraId="5AF1D7AC">
      <w:pPr>
        <w:widowControl/>
        <w:spacing w:line="420" w:lineRule="atLeast"/>
        <w:jc w:val="center"/>
        <w:rPr>
          <w:rFonts w:hint="eastAsia" w:ascii="宋体" w:hAnsi="宋体" w:cs="宋体"/>
          <w:b/>
          <w:bCs/>
          <w:kern w:val="0"/>
          <w:sz w:val="30"/>
          <w:szCs w:val="30"/>
        </w:rPr>
      </w:pPr>
      <w:r>
        <w:rPr>
          <w:rFonts w:hint="eastAsia" w:ascii="宋体" w:hAnsi="宋体" w:cs="宋体"/>
          <w:b/>
          <w:bCs/>
          <w:kern w:val="0"/>
          <w:sz w:val="30"/>
          <w:szCs w:val="30"/>
        </w:rPr>
        <w:t>参与政府采购活动投标资格声明函</w:t>
      </w:r>
    </w:p>
    <w:p w14:paraId="1A506E48">
      <w:pPr>
        <w:snapToGrid w:val="0"/>
        <w:spacing w:before="156" w:beforeLines="50" w:after="50"/>
        <w:ind w:firstLine="480"/>
        <w:rPr>
          <w:rFonts w:hint="eastAsia" w:ascii="宋体" w:hAnsi="宋体" w:cs="宋体"/>
        </w:rPr>
      </w:pPr>
    </w:p>
    <w:p w14:paraId="486E22D5">
      <w:pPr>
        <w:snapToGrid w:val="0"/>
        <w:spacing w:line="500" w:lineRule="exact"/>
        <w:ind w:firstLine="480"/>
        <w:rPr>
          <w:rFonts w:hint="eastAsia" w:ascii="宋体" w:hAnsi="宋体" w:cs="宋体"/>
          <w:sz w:val="24"/>
        </w:rPr>
      </w:pPr>
      <w:r>
        <w:rPr>
          <w:rFonts w:hint="eastAsia" w:ascii="宋体" w:hAnsi="宋体" w:cs="宋体"/>
          <w:sz w:val="24"/>
        </w:rPr>
        <w:t>致：</w:t>
      </w:r>
      <w:r>
        <w:rPr>
          <w:rFonts w:hint="eastAsia" w:ascii="宋体" w:hAnsi="宋体" w:cs="宋体"/>
          <w:sz w:val="24"/>
          <w:u w:val="single"/>
        </w:rPr>
        <w:t xml:space="preserve">（采购单位名称）  </w:t>
      </w:r>
      <w:r>
        <w:rPr>
          <w:rFonts w:hint="eastAsia" w:ascii="宋体" w:hAnsi="宋体" w:cs="宋体"/>
          <w:sz w:val="24"/>
        </w:rPr>
        <w:t>：</w:t>
      </w:r>
    </w:p>
    <w:p w14:paraId="27240AA1">
      <w:pPr>
        <w:snapToGrid w:val="0"/>
        <w:spacing w:line="500" w:lineRule="exact"/>
        <w:rPr>
          <w:rFonts w:hint="eastAsia" w:ascii="宋体" w:hAnsi="宋体" w:cs="宋体"/>
          <w:sz w:val="24"/>
        </w:rPr>
      </w:pPr>
      <w:r>
        <w:rPr>
          <w:rFonts w:hint="eastAsia" w:ascii="宋体" w:hAnsi="宋体" w:cs="宋体"/>
          <w:sz w:val="24"/>
          <w:u w:val="single"/>
        </w:rPr>
        <w:t xml:space="preserve">                  </w:t>
      </w:r>
      <w:r>
        <w:rPr>
          <w:rFonts w:hint="eastAsia" w:ascii="宋体" w:hAnsi="宋体" w:cs="宋体"/>
          <w:sz w:val="24"/>
        </w:rPr>
        <w:t>（投标人名称）符合参加本次政府采购活动的资格条件并承诺如下。</w:t>
      </w:r>
    </w:p>
    <w:p w14:paraId="5D418BF0">
      <w:pPr>
        <w:snapToGrid w:val="0"/>
        <w:spacing w:line="500" w:lineRule="exact"/>
        <w:ind w:firstLine="480" w:firstLineChars="200"/>
        <w:rPr>
          <w:rFonts w:hint="eastAsia" w:ascii="宋体" w:hAnsi="宋体" w:cs="宋体"/>
          <w:sz w:val="24"/>
        </w:rPr>
      </w:pPr>
      <w:r>
        <w:rPr>
          <w:rFonts w:hint="eastAsia" w:ascii="宋体" w:hAnsi="宋体" w:cs="宋体"/>
          <w:sz w:val="24"/>
        </w:rPr>
        <w:t>一、满足《中华人民共和国政府采购法》第二十二条规定</w:t>
      </w:r>
    </w:p>
    <w:p w14:paraId="274B016A">
      <w:pPr>
        <w:snapToGrid w:val="0"/>
        <w:spacing w:line="500" w:lineRule="exact"/>
        <w:ind w:firstLine="480" w:firstLineChars="200"/>
        <w:rPr>
          <w:rFonts w:hint="eastAsia" w:ascii="宋体" w:hAnsi="宋体" w:cs="宋体"/>
          <w:kern w:val="0"/>
          <w:sz w:val="24"/>
        </w:rPr>
      </w:pPr>
      <w:r>
        <w:rPr>
          <w:rFonts w:hint="eastAsia" w:ascii="宋体" w:hAnsi="宋体" w:cs="宋体"/>
          <w:kern w:val="0"/>
          <w:sz w:val="24"/>
        </w:rPr>
        <w:t>1、具有独立承担民事责任的能力；</w:t>
      </w:r>
    </w:p>
    <w:p w14:paraId="52D46F68">
      <w:pPr>
        <w:snapToGrid w:val="0"/>
        <w:spacing w:line="500" w:lineRule="exact"/>
        <w:ind w:firstLine="480" w:firstLineChars="200"/>
        <w:rPr>
          <w:rFonts w:hint="eastAsia" w:ascii="宋体" w:hAnsi="宋体" w:cs="宋体"/>
          <w:kern w:val="0"/>
          <w:sz w:val="24"/>
        </w:rPr>
      </w:pPr>
      <w:r>
        <w:rPr>
          <w:rFonts w:hint="eastAsia" w:ascii="宋体" w:hAnsi="宋体" w:cs="宋体"/>
          <w:kern w:val="0"/>
          <w:sz w:val="24"/>
        </w:rPr>
        <w:t>2、具有良好的商业信誉和健全的财务会计制度；</w:t>
      </w:r>
    </w:p>
    <w:p w14:paraId="76C4421A">
      <w:pPr>
        <w:snapToGrid w:val="0"/>
        <w:spacing w:line="500" w:lineRule="exact"/>
        <w:ind w:firstLine="480" w:firstLineChars="200"/>
        <w:rPr>
          <w:rFonts w:hint="eastAsia" w:ascii="宋体" w:hAnsi="宋体" w:cs="宋体"/>
          <w:kern w:val="0"/>
          <w:sz w:val="24"/>
        </w:rPr>
      </w:pPr>
      <w:r>
        <w:rPr>
          <w:rFonts w:hint="eastAsia" w:ascii="宋体" w:hAnsi="宋体" w:cs="宋体"/>
          <w:kern w:val="0"/>
          <w:sz w:val="24"/>
        </w:rPr>
        <w:t>3、具有履行合同所必需的设备和专业技术能力；</w:t>
      </w:r>
    </w:p>
    <w:p w14:paraId="29FC6250">
      <w:pPr>
        <w:snapToGrid w:val="0"/>
        <w:spacing w:line="500" w:lineRule="exact"/>
        <w:ind w:firstLine="480" w:firstLineChars="200"/>
        <w:rPr>
          <w:rFonts w:hint="eastAsia" w:ascii="宋体" w:hAnsi="宋体" w:cs="宋体"/>
          <w:kern w:val="0"/>
          <w:sz w:val="24"/>
        </w:rPr>
      </w:pPr>
      <w:r>
        <w:rPr>
          <w:rFonts w:hint="eastAsia" w:ascii="宋体" w:hAnsi="宋体" w:cs="宋体"/>
          <w:kern w:val="0"/>
          <w:sz w:val="24"/>
        </w:rPr>
        <w:t>4、有依法缴纳税收和社会保障资金的良好记录；</w:t>
      </w:r>
    </w:p>
    <w:p w14:paraId="377EDB95">
      <w:pPr>
        <w:snapToGrid w:val="0"/>
        <w:spacing w:line="500" w:lineRule="exact"/>
        <w:ind w:firstLine="480" w:firstLineChars="200"/>
        <w:rPr>
          <w:rFonts w:hint="eastAsia" w:ascii="宋体" w:hAnsi="宋体" w:cs="宋体"/>
          <w:kern w:val="0"/>
          <w:sz w:val="24"/>
        </w:rPr>
      </w:pPr>
      <w:r>
        <w:rPr>
          <w:rFonts w:hint="eastAsia" w:ascii="宋体" w:hAnsi="宋体" w:cs="宋体"/>
          <w:kern w:val="0"/>
          <w:sz w:val="24"/>
        </w:rPr>
        <w:t>5、参加政府采购活动前三年内，在经营活动中没有重大违法记录；</w:t>
      </w:r>
    </w:p>
    <w:p w14:paraId="4A757E82">
      <w:pPr>
        <w:snapToGrid w:val="0"/>
        <w:spacing w:line="500" w:lineRule="exact"/>
        <w:ind w:firstLine="480" w:firstLineChars="200"/>
        <w:rPr>
          <w:rFonts w:hint="eastAsia" w:ascii="宋体" w:hAnsi="宋体" w:cs="宋体"/>
          <w:kern w:val="0"/>
          <w:sz w:val="24"/>
        </w:rPr>
      </w:pPr>
      <w:r>
        <w:rPr>
          <w:rFonts w:hint="eastAsia" w:ascii="宋体" w:hAnsi="宋体" w:cs="宋体"/>
          <w:kern w:val="0"/>
          <w:sz w:val="24"/>
        </w:rPr>
        <w:t>二、未被“信用中国”（</w:t>
      </w:r>
      <w:r>
        <w:rPr>
          <w:rFonts w:ascii="宋体" w:hAnsi="宋体" w:cs="宋体"/>
          <w:kern w:val="0"/>
          <w:sz w:val="24"/>
        </w:rPr>
        <w:fldChar w:fldCharType="begin"/>
      </w:r>
      <w:r>
        <w:rPr>
          <w:rFonts w:ascii="宋体" w:hAnsi="宋体" w:cs="宋体"/>
          <w:kern w:val="0"/>
          <w:sz w:val="24"/>
        </w:rPr>
        <w:instrText xml:space="preserve"> HYPERLINK "http://</w:instrText>
      </w:r>
      <w:r>
        <w:rPr>
          <w:rFonts w:hint="eastAsia" w:ascii="宋体" w:hAnsi="宋体" w:cs="宋体"/>
          <w:kern w:val="0"/>
          <w:sz w:val="24"/>
        </w:rPr>
        <w:instrText xml:space="preserve">www.creditchina.gov.cn</w:instrText>
      </w:r>
      <w:r>
        <w:rPr>
          <w:rFonts w:ascii="宋体" w:hAnsi="宋体" w:cs="宋体"/>
          <w:kern w:val="0"/>
          <w:sz w:val="24"/>
        </w:rPr>
        <w:instrText xml:space="preserve">" </w:instrText>
      </w:r>
      <w:r>
        <w:rPr>
          <w:rFonts w:ascii="宋体" w:hAnsi="宋体" w:cs="宋体"/>
          <w:kern w:val="0"/>
          <w:sz w:val="24"/>
        </w:rPr>
        <w:fldChar w:fldCharType="separate"/>
      </w:r>
      <w:r>
        <w:rPr>
          <w:rStyle w:val="26"/>
          <w:rFonts w:hint="eastAsia" w:ascii="宋体" w:hAnsi="宋体" w:cs="宋体"/>
          <w:kern w:val="0"/>
          <w:sz w:val="24"/>
          <w:szCs w:val="24"/>
        </w:rPr>
        <w:t>www.creditchina.gov.cn</w:t>
      </w:r>
      <w:r>
        <w:rPr>
          <w:rFonts w:ascii="宋体" w:hAnsi="宋体" w:cs="宋体"/>
          <w:kern w:val="0"/>
          <w:sz w:val="24"/>
        </w:rPr>
        <w:fldChar w:fldCharType="end"/>
      </w:r>
      <w:r>
        <w:rPr>
          <w:rFonts w:ascii="宋体" w:hAnsi="宋体" w:cs="宋体"/>
          <w:kern w:val="0"/>
          <w:sz w:val="24"/>
        </w:rPr>
        <w:t>）</w:t>
      </w:r>
      <w:r>
        <w:rPr>
          <w:rFonts w:hint="eastAsia" w:ascii="宋体" w:hAnsi="宋体" w:cs="宋体"/>
          <w:kern w:val="0"/>
          <w:sz w:val="24"/>
        </w:rPr>
        <w:t>、中国政府采购网（</w:t>
      </w:r>
      <w:r>
        <w:rPr>
          <w:rFonts w:ascii="宋体" w:hAnsi="宋体" w:cs="宋体"/>
          <w:kern w:val="0"/>
          <w:sz w:val="24"/>
        </w:rPr>
        <w:fldChar w:fldCharType="begin"/>
      </w:r>
      <w:r>
        <w:rPr>
          <w:rFonts w:ascii="宋体" w:hAnsi="宋体" w:cs="宋体"/>
          <w:kern w:val="0"/>
          <w:sz w:val="24"/>
        </w:rPr>
        <w:instrText xml:space="preserve"> HYPERLINK "http://</w:instrText>
      </w:r>
      <w:r>
        <w:rPr>
          <w:rFonts w:hint="eastAsia" w:ascii="宋体" w:hAnsi="宋体" w:cs="宋体"/>
          <w:kern w:val="0"/>
          <w:sz w:val="24"/>
        </w:rPr>
        <w:instrText xml:space="preserve">www.ccgp.gov.cn</w:instrText>
      </w:r>
      <w:r>
        <w:rPr>
          <w:rFonts w:ascii="宋体" w:hAnsi="宋体" w:cs="宋体"/>
          <w:kern w:val="0"/>
          <w:sz w:val="24"/>
        </w:rPr>
        <w:instrText xml:space="preserve">" </w:instrText>
      </w:r>
      <w:r>
        <w:rPr>
          <w:rFonts w:ascii="宋体" w:hAnsi="宋体" w:cs="宋体"/>
          <w:kern w:val="0"/>
          <w:sz w:val="24"/>
        </w:rPr>
        <w:fldChar w:fldCharType="separate"/>
      </w:r>
      <w:r>
        <w:rPr>
          <w:rStyle w:val="26"/>
          <w:rFonts w:hint="eastAsia" w:ascii="宋体" w:hAnsi="宋体" w:cs="宋体"/>
          <w:kern w:val="0"/>
          <w:sz w:val="24"/>
          <w:szCs w:val="24"/>
        </w:rPr>
        <w:t>www.ccgp.gov.cn</w:t>
      </w:r>
      <w:r>
        <w:rPr>
          <w:rFonts w:ascii="宋体" w:hAnsi="宋体" w:cs="宋体"/>
          <w:kern w:val="0"/>
          <w:sz w:val="24"/>
        </w:rPr>
        <w:fldChar w:fldCharType="end"/>
      </w:r>
      <w:r>
        <w:rPr>
          <w:rFonts w:hint="eastAsia" w:ascii="宋体" w:hAnsi="宋体" w:cs="宋体"/>
          <w:kern w:val="0"/>
          <w:sz w:val="24"/>
        </w:rPr>
        <w:t>）列入失信被执行人、重大税收违法案件当事人名单、政府采购严重违法失信行为记录名单。</w:t>
      </w:r>
    </w:p>
    <w:p w14:paraId="6BF92944">
      <w:pPr>
        <w:snapToGrid w:val="0"/>
        <w:spacing w:line="500" w:lineRule="exact"/>
        <w:ind w:firstLine="480" w:firstLineChars="200"/>
        <w:rPr>
          <w:rFonts w:hint="eastAsia" w:ascii="宋体" w:hAnsi="宋体" w:cs="宋体"/>
          <w:kern w:val="0"/>
          <w:sz w:val="24"/>
        </w:rPr>
      </w:pPr>
      <w:r>
        <w:rPr>
          <w:rFonts w:hint="eastAsia" w:ascii="宋体" w:hAnsi="宋体" w:cs="宋体"/>
          <w:kern w:val="0"/>
          <w:sz w:val="24"/>
        </w:rPr>
        <w:t>本单位对上述承诺内容的真实性负责。如有虚假，将依法承担相应责任。</w:t>
      </w:r>
    </w:p>
    <w:p w14:paraId="1D188575">
      <w:pPr>
        <w:ind w:firstLine="480"/>
        <w:rPr>
          <w:rFonts w:hint="eastAsia" w:ascii="宋体" w:hAnsi="宋体" w:cs="宋体"/>
        </w:rPr>
      </w:pPr>
    </w:p>
    <w:p w14:paraId="65C3E48E">
      <w:pPr>
        <w:ind w:firstLine="480"/>
        <w:rPr>
          <w:rFonts w:hint="eastAsia" w:ascii="宋体" w:hAnsi="宋体" w:cs="宋体"/>
        </w:rPr>
      </w:pPr>
    </w:p>
    <w:p w14:paraId="53A333EA">
      <w:pPr>
        <w:widowControl/>
        <w:ind w:firstLine="480"/>
        <w:jc w:val="right"/>
        <w:rPr>
          <w:rFonts w:hint="eastAsia" w:ascii="宋体" w:hAnsi="宋体" w:cs="宋体"/>
        </w:rPr>
      </w:pPr>
    </w:p>
    <w:p w14:paraId="3C915A70">
      <w:pPr>
        <w:widowControl/>
        <w:ind w:firstLine="480"/>
        <w:jc w:val="right"/>
        <w:rPr>
          <w:rFonts w:hint="eastAsia" w:ascii="宋体" w:hAnsi="宋体" w:cs="宋体"/>
        </w:rPr>
      </w:pPr>
      <w:r>
        <w:rPr>
          <w:rFonts w:hint="eastAsia" w:ascii="宋体" w:hAnsi="宋体" w:eastAsia="宋体" w:cs="宋体"/>
          <w:color w:val="auto"/>
          <w:sz w:val="24"/>
          <w:highlight w:val="none"/>
        </w:rPr>
        <w:t>供应商</w:t>
      </w:r>
      <w:r>
        <w:rPr>
          <w:rFonts w:hint="eastAsia" w:ascii="宋体" w:hAnsi="宋体" w:cs="宋体"/>
          <w:color w:val="auto"/>
          <w:sz w:val="24"/>
          <w:highlight w:val="none"/>
          <w:lang w:val="en-US" w:eastAsia="zh-CN"/>
        </w:rPr>
        <w:t>全</w:t>
      </w:r>
      <w:r>
        <w:rPr>
          <w:rFonts w:hint="eastAsia" w:ascii="宋体" w:hAnsi="宋体" w:eastAsia="宋体" w:cs="宋体"/>
          <w:color w:val="auto"/>
          <w:sz w:val="24"/>
          <w:highlight w:val="none"/>
        </w:rPr>
        <w:t>称</w:t>
      </w:r>
      <w:r>
        <w:rPr>
          <w:rFonts w:hint="eastAsia" w:ascii="宋体" w:hAnsi="宋体" w:eastAsia="宋体" w:cs="宋体"/>
          <w:kern w:val="0"/>
          <w:sz w:val="24"/>
        </w:rPr>
        <w:t>：</w:t>
      </w:r>
      <w:r>
        <w:rPr>
          <w:rFonts w:hint="eastAsia" w:ascii="宋体" w:hAnsi="宋体" w:cs="宋体"/>
          <w:u w:val="single"/>
        </w:rPr>
        <w:t xml:space="preserve">       </w:t>
      </w:r>
      <w:r>
        <w:rPr>
          <w:rFonts w:hint="eastAsia" w:ascii="宋体" w:hAnsi="宋体" w:eastAsia="宋体" w:cs="宋体"/>
          <w:kern w:val="0"/>
          <w:sz w:val="24"/>
          <w:u w:val="single"/>
        </w:rPr>
        <w:t xml:space="preserve">（盖章） </w:t>
      </w:r>
      <w:r>
        <w:rPr>
          <w:rFonts w:hint="eastAsia" w:ascii="宋体" w:hAnsi="宋体" w:cs="宋体"/>
          <w:u w:val="single"/>
        </w:rPr>
        <w:t xml:space="preserve">       </w:t>
      </w:r>
      <w:r>
        <w:rPr>
          <w:rFonts w:hint="eastAsia" w:ascii="宋体" w:hAnsi="宋体" w:cs="宋体"/>
        </w:rPr>
        <w:t xml:space="preserve">                      </w:t>
      </w:r>
    </w:p>
    <w:p w14:paraId="427706A4">
      <w:pPr>
        <w:widowControl/>
        <w:ind w:firstLine="480"/>
        <w:jc w:val="right"/>
        <w:rPr>
          <w:rFonts w:hint="eastAsia" w:ascii="宋体" w:hAnsi="宋体" w:cs="宋体"/>
        </w:rPr>
      </w:pPr>
    </w:p>
    <w:p w14:paraId="31AC957B">
      <w:pPr>
        <w:widowControl/>
        <w:ind w:firstLine="480"/>
        <w:jc w:val="right"/>
        <w:rPr>
          <w:rFonts w:hint="eastAsia" w:ascii="宋体" w:hAnsi="宋体" w:cs="宋体"/>
          <w:kern w:val="0"/>
        </w:rPr>
      </w:pPr>
      <w:r>
        <w:rPr>
          <w:rFonts w:hint="eastAsia" w:ascii="宋体" w:hAnsi="宋体" w:cs="宋体"/>
        </w:rPr>
        <w:t>年    月    日</w:t>
      </w:r>
    </w:p>
    <w:p w14:paraId="70C1A606">
      <w:pPr>
        <w:widowControl/>
        <w:spacing w:line="420" w:lineRule="atLeast"/>
        <w:rPr>
          <w:rFonts w:hint="eastAsia" w:ascii="宋体" w:hAnsi="宋体" w:cs="宋体"/>
          <w:b/>
          <w:bCs/>
          <w:kern w:val="0"/>
          <w:sz w:val="24"/>
        </w:rPr>
      </w:pPr>
    </w:p>
    <w:p w14:paraId="75461BCC">
      <w:pPr>
        <w:spacing w:line="460" w:lineRule="exact"/>
        <w:ind w:firstLine="442" w:firstLineChars="200"/>
        <w:rPr>
          <w:rFonts w:hint="eastAsia" w:ascii="宋体" w:hAnsi="宋体" w:cs="宋体"/>
          <w:b/>
          <w:bCs/>
          <w:sz w:val="22"/>
          <w:szCs w:val="22"/>
        </w:rPr>
      </w:pPr>
    </w:p>
    <w:p w14:paraId="1CFEF237">
      <w:pPr>
        <w:spacing w:line="460" w:lineRule="exact"/>
        <w:ind w:firstLine="442" w:firstLineChars="200"/>
        <w:rPr>
          <w:rFonts w:hint="eastAsia" w:ascii="宋体" w:hAnsi="宋体" w:cs="宋体"/>
          <w:b/>
          <w:bCs/>
          <w:sz w:val="22"/>
          <w:szCs w:val="22"/>
        </w:rPr>
      </w:pPr>
    </w:p>
    <w:p w14:paraId="341539D9">
      <w:pPr>
        <w:spacing w:line="460" w:lineRule="exact"/>
        <w:ind w:firstLine="442" w:firstLineChars="200"/>
        <w:rPr>
          <w:rFonts w:hint="eastAsia" w:ascii="宋体" w:hAnsi="宋体" w:cs="宋体"/>
          <w:b/>
          <w:bCs/>
          <w:sz w:val="22"/>
          <w:szCs w:val="22"/>
        </w:rPr>
      </w:pPr>
    </w:p>
    <w:p w14:paraId="0C93AEE0">
      <w:pPr>
        <w:spacing w:line="460" w:lineRule="exact"/>
        <w:ind w:firstLine="442" w:firstLineChars="200"/>
        <w:rPr>
          <w:rFonts w:hint="eastAsia" w:ascii="宋体" w:hAnsi="宋体" w:cs="宋体"/>
          <w:b/>
          <w:bCs/>
          <w:sz w:val="22"/>
          <w:szCs w:val="22"/>
        </w:rPr>
      </w:pPr>
    </w:p>
    <w:p w14:paraId="070323F9">
      <w:pPr>
        <w:spacing w:line="460" w:lineRule="exact"/>
        <w:ind w:firstLine="442" w:firstLineChars="200"/>
        <w:rPr>
          <w:rFonts w:hint="eastAsia" w:ascii="宋体" w:hAnsi="宋体" w:cs="宋体"/>
          <w:b/>
          <w:bCs/>
          <w:sz w:val="22"/>
          <w:szCs w:val="22"/>
        </w:rPr>
      </w:pPr>
    </w:p>
    <w:p w14:paraId="4EA867F9">
      <w:pPr>
        <w:spacing w:line="460" w:lineRule="exact"/>
        <w:ind w:firstLine="442" w:firstLineChars="200"/>
        <w:rPr>
          <w:rFonts w:hint="eastAsia" w:ascii="宋体" w:hAnsi="宋体" w:cs="宋体"/>
          <w:b/>
          <w:bCs/>
          <w:sz w:val="22"/>
          <w:szCs w:val="22"/>
        </w:rPr>
      </w:pPr>
    </w:p>
    <w:p w14:paraId="034412C8">
      <w:pPr>
        <w:spacing w:line="460" w:lineRule="exact"/>
        <w:ind w:firstLine="442" w:firstLineChars="200"/>
        <w:rPr>
          <w:rFonts w:hint="eastAsia" w:ascii="宋体" w:hAnsi="宋体" w:cs="宋体"/>
          <w:b/>
          <w:bCs/>
          <w:sz w:val="22"/>
          <w:szCs w:val="22"/>
        </w:rPr>
      </w:pPr>
    </w:p>
    <w:p w14:paraId="246B5D69">
      <w:pPr>
        <w:rPr>
          <w:rFonts w:hint="eastAsia" w:ascii="宋体" w:hAnsi="宋体" w:cs="宋体"/>
          <w:b/>
          <w:bCs/>
          <w:sz w:val="22"/>
          <w:szCs w:val="22"/>
        </w:rPr>
      </w:pPr>
    </w:p>
    <w:p w14:paraId="1E4BC02D">
      <w:pPr>
        <w:pStyle w:val="39"/>
        <w:ind w:firstLine="420"/>
        <w:rPr>
          <w:rFonts w:hint="eastAsia"/>
        </w:rPr>
      </w:pPr>
    </w:p>
    <w:p w14:paraId="1CEB1120">
      <w:pPr>
        <w:spacing w:line="460" w:lineRule="exact"/>
        <w:ind w:firstLine="442" w:firstLineChars="200"/>
        <w:rPr>
          <w:rFonts w:hint="eastAsia" w:ascii="宋体" w:hAnsi="宋体" w:cs="宋体"/>
          <w:b/>
          <w:bCs/>
          <w:sz w:val="22"/>
          <w:szCs w:val="22"/>
        </w:rPr>
      </w:pPr>
      <w:r>
        <w:rPr>
          <w:rFonts w:hint="eastAsia" w:ascii="宋体" w:hAnsi="宋体" w:cs="宋体"/>
          <w:b/>
          <w:bCs/>
          <w:sz w:val="22"/>
          <w:szCs w:val="22"/>
        </w:rPr>
        <w:t>附件2</w:t>
      </w:r>
    </w:p>
    <w:p w14:paraId="6F467277">
      <w:pPr>
        <w:spacing w:line="460" w:lineRule="exact"/>
        <w:rPr>
          <w:rFonts w:hint="eastAsia" w:ascii="宋体" w:hAnsi="宋体" w:cs="宋体"/>
          <w:sz w:val="22"/>
          <w:szCs w:val="22"/>
        </w:rPr>
      </w:pPr>
    </w:p>
    <w:p w14:paraId="54932562">
      <w:pPr>
        <w:widowControl/>
        <w:spacing w:line="420" w:lineRule="atLeast"/>
        <w:rPr>
          <w:rFonts w:hint="eastAsia" w:ascii="宋体" w:hAnsi="宋体" w:cs="宋体"/>
          <w:b/>
          <w:bCs/>
          <w:kern w:val="0"/>
          <w:sz w:val="24"/>
        </w:rPr>
      </w:pPr>
    </w:p>
    <w:p w14:paraId="496B8581">
      <w:pPr>
        <w:widowControl/>
        <w:spacing w:line="420" w:lineRule="atLeast"/>
        <w:jc w:val="center"/>
        <w:rPr>
          <w:rFonts w:hint="eastAsia" w:ascii="宋体" w:hAnsi="宋体" w:cs="宋体"/>
          <w:b/>
          <w:bCs/>
          <w:kern w:val="0"/>
          <w:sz w:val="30"/>
          <w:szCs w:val="30"/>
        </w:rPr>
      </w:pPr>
      <w:bookmarkStart w:id="168" w:name="_Toc340777668"/>
      <w:bookmarkEnd w:id="168"/>
      <w:r>
        <w:rPr>
          <w:rFonts w:hint="eastAsia" w:ascii="宋体" w:hAnsi="宋体" w:cs="宋体"/>
          <w:b/>
          <w:bCs/>
          <w:kern w:val="0"/>
          <w:sz w:val="30"/>
          <w:szCs w:val="30"/>
        </w:rPr>
        <w:t xml:space="preserve">   法定代表人身份证明</w:t>
      </w:r>
    </w:p>
    <w:p w14:paraId="7E94BC62">
      <w:pPr>
        <w:widowControl/>
        <w:spacing w:line="420" w:lineRule="atLeast"/>
        <w:jc w:val="center"/>
        <w:rPr>
          <w:rFonts w:hint="eastAsia" w:ascii="宋体" w:hAnsi="宋体" w:cs="宋体"/>
          <w:b/>
          <w:bCs/>
          <w:kern w:val="0"/>
          <w:sz w:val="24"/>
        </w:rPr>
      </w:pPr>
      <w:r>
        <w:rPr>
          <w:rFonts w:hint="eastAsia" w:ascii="宋体" w:hAnsi="宋体" w:cs="宋体"/>
          <w:b/>
          <w:bCs/>
          <w:kern w:val="0"/>
          <w:sz w:val="24"/>
        </w:rPr>
        <w:t xml:space="preserve"> </w:t>
      </w:r>
    </w:p>
    <w:p w14:paraId="1489D0DD">
      <w:pPr>
        <w:widowControl/>
        <w:spacing w:line="420" w:lineRule="atLeast"/>
        <w:ind w:firstLine="480"/>
        <w:jc w:val="left"/>
        <w:rPr>
          <w:rFonts w:hint="eastAsia" w:ascii="宋体" w:hAnsi="宋体" w:cs="宋体"/>
          <w:kern w:val="0"/>
          <w:sz w:val="24"/>
        </w:rPr>
      </w:pPr>
      <w:r>
        <w:rPr>
          <w:rFonts w:hint="eastAsia" w:ascii="宋体" w:hAnsi="宋体" w:cs="宋体"/>
          <w:kern w:val="0"/>
          <w:sz w:val="24"/>
        </w:rPr>
        <w:t xml:space="preserve"> </w:t>
      </w:r>
    </w:p>
    <w:p w14:paraId="1799C4A0">
      <w:pPr>
        <w:widowControl/>
        <w:spacing w:line="440" w:lineRule="exact"/>
        <w:ind w:firstLine="1077"/>
        <w:rPr>
          <w:rFonts w:hint="eastAsia" w:ascii="宋体" w:hAnsi="宋体" w:cs="宋体"/>
          <w:kern w:val="0"/>
          <w:szCs w:val="21"/>
        </w:rPr>
      </w:pPr>
      <w:r>
        <w:rPr>
          <w:rFonts w:hint="eastAsia" w:ascii="宋体" w:hAnsi="宋体" w:eastAsia="宋体" w:cs="宋体"/>
          <w:kern w:val="0"/>
          <w:sz w:val="24"/>
        </w:rPr>
        <w:t>单位名称：</w:t>
      </w:r>
      <w:r>
        <w:rPr>
          <w:rFonts w:hint="eastAsia" w:ascii="宋体" w:hAnsi="宋体" w:cs="宋体"/>
          <w:kern w:val="0"/>
          <w:szCs w:val="21"/>
          <w:u w:val="single"/>
        </w:rPr>
        <w:t xml:space="preserve">                                               </w:t>
      </w:r>
    </w:p>
    <w:p w14:paraId="4C4F4BA1">
      <w:pPr>
        <w:widowControl/>
        <w:spacing w:line="440" w:lineRule="exact"/>
        <w:ind w:firstLine="1077"/>
        <w:rPr>
          <w:rFonts w:hint="eastAsia" w:ascii="宋体" w:hAnsi="宋体" w:cs="宋体"/>
          <w:kern w:val="0"/>
          <w:szCs w:val="21"/>
          <w:u w:val="single"/>
        </w:rPr>
      </w:pPr>
      <w:r>
        <w:rPr>
          <w:rFonts w:hint="eastAsia" w:ascii="宋体" w:hAnsi="宋体" w:eastAsia="宋体" w:cs="宋体"/>
          <w:kern w:val="0"/>
          <w:sz w:val="24"/>
        </w:rPr>
        <w:t xml:space="preserve">单位性质： </w:t>
      </w:r>
      <w:r>
        <w:rPr>
          <w:rFonts w:hint="eastAsia" w:ascii="宋体" w:hAnsi="宋体" w:cs="宋体"/>
          <w:kern w:val="0"/>
          <w:szCs w:val="21"/>
          <w:u w:val="single"/>
        </w:rPr>
        <w:t xml:space="preserve">                                              </w:t>
      </w:r>
    </w:p>
    <w:p w14:paraId="4DADCB63">
      <w:pPr>
        <w:widowControl/>
        <w:spacing w:line="440" w:lineRule="exact"/>
        <w:ind w:firstLine="1077"/>
        <w:rPr>
          <w:rFonts w:hint="eastAsia" w:ascii="宋体" w:hAnsi="宋体" w:cs="宋体"/>
          <w:kern w:val="0"/>
          <w:szCs w:val="21"/>
          <w:u w:val="single"/>
        </w:rPr>
      </w:pPr>
      <w:r>
        <w:rPr>
          <w:rFonts w:hint="eastAsia" w:ascii="宋体" w:hAnsi="宋体" w:eastAsia="宋体" w:cs="宋体"/>
          <w:kern w:val="0"/>
          <w:sz w:val="24"/>
        </w:rPr>
        <w:t xml:space="preserve">地    址： </w:t>
      </w:r>
      <w:r>
        <w:rPr>
          <w:rFonts w:hint="eastAsia" w:ascii="宋体" w:hAnsi="宋体" w:cs="宋体"/>
          <w:kern w:val="0"/>
          <w:szCs w:val="21"/>
          <w:u w:val="single"/>
        </w:rPr>
        <w:t xml:space="preserve">                                              </w:t>
      </w:r>
    </w:p>
    <w:p w14:paraId="5636644D">
      <w:pPr>
        <w:widowControl/>
        <w:spacing w:line="440" w:lineRule="exact"/>
        <w:ind w:firstLine="1077"/>
        <w:rPr>
          <w:rFonts w:hint="eastAsia" w:ascii="宋体" w:hAnsi="宋体" w:eastAsia="宋体" w:cs="宋体"/>
          <w:kern w:val="0"/>
          <w:sz w:val="24"/>
        </w:rPr>
      </w:pPr>
      <w:r>
        <w:rPr>
          <w:rFonts w:hint="eastAsia" w:ascii="宋体" w:hAnsi="宋体" w:eastAsia="宋体" w:cs="宋体"/>
          <w:kern w:val="0"/>
          <w:sz w:val="24"/>
        </w:rPr>
        <w:t>成立时间：</w:t>
      </w:r>
      <w:r>
        <w:rPr>
          <w:rFonts w:hint="eastAsia" w:ascii="宋体" w:hAnsi="宋体" w:cs="宋体"/>
          <w:kern w:val="0"/>
          <w:szCs w:val="21"/>
          <w:u w:val="single"/>
        </w:rPr>
        <w:t xml:space="preserve">             </w:t>
      </w:r>
      <w:r>
        <w:rPr>
          <w:rFonts w:hint="eastAsia" w:ascii="宋体" w:hAnsi="宋体" w:eastAsia="宋体" w:cs="宋体"/>
          <w:kern w:val="0"/>
          <w:sz w:val="24"/>
        </w:rPr>
        <w:t xml:space="preserve">年 </w:t>
      </w:r>
      <w:r>
        <w:rPr>
          <w:rFonts w:hint="eastAsia" w:ascii="宋体" w:hAnsi="宋体" w:cs="宋体"/>
          <w:kern w:val="0"/>
          <w:szCs w:val="21"/>
          <w:u w:val="single"/>
        </w:rPr>
        <w:t xml:space="preserve">              </w:t>
      </w:r>
      <w:r>
        <w:rPr>
          <w:rFonts w:hint="eastAsia" w:ascii="宋体" w:hAnsi="宋体" w:eastAsia="宋体" w:cs="宋体"/>
          <w:kern w:val="0"/>
          <w:sz w:val="24"/>
        </w:rPr>
        <w:t xml:space="preserve">月 </w:t>
      </w:r>
      <w:r>
        <w:rPr>
          <w:rFonts w:hint="eastAsia" w:ascii="宋体" w:hAnsi="宋体" w:cs="宋体"/>
          <w:kern w:val="0"/>
          <w:szCs w:val="21"/>
          <w:u w:val="single"/>
        </w:rPr>
        <w:t xml:space="preserve">              </w:t>
      </w:r>
      <w:r>
        <w:rPr>
          <w:rFonts w:hint="eastAsia" w:ascii="宋体" w:hAnsi="宋体" w:eastAsia="宋体" w:cs="宋体"/>
          <w:kern w:val="0"/>
          <w:sz w:val="24"/>
        </w:rPr>
        <w:t>日</w:t>
      </w:r>
    </w:p>
    <w:p w14:paraId="36454A11">
      <w:pPr>
        <w:widowControl/>
        <w:spacing w:line="440" w:lineRule="exact"/>
        <w:ind w:firstLine="1077"/>
        <w:rPr>
          <w:rFonts w:hint="eastAsia" w:ascii="宋体" w:hAnsi="宋体" w:eastAsia="宋体" w:cs="宋体"/>
          <w:kern w:val="0"/>
          <w:sz w:val="24"/>
        </w:rPr>
      </w:pPr>
      <w:r>
        <w:rPr>
          <w:rFonts w:hint="eastAsia" w:ascii="宋体" w:hAnsi="宋体" w:eastAsia="宋体" w:cs="宋体"/>
          <w:kern w:val="0"/>
          <w:sz w:val="24"/>
        </w:rPr>
        <w:t>经营期限：</w:t>
      </w:r>
      <w:r>
        <w:rPr>
          <w:rFonts w:hint="eastAsia" w:ascii="宋体" w:hAnsi="宋体" w:eastAsia="宋体" w:cs="宋体"/>
          <w:kern w:val="0"/>
          <w:sz w:val="24"/>
          <w:u w:val="single"/>
        </w:rPr>
        <w:t xml:space="preserve">                              </w:t>
      </w:r>
      <w:r>
        <w:rPr>
          <w:rFonts w:hint="eastAsia" w:ascii="宋体" w:hAnsi="宋体" w:eastAsia="宋体" w:cs="宋体"/>
          <w:kern w:val="0"/>
          <w:sz w:val="24"/>
        </w:rPr>
        <w:t xml:space="preserve">                 </w:t>
      </w:r>
    </w:p>
    <w:p w14:paraId="453F9DD7">
      <w:pPr>
        <w:widowControl/>
        <w:spacing w:line="440" w:lineRule="exact"/>
        <w:ind w:firstLine="1077"/>
        <w:rPr>
          <w:rFonts w:hint="eastAsia" w:ascii="宋体" w:hAnsi="宋体" w:eastAsia="宋体" w:cs="宋体"/>
          <w:kern w:val="0"/>
          <w:sz w:val="24"/>
          <w:u w:val="single"/>
        </w:rPr>
      </w:pPr>
      <w:r>
        <w:rPr>
          <w:rFonts w:hint="eastAsia" w:ascii="宋体" w:hAnsi="宋体" w:eastAsia="宋体" w:cs="宋体"/>
          <w:kern w:val="0"/>
          <w:sz w:val="24"/>
        </w:rPr>
        <w:t>姓    名：</w:t>
      </w:r>
      <w:r>
        <w:rPr>
          <w:rFonts w:hint="eastAsia" w:ascii="宋体" w:hAnsi="宋体" w:eastAsia="宋体" w:cs="宋体"/>
          <w:kern w:val="0"/>
          <w:sz w:val="24"/>
          <w:u w:val="single"/>
        </w:rPr>
        <w:t xml:space="preserve">                        </w:t>
      </w:r>
      <w:r>
        <w:rPr>
          <w:rFonts w:hint="eastAsia" w:ascii="宋体" w:hAnsi="宋体" w:eastAsia="宋体" w:cs="宋体"/>
          <w:kern w:val="0"/>
          <w:sz w:val="24"/>
        </w:rPr>
        <w:t xml:space="preserve">  性    别：</w:t>
      </w:r>
      <w:r>
        <w:rPr>
          <w:rFonts w:hint="eastAsia" w:ascii="宋体" w:hAnsi="宋体" w:eastAsia="宋体" w:cs="宋体"/>
          <w:kern w:val="0"/>
          <w:sz w:val="24"/>
          <w:u w:val="single"/>
        </w:rPr>
        <w:t xml:space="preserve">            </w:t>
      </w:r>
    </w:p>
    <w:p w14:paraId="194D7628">
      <w:pPr>
        <w:widowControl/>
        <w:spacing w:line="440" w:lineRule="exact"/>
        <w:ind w:firstLine="1077"/>
        <w:rPr>
          <w:rFonts w:hint="eastAsia" w:ascii="宋体" w:hAnsi="宋体" w:eastAsia="宋体" w:cs="宋体"/>
          <w:kern w:val="0"/>
          <w:sz w:val="24"/>
        </w:rPr>
      </w:pPr>
      <w:r>
        <w:rPr>
          <w:rFonts w:hint="eastAsia" w:ascii="宋体" w:hAnsi="宋体" w:eastAsia="宋体" w:cs="宋体"/>
          <w:kern w:val="0"/>
          <w:sz w:val="24"/>
        </w:rPr>
        <w:t>年    龄：</w:t>
      </w:r>
      <w:r>
        <w:rPr>
          <w:rFonts w:hint="eastAsia" w:ascii="宋体" w:hAnsi="宋体" w:eastAsia="宋体" w:cs="宋体"/>
          <w:kern w:val="0"/>
          <w:sz w:val="24"/>
          <w:u w:val="single"/>
        </w:rPr>
        <w:t xml:space="preserve">                        </w:t>
      </w:r>
      <w:r>
        <w:rPr>
          <w:rFonts w:hint="eastAsia" w:ascii="宋体" w:hAnsi="宋体" w:eastAsia="宋体" w:cs="宋体"/>
          <w:kern w:val="0"/>
          <w:sz w:val="24"/>
        </w:rPr>
        <w:t xml:space="preserve">  职    务：</w:t>
      </w:r>
      <w:r>
        <w:rPr>
          <w:rFonts w:hint="eastAsia" w:ascii="宋体" w:hAnsi="宋体" w:eastAsia="宋体" w:cs="宋体"/>
          <w:kern w:val="0"/>
          <w:sz w:val="24"/>
          <w:u w:val="single"/>
        </w:rPr>
        <w:t xml:space="preserve">            </w:t>
      </w:r>
    </w:p>
    <w:p w14:paraId="3D0874C8">
      <w:pPr>
        <w:widowControl/>
        <w:spacing w:line="440" w:lineRule="exact"/>
        <w:ind w:firstLine="1077"/>
        <w:rPr>
          <w:rFonts w:hint="eastAsia" w:ascii="宋体" w:hAnsi="宋体" w:eastAsia="宋体" w:cs="宋体"/>
          <w:kern w:val="0"/>
          <w:sz w:val="24"/>
        </w:rPr>
      </w:pPr>
      <w:r>
        <w:rPr>
          <w:rFonts w:hint="eastAsia" w:ascii="宋体" w:hAnsi="宋体" w:eastAsia="宋体" w:cs="宋体"/>
          <w:kern w:val="0"/>
          <w:sz w:val="24"/>
        </w:rPr>
        <w:t xml:space="preserve">系  </w:t>
      </w:r>
      <w:r>
        <w:rPr>
          <w:rFonts w:hint="eastAsia" w:ascii="宋体" w:hAnsi="宋体" w:eastAsia="宋体" w:cs="宋体"/>
          <w:kern w:val="0"/>
          <w:sz w:val="24"/>
          <w:u w:val="single"/>
        </w:rPr>
        <w:t xml:space="preserve">                           （投标人名称）</w:t>
      </w:r>
      <w:r>
        <w:rPr>
          <w:rFonts w:hint="eastAsia" w:ascii="宋体" w:hAnsi="宋体" w:eastAsia="宋体" w:cs="宋体"/>
          <w:kern w:val="0"/>
          <w:sz w:val="24"/>
        </w:rPr>
        <w:t>的法定代表人。</w:t>
      </w:r>
    </w:p>
    <w:p w14:paraId="175B0FA5">
      <w:pPr>
        <w:widowControl/>
        <w:spacing w:line="440" w:lineRule="exact"/>
        <w:ind w:firstLine="1077"/>
        <w:rPr>
          <w:rFonts w:hint="eastAsia" w:ascii="宋体" w:hAnsi="宋体" w:eastAsia="宋体" w:cs="宋体"/>
          <w:kern w:val="0"/>
          <w:sz w:val="24"/>
        </w:rPr>
      </w:pPr>
      <w:r>
        <w:rPr>
          <w:rFonts w:hint="eastAsia" w:ascii="宋体" w:hAnsi="宋体" w:eastAsia="宋体" w:cs="宋体"/>
          <w:kern w:val="0"/>
          <w:sz w:val="24"/>
        </w:rPr>
        <w:t>特此证明。</w:t>
      </w:r>
    </w:p>
    <w:p w14:paraId="1F057885">
      <w:pPr>
        <w:widowControl/>
        <w:spacing w:line="440" w:lineRule="exact"/>
        <w:ind w:firstLine="1077"/>
        <w:rPr>
          <w:rFonts w:hint="eastAsia" w:ascii="宋体" w:hAnsi="宋体" w:eastAsia="宋体" w:cs="宋体"/>
          <w:kern w:val="0"/>
          <w:sz w:val="24"/>
        </w:rPr>
      </w:pPr>
      <w:r>
        <w:rPr>
          <w:rFonts w:hint="eastAsia" w:ascii="宋体" w:hAnsi="宋体" w:eastAsia="宋体" w:cs="宋体"/>
          <w:kern w:val="0"/>
          <w:sz w:val="24"/>
        </w:rPr>
        <w:t xml:space="preserve"> </w:t>
      </w:r>
    </w:p>
    <w:p w14:paraId="1A4A4B62">
      <w:pPr>
        <w:widowControl/>
        <w:spacing w:line="440" w:lineRule="exact"/>
        <w:ind w:firstLine="1077"/>
        <w:rPr>
          <w:rFonts w:hint="eastAsia" w:ascii="宋体" w:hAnsi="宋体" w:eastAsia="宋体" w:cs="宋体"/>
          <w:kern w:val="0"/>
          <w:sz w:val="24"/>
        </w:rPr>
      </w:pPr>
      <w:r>
        <w:rPr>
          <w:rFonts w:hint="eastAsia" w:ascii="宋体" w:hAnsi="宋体" w:eastAsia="宋体" w:cs="宋体"/>
          <w:kern w:val="0"/>
          <w:sz w:val="24"/>
        </w:rPr>
        <w:t xml:space="preserve"> </w:t>
      </w:r>
    </w:p>
    <w:p w14:paraId="2364FE60">
      <w:pPr>
        <w:widowControl/>
        <w:spacing w:line="440" w:lineRule="exact"/>
        <w:ind w:firstLine="1077"/>
        <w:jc w:val="right"/>
        <w:rPr>
          <w:rFonts w:hint="eastAsia" w:ascii="宋体" w:hAnsi="宋体" w:eastAsia="宋体" w:cs="宋体"/>
          <w:kern w:val="0"/>
          <w:sz w:val="24"/>
        </w:rPr>
      </w:pPr>
      <w:r>
        <w:rPr>
          <w:rFonts w:hint="eastAsia" w:ascii="宋体" w:hAnsi="宋体" w:eastAsia="宋体" w:cs="宋体"/>
          <w:color w:val="auto"/>
          <w:sz w:val="24"/>
          <w:highlight w:val="none"/>
        </w:rPr>
        <w:t>供应商</w:t>
      </w:r>
      <w:r>
        <w:rPr>
          <w:rFonts w:hint="eastAsia" w:ascii="宋体" w:hAnsi="宋体" w:cs="宋体"/>
          <w:color w:val="auto"/>
          <w:sz w:val="24"/>
          <w:highlight w:val="none"/>
          <w:lang w:val="en-US" w:eastAsia="zh-CN"/>
        </w:rPr>
        <w:t>全</w:t>
      </w:r>
      <w:r>
        <w:rPr>
          <w:rFonts w:hint="eastAsia" w:ascii="宋体" w:hAnsi="宋体" w:eastAsia="宋体" w:cs="宋体"/>
          <w:color w:val="auto"/>
          <w:sz w:val="24"/>
          <w:highlight w:val="none"/>
        </w:rPr>
        <w:t>称</w:t>
      </w:r>
      <w:r>
        <w:rPr>
          <w:rFonts w:hint="eastAsia" w:ascii="宋体" w:hAnsi="宋体" w:eastAsia="宋体" w:cs="宋体"/>
          <w:kern w:val="0"/>
          <w:sz w:val="24"/>
        </w:rPr>
        <w:t>：</w:t>
      </w:r>
      <w:r>
        <w:rPr>
          <w:rFonts w:hint="eastAsia" w:ascii="宋体" w:hAnsi="宋体" w:eastAsia="宋体" w:cs="宋体"/>
          <w:kern w:val="0"/>
          <w:sz w:val="24"/>
          <w:u w:val="single"/>
        </w:rPr>
        <w:t xml:space="preserve">                      </w:t>
      </w:r>
      <w:r>
        <w:rPr>
          <w:rFonts w:hint="eastAsia" w:ascii="宋体" w:hAnsi="宋体" w:eastAsia="宋体" w:cs="宋体"/>
          <w:kern w:val="0"/>
          <w:sz w:val="24"/>
        </w:rPr>
        <w:t>（盖单位章）</w:t>
      </w:r>
    </w:p>
    <w:p w14:paraId="1E817E7F">
      <w:pPr>
        <w:widowControl/>
        <w:spacing w:line="440" w:lineRule="exact"/>
        <w:ind w:firstLine="1077"/>
        <w:jc w:val="right"/>
        <w:rPr>
          <w:rFonts w:hint="eastAsia" w:ascii="宋体" w:hAnsi="宋体" w:eastAsia="宋体" w:cs="宋体"/>
          <w:kern w:val="0"/>
          <w:sz w:val="24"/>
        </w:rPr>
      </w:pPr>
    </w:p>
    <w:p w14:paraId="36CCAACE">
      <w:pPr>
        <w:widowControl/>
        <w:spacing w:line="440" w:lineRule="exact"/>
        <w:ind w:firstLine="1077"/>
        <w:jc w:val="right"/>
        <w:rPr>
          <w:rFonts w:hint="eastAsia" w:ascii="宋体" w:hAnsi="宋体" w:eastAsia="宋体" w:cs="宋体"/>
          <w:kern w:val="0"/>
          <w:sz w:val="24"/>
        </w:rPr>
      </w:pPr>
      <w:r>
        <w:rPr>
          <w:rFonts w:hint="eastAsia" w:ascii="宋体" w:hAnsi="宋体" w:eastAsia="宋体" w:cs="宋体"/>
          <w:kern w:val="0"/>
          <w:sz w:val="24"/>
        </w:rPr>
        <w:t xml:space="preserve">          年      月     日 </w:t>
      </w:r>
    </w:p>
    <w:p w14:paraId="5A5DB0CB">
      <w:pPr>
        <w:widowControl/>
        <w:spacing w:line="420" w:lineRule="atLeast"/>
        <w:jc w:val="center"/>
        <w:rPr>
          <w:rFonts w:hint="eastAsia" w:ascii="宋体" w:hAnsi="宋体" w:cs="宋体"/>
          <w:kern w:val="0"/>
          <w:szCs w:val="21"/>
        </w:rPr>
      </w:pPr>
    </w:p>
    <w:p w14:paraId="1C3A5BAA">
      <w:pPr>
        <w:widowControl/>
        <w:spacing w:line="420" w:lineRule="atLeast"/>
        <w:rPr>
          <w:rFonts w:hint="eastAsia" w:ascii="宋体" w:hAnsi="宋体" w:cs="宋体"/>
          <w:b/>
          <w:kern w:val="0"/>
          <w:szCs w:val="21"/>
        </w:rPr>
      </w:pPr>
      <w:r>
        <w:rPr>
          <w:rFonts w:hint="eastAsia" w:ascii="宋体" w:hAnsi="宋体" w:cs="宋体"/>
          <w:b/>
          <w:kern w:val="0"/>
          <w:szCs w:val="21"/>
        </w:rPr>
        <w:t xml:space="preserve">后附法定代表人身份证复印件： </w:t>
      </w:r>
    </w:p>
    <w:p w14:paraId="507F64CB">
      <w:pPr>
        <w:widowControl/>
        <w:spacing w:line="420" w:lineRule="atLeast"/>
        <w:jc w:val="center"/>
        <w:rPr>
          <w:rFonts w:hint="eastAsia" w:ascii="宋体" w:hAnsi="宋体" w:cs="宋体"/>
          <w:kern w:val="0"/>
          <w:szCs w:val="21"/>
        </w:rPr>
      </w:pPr>
      <w:r>
        <w:rPr>
          <w:rFonts w:hint="eastAsia" w:ascii="宋体" w:hAnsi="宋体" w:cs="宋体"/>
          <w:kern w:val="0"/>
          <w:szCs w:val="21"/>
        </w:rPr>
        <w:t xml:space="preserve"> </w:t>
      </w:r>
    </w:p>
    <w:p w14:paraId="7AAC9A00">
      <w:pPr>
        <w:widowControl/>
        <w:spacing w:line="420" w:lineRule="atLeast"/>
        <w:jc w:val="center"/>
        <w:rPr>
          <w:rFonts w:hint="eastAsia" w:ascii="宋体" w:hAnsi="宋体" w:cs="宋体"/>
          <w:kern w:val="0"/>
          <w:sz w:val="24"/>
        </w:rPr>
      </w:pPr>
      <w:r>
        <w:rPr>
          <w:rFonts w:hint="eastAsia" w:ascii="宋体" w:hAnsi="宋体" w:cs="宋体"/>
          <w:kern w:val="0"/>
          <w:sz w:val="24"/>
        </w:rPr>
        <w:t xml:space="preserve"> </w:t>
      </w:r>
    </w:p>
    <w:p w14:paraId="5D046719">
      <w:pPr>
        <w:widowControl/>
        <w:spacing w:line="420" w:lineRule="atLeast"/>
        <w:jc w:val="center"/>
        <w:rPr>
          <w:rFonts w:hint="eastAsia" w:ascii="宋体" w:hAnsi="宋体" w:cs="宋体"/>
          <w:kern w:val="0"/>
          <w:sz w:val="24"/>
        </w:rPr>
      </w:pPr>
      <w:r>
        <w:rPr>
          <w:rFonts w:hint="eastAsia" w:ascii="宋体" w:hAnsi="宋体" w:cs="宋体"/>
          <w:kern w:val="0"/>
          <w:sz w:val="24"/>
        </w:rPr>
        <w:t xml:space="preserve"> </w:t>
      </w:r>
    </w:p>
    <w:p w14:paraId="7EC408F9">
      <w:pPr>
        <w:widowControl/>
        <w:spacing w:line="420" w:lineRule="atLeast"/>
        <w:jc w:val="center"/>
        <w:rPr>
          <w:rFonts w:hint="eastAsia" w:ascii="宋体" w:hAnsi="宋体" w:cs="宋体"/>
          <w:kern w:val="0"/>
          <w:sz w:val="24"/>
        </w:rPr>
      </w:pPr>
      <w:r>
        <w:rPr>
          <w:rFonts w:hint="eastAsia" w:ascii="宋体" w:hAnsi="宋体" w:cs="宋体"/>
          <w:kern w:val="0"/>
          <w:sz w:val="24"/>
        </w:rPr>
        <w:t xml:space="preserve"> </w:t>
      </w:r>
    </w:p>
    <w:p w14:paraId="21C34468">
      <w:pPr>
        <w:widowControl/>
        <w:spacing w:line="420" w:lineRule="atLeast"/>
        <w:jc w:val="center"/>
        <w:rPr>
          <w:rFonts w:hint="eastAsia" w:ascii="宋体" w:hAnsi="宋体" w:cs="宋体"/>
          <w:kern w:val="0"/>
          <w:sz w:val="24"/>
        </w:rPr>
      </w:pPr>
      <w:r>
        <w:rPr>
          <w:rFonts w:hint="eastAsia" w:ascii="宋体" w:hAnsi="宋体" w:cs="宋体"/>
          <w:kern w:val="0"/>
          <w:sz w:val="24"/>
        </w:rPr>
        <w:t xml:space="preserve"> </w:t>
      </w:r>
    </w:p>
    <w:p w14:paraId="0EEF47C3">
      <w:pPr>
        <w:widowControl/>
        <w:spacing w:line="420" w:lineRule="atLeast"/>
        <w:jc w:val="center"/>
        <w:rPr>
          <w:rFonts w:hint="eastAsia" w:ascii="宋体" w:hAnsi="宋体" w:cs="宋体"/>
          <w:kern w:val="0"/>
          <w:sz w:val="24"/>
        </w:rPr>
      </w:pPr>
      <w:r>
        <w:rPr>
          <w:rFonts w:hint="eastAsia" w:ascii="宋体" w:hAnsi="宋体" w:cs="宋体"/>
          <w:kern w:val="0"/>
          <w:sz w:val="24"/>
        </w:rPr>
        <w:t xml:space="preserve"> </w:t>
      </w:r>
    </w:p>
    <w:p w14:paraId="6EFB7564">
      <w:pPr>
        <w:widowControl/>
        <w:spacing w:line="420" w:lineRule="atLeast"/>
        <w:jc w:val="center"/>
        <w:rPr>
          <w:rFonts w:hint="eastAsia" w:ascii="宋体" w:hAnsi="宋体" w:cs="宋体"/>
          <w:kern w:val="0"/>
          <w:sz w:val="24"/>
        </w:rPr>
      </w:pPr>
      <w:r>
        <w:rPr>
          <w:rFonts w:hint="eastAsia" w:ascii="宋体" w:hAnsi="宋体" w:cs="宋体"/>
          <w:kern w:val="0"/>
          <w:sz w:val="24"/>
        </w:rPr>
        <w:t xml:space="preserve"> </w:t>
      </w:r>
    </w:p>
    <w:p w14:paraId="44E9CACE">
      <w:pPr>
        <w:widowControl/>
        <w:spacing w:line="420" w:lineRule="atLeast"/>
        <w:jc w:val="center"/>
        <w:rPr>
          <w:rFonts w:hint="eastAsia" w:ascii="宋体" w:hAnsi="宋体" w:cs="宋体"/>
          <w:kern w:val="0"/>
          <w:sz w:val="24"/>
        </w:rPr>
      </w:pPr>
    </w:p>
    <w:p w14:paraId="59BB49DE">
      <w:pPr>
        <w:widowControl/>
        <w:spacing w:line="420" w:lineRule="atLeast"/>
        <w:jc w:val="center"/>
        <w:rPr>
          <w:rFonts w:hint="eastAsia" w:ascii="宋体" w:hAnsi="宋体" w:cs="宋体"/>
          <w:kern w:val="0"/>
          <w:sz w:val="24"/>
        </w:rPr>
      </w:pPr>
      <w:r>
        <w:rPr>
          <w:rFonts w:hint="eastAsia" w:ascii="宋体" w:hAnsi="宋体" w:cs="宋体"/>
          <w:kern w:val="0"/>
          <w:sz w:val="24"/>
        </w:rPr>
        <w:t xml:space="preserve"> </w:t>
      </w:r>
    </w:p>
    <w:p w14:paraId="6819F698">
      <w:pPr>
        <w:widowControl/>
        <w:spacing w:line="420" w:lineRule="atLeast"/>
        <w:jc w:val="center"/>
        <w:rPr>
          <w:rFonts w:hint="eastAsia" w:ascii="宋体" w:hAnsi="宋体" w:cs="宋体"/>
          <w:kern w:val="0"/>
          <w:sz w:val="24"/>
        </w:rPr>
      </w:pPr>
      <w:r>
        <w:rPr>
          <w:rFonts w:hint="eastAsia" w:ascii="宋体" w:hAnsi="宋体" w:cs="宋体"/>
          <w:kern w:val="0"/>
          <w:sz w:val="24"/>
        </w:rPr>
        <w:t xml:space="preserve"> </w:t>
      </w:r>
    </w:p>
    <w:p w14:paraId="20F82F27">
      <w:pPr>
        <w:widowControl/>
        <w:spacing w:line="420" w:lineRule="atLeast"/>
        <w:jc w:val="center"/>
        <w:rPr>
          <w:rFonts w:hint="eastAsia" w:ascii="宋体" w:hAnsi="宋体" w:cs="宋体"/>
          <w:b/>
          <w:bCs/>
          <w:kern w:val="0"/>
          <w:sz w:val="30"/>
          <w:szCs w:val="30"/>
        </w:rPr>
      </w:pPr>
      <w:bookmarkStart w:id="169" w:name="_Toc340777669"/>
      <w:bookmarkEnd w:id="169"/>
      <w:r>
        <w:rPr>
          <w:rFonts w:hint="eastAsia" w:ascii="宋体" w:hAnsi="宋体" w:cs="宋体"/>
          <w:b/>
          <w:bCs/>
          <w:kern w:val="0"/>
          <w:sz w:val="30"/>
          <w:szCs w:val="30"/>
        </w:rPr>
        <w:t>法定代表人授权委托书</w:t>
      </w:r>
    </w:p>
    <w:p w14:paraId="005FBA14">
      <w:pPr>
        <w:widowControl/>
        <w:spacing w:line="420" w:lineRule="atLeast"/>
        <w:ind w:left="120"/>
        <w:jc w:val="left"/>
        <w:rPr>
          <w:rFonts w:hint="eastAsia" w:ascii="宋体" w:hAnsi="宋体" w:cs="宋体"/>
          <w:kern w:val="0"/>
          <w:sz w:val="24"/>
        </w:rPr>
      </w:pPr>
      <w:r>
        <w:rPr>
          <w:rFonts w:hint="eastAsia" w:ascii="宋体" w:hAnsi="宋体" w:cs="宋体"/>
          <w:kern w:val="0"/>
          <w:sz w:val="24"/>
        </w:rPr>
        <w:t xml:space="preserve"> </w:t>
      </w:r>
    </w:p>
    <w:p w14:paraId="5BB5EC26">
      <w:pPr>
        <w:widowControl/>
        <w:spacing w:line="440" w:lineRule="exact"/>
        <w:ind w:firstLine="1077"/>
        <w:rPr>
          <w:rFonts w:hint="eastAsia" w:ascii="宋体" w:hAnsi="宋体" w:eastAsia="宋体" w:cs="宋体"/>
          <w:kern w:val="0"/>
          <w:sz w:val="24"/>
        </w:rPr>
      </w:pPr>
      <w:r>
        <w:rPr>
          <w:rFonts w:hint="eastAsia" w:ascii="宋体" w:hAnsi="宋体" w:eastAsia="宋体" w:cs="宋体"/>
          <w:kern w:val="0"/>
          <w:sz w:val="24"/>
        </w:rPr>
        <w:t>本授权书声明：我</w:t>
      </w:r>
      <w:r>
        <w:rPr>
          <w:rFonts w:hint="eastAsia" w:ascii="宋体" w:hAnsi="宋体" w:eastAsia="宋体" w:cs="宋体"/>
          <w:kern w:val="0"/>
          <w:sz w:val="24"/>
          <w:u w:val="single"/>
        </w:rPr>
        <w:t xml:space="preserve">            </w:t>
      </w:r>
      <w:r>
        <w:rPr>
          <w:rFonts w:hint="eastAsia" w:ascii="宋体" w:hAnsi="宋体" w:eastAsia="宋体" w:cs="宋体"/>
          <w:kern w:val="0"/>
          <w:sz w:val="24"/>
          <w:u w:val="none"/>
        </w:rPr>
        <w:t xml:space="preserve"> （法人代表姓名、职务）</w:t>
      </w:r>
      <w:r>
        <w:rPr>
          <w:rFonts w:hint="eastAsia" w:ascii="宋体" w:hAnsi="宋体" w:eastAsia="宋体" w:cs="宋体"/>
          <w:kern w:val="0"/>
          <w:sz w:val="24"/>
        </w:rPr>
        <w:t>是</w:t>
      </w:r>
      <w:r>
        <w:rPr>
          <w:rFonts w:hint="eastAsia" w:ascii="宋体" w:hAnsi="宋体" w:eastAsia="宋体" w:cs="宋体"/>
          <w:kern w:val="0"/>
          <w:sz w:val="24"/>
          <w:u w:val="single"/>
        </w:rPr>
        <w:t xml:space="preserve">   </w:t>
      </w:r>
      <w:r>
        <w:rPr>
          <w:rFonts w:hint="eastAsia" w:ascii="宋体" w:hAnsi="宋体" w:eastAsia="宋体" w:cs="宋体"/>
          <w:kern w:val="0"/>
          <w:sz w:val="24"/>
        </w:rPr>
        <w:t xml:space="preserve">                             </w:t>
      </w:r>
      <w:r>
        <w:rPr>
          <w:rFonts w:hint="eastAsia" w:ascii="宋体" w:hAnsi="宋体" w:eastAsia="宋体" w:cs="宋体"/>
          <w:kern w:val="0"/>
          <w:sz w:val="24"/>
          <w:u w:val="single"/>
        </w:rPr>
        <w:t>（单位名称）</w:t>
      </w:r>
      <w:r>
        <w:rPr>
          <w:rFonts w:hint="eastAsia" w:ascii="宋体" w:hAnsi="宋体" w:eastAsia="宋体" w:cs="宋体"/>
          <w:kern w:val="0"/>
          <w:sz w:val="24"/>
        </w:rPr>
        <w:t xml:space="preserve">的法人代表，现代表本单位授权 </w:t>
      </w:r>
      <w:r>
        <w:rPr>
          <w:rFonts w:hint="eastAsia" w:ascii="宋体" w:hAnsi="宋体" w:eastAsia="宋体" w:cs="宋体"/>
          <w:kern w:val="0"/>
          <w:sz w:val="24"/>
          <w:u w:val="single"/>
        </w:rPr>
        <w:t xml:space="preserve">                  （被授权人的姓名、职务）</w:t>
      </w:r>
      <w:r>
        <w:rPr>
          <w:rFonts w:hint="eastAsia" w:ascii="宋体" w:hAnsi="宋体" w:eastAsia="宋体" w:cs="宋体"/>
          <w:kern w:val="0"/>
          <w:sz w:val="24"/>
        </w:rPr>
        <w:t xml:space="preserve">为本单位的合法代理人，就参加 </w:t>
      </w:r>
      <w:r>
        <w:rPr>
          <w:rFonts w:hint="eastAsia" w:ascii="宋体" w:hAnsi="宋体" w:eastAsia="宋体" w:cs="宋体"/>
          <w:kern w:val="0"/>
          <w:sz w:val="24"/>
          <w:u w:val="single"/>
          <w:lang w:eastAsia="zh-CN"/>
        </w:rPr>
        <w:t>常山县2025年度产品质量监督抽查服务采购项目</w:t>
      </w:r>
      <w:r>
        <w:rPr>
          <w:rFonts w:hint="eastAsia" w:ascii="宋体" w:hAnsi="宋体" w:eastAsia="宋体" w:cs="宋体"/>
          <w:kern w:val="0"/>
          <w:sz w:val="24"/>
          <w:u w:val="single"/>
        </w:rPr>
        <w:t>（编号：</w:t>
      </w:r>
      <w:r>
        <w:rPr>
          <w:rFonts w:hint="eastAsia" w:ascii="宋体" w:hAnsi="宋体" w:eastAsia="宋体" w:cs="宋体"/>
          <w:kern w:val="0"/>
          <w:sz w:val="24"/>
          <w:u w:val="single"/>
          <w:lang w:eastAsia="zh-CN"/>
        </w:rPr>
        <w:t>ZJCD-GK-2025003</w:t>
      </w:r>
      <w:r>
        <w:rPr>
          <w:rFonts w:hint="eastAsia" w:ascii="宋体" w:hAnsi="宋体" w:eastAsia="宋体" w:cs="宋体"/>
          <w:kern w:val="0"/>
          <w:sz w:val="24"/>
          <w:u w:val="single"/>
        </w:rPr>
        <w:t>）</w:t>
      </w:r>
      <w:r>
        <w:rPr>
          <w:rFonts w:hint="eastAsia" w:ascii="宋体" w:hAnsi="宋体" w:eastAsia="宋体" w:cs="宋体"/>
          <w:kern w:val="0"/>
          <w:sz w:val="24"/>
        </w:rPr>
        <w:t>公开招标的投标、签订合同以及合同的执行、完成和服务，及以本单位名义处理一切与之有关的事务。</w:t>
      </w:r>
    </w:p>
    <w:p w14:paraId="04B39433">
      <w:pPr>
        <w:widowControl/>
        <w:spacing w:line="440" w:lineRule="exact"/>
        <w:ind w:firstLine="1077"/>
        <w:rPr>
          <w:rFonts w:hint="eastAsia" w:ascii="宋体" w:hAnsi="宋体" w:eastAsia="宋体" w:cs="宋体"/>
          <w:kern w:val="0"/>
          <w:sz w:val="24"/>
        </w:rPr>
      </w:pPr>
      <w:r>
        <w:rPr>
          <w:rFonts w:hint="eastAsia" w:ascii="宋体" w:hAnsi="宋体" w:eastAsia="宋体" w:cs="宋体"/>
          <w:kern w:val="0"/>
          <w:sz w:val="24"/>
        </w:rPr>
        <w:t xml:space="preserve"> 本授权书于</w:t>
      </w:r>
      <w:r>
        <w:rPr>
          <w:rFonts w:hint="eastAsia" w:ascii="宋体" w:hAnsi="宋体" w:eastAsia="宋体" w:cs="宋体"/>
          <w:kern w:val="0"/>
          <w:sz w:val="24"/>
          <w:u w:val="single"/>
        </w:rPr>
        <w:t xml:space="preserve">     年      月      日</w:t>
      </w:r>
      <w:r>
        <w:rPr>
          <w:rFonts w:hint="eastAsia" w:ascii="宋体" w:hAnsi="宋体" w:eastAsia="宋体" w:cs="宋体"/>
          <w:kern w:val="0"/>
          <w:sz w:val="24"/>
        </w:rPr>
        <w:t>签字生效，特此声明。</w:t>
      </w:r>
    </w:p>
    <w:p w14:paraId="66581908">
      <w:pPr>
        <w:widowControl/>
        <w:spacing w:line="440" w:lineRule="exact"/>
        <w:ind w:firstLine="1077"/>
        <w:rPr>
          <w:rFonts w:hint="eastAsia" w:ascii="宋体" w:hAnsi="宋体" w:eastAsia="宋体" w:cs="宋体"/>
          <w:kern w:val="0"/>
          <w:sz w:val="24"/>
        </w:rPr>
      </w:pPr>
    </w:p>
    <w:p w14:paraId="5BE3176F">
      <w:pPr>
        <w:widowControl/>
        <w:spacing w:line="440" w:lineRule="exact"/>
        <w:ind w:firstLine="1077"/>
        <w:rPr>
          <w:rFonts w:hint="eastAsia" w:ascii="宋体" w:hAnsi="宋体" w:eastAsia="宋体" w:cs="宋体"/>
          <w:kern w:val="0"/>
          <w:sz w:val="24"/>
        </w:rPr>
      </w:pPr>
    </w:p>
    <w:p w14:paraId="6D91B054">
      <w:pPr>
        <w:widowControl/>
        <w:spacing w:line="440" w:lineRule="exact"/>
        <w:ind w:firstLine="1077"/>
        <w:rPr>
          <w:rFonts w:hint="eastAsia" w:ascii="宋体" w:hAnsi="宋体" w:eastAsia="宋体" w:cs="宋体"/>
          <w:kern w:val="0"/>
          <w:sz w:val="24"/>
        </w:rPr>
      </w:pPr>
    </w:p>
    <w:p w14:paraId="6915E361">
      <w:pPr>
        <w:widowControl/>
        <w:spacing w:line="440" w:lineRule="exact"/>
        <w:ind w:firstLine="1077"/>
        <w:rPr>
          <w:rFonts w:hint="eastAsia" w:ascii="宋体" w:hAnsi="宋体" w:eastAsia="宋体" w:cs="宋体"/>
          <w:kern w:val="0"/>
          <w:sz w:val="24"/>
        </w:rPr>
      </w:pPr>
    </w:p>
    <w:p w14:paraId="4A6ADFE2">
      <w:pPr>
        <w:widowControl/>
        <w:spacing w:line="440" w:lineRule="exact"/>
        <w:ind w:firstLine="1077"/>
        <w:rPr>
          <w:rFonts w:hint="eastAsia" w:ascii="宋体" w:hAnsi="宋体" w:eastAsia="宋体" w:cs="宋体"/>
          <w:kern w:val="0"/>
          <w:sz w:val="24"/>
        </w:rPr>
      </w:pPr>
    </w:p>
    <w:p w14:paraId="4A013577">
      <w:pPr>
        <w:widowControl/>
        <w:spacing w:line="440" w:lineRule="exact"/>
        <w:ind w:firstLine="5544" w:firstLineChars="2310"/>
        <w:rPr>
          <w:rFonts w:hint="eastAsia" w:ascii="宋体" w:hAnsi="宋体" w:eastAsia="宋体" w:cs="宋体"/>
          <w:kern w:val="0"/>
          <w:sz w:val="24"/>
          <w:u w:val="single"/>
        </w:rPr>
      </w:pPr>
      <w:r>
        <w:rPr>
          <w:rFonts w:hint="eastAsia" w:ascii="宋体" w:hAnsi="宋体" w:eastAsia="宋体" w:cs="宋体"/>
          <w:kern w:val="0"/>
          <w:sz w:val="24"/>
        </w:rPr>
        <w:t xml:space="preserve">法人代表（签字） </w:t>
      </w:r>
      <w:r>
        <w:rPr>
          <w:rFonts w:hint="eastAsia" w:ascii="宋体" w:hAnsi="宋体" w:eastAsia="宋体" w:cs="宋体"/>
          <w:kern w:val="0"/>
          <w:sz w:val="24"/>
          <w:u w:val="single"/>
        </w:rPr>
        <w:t xml:space="preserve">                      </w:t>
      </w:r>
    </w:p>
    <w:p w14:paraId="6D181AED">
      <w:pPr>
        <w:widowControl/>
        <w:spacing w:line="440" w:lineRule="exact"/>
        <w:ind w:firstLine="5544" w:firstLineChars="2310"/>
        <w:rPr>
          <w:rFonts w:hint="eastAsia" w:ascii="宋体" w:hAnsi="宋体" w:eastAsia="宋体" w:cs="宋体"/>
          <w:kern w:val="0"/>
          <w:sz w:val="24"/>
        </w:rPr>
      </w:pPr>
      <w:r>
        <w:rPr>
          <w:rFonts w:hint="eastAsia" w:ascii="宋体" w:hAnsi="宋体" w:eastAsia="宋体" w:cs="宋体"/>
          <w:kern w:val="0"/>
          <w:sz w:val="24"/>
        </w:rPr>
        <w:t>授权委托人（签字）</w:t>
      </w:r>
      <w:r>
        <w:rPr>
          <w:rFonts w:hint="eastAsia" w:ascii="宋体" w:hAnsi="宋体" w:eastAsia="宋体" w:cs="宋体"/>
          <w:kern w:val="0"/>
          <w:sz w:val="24"/>
          <w:u w:val="single"/>
        </w:rPr>
        <w:t xml:space="preserve">                   </w:t>
      </w:r>
      <w:r>
        <w:rPr>
          <w:rFonts w:hint="eastAsia" w:ascii="宋体" w:hAnsi="宋体" w:eastAsia="宋体" w:cs="宋体"/>
          <w:kern w:val="0"/>
          <w:sz w:val="24"/>
        </w:rPr>
        <w:t xml:space="preserve">     </w:t>
      </w:r>
    </w:p>
    <w:p w14:paraId="554642AE">
      <w:pPr>
        <w:widowControl/>
        <w:spacing w:line="440" w:lineRule="exact"/>
        <w:ind w:firstLine="5544" w:firstLineChars="2310"/>
        <w:rPr>
          <w:rFonts w:hint="eastAsia" w:ascii="宋体" w:hAnsi="宋体" w:eastAsia="宋体" w:cs="宋体"/>
          <w:kern w:val="0"/>
          <w:sz w:val="24"/>
        </w:rPr>
      </w:pPr>
      <w:r>
        <w:rPr>
          <w:rFonts w:hint="eastAsia" w:ascii="宋体" w:hAnsi="宋体" w:eastAsia="宋体" w:cs="宋体"/>
          <w:color w:val="auto"/>
          <w:sz w:val="24"/>
          <w:highlight w:val="none"/>
        </w:rPr>
        <w:t>供应商</w:t>
      </w:r>
      <w:r>
        <w:rPr>
          <w:rFonts w:hint="eastAsia" w:ascii="宋体" w:hAnsi="宋体" w:eastAsia="宋体" w:cs="宋体"/>
          <w:kern w:val="0"/>
          <w:sz w:val="24"/>
        </w:rPr>
        <w:t>名称（公章）</w:t>
      </w:r>
      <w:r>
        <w:rPr>
          <w:rFonts w:hint="eastAsia" w:ascii="宋体" w:hAnsi="宋体" w:eastAsia="宋体" w:cs="宋体"/>
          <w:kern w:val="0"/>
          <w:sz w:val="24"/>
          <w:u w:val="single"/>
        </w:rPr>
        <w:t xml:space="preserve">                    </w:t>
      </w:r>
      <w:r>
        <w:rPr>
          <w:rFonts w:hint="eastAsia" w:ascii="宋体" w:hAnsi="宋体" w:eastAsia="宋体" w:cs="宋体"/>
          <w:kern w:val="0"/>
          <w:sz w:val="24"/>
        </w:rPr>
        <w:t xml:space="preserve">          </w:t>
      </w:r>
    </w:p>
    <w:p w14:paraId="71C37C02">
      <w:pPr>
        <w:widowControl/>
        <w:spacing w:line="440" w:lineRule="exact"/>
        <w:ind w:firstLine="1077"/>
        <w:jc w:val="right"/>
        <w:rPr>
          <w:rFonts w:hint="eastAsia" w:ascii="宋体" w:hAnsi="宋体" w:eastAsia="宋体" w:cs="宋体"/>
          <w:kern w:val="0"/>
          <w:sz w:val="24"/>
        </w:rPr>
      </w:pPr>
      <w:r>
        <w:rPr>
          <w:rFonts w:hint="eastAsia" w:ascii="宋体" w:hAnsi="宋体" w:eastAsia="宋体" w:cs="宋体"/>
          <w:kern w:val="0"/>
          <w:sz w:val="24"/>
        </w:rPr>
        <w:t xml:space="preserve">      年      月     日 </w:t>
      </w:r>
    </w:p>
    <w:p w14:paraId="122F8F07">
      <w:pPr>
        <w:widowControl/>
        <w:spacing w:line="360" w:lineRule="auto"/>
        <w:rPr>
          <w:rFonts w:hint="eastAsia" w:ascii="宋体" w:hAnsi="宋体" w:cs="宋体"/>
          <w:kern w:val="0"/>
          <w:sz w:val="22"/>
          <w:szCs w:val="22"/>
        </w:rPr>
      </w:pPr>
    </w:p>
    <w:p w14:paraId="5E2A43F5">
      <w:pPr>
        <w:widowControl/>
        <w:spacing w:line="360" w:lineRule="auto"/>
        <w:rPr>
          <w:rFonts w:hint="eastAsia" w:ascii="宋体" w:hAnsi="宋体" w:cs="宋体"/>
          <w:b/>
          <w:kern w:val="0"/>
          <w:szCs w:val="21"/>
        </w:rPr>
      </w:pPr>
      <w:r>
        <w:rPr>
          <w:rFonts w:hint="eastAsia" w:ascii="宋体" w:hAnsi="宋体" w:cs="宋体"/>
          <w:b/>
          <w:kern w:val="0"/>
          <w:szCs w:val="21"/>
        </w:rPr>
        <w:t>后附委托代理人身份证复印件：</w:t>
      </w:r>
    </w:p>
    <w:p w14:paraId="27633158">
      <w:pPr>
        <w:widowControl/>
        <w:spacing w:line="360" w:lineRule="auto"/>
        <w:rPr>
          <w:rFonts w:hint="eastAsia" w:ascii="宋体" w:hAnsi="宋体" w:cs="宋体"/>
          <w:kern w:val="0"/>
          <w:szCs w:val="21"/>
        </w:rPr>
      </w:pPr>
    </w:p>
    <w:p w14:paraId="3051E93D">
      <w:pPr>
        <w:widowControl/>
        <w:spacing w:line="360" w:lineRule="auto"/>
        <w:rPr>
          <w:rFonts w:hint="eastAsia" w:ascii="宋体" w:hAnsi="宋体" w:cs="宋体"/>
          <w:kern w:val="0"/>
          <w:szCs w:val="21"/>
        </w:rPr>
      </w:pPr>
    </w:p>
    <w:p w14:paraId="66CB9A45">
      <w:pPr>
        <w:pStyle w:val="7"/>
        <w:ind w:left="840" w:hanging="420"/>
        <w:rPr>
          <w:rFonts w:hint="eastAsia" w:ascii="宋体" w:hAnsi="宋体"/>
          <w:kern w:val="0"/>
        </w:rPr>
      </w:pPr>
    </w:p>
    <w:p w14:paraId="15A308D5">
      <w:pPr>
        <w:pStyle w:val="7"/>
        <w:ind w:left="840" w:hanging="420"/>
        <w:rPr>
          <w:rFonts w:hint="eastAsia" w:ascii="宋体" w:hAnsi="宋体"/>
          <w:kern w:val="0"/>
        </w:rPr>
      </w:pPr>
    </w:p>
    <w:p w14:paraId="218432C5">
      <w:pPr>
        <w:pStyle w:val="7"/>
        <w:ind w:left="840" w:hanging="420"/>
        <w:rPr>
          <w:rFonts w:hint="eastAsia" w:ascii="宋体" w:hAnsi="宋体"/>
          <w:kern w:val="0"/>
        </w:rPr>
      </w:pPr>
    </w:p>
    <w:p w14:paraId="3971D336">
      <w:pPr>
        <w:pStyle w:val="7"/>
        <w:ind w:left="840" w:hanging="420"/>
        <w:rPr>
          <w:rFonts w:hint="eastAsia" w:ascii="宋体" w:hAnsi="宋体"/>
          <w:kern w:val="0"/>
        </w:rPr>
      </w:pPr>
    </w:p>
    <w:p w14:paraId="4FBBEA04">
      <w:pPr>
        <w:pStyle w:val="7"/>
        <w:ind w:left="840" w:hanging="420"/>
        <w:rPr>
          <w:rFonts w:hint="eastAsia" w:ascii="宋体" w:hAnsi="宋体"/>
          <w:kern w:val="0"/>
        </w:rPr>
      </w:pPr>
    </w:p>
    <w:p w14:paraId="5C361066">
      <w:pPr>
        <w:pStyle w:val="7"/>
        <w:ind w:left="840" w:hanging="420"/>
        <w:rPr>
          <w:rFonts w:hint="eastAsia" w:ascii="宋体" w:hAnsi="宋体"/>
          <w:kern w:val="0"/>
        </w:rPr>
      </w:pPr>
    </w:p>
    <w:p w14:paraId="3F651794">
      <w:pPr>
        <w:pStyle w:val="7"/>
        <w:ind w:left="840" w:hanging="420"/>
        <w:rPr>
          <w:rFonts w:hint="eastAsia" w:ascii="宋体" w:hAnsi="宋体"/>
          <w:kern w:val="0"/>
        </w:rPr>
      </w:pPr>
    </w:p>
    <w:p w14:paraId="7F638A3F">
      <w:pPr>
        <w:spacing w:line="360" w:lineRule="auto"/>
        <w:rPr>
          <w:rFonts w:hint="eastAsia" w:ascii="宋体" w:hAnsi="宋体" w:cs="宋体"/>
          <w:b/>
          <w:bCs/>
          <w:sz w:val="22"/>
          <w:szCs w:val="22"/>
        </w:rPr>
      </w:pPr>
    </w:p>
    <w:p w14:paraId="01549865">
      <w:pPr>
        <w:pStyle w:val="3"/>
        <w:jc w:val="left"/>
        <w:rPr>
          <w:rFonts w:hint="eastAsia" w:ascii="宋体" w:hAnsi="宋体" w:eastAsia="宋体" w:cs="宋体"/>
          <w:lang w:val="en-US" w:eastAsia="zh-CN"/>
        </w:rPr>
      </w:pPr>
      <w:r>
        <w:rPr>
          <w:rFonts w:hint="eastAsia" w:ascii="宋体" w:hAnsi="宋体" w:cs="宋体"/>
          <w:b/>
          <w:bCs/>
          <w:sz w:val="22"/>
          <w:szCs w:val="22"/>
        </w:rPr>
        <w:t>附件</w:t>
      </w:r>
      <w:r>
        <w:rPr>
          <w:rFonts w:hint="eastAsia" w:ascii="宋体" w:hAnsi="宋体" w:cs="宋体"/>
          <w:b/>
          <w:bCs/>
          <w:sz w:val="22"/>
          <w:szCs w:val="22"/>
          <w:lang w:val="en-US" w:eastAsia="zh-CN"/>
        </w:rPr>
        <w:t>3</w:t>
      </w:r>
    </w:p>
    <w:p w14:paraId="7613B6B1">
      <w:pPr>
        <w:pStyle w:val="3"/>
        <w:jc w:val="center"/>
        <w:rPr>
          <w:rFonts w:hint="eastAsia" w:ascii="宋体" w:hAnsi="宋体" w:cs="宋体"/>
        </w:rPr>
      </w:pPr>
      <w:r>
        <w:rPr>
          <w:rFonts w:hint="eastAsia" w:ascii="宋体" w:hAnsi="宋体" w:cs="宋体"/>
        </w:rPr>
        <w:t>供应商自评表</w:t>
      </w:r>
    </w:p>
    <w:tbl>
      <w:tblPr>
        <w:tblStyle w:val="22"/>
        <w:tblW w:w="0" w:type="auto"/>
        <w:tblInd w:w="0" w:type="dxa"/>
        <w:tblLayout w:type="fixed"/>
        <w:tblCellMar>
          <w:top w:w="15" w:type="dxa"/>
          <w:left w:w="15" w:type="dxa"/>
          <w:bottom w:w="15" w:type="dxa"/>
          <w:right w:w="15" w:type="dxa"/>
        </w:tblCellMar>
      </w:tblPr>
      <w:tblGrid>
        <w:gridCol w:w="1276"/>
        <w:gridCol w:w="4057"/>
        <w:gridCol w:w="933"/>
        <w:gridCol w:w="1117"/>
        <w:gridCol w:w="1448"/>
        <w:gridCol w:w="1434"/>
      </w:tblGrid>
      <w:tr w14:paraId="48C6A0EB">
        <w:tblPrEx>
          <w:tblCellMar>
            <w:top w:w="15" w:type="dxa"/>
            <w:left w:w="15" w:type="dxa"/>
            <w:bottom w:w="15" w:type="dxa"/>
            <w:right w:w="15" w:type="dxa"/>
          </w:tblCellMar>
        </w:tblPrEx>
        <w:trPr>
          <w:trHeight w:val="440" w:hRule="atLeast"/>
        </w:trPr>
        <w:tc>
          <w:tcPr>
            <w:tcW w:w="1276" w:type="dxa"/>
            <w:tcBorders>
              <w:top w:val="single" w:color="auto" w:sz="4" w:space="0"/>
              <w:left w:val="single" w:color="auto" w:sz="4" w:space="0"/>
              <w:bottom w:val="single" w:color="auto" w:sz="4" w:space="0"/>
              <w:right w:val="single" w:color="auto" w:sz="4" w:space="0"/>
            </w:tcBorders>
            <w:noWrap w:val="0"/>
            <w:vAlign w:val="center"/>
          </w:tcPr>
          <w:p w14:paraId="2D378EA1">
            <w:pPr>
              <w:widowControl/>
              <w:spacing w:line="360" w:lineRule="auto"/>
              <w:jc w:val="center"/>
              <w:textAlignment w:val="center"/>
              <w:rPr>
                <w:rFonts w:hint="eastAsia" w:ascii="宋体" w:hAnsi="宋体" w:eastAsia="宋体" w:cs="宋体"/>
                <w:b/>
                <w:bCs/>
                <w:sz w:val="24"/>
                <w:szCs w:val="24"/>
              </w:rPr>
            </w:pPr>
            <w:r>
              <w:rPr>
                <w:rFonts w:hint="eastAsia" w:ascii="宋体" w:hAnsi="宋体" w:eastAsia="宋体" w:cs="宋体"/>
                <w:b/>
                <w:bCs/>
                <w:sz w:val="24"/>
                <w:szCs w:val="24"/>
              </w:rPr>
              <w:t>评审项目</w:t>
            </w:r>
          </w:p>
        </w:tc>
        <w:tc>
          <w:tcPr>
            <w:tcW w:w="4057" w:type="dxa"/>
            <w:tcBorders>
              <w:top w:val="single" w:color="auto" w:sz="4" w:space="0"/>
              <w:left w:val="single" w:color="auto" w:sz="4" w:space="0"/>
              <w:bottom w:val="single" w:color="auto" w:sz="4" w:space="0"/>
              <w:right w:val="single" w:color="auto" w:sz="4" w:space="0"/>
            </w:tcBorders>
            <w:noWrap w:val="0"/>
            <w:vAlign w:val="center"/>
          </w:tcPr>
          <w:p w14:paraId="064B3099">
            <w:pPr>
              <w:widowControl/>
              <w:spacing w:line="360" w:lineRule="auto"/>
              <w:jc w:val="center"/>
              <w:textAlignment w:val="center"/>
              <w:rPr>
                <w:rFonts w:hint="eastAsia" w:ascii="宋体" w:hAnsi="宋体" w:eastAsia="宋体" w:cs="宋体"/>
                <w:b/>
                <w:bCs/>
                <w:sz w:val="24"/>
                <w:szCs w:val="24"/>
              </w:rPr>
            </w:pPr>
            <w:r>
              <w:rPr>
                <w:rFonts w:hint="eastAsia" w:ascii="宋体" w:hAnsi="宋体" w:eastAsia="宋体" w:cs="宋体"/>
                <w:b/>
                <w:bCs/>
                <w:sz w:val="24"/>
                <w:szCs w:val="24"/>
              </w:rPr>
              <w:t>评分标准</w:t>
            </w:r>
          </w:p>
        </w:tc>
        <w:tc>
          <w:tcPr>
            <w:tcW w:w="933" w:type="dxa"/>
            <w:tcBorders>
              <w:top w:val="single" w:color="auto" w:sz="4" w:space="0"/>
              <w:left w:val="single" w:color="auto" w:sz="4" w:space="0"/>
              <w:bottom w:val="single" w:color="auto" w:sz="4" w:space="0"/>
              <w:right w:val="single" w:color="auto" w:sz="4" w:space="0"/>
            </w:tcBorders>
            <w:noWrap w:val="0"/>
            <w:vAlign w:val="center"/>
          </w:tcPr>
          <w:p w14:paraId="2D2E4408">
            <w:pPr>
              <w:widowControl/>
              <w:spacing w:line="360" w:lineRule="auto"/>
              <w:jc w:val="center"/>
              <w:textAlignment w:val="center"/>
              <w:rPr>
                <w:rFonts w:hint="eastAsia" w:ascii="宋体" w:hAnsi="宋体" w:eastAsia="宋体" w:cs="宋体"/>
                <w:b/>
                <w:bCs/>
                <w:sz w:val="24"/>
                <w:szCs w:val="24"/>
              </w:rPr>
            </w:pPr>
            <w:r>
              <w:rPr>
                <w:rFonts w:hint="eastAsia" w:ascii="宋体" w:hAnsi="宋体" w:eastAsia="宋体" w:cs="宋体"/>
                <w:b/>
                <w:bCs/>
                <w:sz w:val="24"/>
                <w:szCs w:val="24"/>
              </w:rPr>
              <w:t>分值</w:t>
            </w:r>
          </w:p>
        </w:tc>
        <w:tc>
          <w:tcPr>
            <w:tcW w:w="1117" w:type="dxa"/>
            <w:tcBorders>
              <w:top w:val="single" w:color="auto" w:sz="4" w:space="0"/>
              <w:left w:val="single" w:color="auto" w:sz="4" w:space="0"/>
              <w:bottom w:val="single" w:color="auto" w:sz="4" w:space="0"/>
              <w:right w:val="single" w:color="auto" w:sz="4" w:space="0"/>
            </w:tcBorders>
            <w:noWrap w:val="0"/>
            <w:vAlign w:val="center"/>
          </w:tcPr>
          <w:p w14:paraId="4F6EAEF5">
            <w:pPr>
              <w:widowControl/>
              <w:spacing w:line="360" w:lineRule="auto"/>
              <w:jc w:val="center"/>
              <w:textAlignment w:val="center"/>
              <w:rPr>
                <w:rFonts w:hint="eastAsia" w:ascii="宋体" w:hAnsi="宋体" w:eastAsia="宋体" w:cs="宋体"/>
                <w:b/>
                <w:bCs/>
                <w:sz w:val="24"/>
                <w:szCs w:val="24"/>
              </w:rPr>
            </w:pPr>
            <w:r>
              <w:rPr>
                <w:rFonts w:hint="eastAsia" w:ascii="宋体" w:hAnsi="宋体" w:eastAsia="宋体" w:cs="宋体"/>
                <w:b/>
                <w:bCs/>
                <w:sz w:val="24"/>
                <w:szCs w:val="24"/>
              </w:rPr>
              <w:t>自评</w:t>
            </w:r>
          </w:p>
          <w:p w14:paraId="341D24DB">
            <w:pPr>
              <w:widowControl/>
              <w:spacing w:line="360" w:lineRule="auto"/>
              <w:jc w:val="center"/>
              <w:textAlignment w:val="center"/>
              <w:rPr>
                <w:rFonts w:hint="eastAsia" w:ascii="宋体" w:hAnsi="宋体" w:eastAsia="宋体" w:cs="宋体"/>
                <w:b/>
                <w:bCs/>
                <w:sz w:val="24"/>
                <w:szCs w:val="24"/>
              </w:rPr>
            </w:pPr>
            <w:r>
              <w:rPr>
                <w:rFonts w:hint="eastAsia" w:ascii="宋体" w:hAnsi="宋体" w:eastAsia="宋体" w:cs="宋体"/>
                <w:b/>
                <w:bCs/>
                <w:sz w:val="24"/>
                <w:szCs w:val="24"/>
              </w:rPr>
              <w:t>分值</w:t>
            </w:r>
          </w:p>
        </w:tc>
        <w:tc>
          <w:tcPr>
            <w:tcW w:w="1448" w:type="dxa"/>
            <w:tcBorders>
              <w:top w:val="single" w:color="auto" w:sz="4" w:space="0"/>
              <w:left w:val="single" w:color="auto" w:sz="4" w:space="0"/>
              <w:bottom w:val="single" w:color="auto" w:sz="4" w:space="0"/>
              <w:right w:val="single" w:color="auto" w:sz="4" w:space="0"/>
            </w:tcBorders>
            <w:noWrap w:val="0"/>
            <w:vAlign w:val="center"/>
          </w:tcPr>
          <w:p w14:paraId="68A81A1E">
            <w:pPr>
              <w:widowControl/>
              <w:spacing w:line="360" w:lineRule="auto"/>
              <w:jc w:val="center"/>
              <w:textAlignment w:val="center"/>
              <w:rPr>
                <w:rFonts w:hint="eastAsia" w:ascii="宋体" w:hAnsi="宋体" w:eastAsia="宋体" w:cs="宋体"/>
                <w:b/>
                <w:bCs/>
                <w:sz w:val="24"/>
                <w:szCs w:val="24"/>
              </w:rPr>
            </w:pPr>
            <w:r>
              <w:rPr>
                <w:rFonts w:hint="eastAsia" w:ascii="宋体" w:hAnsi="宋体" w:eastAsia="宋体" w:cs="宋体"/>
                <w:b/>
                <w:bCs/>
                <w:sz w:val="24"/>
                <w:szCs w:val="24"/>
              </w:rPr>
              <w:t>评分</w:t>
            </w:r>
          </w:p>
          <w:p w14:paraId="3D59B77B">
            <w:pPr>
              <w:widowControl/>
              <w:spacing w:line="360" w:lineRule="auto"/>
              <w:jc w:val="center"/>
              <w:textAlignment w:val="center"/>
              <w:rPr>
                <w:rFonts w:hint="eastAsia" w:ascii="宋体" w:hAnsi="宋体" w:eastAsia="宋体" w:cs="宋体"/>
                <w:b/>
                <w:bCs/>
                <w:sz w:val="24"/>
                <w:szCs w:val="24"/>
              </w:rPr>
            </w:pPr>
            <w:r>
              <w:rPr>
                <w:rFonts w:hint="eastAsia" w:ascii="宋体" w:hAnsi="宋体" w:eastAsia="宋体" w:cs="宋体"/>
                <w:b/>
                <w:bCs/>
                <w:sz w:val="24"/>
                <w:szCs w:val="24"/>
              </w:rPr>
              <w:t>依据</w:t>
            </w:r>
          </w:p>
        </w:tc>
        <w:tc>
          <w:tcPr>
            <w:tcW w:w="1434" w:type="dxa"/>
            <w:tcBorders>
              <w:top w:val="single" w:color="auto" w:sz="4" w:space="0"/>
              <w:left w:val="single" w:color="auto" w:sz="4" w:space="0"/>
              <w:bottom w:val="single" w:color="auto" w:sz="4" w:space="0"/>
              <w:right w:val="single" w:color="auto" w:sz="4" w:space="0"/>
            </w:tcBorders>
            <w:noWrap w:val="0"/>
            <w:vAlign w:val="center"/>
          </w:tcPr>
          <w:p w14:paraId="752E3121">
            <w:pPr>
              <w:widowControl/>
              <w:spacing w:line="360" w:lineRule="auto"/>
              <w:jc w:val="center"/>
              <w:textAlignment w:val="center"/>
              <w:rPr>
                <w:rFonts w:hint="eastAsia" w:ascii="宋体" w:hAnsi="宋体" w:eastAsia="宋体" w:cs="宋体"/>
                <w:b/>
                <w:bCs/>
                <w:sz w:val="24"/>
                <w:szCs w:val="24"/>
              </w:rPr>
            </w:pPr>
            <w:r>
              <w:rPr>
                <w:rFonts w:hint="eastAsia" w:ascii="宋体" w:hAnsi="宋体" w:eastAsia="宋体" w:cs="宋体"/>
                <w:b/>
                <w:bCs/>
                <w:sz w:val="24"/>
                <w:szCs w:val="24"/>
              </w:rPr>
              <w:t>评分对</w:t>
            </w:r>
          </w:p>
          <w:p w14:paraId="45F1C5EE">
            <w:pPr>
              <w:widowControl/>
              <w:spacing w:line="360" w:lineRule="auto"/>
              <w:jc w:val="center"/>
              <w:textAlignment w:val="center"/>
              <w:rPr>
                <w:rFonts w:hint="eastAsia" w:ascii="宋体" w:hAnsi="宋体" w:eastAsia="宋体" w:cs="宋体"/>
                <w:b/>
                <w:bCs/>
                <w:sz w:val="24"/>
                <w:szCs w:val="24"/>
              </w:rPr>
            </w:pPr>
            <w:r>
              <w:rPr>
                <w:rFonts w:hint="eastAsia" w:ascii="宋体" w:hAnsi="宋体" w:eastAsia="宋体" w:cs="宋体"/>
                <w:b/>
                <w:bCs/>
                <w:sz w:val="24"/>
                <w:szCs w:val="24"/>
              </w:rPr>
              <w:t>应页码</w:t>
            </w:r>
          </w:p>
        </w:tc>
      </w:tr>
      <w:tr w14:paraId="60060030">
        <w:tblPrEx>
          <w:tblCellMar>
            <w:top w:w="15" w:type="dxa"/>
            <w:left w:w="15" w:type="dxa"/>
            <w:bottom w:w="15" w:type="dxa"/>
            <w:right w:w="15" w:type="dxa"/>
          </w:tblCellMar>
        </w:tblPrEx>
        <w:trPr>
          <w:trHeight w:val="1279" w:hRule="atLeast"/>
        </w:trPr>
        <w:tc>
          <w:tcPr>
            <w:tcW w:w="1276" w:type="dxa"/>
            <w:tcBorders>
              <w:top w:val="single" w:color="auto" w:sz="4" w:space="0"/>
              <w:left w:val="single" w:color="auto" w:sz="4" w:space="0"/>
              <w:bottom w:val="single" w:color="auto" w:sz="4" w:space="0"/>
              <w:right w:val="single" w:color="auto" w:sz="4" w:space="0"/>
            </w:tcBorders>
            <w:noWrap w:val="0"/>
            <w:vAlign w:val="center"/>
          </w:tcPr>
          <w:p w14:paraId="352B4948">
            <w:pPr>
              <w:widowControl/>
              <w:spacing w:line="360" w:lineRule="auto"/>
              <w:jc w:val="center"/>
              <w:textAlignment w:val="center"/>
              <w:rPr>
                <w:rFonts w:hint="eastAsia" w:ascii="宋体" w:hAnsi="宋体" w:eastAsia="宋体" w:cs="宋体"/>
                <w:szCs w:val="21"/>
              </w:rPr>
            </w:pPr>
          </w:p>
        </w:tc>
        <w:tc>
          <w:tcPr>
            <w:tcW w:w="4057" w:type="dxa"/>
            <w:tcBorders>
              <w:top w:val="single" w:color="auto" w:sz="4" w:space="0"/>
              <w:left w:val="single" w:color="auto" w:sz="4" w:space="0"/>
              <w:bottom w:val="single" w:color="auto" w:sz="4" w:space="0"/>
              <w:right w:val="single" w:color="auto" w:sz="4" w:space="0"/>
            </w:tcBorders>
            <w:noWrap w:val="0"/>
            <w:vAlign w:val="center"/>
          </w:tcPr>
          <w:p w14:paraId="443838D3">
            <w:pPr>
              <w:widowControl/>
              <w:spacing w:line="360" w:lineRule="auto"/>
              <w:jc w:val="left"/>
              <w:textAlignment w:val="center"/>
              <w:rPr>
                <w:rFonts w:hint="eastAsia" w:ascii="宋体" w:hAnsi="宋体" w:eastAsia="宋体" w:cs="宋体"/>
              </w:rPr>
            </w:pPr>
          </w:p>
        </w:tc>
        <w:tc>
          <w:tcPr>
            <w:tcW w:w="933" w:type="dxa"/>
            <w:tcBorders>
              <w:top w:val="single" w:color="auto" w:sz="4" w:space="0"/>
              <w:left w:val="single" w:color="auto" w:sz="4" w:space="0"/>
              <w:bottom w:val="single" w:color="auto" w:sz="4" w:space="0"/>
              <w:right w:val="single" w:color="auto" w:sz="4" w:space="0"/>
            </w:tcBorders>
            <w:noWrap w:val="0"/>
            <w:vAlign w:val="center"/>
          </w:tcPr>
          <w:p w14:paraId="2DE88917">
            <w:pPr>
              <w:widowControl/>
              <w:spacing w:line="360" w:lineRule="auto"/>
              <w:jc w:val="center"/>
              <w:rPr>
                <w:rFonts w:hint="eastAsia" w:ascii="宋体" w:hAnsi="宋体" w:eastAsia="宋体" w:cs="宋体"/>
                <w:szCs w:val="21"/>
                <w:lang w:bidi="ar"/>
              </w:rPr>
            </w:pPr>
          </w:p>
        </w:tc>
        <w:tc>
          <w:tcPr>
            <w:tcW w:w="1117" w:type="dxa"/>
            <w:tcBorders>
              <w:top w:val="single" w:color="auto" w:sz="4" w:space="0"/>
              <w:left w:val="single" w:color="auto" w:sz="4" w:space="0"/>
              <w:bottom w:val="single" w:color="auto" w:sz="4" w:space="0"/>
              <w:right w:val="single" w:color="auto" w:sz="4" w:space="0"/>
            </w:tcBorders>
            <w:noWrap w:val="0"/>
            <w:vAlign w:val="center"/>
          </w:tcPr>
          <w:p w14:paraId="22CF4330">
            <w:pPr>
              <w:widowControl/>
              <w:spacing w:line="360" w:lineRule="auto"/>
              <w:jc w:val="center"/>
              <w:rPr>
                <w:rFonts w:hint="eastAsia" w:ascii="宋体" w:hAnsi="宋体" w:eastAsia="宋体" w:cs="宋体"/>
                <w:szCs w:val="21"/>
                <w:lang w:bidi="ar"/>
              </w:rPr>
            </w:pPr>
          </w:p>
        </w:tc>
        <w:tc>
          <w:tcPr>
            <w:tcW w:w="1448" w:type="dxa"/>
            <w:tcBorders>
              <w:top w:val="single" w:color="auto" w:sz="4" w:space="0"/>
              <w:left w:val="single" w:color="auto" w:sz="4" w:space="0"/>
              <w:bottom w:val="single" w:color="auto" w:sz="4" w:space="0"/>
              <w:right w:val="single" w:color="auto" w:sz="4" w:space="0"/>
            </w:tcBorders>
            <w:noWrap w:val="0"/>
            <w:vAlign w:val="center"/>
          </w:tcPr>
          <w:p w14:paraId="04477D90">
            <w:pPr>
              <w:widowControl/>
              <w:spacing w:line="360" w:lineRule="auto"/>
              <w:jc w:val="center"/>
              <w:rPr>
                <w:rFonts w:hint="eastAsia" w:ascii="宋体" w:hAnsi="宋体" w:eastAsia="宋体" w:cs="宋体"/>
                <w:szCs w:val="21"/>
                <w:lang w:bidi="ar"/>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65E3BA67">
            <w:pPr>
              <w:widowControl/>
              <w:spacing w:line="360" w:lineRule="auto"/>
              <w:jc w:val="center"/>
              <w:rPr>
                <w:rFonts w:hint="eastAsia" w:ascii="宋体" w:hAnsi="宋体" w:eastAsia="宋体" w:cs="宋体"/>
                <w:szCs w:val="21"/>
                <w:lang w:bidi="ar"/>
              </w:rPr>
            </w:pPr>
          </w:p>
        </w:tc>
      </w:tr>
      <w:tr w14:paraId="49497D35">
        <w:tblPrEx>
          <w:tblCellMar>
            <w:top w:w="15" w:type="dxa"/>
            <w:left w:w="15" w:type="dxa"/>
            <w:bottom w:w="15" w:type="dxa"/>
            <w:right w:w="15" w:type="dxa"/>
          </w:tblCellMar>
        </w:tblPrEx>
        <w:trPr>
          <w:trHeight w:val="1597" w:hRule="atLeast"/>
        </w:trPr>
        <w:tc>
          <w:tcPr>
            <w:tcW w:w="1276" w:type="dxa"/>
            <w:tcBorders>
              <w:top w:val="single" w:color="auto" w:sz="4" w:space="0"/>
              <w:left w:val="single" w:color="auto" w:sz="4" w:space="0"/>
              <w:bottom w:val="single" w:color="auto" w:sz="4" w:space="0"/>
              <w:right w:val="single" w:color="auto" w:sz="4" w:space="0"/>
            </w:tcBorders>
            <w:noWrap w:val="0"/>
            <w:vAlign w:val="center"/>
          </w:tcPr>
          <w:p w14:paraId="006B45A7">
            <w:pPr>
              <w:widowControl/>
              <w:spacing w:line="360" w:lineRule="auto"/>
              <w:jc w:val="center"/>
              <w:textAlignment w:val="center"/>
              <w:rPr>
                <w:rFonts w:hint="eastAsia" w:ascii="宋体" w:hAnsi="宋体" w:eastAsia="宋体" w:cs="宋体"/>
                <w:szCs w:val="21"/>
              </w:rPr>
            </w:pPr>
          </w:p>
        </w:tc>
        <w:tc>
          <w:tcPr>
            <w:tcW w:w="4057" w:type="dxa"/>
            <w:tcBorders>
              <w:top w:val="single" w:color="auto" w:sz="4" w:space="0"/>
              <w:left w:val="single" w:color="auto" w:sz="4" w:space="0"/>
              <w:bottom w:val="single" w:color="auto" w:sz="4" w:space="0"/>
              <w:right w:val="single" w:color="auto" w:sz="4" w:space="0"/>
            </w:tcBorders>
            <w:noWrap w:val="0"/>
            <w:vAlign w:val="center"/>
          </w:tcPr>
          <w:p w14:paraId="3A3B9A0B">
            <w:pPr>
              <w:widowControl/>
              <w:spacing w:line="360" w:lineRule="auto"/>
              <w:jc w:val="left"/>
              <w:textAlignment w:val="center"/>
              <w:rPr>
                <w:rFonts w:hint="eastAsia" w:ascii="宋体" w:hAnsi="宋体" w:eastAsia="宋体" w:cs="宋体"/>
                <w:szCs w:val="21"/>
              </w:rPr>
            </w:pPr>
          </w:p>
        </w:tc>
        <w:tc>
          <w:tcPr>
            <w:tcW w:w="933" w:type="dxa"/>
            <w:tcBorders>
              <w:top w:val="single" w:color="auto" w:sz="4" w:space="0"/>
              <w:left w:val="single" w:color="auto" w:sz="4" w:space="0"/>
              <w:bottom w:val="single" w:color="auto" w:sz="4" w:space="0"/>
              <w:right w:val="single" w:color="auto" w:sz="4" w:space="0"/>
            </w:tcBorders>
            <w:noWrap w:val="0"/>
            <w:vAlign w:val="center"/>
          </w:tcPr>
          <w:p w14:paraId="7C719B49">
            <w:pPr>
              <w:widowControl/>
              <w:spacing w:line="360" w:lineRule="auto"/>
              <w:jc w:val="center"/>
              <w:textAlignment w:val="center"/>
              <w:rPr>
                <w:rFonts w:hint="eastAsia" w:ascii="宋体" w:hAnsi="宋体" w:eastAsia="宋体" w:cs="宋体"/>
                <w:szCs w:val="21"/>
                <w:lang w:bidi="ar"/>
              </w:rPr>
            </w:pPr>
          </w:p>
        </w:tc>
        <w:tc>
          <w:tcPr>
            <w:tcW w:w="1117" w:type="dxa"/>
            <w:tcBorders>
              <w:top w:val="single" w:color="auto" w:sz="4" w:space="0"/>
              <w:left w:val="single" w:color="auto" w:sz="4" w:space="0"/>
              <w:bottom w:val="single" w:color="auto" w:sz="4" w:space="0"/>
              <w:right w:val="single" w:color="auto" w:sz="4" w:space="0"/>
            </w:tcBorders>
            <w:noWrap w:val="0"/>
            <w:vAlign w:val="center"/>
          </w:tcPr>
          <w:p w14:paraId="01B4FA4E">
            <w:pPr>
              <w:widowControl/>
              <w:spacing w:line="360" w:lineRule="auto"/>
              <w:jc w:val="center"/>
              <w:textAlignment w:val="center"/>
              <w:rPr>
                <w:rFonts w:hint="eastAsia" w:ascii="宋体" w:hAnsi="宋体" w:eastAsia="宋体" w:cs="宋体"/>
                <w:szCs w:val="21"/>
                <w:lang w:bidi="ar"/>
              </w:rPr>
            </w:pPr>
          </w:p>
        </w:tc>
        <w:tc>
          <w:tcPr>
            <w:tcW w:w="1448" w:type="dxa"/>
            <w:tcBorders>
              <w:top w:val="single" w:color="auto" w:sz="4" w:space="0"/>
              <w:left w:val="single" w:color="auto" w:sz="4" w:space="0"/>
              <w:bottom w:val="single" w:color="auto" w:sz="4" w:space="0"/>
              <w:right w:val="single" w:color="auto" w:sz="4" w:space="0"/>
            </w:tcBorders>
            <w:noWrap w:val="0"/>
            <w:vAlign w:val="center"/>
          </w:tcPr>
          <w:p w14:paraId="624CE720">
            <w:pPr>
              <w:widowControl/>
              <w:spacing w:line="360" w:lineRule="auto"/>
              <w:jc w:val="center"/>
              <w:textAlignment w:val="center"/>
              <w:rPr>
                <w:rFonts w:hint="eastAsia" w:ascii="宋体" w:hAnsi="宋体" w:eastAsia="宋体" w:cs="宋体"/>
                <w:szCs w:val="21"/>
                <w:lang w:bidi="ar"/>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72DC9DFC">
            <w:pPr>
              <w:widowControl/>
              <w:spacing w:line="360" w:lineRule="auto"/>
              <w:jc w:val="center"/>
              <w:textAlignment w:val="center"/>
              <w:rPr>
                <w:rFonts w:hint="eastAsia" w:ascii="宋体" w:hAnsi="宋体" w:eastAsia="宋体" w:cs="宋体"/>
                <w:szCs w:val="21"/>
                <w:lang w:bidi="ar"/>
              </w:rPr>
            </w:pPr>
          </w:p>
        </w:tc>
      </w:tr>
      <w:tr w14:paraId="12C12EE5">
        <w:tblPrEx>
          <w:tblCellMar>
            <w:top w:w="15" w:type="dxa"/>
            <w:left w:w="15" w:type="dxa"/>
            <w:bottom w:w="15" w:type="dxa"/>
            <w:right w:w="15" w:type="dxa"/>
          </w:tblCellMar>
        </w:tblPrEx>
        <w:trPr>
          <w:trHeight w:val="1545" w:hRule="atLeast"/>
        </w:trPr>
        <w:tc>
          <w:tcPr>
            <w:tcW w:w="1276" w:type="dxa"/>
            <w:tcBorders>
              <w:top w:val="single" w:color="auto" w:sz="4" w:space="0"/>
              <w:left w:val="single" w:color="auto" w:sz="4" w:space="0"/>
              <w:bottom w:val="single" w:color="auto" w:sz="4" w:space="0"/>
              <w:right w:val="single" w:color="auto" w:sz="4" w:space="0"/>
            </w:tcBorders>
            <w:noWrap w:val="0"/>
            <w:vAlign w:val="center"/>
          </w:tcPr>
          <w:p w14:paraId="55AFF325">
            <w:pPr>
              <w:widowControl/>
              <w:spacing w:line="360" w:lineRule="auto"/>
              <w:jc w:val="center"/>
              <w:rPr>
                <w:rFonts w:hint="eastAsia" w:ascii="宋体" w:hAnsi="宋体" w:eastAsia="宋体" w:cs="宋体"/>
              </w:rPr>
            </w:pPr>
          </w:p>
        </w:tc>
        <w:tc>
          <w:tcPr>
            <w:tcW w:w="4057" w:type="dxa"/>
            <w:tcBorders>
              <w:top w:val="single" w:color="auto" w:sz="4" w:space="0"/>
              <w:left w:val="single" w:color="auto" w:sz="4" w:space="0"/>
              <w:bottom w:val="single" w:color="auto" w:sz="4" w:space="0"/>
              <w:right w:val="single" w:color="auto" w:sz="4" w:space="0"/>
            </w:tcBorders>
            <w:noWrap w:val="0"/>
            <w:vAlign w:val="center"/>
          </w:tcPr>
          <w:p w14:paraId="43B93C17">
            <w:pPr>
              <w:widowControl/>
              <w:spacing w:line="360" w:lineRule="auto"/>
              <w:rPr>
                <w:rFonts w:hint="eastAsia" w:ascii="宋体" w:hAnsi="宋体" w:eastAsia="宋体" w:cs="宋体"/>
              </w:rPr>
            </w:pPr>
          </w:p>
        </w:tc>
        <w:tc>
          <w:tcPr>
            <w:tcW w:w="933" w:type="dxa"/>
            <w:tcBorders>
              <w:top w:val="single" w:color="auto" w:sz="4" w:space="0"/>
              <w:left w:val="single" w:color="auto" w:sz="4" w:space="0"/>
              <w:bottom w:val="single" w:color="auto" w:sz="4" w:space="0"/>
              <w:right w:val="single" w:color="auto" w:sz="4" w:space="0"/>
            </w:tcBorders>
            <w:noWrap w:val="0"/>
            <w:vAlign w:val="center"/>
          </w:tcPr>
          <w:p w14:paraId="31A7886E">
            <w:pPr>
              <w:widowControl/>
              <w:spacing w:line="360" w:lineRule="auto"/>
              <w:jc w:val="center"/>
              <w:textAlignment w:val="center"/>
              <w:rPr>
                <w:rFonts w:hint="eastAsia" w:ascii="宋体" w:hAnsi="宋体" w:eastAsia="宋体" w:cs="宋体"/>
                <w:szCs w:val="21"/>
                <w:lang w:bidi="ar"/>
              </w:rPr>
            </w:pPr>
          </w:p>
        </w:tc>
        <w:tc>
          <w:tcPr>
            <w:tcW w:w="1117" w:type="dxa"/>
            <w:tcBorders>
              <w:top w:val="single" w:color="auto" w:sz="4" w:space="0"/>
              <w:left w:val="single" w:color="auto" w:sz="4" w:space="0"/>
              <w:bottom w:val="single" w:color="auto" w:sz="4" w:space="0"/>
              <w:right w:val="single" w:color="auto" w:sz="4" w:space="0"/>
            </w:tcBorders>
            <w:noWrap w:val="0"/>
            <w:vAlign w:val="center"/>
          </w:tcPr>
          <w:p w14:paraId="6F681355">
            <w:pPr>
              <w:widowControl/>
              <w:spacing w:line="360" w:lineRule="auto"/>
              <w:jc w:val="center"/>
              <w:textAlignment w:val="center"/>
              <w:rPr>
                <w:rFonts w:hint="eastAsia" w:ascii="宋体" w:hAnsi="宋体" w:eastAsia="宋体" w:cs="宋体"/>
                <w:szCs w:val="21"/>
                <w:lang w:bidi="ar"/>
              </w:rPr>
            </w:pPr>
          </w:p>
        </w:tc>
        <w:tc>
          <w:tcPr>
            <w:tcW w:w="1448" w:type="dxa"/>
            <w:tcBorders>
              <w:top w:val="single" w:color="auto" w:sz="4" w:space="0"/>
              <w:left w:val="single" w:color="auto" w:sz="4" w:space="0"/>
              <w:bottom w:val="single" w:color="auto" w:sz="4" w:space="0"/>
              <w:right w:val="single" w:color="auto" w:sz="4" w:space="0"/>
            </w:tcBorders>
            <w:noWrap w:val="0"/>
            <w:vAlign w:val="center"/>
          </w:tcPr>
          <w:p w14:paraId="4A291BED">
            <w:pPr>
              <w:widowControl/>
              <w:spacing w:line="360" w:lineRule="auto"/>
              <w:jc w:val="center"/>
              <w:textAlignment w:val="center"/>
              <w:rPr>
                <w:rFonts w:hint="eastAsia" w:ascii="宋体" w:hAnsi="宋体" w:eastAsia="宋体" w:cs="宋体"/>
                <w:szCs w:val="21"/>
                <w:lang w:bidi="ar"/>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0851FDC2">
            <w:pPr>
              <w:widowControl/>
              <w:spacing w:line="360" w:lineRule="auto"/>
              <w:jc w:val="center"/>
              <w:textAlignment w:val="center"/>
              <w:rPr>
                <w:rFonts w:hint="eastAsia" w:ascii="宋体" w:hAnsi="宋体" w:eastAsia="宋体" w:cs="宋体"/>
                <w:szCs w:val="21"/>
                <w:lang w:bidi="ar"/>
              </w:rPr>
            </w:pPr>
          </w:p>
        </w:tc>
      </w:tr>
      <w:tr w14:paraId="405CC494">
        <w:tblPrEx>
          <w:tblCellMar>
            <w:top w:w="15" w:type="dxa"/>
            <w:left w:w="15" w:type="dxa"/>
            <w:bottom w:w="15" w:type="dxa"/>
            <w:right w:w="15" w:type="dxa"/>
          </w:tblCellMar>
        </w:tblPrEx>
        <w:trPr>
          <w:trHeight w:val="1320" w:hRule="atLeast"/>
        </w:trPr>
        <w:tc>
          <w:tcPr>
            <w:tcW w:w="1276" w:type="dxa"/>
            <w:tcBorders>
              <w:top w:val="single" w:color="auto" w:sz="4" w:space="0"/>
              <w:left w:val="single" w:color="auto" w:sz="4" w:space="0"/>
              <w:bottom w:val="single" w:color="auto" w:sz="4" w:space="0"/>
              <w:right w:val="single" w:color="auto" w:sz="4" w:space="0"/>
            </w:tcBorders>
            <w:noWrap w:val="0"/>
            <w:vAlign w:val="center"/>
          </w:tcPr>
          <w:p w14:paraId="31D5CA8E">
            <w:pPr>
              <w:widowControl/>
              <w:spacing w:line="360" w:lineRule="auto"/>
              <w:jc w:val="center"/>
              <w:rPr>
                <w:rFonts w:hint="eastAsia" w:ascii="宋体" w:hAnsi="宋体" w:eastAsia="宋体" w:cs="宋体"/>
              </w:rPr>
            </w:pPr>
          </w:p>
        </w:tc>
        <w:tc>
          <w:tcPr>
            <w:tcW w:w="4057" w:type="dxa"/>
            <w:tcBorders>
              <w:top w:val="single" w:color="auto" w:sz="4" w:space="0"/>
              <w:left w:val="single" w:color="auto" w:sz="4" w:space="0"/>
              <w:bottom w:val="single" w:color="auto" w:sz="4" w:space="0"/>
              <w:right w:val="single" w:color="auto" w:sz="4" w:space="0"/>
            </w:tcBorders>
            <w:noWrap w:val="0"/>
            <w:vAlign w:val="center"/>
          </w:tcPr>
          <w:p w14:paraId="04C5C52E">
            <w:pPr>
              <w:widowControl/>
              <w:spacing w:line="380" w:lineRule="exact"/>
              <w:jc w:val="left"/>
              <w:rPr>
                <w:rFonts w:hint="eastAsia" w:ascii="宋体" w:hAnsi="宋体" w:eastAsia="宋体" w:cs="宋体"/>
              </w:rPr>
            </w:pPr>
          </w:p>
        </w:tc>
        <w:tc>
          <w:tcPr>
            <w:tcW w:w="933" w:type="dxa"/>
            <w:tcBorders>
              <w:top w:val="single" w:color="auto" w:sz="4" w:space="0"/>
              <w:left w:val="single" w:color="auto" w:sz="4" w:space="0"/>
              <w:bottom w:val="single" w:color="auto" w:sz="4" w:space="0"/>
              <w:right w:val="single" w:color="auto" w:sz="4" w:space="0"/>
            </w:tcBorders>
            <w:noWrap w:val="0"/>
            <w:vAlign w:val="center"/>
          </w:tcPr>
          <w:p w14:paraId="46C52F46">
            <w:pPr>
              <w:widowControl/>
              <w:spacing w:line="360" w:lineRule="auto"/>
              <w:jc w:val="center"/>
              <w:textAlignment w:val="center"/>
              <w:rPr>
                <w:rFonts w:hint="eastAsia" w:ascii="宋体" w:hAnsi="宋体" w:eastAsia="宋体" w:cs="宋体"/>
                <w:szCs w:val="21"/>
              </w:rPr>
            </w:pPr>
          </w:p>
        </w:tc>
        <w:tc>
          <w:tcPr>
            <w:tcW w:w="1117" w:type="dxa"/>
            <w:tcBorders>
              <w:top w:val="single" w:color="auto" w:sz="4" w:space="0"/>
              <w:left w:val="single" w:color="auto" w:sz="4" w:space="0"/>
              <w:bottom w:val="single" w:color="auto" w:sz="4" w:space="0"/>
              <w:right w:val="single" w:color="auto" w:sz="4" w:space="0"/>
            </w:tcBorders>
            <w:noWrap w:val="0"/>
            <w:vAlign w:val="center"/>
          </w:tcPr>
          <w:p w14:paraId="090CB87F">
            <w:pPr>
              <w:widowControl/>
              <w:spacing w:line="360" w:lineRule="auto"/>
              <w:jc w:val="center"/>
              <w:textAlignment w:val="center"/>
              <w:rPr>
                <w:rFonts w:hint="eastAsia" w:ascii="宋体" w:hAnsi="宋体" w:eastAsia="宋体" w:cs="宋体"/>
                <w:szCs w:val="21"/>
              </w:rPr>
            </w:pPr>
          </w:p>
        </w:tc>
        <w:tc>
          <w:tcPr>
            <w:tcW w:w="1448" w:type="dxa"/>
            <w:tcBorders>
              <w:top w:val="single" w:color="auto" w:sz="4" w:space="0"/>
              <w:left w:val="single" w:color="auto" w:sz="4" w:space="0"/>
              <w:bottom w:val="single" w:color="auto" w:sz="4" w:space="0"/>
              <w:right w:val="single" w:color="auto" w:sz="4" w:space="0"/>
            </w:tcBorders>
            <w:noWrap w:val="0"/>
            <w:vAlign w:val="center"/>
          </w:tcPr>
          <w:p w14:paraId="051E9443">
            <w:pPr>
              <w:widowControl/>
              <w:spacing w:line="360" w:lineRule="auto"/>
              <w:jc w:val="center"/>
              <w:textAlignment w:val="center"/>
              <w:rPr>
                <w:rFonts w:hint="eastAsia" w:ascii="宋体" w:hAnsi="宋体" w:eastAsia="宋体" w:cs="宋体"/>
                <w:szCs w:val="21"/>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1DBCFA65">
            <w:pPr>
              <w:widowControl/>
              <w:spacing w:line="360" w:lineRule="auto"/>
              <w:jc w:val="center"/>
              <w:textAlignment w:val="center"/>
              <w:rPr>
                <w:rFonts w:hint="eastAsia" w:ascii="宋体" w:hAnsi="宋体" w:eastAsia="宋体" w:cs="宋体"/>
                <w:szCs w:val="21"/>
              </w:rPr>
            </w:pPr>
          </w:p>
        </w:tc>
      </w:tr>
    </w:tbl>
    <w:p w14:paraId="6E9C41F4">
      <w:pPr>
        <w:spacing w:line="440" w:lineRule="exact"/>
        <w:rPr>
          <w:rFonts w:hint="eastAsia" w:ascii="宋体" w:hAnsi="宋体" w:cs="宋体"/>
          <w:b/>
          <w:bCs/>
          <w:szCs w:val="21"/>
        </w:rPr>
      </w:pPr>
      <w:r>
        <w:rPr>
          <w:rFonts w:hint="eastAsia" w:ascii="宋体" w:hAnsi="宋体" w:cs="宋体"/>
          <w:b/>
          <w:bCs/>
          <w:szCs w:val="21"/>
        </w:rPr>
        <w:t>注：评审项目、评分标准、分值对应“第五章  评标原则及方法”技术资信分评审内容。</w:t>
      </w:r>
    </w:p>
    <w:p w14:paraId="0368D152">
      <w:pPr>
        <w:spacing w:line="440" w:lineRule="exact"/>
        <w:ind w:firstLine="4860"/>
        <w:rPr>
          <w:rFonts w:hint="eastAsia" w:ascii="宋体" w:hAnsi="宋体" w:cs="宋体"/>
          <w:b/>
          <w:bCs/>
          <w:szCs w:val="21"/>
        </w:rPr>
      </w:pPr>
    </w:p>
    <w:p w14:paraId="230A8F82">
      <w:pPr>
        <w:spacing w:line="440" w:lineRule="exact"/>
        <w:ind w:firstLine="4860"/>
        <w:rPr>
          <w:rFonts w:hint="eastAsia" w:ascii="宋体" w:hAnsi="宋体" w:cs="宋体"/>
          <w:b/>
          <w:bCs/>
          <w:szCs w:val="21"/>
        </w:rPr>
      </w:pPr>
    </w:p>
    <w:p w14:paraId="6BBB4869">
      <w:pPr>
        <w:spacing w:line="440" w:lineRule="exact"/>
        <w:ind w:firstLine="4860"/>
        <w:rPr>
          <w:rFonts w:hint="eastAsia" w:ascii="宋体" w:hAnsi="宋体" w:cs="宋体"/>
          <w:szCs w:val="21"/>
          <w:u w:val="single"/>
        </w:rPr>
      </w:pPr>
      <w:r>
        <w:rPr>
          <w:rFonts w:hint="eastAsia" w:ascii="宋体" w:hAnsi="宋体" w:cs="宋体"/>
          <w:szCs w:val="21"/>
        </w:rPr>
        <w:t>供应商名称（盖章）：</w:t>
      </w:r>
      <w:r>
        <w:rPr>
          <w:rFonts w:hint="eastAsia" w:ascii="宋体" w:hAnsi="宋体" w:cs="宋体"/>
          <w:szCs w:val="21"/>
          <w:u w:val="single"/>
        </w:rPr>
        <w:t xml:space="preserve">                           </w:t>
      </w:r>
    </w:p>
    <w:p w14:paraId="51DC9F0E">
      <w:pPr>
        <w:spacing w:line="440" w:lineRule="exact"/>
        <w:ind w:firstLine="4860"/>
        <w:rPr>
          <w:rFonts w:hint="eastAsia" w:ascii="宋体" w:hAnsi="宋体" w:cs="宋体"/>
          <w:szCs w:val="21"/>
        </w:rPr>
      </w:pPr>
      <w:r>
        <w:rPr>
          <w:rFonts w:hint="eastAsia" w:ascii="宋体" w:hAnsi="宋体" w:cs="宋体"/>
          <w:szCs w:val="21"/>
        </w:rPr>
        <w:t>日 期：  年  月  日</w:t>
      </w:r>
    </w:p>
    <w:p w14:paraId="1D976477">
      <w:pPr>
        <w:spacing w:line="460" w:lineRule="exact"/>
        <w:rPr>
          <w:rFonts w:hint="eastAsia" w:ascii="宋体" w:hAnsi="宋体" w:cs="宋体"/>
          <w:b/>
          <w:bCs/>
          <w:sz w:val="22"/>
          <w:szCs w:val="22"/>
        </w:rPr>
      </w:pPr>
      <w:r>
        <w:rPr>
          <w:rFonts w:hint="eastAsia" w:ascii="宋体" w:hAnsi="宋体" w:cs="宋体"/>
          <w:b/>
          <w:bCs/>
          <w:sz w:val="24"/>
        </w:rPr>
        <w:br w:type="page"/>
      </w:r>
      <w:r>
        <w:rPr>
          <w:rFonts w:hint="eastAsia" w:ascii="宋体" w:hAnsi="宋体" w:cs="宋体"/>
          <w:b/>
          <w:bCs/>
          <w:sz w:val="22"/>
          <w:szCs w:val="22"/>
        </w:rPr>
        <w:t>附件4</w:t>
      </w:r>
    </w:p>
    <w:p w14:paraId="2CF080F8">
      <w:pPr>
        <w:widowControl/>
        <w:spacing w:line="420" w:lineRule="atLeast"/>
        <w:jc w:val="center"/>
        <w:rPr>
          <w:rFonts w:hint="eastAsia" w:ascii="宋体" w:hAnsi="宋体" w:cs="宋体"/>
          <w:b/>
          <w:bCs/>
          <w:kern w:val="0"/>
          <w:sz w:val="30"/>
          <w:szCs w:val="30"/>
        </w:rPr>
      </w:pPr>
      <w:r>
        <w:rPr>
          <w:rFonts w:hint="eastAsia" w:ascii="宋体" w:hAnsi="宋体" w:cs="宋体"/>
          <w:b/>
          <w:bCs/>
          <w:kern w:val="0"/>
          <w:sz w:val="30"/>
          <w:szCs w:val="30"/>
        </w:rPr>
        <w:t>投标声明书</w:t>
      </w:r>
    </w:p>
    <w:p w14:paraId="03E039CE">
      <w:pPr>
        <w:spacing w:line="440" w:lineRule="exact"/>
        <w:ind w:firstLine="480" w:firstLineChars="200"/>
        <w:rPr>
          <w:rFonts w:hint="eastAsia" w:ascii="宋体" w:hAnsi="宋体" w:cs="宋体"/>
          <w:sz w:val="24"/>
          <w:szCs w:val="24"/>
        </w:rPr>
      </w:pPr>
      <w:r>
        <w:rPr>
          <w:rFonts w:hint="eastAsia" w:ascii="宋体" w:hAnsi="宋体" w:cs="宋体"/>
          <w:sz w:val="24"/>
          <w:szCs w:val="24"/>
          <w:u w:val="single"/>
          <w:lang w:eastAsia="zh-CN"/>
        </w:rPr>
        <w:t>常山县市场监督管理局</w:t>
      </w:r>
      <w:r>
        <w:rPr>
          <w:rFonts w:hint="eastAsia" w:ascii="宋体" w:hAnsi="宋体" w:cs="宋体"/>
          <w:sz w:val="24"/>
          <w:szCs w:val="24"/>
          <w:u w:val="single"/>
        </w:rPr>
        <w:t xml:space="preserve">  </w:t>
      </w:r>
      <w:r>
        <w:rPr>
          <w:rFonts w:hint="eastAsia" w:ascii="宋体" w:hAnsi="宋体" w:cs="宋体"/>
          <w:sz w:val="24"/>
          <w:szCs w:val="24"/>
        </w:rPr>
        <w:t>：</w:t>
      </w:r>
    </w:p>
    <w:p w14:paraId="379E22A7">
      <w:pPr>
        <w:spacing w:line="440" w:lineRule="exact"/>
        <w:ind w:firstLine="480" w:firstLineChars="200"/>
        <w:rPr>
          <w:rFonts w:hint="eastAsia" w:ascii="宋体" w:hAnsi="宋体" w:cs="宋体"/>
          <w:sz w:val="24"/>
          <w:szCs w:val="24"/>
        </w:rPr>
      </w:pPr>
      <w:r>
        <w:rPr>
          <w:rFonts w:hint="eastAsia" w:ascii="宋体" w:hAnsi="宋体" w:cs="宋体"/>
          <w:sz w:val="24"/>
          <w:szCs w:val="24"/>
        </w:rPr>
        <w:t>根据贵方为</w:t>
      </w:r>
      <w:r>
        <w:rPr>
          <w:rFonts w:hint="eastAsia" w:ascii="宋体" w:hAnsi="宋体" w:cs="宋体"/>
          <w:sz w:val="24"/>
          <w:szCs w:val="24"/>
          <w:u w:val="single"/>
          <w:lang w:eastAsia="zh-CN"/>
        </w:rPr>
        <w:t>常山县2025年度产品质量监督抽查服务采购项目</w:t>
      </w:r>
      <w:r>
        <w:rPr>
          <w:rFonts w:hint="eastAsia" w:ascii="宋体" w:hAnsi="宋体" w:cs="宋体"/>
          <w:sz w:val="24"/>
          <w:szCs w:val="24"/>
          <w:u w:val="single"/>
        </w:rPr>
        <w:t>（编号：</w:t>
      </w:r>
      <w:r>
        <w:rPr>
          <w:rFonts w:hint="eastAsia" w:ascii="宋体" w:hAnsi="宋体" w:cs="宋体"/>
          <w:sz w:val="24"/>
          <w:szCs w:val="24"/>
          <w:u w:val="single"/>
          <w:lang w:eastAsia="zh-CN"/>
        </w:rPr>
        <w:t>ZJCD-GK-2025003</w:t>
      </w:r>
      <w:r>
        <w:rPr>
          <w:rFonts w:hint="eastAsia" w:ascii="宋体" w:hAnsi="宋体" w:cs="宋体"/>
          <w:sz w:val="24"/>
          <w:szCs w:val="24"/>
          <w:u w:val="single"/>
        </w:rPr>
        <w:t>）</w:t>
      </w:r>
      <w:r>
        <w:rPr>
          <w:rFonts w:hint="eastAsia" w:ascii="宋体" w:hAnsi="宋体" w:cs="宋体"/>
          <w:sz w:val="24"/>
          <w:szCs w:val="24"/>
        </w:rPr>
        <w:t>的招标文件，我方</w:t>
      </w:r>
      <w:r>
        <w:rPr>
          <w:rFonts w:hint="eastAsia" w:ascii="宋体" w:hAnsi="宋体" w:cs="宋体"/>
          <w:sz w:val="24"/>
          <w:szCs w:val="24"/>
          <w:u w:val="single"/>
        </w:rPr>
        <w:t xml:space="preserve">           　　</w:t>
      </w:r>
      <w:r>
        <w:rPr>
          <w:rFonts w:hint="eastAsia" w:ascii="宋体" w:hAnsi="宋体" w:cs="宋体"/>
          <w:sz w:val="24"/>
          <w:szCs w:val="24"/>
        </w:rPr>
        <w:t>（</w:t>
      </w:r>
      <w:r>
        <w:rPr>
          <w:rFonts w:hint="eastAsia" w:ascii="宋体" w:hAnsi="宋体" w:cs="宋体"/>
          <w:sz w:val="24"/>
          <w:szCs w:val="24"/>
          <w:lang w:val="en-US" w:eastAsia="zh-CN"/>
        </w:rPr>
        <w:t>供应商</w:t>
      </w:r>
      <w:r>
        <w:rPr>
          <w:rFonts w:hint="eastAsia" w:ascii="宋体" w:hAnsi="宋体" w:cs="宋体"/>
          <w:sz w:val="24"/>
          <w:szCs w:val="24"/>
        </w:rPr>
        <w:t>名称）作为投标人正式授权</w:t>
      </w:r>
      <w:r>
        <w:rPr>
          <w:rFonts w:hint="eastAsia" w:ascii="宋体" w:hAnsi="宋体" w:cs="宋体"/>
          <w:sz w:val="24"/>
          <w:szCs w:val="24"/>
          <w:u w:val="single"/>
        </w:rPr>
        <w:t>　           （</w:t>
      </w:r>
      <w:r>
        <w:rPr>
          <w:rFonts w:hint="eastAsia" w:ascii="宋体" w:hAnsi="宋体" w:cs="宋体"/>
          <w:sz w:val="24"/>
          <w:szCs w:val="24"/>
        </w:rPr>
        <w:t>授权代表全名，职务）代表我方处理有关本投标的一切事宜。</w:t>
      </w:r>
    </w:p>
    <w:p w14:paraId="0954B6D5">
      <w:pPr>
        <w:pStyle w:val="5"/>
        <w:spacing w:line="500" w:lineRule="exact"/>
        <w:ind w:firstLine="440"/>
        <w:rPr>
          <w:rFonts w:hint="eastAsia" w:ascii="宋体" w:hAnsi="宋体" w:cs="宋体"/>
          <w:sz w:val="24"/>
          <w:szCs w:val="24"/>
        </w:rPr>
      </w:pPr>
      <w:r>
        <w:rPr>
          <w:rFonts w:hint="eastAsia" w:ascii="宋体" w:hAnsi="宋体" w:cs="宋体"/>
          <w:sz w:val="24"/>
          <w:szCs w:val="24"/>
        </w:rPr>
        <w:t>在此</w:t>
      </w:r>
      <w:r>
        <w:rPr>
          <w:rFonts w:hint="eastAsia" w:ascii="宋体" w:hAnsi="宋体" w:cs="宋体"/>
          <w:spacing w:val="-3"/>
          <w:sz w:val="24"/>
          <w:szCs w:val="24"/>
        </w:rPr>
        <w:t>提</w:t>
      </w:r>
      <w:r>
        <w:rPr>
          <w:rFonts w:hint="eastAsia" w:ascii="宋体" w:hAnsi="宋体" w:cs="宋体"/>
          <w:sz w:val="24"/>
          <w:szCs w:val="24"/>
        </w:rPr>
        <w:t>供</w:t>
      </w:r>
      <w:r>
        <w:rPr>
          <w:rFonts w:hint="eastAsia" w:ascii="宋体" w:hAnsi="宋体" w:cs="宋体"/>
          <w:spacing w:val="-3"/>
          <w:sz w:val="24"/>
          <w:szCs w:val="24"/>
        </w:rPr>
        <w:t>投</w:t>
      </w:r>
      <w:r>
        <w:rPr>
          <w:rFonts w:hint="eastAsia" w:ascii="宋体" w:hAnsi="宋体" w:cs="宋体"/>
          <w:sz w:val="24"/>
          <w:szCs w:val="24"/>
        </w:rPr>
        <w:t>标</w:t>
      </w:r>
      <w:r>
        <w:rPr>
          <w:rFonts w:hint="eastAsia" w:ascii="宋体" w:hAnsi="宋体" w:cs="宋体"/>
          <w:spacing w:val="-3"/>
          <w:sz w:val="24"/>
          <w:szCs w:val="24"/>
        </w:rPr>
        <w:t>人</w:t>
      </w:r>
      <w:r>
        <w:rPr>
          <w:rFonts w:hint="eastAsia" w:ascii="宋体" w:hAnsi="宋体" w:cs="宋体"/>
          <w:sz w:val="24"/>
          <w:szCs w:val="24"/>
        </w:rPr>
        <w:t>须知规</w:t>
      </w:r>
      <w:r>
        <w:rPr>
          <w:rFonts w:hint="eastAsia" w:ascii="宋体" w:hAnsi="宋体" w:cs="宋体"/>
          <w:spacing w:val="-3"/>
          <w:sz w:val="24"/>
          <w:szCs w:val="24"/>
        </w:rPr>
        <w:t>定的</w:t>
      </w:r>
      <w:r>
        <w:rPr>
          <w:rFonts w:hint="eastAsia" w:ascii="宋体" w:hAnsi="宋体" w:cs="宋体"/>
          <w:sz w:val="24"/>
          <w:szCs w:val="24"/>
        </w:rPr>
        <w:t>全部</w:t>
      </w:r>
      <w:r>
        <w:rPr>
          <w:rFonts w:hint="eastAsia" w:ascii="宋体" w:hAnsi="宋体" w:cs="宋体"/>
          <w:spacing w:val="-3"/>
          <w:sz w:val="24"/>
          <w:szCs w:val="24"/>
        </w:rPr>
        <w:t>投</w:t>
      </w:r>
      <w:r>
        <w:rPr>
          <w:rFonts w:hint="eastAsia" w:ascii="宋体" w:hAnsi="宋体" w:cs="宋体"/>
          <w:sz w:val="24"/>
          <w:szCs w:val="24"/>
        </w:rPr>
        <w:t>标</w:t>
      </w:r>
      <w:r>
        <w:rPr>
          <w:rFonts w:hint="eastAsia" w:ascii="宋体" w:hAnsi="宋体" w:cs="宋体"/>
          <w:spacing w:val="-3"/>
          <w:sz w:val="24"/>
          <w:szCs w:val="24"/>
        </w:rPr>
        <w:t>文</w:t>
      </w:r>
      <w:r>
        <w:rPr>
          <w:rFonts w:hint="eastAsia" w:ascii="宋体" w:hAnsi="宋体" w:cs="宋体"/>
          <w:sz w:val="24"/>
          <w:szCs w:val="24"/>
        </w:rPr>
        <w:t>件</w:t>
      </w:r>
      <w:r>
        <w:rPr>
          <w:rFonts w:hint="eastAsia" w:ascii="宋体" w:hAnsi="宋体" w:cs="宋体"/>
          <w:spacing w:val="-3"/>
          <w:sz w:val="24"/>
          <w:szCs w:val="24"/>
        </w:rPr>
        <w:t>。</w:t>
      </w:r>
    </w:p>
    <w:p w14:paraId="3AFBF056">
      <w:pPr>
        <w:spacing w:line="440" w:lineRule="exact"/>
        <w:ind w:firstLine="480" w:firstLineChars="200"/>
        <w:rPr>
          <w:rFonts w:hint="eastAsia" w:ascii="宋体" w:hAnsi="宋体" w:cs="宋体"/>
          <w:sz w:val="24"/>
          <w:szCs w:val="24"/>
        </w:rPr>
      </w:pPr>
      <w:r>
        <w:rPr>
          <w:rFonts w:hint="eastAsia" w:ascii="宋体" w:hAnsi="宋体" w:cs="宋体"/>
          <w:sz w:val="24"/>
          <w:szCs w:val="24"/>
        </w:rPr>
        <w:t>我方己完全明白招标文件的所有条款要求，并重申以下几点：</w:t>
      </w:r>
    </w:p>
    <w:p w14:paraId="6B653E6E">
      <w:pPr>
        <w:spacing w:line="440" w:lineRule="exact"/>
        <w:ind w:firstLine="480" w:firstLineChars="200"/>
        <w:rPr>
          <w:rFonts w:hint="eastAsia" w:ascii="宋体" w:hAnsi="宋体" w:cs="宋体"/>
          <w:sz w:val="24"/>
          <w:szCs w:val="24"/>
        </w:rPr>
      </w:pPr>
      <w:r>
        <w:rPr>
          <w:rFonts w:hint="eastAsia" w:ascii="宋体" w:hAnsi="宋体" w:cs="宋体"/>
          <w:sz w:val="24"/>
          <w:szCs w:val="24"/>
        </w:rPr>
        <w:t>（一）本投标文件的有效期自投标截止日起</w:t>
      </w:r>
      <w:r>
        <w:rPr>
          <w:rFonts w:hint="eastAsia" w:ascii="宋体" w:hAnsi="宋体" w:cs="宋体"/>
          <w:b/>
          <w:sz w:val="24"/>
          <w:szCs w:val="24"/>
          <w:u w:val="single"/>
        </w:rPr>
        <w:t xml:space="preserve">     </w:t>
      </w:r>
      <w:r>
        <w:rPr>
          <w:rFonts w:hint="eastAsia" w:ascii="宋体" w:hAnsi="宋体" w:cs="宋体"/>
          <w:sz w:val="24"/>
          <w:szCs w:val="24"/>
        </w:rPr>
        <w:t>有效，如中标，有效期将延至合同终止日为止；</w:t>
      </w:r>
    </w:p>
    <w:p w14:paraId="29A16A41">
      <w:pPr>
        <w:spacing w:line="440" w:lineRule="exact"/>
        <w:ind w:firstLine="480" w:firstLineChars="200"/>
        <w:rPr>
          <w:rFonts w:hint="eastAsia" w:ascii="宋体" w:hAnsi="宋体" w:cs="宋体"/>
          <w:sz w:val="24"/>
          <w:szCs w:val="24"/>
        </w:rPr>
      </w:pPr>
      <w:r>
        <w:rPr>
          <w:rFonts w:hint="eastAsia" w:ascii="宋体" w:hAnsi="宋体" w:cs="宋体"/>
          <w:sz w:val="24"/>
          <w:szCs w:val="24"/>
        </w:rPr>
        <w:t>（二）我方已详细研究了</w:t>
      </w:r>
      <w:r>
        <w:rPr>
          <w:rFonts w:hint="eastAsia" w:ascii="宋体" w:hAnsi="宋体" w:cs="宋体"/>
          <w:sz w:val="24"/>
          <w:szCs w:val="24"/>
          <w:lang w:val="en-US" w:eastAsia="zh-CN"/>
        </w:rPr>
        <w:t>采购</w:t>
      </w:r>
      <w:r>
        <w:rPr>
          <w:rFonts w:hint="eastAsia" w:ascii="宋体" w:hAnsi="宋体" w:cs="宋体"/>
          <w:sz w:val="24"/>
          <w:szCs w:val="24"/>
        </w:rPr>
        <w:t>文件的所有内容包括修改书（如有）和所有已提供的参考资料以及有关附件，我方完全理解并同意放弃在此方面提出含糊意见或误解的一切权力；</w:t>
      </w:r>
    </w:p>
    <w:p w14:paraId="6CB6209D">
      <w:pPr>
        <w:spacing w:line="440" w:lineRule="exact"/>
        <w:ind w:left="359" w:leftChars="171"/>
        <w:rPr>
          <w:rFonts w:hint="eastAsia" w:ascii="宋体" w:hAnsi="宋体" w:cs="宋体"/>
          <w:sz w:val="24"/>
          <w:szCs w:val="24"/>
        </w:rPr>
      </w:pPr>
      <w:r>
        <w:rPr>
          <w:rFonts w:hint="eastAsia" w:ascii="宋体" w:hAnsi="宋体" w:cs="宋体"/>
          <w:sz w:val="24"/>
          <w:szCs w:val="24"/>
        </w:rPr>
        <w:t>（三）我方理解贵方不一定接受最低报价。</w:t>
      </w:r>
    </w:p>
    <w:p w14:paraId="468B3DD7">
      <w:pPr>
        <w:spacing w:line="440" w:lineRule="exact"/>
        <w:ind w:left="1079" w:leftChars="171" w:hanging="720" w:hangingChars="300"/>
        <w:rPr>
          <w:rFonts w:hint="eastAsia" w:ascii="宋体" w:hAnsi="宋体" w:cs="宋体"/>
          <w:sz w:val="24"/>
          <w:szCs w:val="24"/>
        </w:rPr>
      </w:pPr>
      <w:r>
        <w:rPr>
          <w:rFonts w:hint="eastAsia" w:ascii="宋体" w:hAnsi="宋体" w:cs="宋体"/>
          <w:sz w:val="24"/>
          <w:szCs w:val="24"/>
        </w:rPr>
        <w:t>（四）我方如果中标，将保证履行招标文件以及招标文件修改书（如有）中的全部责任和义务，按质、按量、按期完成《合同书》中的全部任务。</w:t>
      </w:r>
    </w:p>
    <w:p w14:paraId="71A60EAB">
      <w:pPr>
        <w:spacing w:line="440" w:lineRule="exact"/>
        <w:ind w:left="315"/>
        <w:rPr>
          <w:rFonts w:hint="eastAsia" w:ascii="宋体" w:hAnsi="宋体" w:cs="宋体"/>
          <w:sz w:val="24"/>
          <w:szCs w:val="24"/>
        </w:rPr>
      </w:pPr>
      <w:r>
        <w:rPr>
          <w:rFonts w:hint="eastAsia" w:ascii="宋体" w:hAnsi="宋体" w:cs="宋体"/>
          <w:sz w:val="24"/>
          <w:szCs w:val="24"/>
        </w:rPr>
        <w:t>（五）所有与本投标有关的函件请发往下列地址：</w:t>
      </w:r>
    </w:p>
    <w:p w14:paraId="05532305">
      <w:pPr>
        <w:spacing w:line="440" w:lineRule="exact"/>
        <w:ind w:firstLine="435"/>
        <w:rPr>
          <w:rFonts w:hint="eastAsia" w:ascii="宋体" w:hAnsi="宋体" w:cs="宋体"/>
          <w:sz w:val="24"/>
          <w:szCs w:val="24"/>
        </w:rPr>
      </w:pPr>
      <w:r>
        <w:rPr>
          <w:rFonts w:hint="eastAsia" w:ascii="宋体" w:hAnsi="宋体" w:cs="宋体"/>
          <w:sz w:val="24"/>
          <w:szCs w:val="24"/>
        </w:rPr>
        <w:t xml:space="preserve">   地址</w:t>
      </w:r>
      <w:r>
        <w:rPr>
          <w:rFonts w:hint="eastAsia" w:ascii="宋体" w:hAnsi="宋体" w:cs="宋体"/>
          <w:sz w:val="24"/>
          <w:szCs w:val="24"/>
          <w:u w:val="single"/>
        </w:rPr>
        <w:t xml:space="preserve">                           </w:t>
      </w:r>
    </w:p>
    <w:p w14:paraId="5F24F7C9">
      <w:pPr>
        <w:spacing w:line="440" w:lineRule="exact"/>
        <w:ind w:firstLine="435"/>
        <w:rPr>
          <w:rFonts w:hint="eastAsia" w:ascii="宋体" w:hAnsi="宋体" w:cs="宋体"/>
          <w:sz w:val="24"/>
          <w:szCs w:val="24"/>
        </w:rPr>
      </w:pPr>
      <w:r>
        <w:rPr>
          <w:rFonts w:hint="eastAsia" w:ascii="宋体" w:hAnsi="宋体" w:cs="宋体"/>
          <w:sz w:val="24"/>
          <w:szCs w:val="24"/>
        </w:rPr>
        <w:t xml:space="preserve">   电话</w:t>
      </w:r>
      <w:r>
        <w:rPr>
          <w:rFonts w:hint="eastAsia" w:ascii="宋体" w:hAnsi="宋体" w:cs="宋体"/>
          <w:sz w:val="24"/>
          <w:szCs w:val="24"/>
          <w:u w:val="single"/>
        </w:rPr>
        <w:t xml:space="preserve">                           </w:t>
      </w:r>
    </w:p>
    <w:p w14:paraId="5F3C0C4E">
      <w:pPr>
        <w:spacing w:line="440" w:lineRule="exact"/>
        <w:ind w:firstLine="435"/>
        <w:rPr>
          <w:rFonts w:hint="eastAsia" w:ascii="宋体" w:hAnsi="宋体" w:cs="宋体"/>
          <w:sz w:val="24"/>
          <w:szCs w:val="24"/>
        </w:rPr>
      </w:pPr>
      <w:r>
        <w:rPr>
          <w:rFonts w:hint="eastAsia" w:ascii="宋体" w:hAnsi="宋体" w:cs="宋体"/>
          <w:sz w:val="24"/>
          <w:szCs w:val="24"/>
        </w:rPr>
        <w:t xml:space="preserve">   传真</w:t>
      </w:r>
      <w:r>
        <w:rPr>
          <w:rFonts w:hint="eastAsia" w:ascii="宋体" w:hAnsi="宋体" w:cs="宋体"/>
          <w:sz w:val="24"/>
          <w:szCs w:val="24"/>
          <w:u w:val="single"/>
        </w:rPr>
        <w:t xml:space="preserve">                           </w:t>
      </w:r>
    </w:p>
    <w:p w14:paraId="318EFE7D">
      <w:pPr>
        <w:spacing w:line="440" w:lineRule="exact"/>
        <w:ind w:firstLine="840" w:firstLineChars="350"/>
        <w:rPr>
          <w:rFonts w:hint="eastAsia" w:ascii="宋体" w:hAnsi="宋体" w:cs="宋体"/>
          <w:sz w:val="24"/>
          <w:szCs w:val="24"/>
        </w:rPr>
      </w:pPr>
      <w:r>
        <w:rPr>
          <w:rFonts w:hint="eastAsia" w:ascii="宋体" w:hAnsi="宋体" w:cs="宋体"/>
          <w:sz w:val="24"/>
          <w:szCs w:val="24"/>
        </w:rPr>
        <w:t>电子邮件</w:t>
      </w:r>
      <w:r>
        <w:rPr>
          <w:rFonts w:hint="eastAsia" w:ascii="宋体" w:hAnsi="宋体" w:cs="宋体"/>
          <w:sz w:val="24"/>
          <w:szCs w:val="24"/>
          <w:u w:val="single"/>
        </w:rPr>
        <w:t xml:space="preserve">                           </w:t>
      </w:r>
    </w:p>
    <w:p w14:paraId="27C040CE">
      <w:pPr>
        <w:spacing w:line="360" w:lineRule="auto"/>
        <w:ind w:firstLine="435"/>
        <w:rPr>
          <w:rFonts w:hint="eastAsia" w:ascii="宋体" w:hAnsi="宋体" w:cs="宋体"/>
          <w:sz w:val="24"/>
          <w:szCs w:val="24"/>
        </w:rPr>
      </w:pPr>
    </w:p>
    <w:p w14:paraId="2033733D">
      <w:pPr>
        <w:spacing w:line="440" w:lineRule="exact"/>
        <w:ind w:firstLine="4860"/>
        <w:rPr>
          <w:rFonts w:hint="eastAsia" w:ascii="宋体" w:hAnsi="宋体" w:cs="宋体"/>
          <w:sz w:val="24"/>
          <w:szCs w:val="24"/>
          <w:u w:val="single"/>
        </w:rPr>
      </w:pPr>
      <w:r>
        <w:rPr>
          <w:rFonts w:hint="eastAsia" w:ascii="宋体" w:hAnsi="宋体" w:eastAsia="宋体" w:cs="宋体"/>
          <w:color w:val="auto"/>
          <w:sz w:val="24"/>
          <w:highlight w:val="none"/>
        </w:rPr>
        <w:t>供应商全称</w:t>
      </w:r>
      <w:r>
        <w:rPr>
          <w:rFonts w:hint="eastAsia" w:ascii="宋体" w:hAnsi="宋体" w:cs="宋体"/>
          <w:sz w:val="24"/>
          <w:szCs w:val="24"/>
        </w:rPr>
        <w:t>（盖章）：</w:t>
      </w:r>
      <w:r>
        <w:rPr>
          <w:rFonts w:hint="eastAsia" w:ascii="宋体" w:hAnsi="宋体" w:cs="宋体"/>
          <w:sz w:val="24"/>
          <w:szCs w:val="24"/>
          <w:u w:val="single"/>
        </w:rPr>
        <w:t xml:space="preserve">                           </w:t>
      </w:r>
    </w:p>
    <w:p w14:paraId="736E3B6F">
      <w:pPr>
        <w:spacing w:line="440" w:lineRule="exact"/>
        <w:ind w:firstLine="4860"/>
        <w:rPr>
          <w:rFonts w:hint="eastAsia" w:ascii="宋体" w:hAnsi="宋体" w:cs="宋体"/>
          <w:sz w:val="24"/>
          <w:szCs w:val="24"/>
        </w:rPr>
      </w:pPr>
      <w:r>
        <w:rPr>
          <w:rFonts w:hint="eastAsia" w:ascii="宋体" w:hAnsi="宋体" w:cs="宋体"/>
          <w:sz w:val="24"/>
          <w:szCs w:val="24"/>
        </w:rPr>
        <w:t>日 期：  年  月  日</w:t>
      </w:r>
    </w:p>
    <w:p w14:paraId="3817045D">
      <w:pPr>
        <w:spacing w:line="440" w:lineRule="exact"/>
        <w:ind w:firstLine="435"/>
        <w:rPr>
          <w:rFonts w:hint="eastAsia" w:ascii="宋体" w:hAnsi="宋体" w:cs="宋体"/>
          <w:sz w:val="24"/>
          <w:szCs w:val="24"/>
          <w:u w:val="single"/>
        </w:rPr>
      </w:pPr>
    </w:p>
    <w:p w14:paraId="1E59631C">
      <w:pPr>
        <w:pStyle w:val="40"/>
        <w:rPr>
          <w:rFonts w:hint="eastAsia" w:ascii="宋体" w:hAnsi="宋体" w:cs="宋体"/>
          <w:sz w:val="22"/>
          <w:szCs w:val="22"/>
          <w:u w:val="single"/>
        </w:rPr>
      </w:pPr>
    </w:p>
    <w:p w14:paraId="2B6DFCBC">
      <w:pPr>
        <w:pStyle w:val="9"/>
        <w:rPr>
          <w:rFonts w:hint="eastAsia" w:ascii="宋体" w:hAnsi="宋体" w:cs="宋体"/>
          <w:sz w:val="22"/>
          <w:szCs w:val="22"/>
          <w:u w:val="single"/>
        </w:rPr>
      </w:pPr>
    </w:p>
    <w:p w14:paraId="5BF441A1">
      <w:pPr>
        <w:pStyle w:val="10"/>
        <w:ind w:firstLine="300"/>
        <w:rPr>
          <w:rFonts w:hint="eastAsia" w:ascii="宋体" w:hAnsi="宋体" w:eastAsia="宋体" w:cs="宋体"/>
        </w:rPr>
      </w:pPr>
    </w:p>
    <w:p w14:paraId="468BFD77">
      <w:pPr>
        <w:pStyle w:val="11"/>
        <w:rPr>
          <w:rFonts w:hint="eastAsia"/>
        </w:rPr>
      </w:pPr>
    </w:p>
    <w:p w14:paraId="7198C0D0">
      <w:pPr>
        <w:spacing w:line="460" w:lineRule="exact"/>
        <w:ind w:firstLine="442" w:firstLineChars="200"/>
        <w:rPr>
          <w:rFonts w:hint="eastAsia" w:ascii="宋体" w:hAnsi="宋体" w:cs="宋体"/>
          <w:b/>
          <w:bCs/>
          <w:sz w:val="22"/>
          <w:szCs w:val="22"/>
        </w:rPr>
      </w:pPr>
    </w:p>
    <w:p w14:paraId="38F11BAC">
      <w:pPr>
        <w:pStyle w:val="7"/>
        <w:ind w:left="0" w:leftChars="0" w:firstLine="0" w:firstLineChars="0"/>
        <w:rPr>
          <w:rFonts w:hint="eastAsia" w:ascii="宋体" w:hAnsi="宋体"/>
        </w:rPr>
      </w:pPr>
    </w:p>
    <w:p w14:paraId="1BC4A2BB">
      <w:pPr>
        <w:spacing w:line="460" w:lineRule="exact"/>
        <w:rPr>
          <w:rFonts w:hint="eastAsia"/>
        </w:rPr>
      </w:pPr>
      <w:r>
        <w:rPr>
          <w:rFonts w:hint="eastAsia" w:ascii="宋体" w:hAnsi="宋体" w:cs="宋体"/>
          <w:b/>
          <w:bCs/>
          <w:sz w:val="22"/>
          <w:szCs w:val="22"/>
        </w:rPr>
        <w:t>附件5</w:t>
      </w:r>
    </w:p>
    <w:p w14:paraId="00FC84B6">
      <w:pPr>
        <w:widowControl/>
        <w:spacing w:line="420" w:lineRule="atLeast"/>
        <w:jc w:val="center"/>
        <w:rPr>
          <w:rFonts w:hint="eastAsia" w:ascii="宋体" w:hAnsi="宋体" w:cs="宋体"/>
          <w:b/>
          <w:bCs/>
          <w:kern w:val="0"/>
          <w:sz w:val="30"/>
          <w:szCs w:val="30"/>
        </w:rPr>
      </w:pPr>
      <w:r>
        <w:rPr>
          <w:rFonts w:hint="eastAsia" w:ascii="宋体" w:hAnsi="宋体" w:cs="宋体"/>
          <w:b/>
          <w:bCs/>
          <w:kern w:val="0"/>
          <w:sz w:val="30"/>
          <w:szCs w:val="30"/>
          <w:lang w:val="en-US" w:eastAsia="zh-CN"/>
        </w:rPr>
        <w:t>供应商</w:t>
      </w:r>
      <w:r>
        <w:rPr>
          <w:rFonts w:hint="eastAsia" w:ascii="宋体" w:hAnsi="宋体" w:cs="宋体"/>
          <w:b/>
          <w:bCs/>
          <w:kern w:val="0"/>
          <w:sz w:val="30"/>
          <w:szCs w:val="30"/>
        </w:rPr>
        <w:t>基本情况表</w:t>
      </w:r>
    </w:p>
    <w:tbl>
      <w:tblPr>
        <w:tblStyle w:val="2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3"/>
        <w:gridCol w:w="1434"/>
        <w:gridCol w:w="1423"/>
        <w:gridCol w:w="1431"/>
        <w:gridCol w:w="1533"/>
        <w:gridCol w:w="308"/>
        <w:gridCol w:w="1571"/>
      </w:tblGrid>
      <w:tr w14:paraId="7C821B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tcBorders>
              <w:top w:val="single" w:color="auto" w:sz="4" w:space="0"/>
              <w:left w:val="single" w:color="auto" w:sz="4" w:space="0"/>
              <w:bottom w:val="single" w:color="auto" w:sz="4" w:space="0"/>
              <w:right w:val="single" w:color="auto" w:sz="4" w:space="0"/>
            </w:tcBorders>
            <w:noWrap w:val="0"/>
            <w:vAlign w:val="center"/>
          </w:tcPr>
          <w:p w14:paraId="0B4589BC">
            <w:pPr>
              <w:spacing w:line="320" w:lineRule="exact"/>
              <w:jc w:val="center"/>
              <w:rPr>
                <w:rFonts w:hint="eastAsia" w:ascii="宋体" w:hAnsi="宋体" w:eastAsia="宋体" w:cs="宋体"/>
                <w:bCs/>
                <w:sz w:val="24"/>
                <w:szCs w:val="24"/>
              </w:rPr>
            </w:pPr>
            <w:r>
              <w:rPr>
                <w:rFonts w:hint="eastAsia" w:ascii="宋体" w:hAnsi="宋体" w:cs="宋体"/>
                <w:bCs/>
                <w:sz w:val="24"/>
                <w:szCs w:val="24"/>
                <w:lang w:val="en-US" w:eastAsia="zh-CN"/>
              </w:rPr>
              <w:t>供应商</w:t>
            </w:r>
            <w:r>
              <w:rPr>
                <w:rFonts w:hint="eastAsia" w:ascii="宋体" w:hAnsi="宋体" w:eastAsia="宋体" w:cs="宋体"/>
                <w:bCs/>
                <w:sz w:val="24"/>
                <w:szCs w:val="24"/>
              </w:rPr>
              <w:t>名称</w:t>
            </w:r>
          </w:p>
        </w:tc>
        <w:tc>
          <w:tcPr>
            <w:tcW w:w="7700" w:type="dxa"/>
            <w:gridSpan w:val="6"/>
            <w:tcBorders>
              <w:top w:val="single" w:color="auto" w:sz="4" w:space="0"/>
              <w:left w:val="single" w:color="auto" w:sz="4" w:space="0"/>
              <w:bottom w:val="single" w:color="auto" w:sz="4" w:space="0"/>
              <w:right w:val="single" w:color="auto" w:sz="4" w:space="0"/>
            </w:tcBorders>
            <w:noWrap w:val="0"/>
            <w:vAlign w:val="center"/>
          </w:tcPr>
          <w:p w14:paraId="34582AF8">
            <w:pPr>
              <w:spacing w:line="240" w:lineRule="exact"/>
              <w:rPr>
                <w:rFonts w:hint="eastAsia" w:ascii="宋体" w:hAnsi="宋体" w:eastAsia="宋体" w:cs="宋体"/>
                <w:sz w:val="24"/>
                <w:szCs w:val="24"/>
              </w:rPr>
            </w:pPr>
          </w:p>
        </w:tc>
      </w:tr>
      <w:tr w14:paraId="50581E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tcBorders>
              <w:top w:val="single" w:color="auto" w:sz="4" w:space="0"/>
              <w:left w:val="single" w:color="auto" w:sz="4" w:space="0"/>
              <w:bottom w:val="single" w:color="auto" w:sz="4" w:space="0"/>
              <w:right w:val="single" w:color="auto" w:sz="4" w:space="0"/>
            </w:tcBorders>
            <w:noWrap w:val="0"/>
            <w:vAlign w:val="center"/>
          </w:tcPr>
          <w:p w14:paraId="0B0EFB2D">
            <w:pPr>
              <w:spacing w:line="320" w:lineRule="exact"/>
              <w:ind w:left="-28" w:leftChars="-51" w:right="-107" w:rightChars="-51" w:hanging="79" w:hangingChars="33"/>
              <w:jc w:val="center"/>
              <w:rPr>
                <w:rFonts w:hint="eastAsia" w:ascii="宋体" w:hAnsi="宋体" w:eastAsia="宋体" w:cs="宋体"/>
                <w:bCs/>
                <w:sz w:val="24"/>
                <w:szCs w:val="24"/>
              </w:rPr>
            </w:pPr>
            <w:r>
              <w:rPr>
                <w:rFonts w:hint="eastAsia" w:ascii="宋体" w:hAnsi="宋体" w:eastAsia="宋体" w:cs="宋体"/>
                <w:bCs/>
                <w:sz w:val="24"/>
                <w:szCs w:val="24"/>
              </w:rPr>
              <w:t>法定代表人</w:t>
            </w:r>
          </w:p>
        </w:tc>
        <w:tc>
          <w:tcPr>
            <w:tcW w:w="1434" w:type="dxa"/>
            <w:tcBorders>
              <w:top w:val="single" w:color="auto" w:sz="4" w:space="0"/>
              <w:left w:val="single" w:color="auto" w:sz="4" w:space="0"/>
              <w:bottom w:val="single" w:color="auto" w:sz="4" w:space="0"/>
              <w:right w:val="single" w:color="auto" w:sz="4" w:space="0"/>
            </w:tcBorders>
            <w:noWrap w:val="0"/>
            <w:vAlign w:val="center"/>
          </w:tcPr>
          <w:p w14:paraId="59B5851C">
            <w:pPr>
              <w:spacing w:line="240" w:lineRule="exact"/>
              <w:jc w:val="center"/>
              <w:rPr>
                <w:rFonts w:hint="eastAsia" w:ascii="宋体" w:hAnsi="宋体" w:eastAsia="宋体" w:cs="宋体"/>
                <w:bCs/>
                <w:sz w:val="24"/>
                <w:szCs w:val="24"/>
              </w:rPr>
            </w:pPr>
          </w:p>
        </w:tc>
        <w:tc>
          <w:tcPr>
            <w:tcW w:w="1423" w:type="dxa"/>
            <w:tcBorders>
              <w:top w:val="single" w:color="auto" w:sz="4" w:space="0"/>
              <w:left w:val="single" w:color="auto" w:sz="4" w:space="0"/>
              <w:bottom w:val="single" w:color="auto" w:sz="4" w:space="0"/>
              <w:right w:val="single" w:color="auto" w:sz="4" w:space="0"/>
            </w:tcBorders>
            <w:noWrap w:val="0"/>
            <w:vAlign w:val="center"/>
          </w:tcPr>
          <w:p w14:paraId="6FDE1513">
            <w:pPr>
              <w:spacing w:line="320" w:lineRule="exact"/>
              <w:ind w:left="-28" w:leftChars="-51" w:right="-107" w:rightChars="-51" w:hanging="79" w:hangingChars="33"/>
              <w:jc w:val="center"/>
              <w:rPr>
                <w:rFonts w:hint="eastAsia" w:ascii="宋体" w:hAnsi="宋体" w:eastAsia="宋体" w:cs="宋体"/>
                <w:bCs/>
                <w:sz w:val="24"/>
                <w:szCs w:val="24"/>
              </w:rPr>
            </w:pPr>
            <w:r>
              <w:rPr>
                <w:rFonts w:hint="eastAsia" w:ascii="宋体" w:hAnsi="宋体" w:eastAsia="宋体" w:cs="宋体"/>
                <w:bCs/>
                <w:sz w:val="24"/>
                <w:szCs w:val="24"/>
              </w:rPr>
              <w:t>授权代表人</w:t>
            </w:r>
          </w:p>
        </w:tc>
        <w:tc>
          <w:tcPr>
            <w:tcW w:w="1431" w:type="dxa"/>
            <w:tcBorders>
              <w:top w:val="single" w:color="auto" w:sz="4" w:space="0"/>
              <w:left w:val="single" w:color="auto" w:sz="4" w:space="0"/>
              <w:bottom w:val="single" w:color="auto" w:sz="4" w:space="0"/>
              <w:right w:val="single" w:color="auto" w:sz="4" w:space="0"/>
            </w:tcBorders>
            <w:noWrap w:val="0"/>
            <w:vAlign w:val="center"/>
          </w:tcPr>
          <w:p w14:paraId="6F990762">
            <w:pPr>
              <w:spacing w:line="240" w:lineRule="exact"/>
              <w:jc w:val="center"/>
              <w:rPr>
                <w:rFonts w:hint="eastAsia" w:ascii="宋体" w:hAnsi="宋体" w:eastAsia="宋体" w:cs="宋体"/>
                <w:bCs/>
                <w:sz w:val="24"/>
                <w:szCs w:val="24"/>
              </w:rPr>
            </w:pPr>
          </w:p>
        </w:tc>
        <w:tc>
          <w:tcPr>
            <w:tcW w:w="1533" w:type="dxa"/>
            <w:tcBorders>
              <w:top w:val="single" w:color="auto" w:sz="4" w:space="0"/>
              <w:left w:val="single" w:color="auto" w:sz="4" w:space="0"/>
              <w:bottom w:val="single" w:color="auto" w:sz="4" w:space="0"/>
              <w:right w:val="single" w:color="auto" w:sz="4" w:space="0"/>
            </w:tcBorders>
            <w:noWrap w:val="0"/>
            <w:vAlign w:val="center"/>
          </w:tcPr>
          <w:p w14:paraId="2A93A0CB">
            <w:pPr>
              <w:spacing w:line="320" w:lineRule="exact"/>
              <w:jc w:val="center"/>
              <w:rPr>
                <w:rFonts w:hint="eastAsia" w:ascii="宋体" w:hAnsi="宋体" w:eastAsia="宋体" w:cs="宋体"/>
                <w:bCs/>
                <w:sz w:val="24"/>
                <w:szCs w:val="24"/>
              </w:rPr>
            </w:pPr>
            <w:r>
              <w:rPr>
                <w:rFonts w:hint="eastAsia" w:ascii="宋体" w:hAnsi="宋体" w:eastAsia="宋体" w:cs="宋体"/>
                <w:bCs/>
                <w:sz w:val="24"/>
                <w:szCs w:val="24"/>
              </w:rPr>
              <w:t>营业（经营）执照号码</w:t>
            </w:r>
          </w:p>
        </w:tc>
        <w:tc>
          <w:tcPr>
            <w:tcW w:w="1879" w:type="dxa"/>
            <w:gridSpan w:val="2"/>
            <w:tcBorders>
              <w:top w:val="single" w:color="auto" w:sz="4" w:space="0"/>
              <w:left w:val="single" w:color="auto" w:sz="4" w:space="0"/>
              <w:bottom w:val="single" w:color="auto" w:sz="4" w:space="0"/>
              <w:right w:val="single" w:color="auto" w:sz="4" w:space="0"/>
            </w:tcBorders>
            <w:noWrap w:val="0"/>
            <w:vAlign w:val="center"/>
          </w:tcPr>
          <w:p w14:paraId="24A66998">
            <w:pPr>
              <w:spacing w:line="240" w:lineRule="exact"/>
              <w:rPr>
                <w:rFonts w:hint="eastAsia" w:ascii="宋体" w:hAnsi="宋体" w:eastAsia="宋体" w:cs="宋体"/>
                <w:bCs/>
                <w:sz w:val="24"/>
                <w:szCs w:val="24"/>
              </w:rPr>
            </w:pPr>
          </w:p>
        </w:tc>
      </w:tr>
      <w:tr w14:paraId="61F698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tcBorders>
              <w:top w:val="single" w:color="auto" w:sz="4" w:space="0"/>
              <w:left w:val="single" w:color="auto" w:sz="4" w:space="0"/>
              <w:bottom w:val="single" w:color="auto" w:sz="4" w:space="0"/>
              <w:right w:val="single" w:color="auto" w:sz="4" w:space="0"/>
            </w:tcBorders>
            <w:noWrap w:val="0"/>
            <w:vAlign w:val="center"/>
          </w:tcPr>
          <w:p w14:paraId="63F00AEB">
            <w:pPr>
              <w:spacing w:line="320" w:lineRule="exact"/>
              <w:jc w:val="center"/>
              <w:rPr>
                <w:rFonts w:hint="eastAsia" w:ascii="宋体" w:hAnsi="宋体" w:eastAsia="宋体" w:cs="宋体"/>
                <w:bCs/>
                <w:sz w:val="24"/>
                <w:szCs w:val="24"/>
              </w:rPr>
            </w:pPr>
            <w:r>
              <w:rPr>
                <w:rFonts w:hint="eastAsia" w:ascii="宋体" w:hAnsi="宋体" w:eastAsia="宋体" w:cs="宋体"/>
                <w:bCs/>
                <w:sz w:val="24"/>
                <w:szCs w:val="24"/>
              </w:rPr>
              <w:t>职工人数</w:t>
            </w:r>
          </w:p>
        </w:tc>
        <w:tc>
          <w:tcPr>
            <w:tcW w:w="1434" w:type="dxa"/>
            <w:tcBorders>
              <w:top w:val="single" w:color="auto" w:sz="4" w:space="0"/>
              <w:left w:val="single" w:color="auto" w:sz="4" w:space="0"/>
              <w:bottom w:val="single" w:color="auto" w:sz="4" w:space="0"/>
              <w:right w:val="single" w:color="auto" w:sz="4" w:space="0"/>
            </w:tcBorders>
            <w:noWrap w:val="0"/>
            <w:vAlign w:val="center"/>
          </w:tcPr>
          <w:p w14:paraId="73A8321F">
            <w:pPr>
              <w:spacing w:line="240" w:lineRule="exact"/>
              <w:jc w:val="center"/>
              <w:rPr>
                <w:rFonts w:hint="eastAsia" w:ascii="宋体" w:hAnsi="宋体" w:eastAsia="宋体" w:cs="宋体"/>
                <w:bCs/>
                <w:sz w:val="24"/>
                <w:szCs w:val="24"/>
              </w:rPr>
            </w:pPr>
          </w:p>
        </w:tc>
        <w:tc>
          <w:tcPr>
            <w:tcW w:w="1423" w:type="dxa"/>
            <w:tcBorders>
              <w:top w:val="single" w:color="auto" w:sz="4" w:space="0"/>
              <w:left w:val="single" w:color="auto" w:sz="4" w:space="0"/>
              <w:bottom w:val="single" w:color="auto" w:sz="4" w:space="0"/>
              <w:right w:val="single" w:color="auto" w:sz="4" w:space="0"/>
            </w:tcBorders>
            <w:noWrap w:val="0"/>
            <w:vAlign w:val="center"/>
          </w:tcPr>
          <w:p w14:paraId="762DB7E0">
            <w:pPr>
              <w:spacing w:line="320" w:lineRule="exact"/>
              <w:jc w:val="center"/>
              <w:rPr>
                <w:rFonts w:hint="eastAsia" w:ascii="宋体" w:hAnsi="宋体" w:eastAsia="宋体" w:cs="宋体"/>
                <w:bCs/>
                <w:sz w:val="24"/>
                <w:szCs w:val="24"/>
              </w:rPr>
            </w:pPr>
            <w:r>
              <w:rPr>
                <w:rFonts w:hint="eastAsia" w:ascii="宋体" w:hAnsi="宋体" w:eastAsia="宋体" w:cs="宋体"/>
                <w:bCs/>
                <w:sz w:val="24"/>
                <w:szCs w:val="24"/>
              </w:rPr>
              <w:t>注册时间</w:t>
            </w:r>
          </w:p>
        </w:tc>
        <w:tc>
          <w:tcPr>
            <w:tcW w:w="1431" w:type="dxa"/>
            <w:tcBorders>
              <w:top w:val="single" w:color="auto" w:sz="4" w:space="0"/>
              <w:left w:val="single" w:color="auto" w:sz="4" w:space="0"/>
              <w:bottom w:val="single" w:color="auto" w:sz="4" w:space="0"/>
              <w:right w:val="single" w:color="auto" w:sz="4" w:space="0"/>
            </w:tcBorders>
            <w:noWrap w:val="0"/>
            <w:vAlign w:val="center"/>
          </w:tcPr>
          <w:p w14:paraId="2B452F40">
            <w:pPr>
              <w:spacing w:line="240" w:lineRule="exact"/>
              <w:ind w:right="-89"/>
              <w:jc w:val="center"/>
              <w:rPr>
                <w:rFonts w:hint="eastAsia" w:ascii="宋体" w:hAnsi="宋体" w:eastAsia="宋体" w:cs="宋体"/>
                <w:bCs/>
                <w:sz w:val="24"/>
                <w:szCs w:val="24"/>
              </w:rPr>
            </w:pPr>
          </w:p>
        </w:tc>
        <w:tc>
          <w:tcPr>
            <w:tcW w:w="1533" w:type="dxa"/>
            <w:tcBorders>
              <w:top w:val="single" w:color="auto" w:sz="4" w:space="0"/>
              <w:left w:val="single" w:color="auto" w:sz="4" w:space="0"/>
              <w:bottom w:val="single" w:color="auto" w:sz="4" w:space="0"/>
              <w:right w:val="single" w:color="auto" w:sz="4" w:space="0"/>
            </w:tcBorders>
            <w:noWrap w:val="0"/>
            <w:vAlign w:val="center"/>
          </w:tcPr>
          <w:p w14:paraId="1F2AC7AD">
            <w:pPr>
              <w:spacing w:line="320" w:lineRule="exact"/>
              <w:ind w:left="-28" w:leftChars="-51" w:hanging="79" w:hangingChars="33"/>
              <w:jc w:val="center"/>
              <w:rPr>
                <w:rFonts w:hint="eastAsia" w:ascii="宋体" w:hAnsi="宋体" w:eastAsia="宋体" w:cs="宋体"/>
                <w:bCs/>
                <w:sz w:val="24"/>
                <w:szCs w:val="24"/>
              </w:rPr>
            </w:pPr>
            <w:r>
              <w:rPr>
                <w:rFonts w:hint="eastAsia" w:ascii="宋体" w:hAnsi="宋体" w:eastAsia="宋体" w:cs="宋体"/>
                <w:bCs/>
                <w:sz w:val="24"/>
                <w:szCs w:val="24"/>
              </w:rPr>
              <w:t>注册资金</w:t>
            </w:r>
          </w:p>
        </w:tc>
        <w:tc>
          <w:tcPr>
            <w:tcW w:w="1879" w:type="dxa"/>
            <w:gridSpan w:val="2"/>
            <w:tcBorders>
              <w:top w:val="single" w:color="auto" w:sz="4" w:space="0"/>
              <w:left w:val="single" w:color="auto" w:sz="4" w:space="0"/>
              <w:bottom w:val="single" w:color="auto" w:sz="4" w:space="0"/>
              <w:right w:val="single" w:color="auto" w:sz="4" w:space="0"/>
            </w:tcBorders>
            <w:noWrap w:val="0"/>
            <w:vAlign w:val="center"/>
          </w:tcPr>
          <w:p w14:paraId="49FF76B6">
            <w:pPr>
              <w:spacing w:line="320" w:lineRule="exact"/>
              <w:rPr>
                <w:rFonts w:hint="eastAsia" w:ascii="宋体" w:hAnsi="宋体" w:eastAsia="宋体" w:cs="宋体"/>
                <w:bCs/>
                <w:sz w:val="24"/>
                <w:szCs w:val="24"/>
              </w:rPr>
            </w:pPr>
            <w:r>
              <w:rPr>
                <w:rFonts w:hint="eastAsia" w:ascii="宋体" w:hAnsi="宋体" w:eastAsia="宋体" w:cs="宋体"/>
                <w:bCs/>
                <w:sz w:val="24"/>
                <w:szCs w:val="24"/>
              </w:rPr>
              <w:t xml:space="preserve">      万元</w:t>
            </w:r>
          </w:p>
        </w:tc>
      </w:tr>
      <w:tr w14:paraId="650815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tcBorders>
              <w:top w:val="single" w:color="auto" w:sz="4" w:space="0"/>
              <w:left w:val="single" w:color="auto" w:sz="4" w:space="0"/>
              <w:bottom w:val="single" w:color="auto" w:sz="4" w:space="0"/>
              <w:right w:val="single" w:color="auto" w:sz="4" w:space="0"/>
            </w:tcBorders>
            <w:noWrap w:val="0"/>
            <w:vAlign w:val="center"/>
          </w:tcPr>
          <w:p w14:paraId="3EE43E88">
            <w:pPr>
              <w:spacing w:line="320" w:lineRule="exact"/>
              <w:jc w:val="center"/>
              <w:rPr>
                <w:rFonts w:hint="eastAsia" w:ascii="宋体" w:hAnsi="宋体" w:eastAsia="宋体" w:cs="宋体"/>
                <w:bCs/>
                <w:sz w:val="24"/>
                <w:szCs w:val="24"/>
              </w:rPr>
            </w:pPr>
            <w:r>
              <w:rPr>
                <w:rFonts w:hint="eastAsia" w:ascii="宋体" w:hAnsi="宋体" w:eastAsia="宋体" w:cs="宋体"/>
                <w:bCs/>
                <w:sz w:val="24"/>
                <w:szCs w:val="24"/>
              </w:rPr>
              <w:t>地   址</w:t>
            </w:r>
          </w:p>
        </w:tc>
        <w:tc>
          <w:tcPr>
            <w:tcW w:w="7700" w:type="dxa"/>
            <w:gridSpan w:val="6"/>
            <w:tcBorders>
              <w:top w:val="single" w:color="auto" w:sz="4" w:space="0"/>
              <w:left w:val="single" w:color="auto" w:sz="4" w:space="0"/>
              <w:bottom w:val="single" w:color="auto" w:sz="4" w:space="0"/>
              <w:right w:val="single" w:color="auto" w:sz="4" w:space="0"/>
            </w:tcBorders>
            <w:noWrap w:val="0"/>
            <w:vAlign w:val="center"/>
          </w:tcPr>
          <w:p w14:paraId="464EB934">
            <w:pPr>
              <w:spacing w:line="240" w:lineRule="exact"/>
              <w:jc w:val="center"/>
              <w:rPr>
                <w:rFonts w:hint="eastAsia" w:ascii="宋体" w:hAnsi="宋体" w:eastAsia="宋体" w:cs="宋体"/>
                <w:bCs/>
                <w:sz w:val="24"/>
                <w:szCs w:val="24"/>
              </w:rPr>
            </w:pPr>
          </w:p>
        </w:tc>
      </w:tr>
      <w:tr w14:paraId="62797B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restart"/>
            <w:tcBorders>
              <w:top w:val="single" w:color="auto" w:sz="4" w:space="0"/>
              <w:left w:val="single" w:color="auto" w:sz="4" w:space="0"/>
              <w:right w:val="single" w:color="auto" w:sz="4" w:space="0"/>
            </w:tcBorders>
            <w:noWrap w:val="0"/>
            <w:vAlign w:val="center"/>
          </w:tcPr>
          <w:p w14:paraId="3A9D609A">
            <w:pPr>
              <w:spacing w:line="320" w:lineRule="exact"/>
              <w:jc w:val="center"/>
              <w:rPr>
                <w:rFonts w:hint="eastAsia" w:ascii="宋体" w:hAnsi="宋体" w:eastAsia="宋体" w:cs="宋体"/>
                <w:sz w:val="24"/>
                <w:szCs w:val="24"/>
              </w:rPr>
            </w:pPr>
            <w:r>
              <w:rPr>
                <w:rFonts w:hint="eastAsia" w:ascii="宋体" w:hAnsi="宋体" w:eastAsia="宋体" w:cs="宋体"/>
                <w:sz w:val="24"/>
                <w:szCs w:val="24"/>
              </w:rPr>
              <w:t>所获资质</w:t>
            </w:r>
          </w:p>
          <w:p w14:paraId="129D7D89">
            <w:pPr>
              <w:spacing w:line="320" w:lineRule="exact"/>
              <w:jc w:val="center"/>
              <w:rPr>
                <w:rFonts w:hint="eastAsia" w:ascii="宋体" w:hAnsi="宋体" w:eastAsia="宋体" w:cs="宋体"/>
                <w:sz w:val="24"/>
                <w:szCs w:val="24"/>
              </w:rPr>
            </w:pPr>
            <w:r>
              <w:rPr>
                <w:rFonts w:hint="eastAsia" w:ascii="宋体" w:hAnsi="宋体" w:eastAsia="宋体" w:cs="宋体"/>
                <w:sz w:val="24"/>
                <w:szCs w:val="24"/>
              </w:rPr>
              <w:t>或认证</w:t>
            </w:r>
          </w:p>
        </w:tc>
        <w:tc>
          <w:tcPr>
            <w:tcW w:w="1434" w:type="dxa"/>
            <w:tcBorders>
              <w:top w:val="single" w:color="auto" w:sz="4" w:space="0"/>
              <w:left w:val="single" w:color="auto" w:sz="4" w:space="0"/>
              <w:bottom w:val="single" w:color="auto" w:sz="4" w:space="0"/>
              <w:right w:val="single" w:color="auto" w:sz="4" w:space="0"/>
            </w:tcBorders>
            <w:noWrap w:val="0"/>
            <w:vAlign w:val="center"/>
          </w:tcPr>
          <w:p w14:paraId="3D374A6F">
            <w:pPr>
              <w:spacing w:line="320" w:lineRule="exact"/>
              <w:jc w:val="center"/>
              <w:rPr>
                <w:rFonts w:hint="eastAsia" w:ascii="宋体" w:hAnsi="宋体" w:eastAsia="宋体" w:cs="宋体"/>
                <w:bCs/>
                <w:sz w:val="24"/>
                <w:szCs w:val="24"/>
              </w:rPr>
            </w:pPr>
            <w:r>
              <w:rPr>
                <w:rFonts w:hint="eastAsia" w:ascii="宋体" w:hAnsi="宋体" w:eastAsia="宋体" w:cs="宋体"/>
                <w:bCs/>
                <w:sz w:val="24"/>
                <w:szCs w:val="24"/>
              </w:rPr>
              <w:t>证书或证件名称及等级</w:t>
            </w: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3DFD7600">
            <w:pPr>
              <w:widowControl/>
              <w:spacing w:line="320" w:lineRule="exact"/>
              <w:jc w:val="center"/>
              <w:rPr>
                <w:rFonts w:hint="eastAsia" w:ascii="宋体" w:hAnsi="宋体" w:eastAsia="宋体" w:cs="宋体"/>
                <w:bCs/>
                <w:sz w:val="24"/>
                <w:szCs w:val="24"/>
              </w:rPr>
            </w:pPr>
            <w:r>
              <w:rPr>
                <w:rFonts w:hint="eastAsia" w:ascii="宋体" w:hAnsi="宋体" w:eastAsia="宋体" w:cs="宋体"/>
                <w:bCs/>
                <w:sz w:val="24"/>
                <w:szCs w:val="24"/>
              </w:rPr>
              <w:t>颁发部门</w:t>
            </w: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33B0AE4D">
            <w:pPr>
              <w:widowControl/>
              <w:spacing w:line="320" w:lineRule="exact"/>
              <w:jc w:val="center"/>
              <w:rPr>
                <w:rFonts w:hint="eastAsia" w:ascii="宋体" w:hAnsi="宋体" w:eastAsia="宋体" w:cs="宋体"/>
                <w:bCs/>
                <w:sz w:val="24"/>
                <w:szCs w:val="24"/>
              </w:rPr>
            </w:pPr>
            <w:r>
              <w:rPr>
                <w:rFonts w:hint="eastAsia" w:ascii="宋体" w:hAnsi="宋体" w:eastAsia="宋体" w:cs="宋体"/>
                <w:bCs/>
                <w:sz w:val="24"/>
                <w:szCs w:val="24"/>
              </w:rPr>
              <w:t>颁发时间</w:t>
            </w:r>
          </w:p>
        </w:tc>
        <w:tc>
          <w:tcPr>
            <w:tcW w:w="1571" w:type="dxa"/>
            <w:tcBorders>
              <w:top w:val="single" w:color="auto" w:sz="4" w:space="0"/>
              <w:left w:val="single" w:color="auto" w:sz="4" w:space="0"/>
              <w:bottom w:val="single" w:color="auto" w:sz="4" w:space="0"/>
              <w:right w:val="single" w:color="auto" w:sz="4" w:space="0"/>
            </w:tcBorders>
            <w:noWrap w:val="0"/>
            <w:vAlign w:val="center"/>
          </w:tcPr>
          <w:p w14:paraId="738B9B1D">
            <w:pPr>
              <w:widowControl/>
              <w:spacing w:line="320" w:lineRule="exact"/>
              <w:jc w:val="center"/>
              <w:rPr>
                <w:rFonts w:hint="eastAsia" w:ascii="宋体" w:hAnsi="宋体" w:eastAsia="宋体" w:cs="宋体"/>
                <w:bCs/>
                <w:sz w:val="24"/>
                <w:szCs w:val="24"/>
              </w:rPr>
            </w:pPr>
            <w:r>
              <w:rPr>
                <w:rFonts w:hint="eastAsia" w:ascii="宋体" w:hAnsi="宋体" w:eastAsia="宋体" w:cs="宋体"/>
                <w:bCs/>
                <w:sz w:val="24"/>
                <w:szCs w:val="24"/>
              </w:rPr>
              <w:t>有效期</w:t>
            </w:r>
          </w:p>
        </w:tc>
      </w:tr>
      <w:tr w14:paraId="39FCB3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noWrap w:val="0"/>
            <w:vAlign w:val="center"/>
          </w:tcPr>
          <w:p w14:paraId="70438E6C">
            <w:pPr>
              <w:spacing w:line="240" w:lineRule="exact"/>
              <w:jc w:val="center"/>
              <w:rPr>
                <w:rFonts w:hint="eastAsia" w:ascii="宋体" w:hAnsi="宋体" w:eastAsia="宋体" w:cs="宋体"/>
                <w:sz w:val="24"/>
                <w:szCs w:val="24"/>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41951132">
            <w:pPr>
              <w:spacing w:line="240" w:lineRule="exact"/>
              <w:rPr>
                <w:rFonts w:hint="eastAsia" w:ascii="宋体" w:hAnsi="宋体" w:eastAsia="宋体" w:cs="宋体"/>
                <w:sz w:val="24"/>
                <w:szCs w:val="24"/>
                <w:u w:val="single"/>
              </w:rPr>
            </w:pP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792D5E5E">
            <w:pPr>
              <w:spacing w:line="240" w:lineRule="exact"/>
              <w:rPr>
                <w:rFonts w:hint="eastAsia" w:ascii="宋体" w:hAnsi="宋体" w:eastAsia="宋体" w:cs="宋体"/>
                <w:sz w:val="24"/>
                <w:szCs w:val="24"/>
                <w:u w:val="single"/>
              </w:rPr>
            </w:pP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727DBA54">
            <w:pPr>
              <w:spacing w:line="240" w:lineRule="exact"/>
              <w:rPr>
                <w:rFonts w:hint="eastAsia" w:ascii="宋体" w:hAnsi="宋体" w:eastAsia="宋体" w:cs="宋体"/>
                <w:sz w:val="24"/>
                <w:szCs w:val="24"/>
                <w:u w:val="single"/>
              </w:rPr>
            </w:pPr>
          </w:p>
        </w:tc>
        <w:tc>
          <w:tcPr>
            <w:tcW w:w="1571" w:type="dxa"/>
            <w:tcBorders>
              <w:top w:val="single" w:color="auto" w:sz="4" w:space="0"/>
              <w:left w:val="single" w:color="auto" w:sz="4" w:space="0"/>
              <w:bottom w:val="single" w:color="auto" w:sz="4" w:space="0"/>
              <w:right w:val="single" w:color="auto" w:sz="4" w:space="0"/>
            </w:tcBorders>
            <w:noWrap w:val="0"/>
            <w:vAlign w:val="center"/>
          </w:tcPr>
          <w:p w14:paraId="52FB5851">
            <w:pPr>
              <w:spacing w:line="240" w:lineRule="exact"/>
              <w:rPr>
                <w:rFonts w:hint="eastAsia" w:ascii="宋体" w:hAnsi="宋体" w:eastAsia="宋体" w:cs="宋体"/>
                <w:sz w:val="24"/>
                <w:szCs w:val="24"/>
                <w:u w:val="single"/>
              </w:rPr>
            </w:pPr>
          </w:p>
        </w:tc>
      </w:tr>
      <w:tr w14:paraId="60A247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noWrap w:val="0"/>
            <w:vAlign w:val="center"/>
          </w:tcPr>
          <w:p w14:paraId="58E41010">
            <w:pPr>
              <w:spacing w:line="240" w:lineRule="exact"/>
              <w:jc w:val="center"/>
              <w:rPr>
                <w:rFonts w:hint="eastAsia" w:ascii="宋体" w:hAnsi="宋体" w:eastAsia="宋体" w:cs="宋体"/>
                <w:sz w:val="24"/>
                <w:szCs w:val="24"/>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2531FD5C">
            <w:pPr>
              <w:spacing w:line="240" w:lineRule="exact"/>
              <w:rPr>
                <w:rFonts w:hint="eastAsia" w:ascii="宋体" w:hAnsi="宋体" w:eastAsia="宋体" w:cs="宋体"/>
                <w:sz w:val="24"/>
                <w:szCs w:val="24"/>
                <w:u w:val="single"/>
              </w:rPr>
            </w:pP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316A38F0">
            <w:pPr>
              <w:spacing w:line="240" w:lineRule="exact"/>
              <w:rPr>
                <w:rFonts w:hint="eastAsia" w:ascii="宋体" w:hAnsi="宋体" w:eastAsia="宋体" w:cs="宋体"/>
                <w:sz w:val="24"/>
                <w:szCs w:val="24"/>
                <w:u w:val="single"/>
              </w:rPr>
            </w:pP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5DF7C01D">
            <w:pPr>
              <w:spacing w:line="240" w:lineRule="exact"/>
              <w:rPr>
                <w:rFonts w:hint="eastAsia" w:ascii="宋体" w:hAnsi="宋体" w:eastAsia="宋体" w:cs="宋体"/>
                <w:sz w:val="24"/>
                <w:szCs w:val="24"/>
                <w:u w:val="single"/>
              </w:rPr>
            </w:pPr>
          </w:p>
        </w:tc>
        <w:tc>
          <w:tcPr>
            <w:tcW w:w="1571" w:type="dxa"/>
            <w:tcBorders>
              <w:top w:val="single" w:color="auto" w:sz="4" w:space="0"/>
              <w:left w:val="single" w:color="auto" w:sz="4" w:space="0"/>
              <w:bottom w:val="single" w:color="auto" w:sz="4" w:space="0"/>
              <w:right w:val="single" w:color="auto" w:sz="4" w:space="0"/>
            </w:tcBorders>
            <w:noWrap w:val="0"/>
            <w:vAlign w:val="center"/>
          </w:tcPr>
          <w:p w14:paraId="1E4ADD70">
            <w:pPr>
              <w:spacing w:line="240" w:lineRule="exact"/>
              <w:rPr>
                <w:rFonts w:hint="eastAsia" w:ascii="宋体" w:hAnsi="宋体" w:eastAsia="宋体" w:cs="宋体"/>
                <w:sz w:val="24"/>
                <w:szCs w:val="24"/>
                <w:u w:val="single"/>
              </w:rPr>
            </w:pPr>
          </w:p>
        </w:tc>
      </w:tr>
      <w:tr w14:paraId="17C0FB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noWrap w:val="0"/>
            <w:vAlign w:val="center"/>
          </w:tcPr>
          <w:p w14:paraId="099B9059">
            <w:pPr>
              <w:spacing w:line="240" w:lineRule="exact"/>
              <w:jc w:val="center"/>
              <w:rPr>
                <w:rFonts w:hint="eastAsia" w:ascii="宋体" w:hAnsi="宋体" w:eastAsia="宋体" w:cs="宋体"/>
                <w:sz w:val="24"/>
                <w:szCs w:val="24"/>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6D324C89">
            <w:pPr>
              <w:spacing w:line="240" w:lineRule="exact"/>
              <w:rPr>
                <w:rFonts w:hint="eastAsia" w:ascii="宋体" w:hAnsi="宋体" w:eastAsia="宋体" w:cs="宋体"/>
                <w:sz w:val="24"/>
                <w:szCs w:val="24"/>
                <w:u w:val="single"/>
              </w:rPr>
            </w:pP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4C412EBF">
            <w:pPr>
              <w:spacing w:line="240" w:lineRule="exact"/>
              <w:rPr>
                <w:rFonts w:hint="eastAsia" w:ascii="宋体" w:hAnsi="宋体" w:eastAsia="宋体" w:cs="宋体"/>
                <w:sz w:val="24"/>
                <w:szCs w:val="24"/>
                <w:u w:val="single"/>
              </w:rPr>
            </w:pP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72737A86">
            <w:pPr>
              <w:spacing w:line="240" w:lineRule="exact"/>
              <w:rPr>
                <w:rFonts w:hint="eastAsia" w:ascii="宋体" w:hAnsi="宋体" w:eastAsia="宋体" w:cs="宋体"/>
                <w:sz w:val="24"/>
                <w:szCs w:val="24"/>
                <w:u w:val="single"/>
              </w:rPr>
            </w:pPr>
          </w:p>
        </w:tc>
        <w:tc>
          <w:tcPr>
            <w:tcW w:w="1571" w:type="dxa"/>
            <w:tcBorders>
              <w:top w:val="single" w:color="auto" w:sz="4" w:space="0"/>
              <w:left w:val="single" w:color="auto" w:sz="4" w:space="0"/>
              <w:bottom w:val="single" w:color="auto" w:sz="4" w:space="0"/>
              <w:right w:val="single" w:color="auto" w:sz="4" w:space="0"/>
            </w:tcBorders>
            <w:noWrap w:val="0"/>
            <w:vAlign w:val="center"/>
          </w:tcPr>
          <w:p w14:paraId="15BBC08D">
            <w:pPr>
              <w:spacing w:line="240" w:lineRule="exact"/>
              <w:rPr>
                <w:rFonts w:hint="eastAsia" w:ascii="宋体" w:hAnsi="宋体" w:eastAsia="宋体" w:cs="宋体"/>
                <w:sz w:val="24"/>
                <w:szCs w:val="24"/>
                <w:u w:val="single"/>
              </w:rPr>
            </w:pPr>
          </w:p>
        </w:tc>
      </w:tr>
      <w:tr w14:paraId="7F6246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noWrap w:val="0"/>
            <w:vAlign w:val="center"/>
          </w:tcPr>
          <w:p w14:paraId="0214120F">
            <w:pPr>
              <w:spacing w:line="240" w:lineRule="exact"/>
              <w:jc w:val="center"/>
              <w:rPr>
                <w:rFonts w:hint="eastAsia" w:ascii="宋体" w:hAnsi="宋体" w:eastAsia="宋体" w:cs="宋体"/>
                <w:sz w:val="24"/>
                <w:szCs w:val="24"/>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777F598F">
            <w:pPr>
              <w:spacing w:line="240" w:lineRule="exact"/>
              <w:rPr>
                <w:rFonts w:hint="eastAsia" w:ascii="宋体" w:hAnsi="宋体" w:eastAsia="宋体" w:cs="宋体"/>
                <w:sz w:val="24"/>
                <w:szCs w:val="24"/>
                <w:u w:val="single"/>
              </w:rPr>
            </w:pP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3F7C0318">
            <w:pPr>
              <w:spacing w:line="240" w:lineRule="exact"/>
              <w:rPr>
                <w:rFonts w:hint="eastAsia" w:ascii="宋体" w:hAnsi="宋体" w:eastAsia="宋体" w:cs="宋体"/>
                <w:sz w:val="24"/>
                <w:szCs w:val="24"/>
                <w:u w:val="single"/>
              </w:rPr>
            </w:pP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14DDA12F">
            <w:pPr>
              <w:spacing w:line="240" w:lineRule="exact"/>
              <w:rPr>
                <w:rFonts w:hint="eastAsia" w:ascii="宋体" w:hAnsi="宋体" w:eastAsia="宋体" w:cs="宋体"/>
                <w:sz w:val="24"/>
                <w:szCs w:val="24"/>
                <w:u w:val="single"/>
              </w:rPr>
            </w:pPr>
          </w:p>
        </w:tc>
        <w:tc>
          <w:tcPr>
            <w:tcW w:w="1571" w:type="dxa"/>
            <w:tcBorders>
              <w:top w:val="single" w:color="auto" w:sz="4" w:space="0"/>
              <w:left w:val="single" w:color="auto" w:sz="4" w:space="0"/>
              <w:bottom w:val="single" w:color="auto" w:sz="4" w:space="0"/>
              <w:right w:val="single" w:color="auto" w:sz="4" w:space="0"/>
            </w:tcBorders>
            <w:noWrap w:val="0"/>
            <w:vAlign w:val="center"/>
          </w:tcPr>
          <w:p w14:paraId="676931DF">
            <w:pPr>
              <w:spacing w:line="240" w:lineRule="exact"/>
              <w:rPr>
                <w:rFonts w:hint="eastAsia" w:ascii="宋体" w:hAnsi="宋体" w:eastAsia="宋体" w:cs="宋体"/>
                <w:sz w:val="24"/>
                <w:szCs w:val="24"/>
                <w:u w:val="single"/>
              </w:rPr>
            </w:pPr>
          </w:p>
        </w:tc>
      </w:tr>
      <w:tr w14:paraId="13D08C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restart"/>
            <w:tcBorders>
              <w:top w:val="single" w:color="auto" w:sz="4" w:space="0"/>
              <w:left w:val="single" w:color="auto" w:sz="4" w:space="0"/>
              <w:right w:val="single" w:color="auto" w:sz="4" w:space="0"/>
            </w:tcBorders>
            <w:noWrap w:val="0"/>
            <w:vAlign w:val="center"/>
          </w:tcPr>
          <w:p w14:paraId="4A72BA74">
            <w:pPr>
              <w:spacing w:line="320" w:lineRule="exact"/>
              <w:jc w:val="center"/>
              <w:rPr>
                <w:rFonts w:hint="eastAsia" w:ascii="宋体" w:hAnsi="宋体" w:eastAsia="宋体" w:cs="宋体"/>
                <w:sz w:val="24"/>
                <w:szCs w:val="24"/>
              </w:rPr>
            </w:pPr>
            <w:r>
              <w:rPr>
                <w:rFonts w:hint="eastAsia" w:ascii="宋体" w:hAnsi="宋体" w:eastAsia="宋体" w:cs="宋体"/>
                <w:bCs/>
                <w:sz w:val="24"/>
                <w:szCs w:val="24"/>
              </w:rPr>
              <w:t>所获荣誉</w:t>
            </w:r>
          </w:p>
        </w:tc>
        <w:tc>
          <w:tcPr>
            <w:tcW w:w="1434" w:type="dxa"/>
            <w:tcBorders>
              <w:top w:val="single" w:color="auto" w:sz="4" w:space="0"/>
              <w:left w:val="single" w:color="auto" w:sz="4" w:space="0"/>
              <w:bottom w:val="single" w:color="auto" w:sz="4" w:space="0"/>
              <w:right w:val="single" w:color="auto" w:sz="4" w:space="0"/>
            </w:tcBorders>
            <w:noWrap w:val="0"/>
            <w:vAlign w:val="center"/>
          </w:tcPr>
          <w:p w14:paraId="2AAD7174">
            <w:pPr>
              <w:spacing w:line="320" w:lineRule="exact"/>
              <w:jc w:val="center"/>
              <w:rPr>
                <w:rFonts w:hint="eastAsia" w:ascii="宋体" w:hAnsi="宋体" w:eastAsia="宋体" w:cs="宋体"/>
                <w:bCs/>
                <w:sz w:val="24"/>
                <w:szCs w:val="24"/>
              </w:rPr>
            </w:pPr>
            <w:r>
              <w:rPr>
                <w:rFonts w:hint="eastAsia" w:ascii="宋体" w:hAnsi="宋体" w:eastAsia="宋体" w:cs="宋体"/>
                <w:bCs/>
                <w:sz w:val="24"/>
                <w:szCs w:val="24"/>
              </w:rPr>
              <w:t>荣誉名称</w:t>
            </w: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15438688">
            <w:pPr>
              <w:widowControl/>
              <w:spacing w:line="320" w:lineRule="exact"/>
              <w:jc w:val="center"/>
              <w:rPr>
                <w:rFonts w:hint="eastAsia" w:ascii="宋体" w:hAnsi="宋体" w:eastAsia="宋体" w:cs="宋体"/>
                <w:bCs/>
                <w:sz w:val="24"/>
                <w:szCs w:val="24"/>
              </w:rPr>
            </w:pPr>
            <w:r>
              <w:rPr>
                <w:rFonts w:hint="eastAsia" w:ascii="宋体" w:hAnsi="宋体" w:eastAsia="宋体" w:cs="宋体"/>
                <w:bCs/>
                <w:sz w:val="24"/>
                <w:szCs w:val="24"/>
              </w:rPr>
              <w:t>颁发部门</w:t>
            </w: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4C7AF3C2">
            <w:pPr>
              <w:widowControl/>
              <w:spacing w:line="320" w:lineRule="exact"/>
              <w:jc w:val="center"/>
              <w:rPr>
                <w:rFonts w:hint="eastAsia" w:ascii="宋体" w:hAnsi="宋体" w:eastAsia="宋体" w:cs="宋体"/>
                <w:bCs/>
                <w:sz w:val="24"/>
                <w:szCs w:val="24"/>
              </w:rPr>
            </w:pPr>
            <w:r>
              <w:rPr>
                <w:rFonts w:hint="eastAsia" w:ascii="宋体" w:hAnsi="宋体" w:eastAsia="宋体" w:cs="宋体"/>
                <w:bCs/>
                <w:sz w:val="24"/>
                <w:szCs w:val="24"/>
              </w:rPr>
              <w:t>颁发时间</w:t>
            </w:r>
          </w:p>
        </w:tc>
        <w:tc>
          <w:tcPr>
            <w:tcW w:w="1571" w:type="dxa"/>
            <w:tcBorders>
              <w:top w:val="single" w:color="auto" w:sz="4" w:space="0"/>
              <w:left w:val="single" w:color="auto" w:sz="4" w:space="0"/>
              <w:bottom w:val="single" w:color="auto" w:sz="4" w:space="0"/>
              <w:right w:val="single" w:color="auto" w:sz="4" w:space="0"/>
            </w:tcBorders>
            <w:noWrap w:val="0"/>
            <w:vAlign w:val="center"/>
          </w:tcPr>
          <w:p w14:paraId="5B78E11F">
            <w:pPr>
              <w:widowControl/>
              <w:spacing w:line="320" w:lineRule="exact"/>
              <w:jc w:val="center"/>
              <w:rPr>
                <w:rFonts w:hint="eastAsia" w:ascii="宋体" w:hAnsi="宋体" w:eastAsia="宋体" w:cs="宋体"/>
                <w:bCs/>
                <w:sz w:val="24"/>
                <w:szCs w:val="24"/>
              </w:rPr>
            </w:pPr>
            <w:r>
              <w:rPr>
                <w:rFonts w:hint="eastAsia" w:ascii="宋体" w:hAnsi="宋体" w:eastAsia="宋体" w:cs="宋体"/>
                <w:bCs/>
                <w:sz w:val="24"/>
                <w:szCs w:val="24"/>
              </w:rPr>
              <w:t>有效期</w:t>
            </w:r>
          </w:p>
        </w:tc>
      </w:tr>
      <w:tr w14:paraId="1EAE94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noWrap w:val="0"/>
            <w:vAlign w:val="center"/>
          </w:tcPr>
          <w:p w14:paraId="7209442F">
            <w:pPr>
              <w:spacing w:line="240" w:lineRule="exact"/>
              <w:jc w:val="center"/>
              <w:rPr>
                <w:rFonts w:hint="eastAsia" w:ascii="宋体" w:hAnsi="宋体" w:eastAsia="宋体" w:cs="宋体"/>
                <w:sz w:val="24"/>
                <w:szCs w:val="24"/>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33D441A0">
            <w:pPr>
              <w:spacing w:line="240" w:lineRule="exact"/>
              <w:rPr>
                <w:rFonts w:hint="eastAsia" w:ascii="宋体" w:hAnsi="宋体" w:eastAsia="宋体" w:cs="宋体"/>
                <w:sz w:val="24"/>
                <w:szCs w:val="24"/>
                <w:u w:val="single"/>
              </w:rPr>
            </w:pP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74C9E449">
            <w:pPr>
              <w:spacing w:line="240" w:lineRule="exact"/>
              <w:rPr>
                <w:rFonts w:hint="eastAsia" w:ascii="宋体" w:hAnsi="宋体" w:eastAsia="宋体" w:cs="宋体"/>
                <w:sz w:val="24"/>
                <w:szCs w:val="24"/>
                <w:u w:val="single"/>
              </w:rPr>
            </w:pP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093B0586">
            <w:pPr>
              <w:spacing w:line="240" w:lineRule="exact"/>
              <w:rPr>
                <w:rFonts w:hint="eastAsia" w:ascii="宋体" w:hAnsi="宋体" w:eastAsia="宋体" w:cs="宋体"/>
                <w:sz w:val="24"/>
                <w:szCs w:val="24"/>
                <w:u w:val="single"/>
              </w:rPr>
            </w:pPr>
          </w:p>
        </w:tc>
        <w:tc>
          <w:tcPr>
            <w:tcW w:w="1571" w:type="dxa"/>
            <w:tcBorders>
              <w:top w:val="single" w:color="auto" w:sz="4" w:space="0"/>
              <w:left w:val="single" w:color="auto" w:sz="4" w:space="0"/>
              <w:bottom w:val="single" w:color="auto" w:sz="4" w:space="0"/>
              <w:right w:val="single" w:color="auto" w:sz="4" w:space="0"/>
            </w:tcBorders>
            <w:noWrap w:val="0"/>
            <w:vAlign w:val="center"/>
          </w:tcPr>
          <w:p w14:paraId="3DD1570E">
            <w:pPr>
              <w:spacing w:line="240" w:lineRule="exact"/>
              <w:rPr>
                <w:rFonts w:hint="eastAsia" w:ascii="宋体" w:hAnsi="宋体" w:eastAsia="宋体" w:cs="宋体"/>
                <w:sz w:val="24"/>
                <w:szCs w:val="24"/>
                <w:u w:val="single"/>
              </w:rPr>
            </w:pPr>
          </w:p>
        </w:tc>
      </w:tr>
      <w:tr w14:paraId="7B7002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noWrap w:val="0"/>
            <w:vAlign w:val="center"/>
          </w:tcPr>
          <w:p w14:paraId="11D3AD28">
            <w:pPr>
              <w:spacing w:line="240" w:lineRule="exact"/>
              <w:jc w:val="center"/>
              <w:rPr>
                <w:rFonts w:hint="eastAsia" w:ascii="宋体" w:hAnsi="宋体" w:eastAsia="宋体" w:cs="宋体"/>
                <w:sz w:val="24"/>
                <w:szCs w:val="24"/>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650E5F3C">
            <w:pPr>
              <w:spacing w:line="240" w:lineRule="exact"/>
              <w:rPr>
                <w:rFonts w:hint="eastAsia" w:ascii="宋体" w:hAnsi="宋体" w:eastAsia="宋体" w:cs="宋体"/>
                <w:sz w:val="24"/>
                <w:szCs w:val="24"/>
                <w:u w:val="single"/>
              </w:rPr>
            </w:pP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61D9915F">
            <w:pPr>
              <w:spacing w:line="240" w:lineRule="exact"/>
              <w:rPr>
                <w:rFonts w:hint="eastAsia" w:ascii="宋体" w:hAnsi="宋体" w:eastAsia="宋体" w:cs="宋体"/>
                <w:sz w:val="24"/>
                <w:szCs w:val="24"/>
                <w:u w:val="single"/>
              </w:rPr>
            </w:pP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1FD42151">
            <w:pPr>
              <w:spacing w:line="240" w:lineRule="exact"/>
              <w:rPr>
                <w:rFonts w:hint="eastAsia" w:ascii="宋体" w:hAnsi="宋体" w:eastAsia="宋体" w:cs="宋体"/>
                <w:sz w:val="24"/>
                <w:szCs w:val="24"/>
                <w:u w:val="single"/>
              </w:rPr>
            </w:pPr>
          </w:p>
        </w:tc>
        <w:tc>
          <w:tcPr>
            <w:tcW w:w="1571" w:type="dxa"/>
            <w:tcBorders>
              <w:top w:val="single" w:color="auto" w:sz="4" w:space="0"/>
              <w:left w:val="single" w:color="auto" w:sz="4" w:space="0"/>
              <w:bottom w:val="single" w:color="auto" w:sz="4" w:space="0"/>
              <w:right w:val="single" w:color="auto" w:sz="4" w:space="0"/>
            </w:tcBorders>
            <w:noWrap w:val="0"/>
            <w:vAlign w:val="center"/>
          </w:tcPr>
          <w:p w14:paraId="0F7F8B08">
            <w:pPr>
              <w:spacing w:line="240" w:lineRule="exact"/>
              <w:rPr>
                <w:rFonts w:hint="eastAsia" w:ascii="宋体" w:hAnsi="宋体" w:eastAsia="宋体" w:cs="宋体"/>
                <w:sz w:val="24"/>
                <w:szCs w:val="24"/>
                <w:u w:val="single"/>
              </w:rPr>
            </w:pPr>
          </w:p>
        </w:tc>
      </w:tr>
      <w:tr w14:paraId="0A142C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bottom w:val="single" w:color="auto" w:sz="4" w:space="0"/>
              <w:right w:val="single" w:color="auto" w:sz="4" w:space="0"/>
            </w:tcBorders>
            <w:noWrap w:val="0"/>
            <w:vAlign w:val="center"/>
          </w:tcPr>
          <w:p w14:paraId="40CAEA27">
            <w:pPr>
              <w:spacing w:line="240" w:lineRule="exact"/>
              <w:jc w:val="center"/>
              <w:rPr>
                <w:rFonts w:hint="eastAsia" w:ascii="宋体" w:hAnsi="宋体" w:eastAsia="宋体" w:cs="宋体"/>
                <w:sz w:val="24"/>
                <w:szCs w:val="24"/>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73C19CDC">
            <w:pPr>
              <w:spacing w:line="240" w:lineRule="exact"/>
              <w:rPr>
                <w:rFonts w:hint="eastAsia" w:ascii="宋体" w:hAnsi="宋体" w:eastAsia="宋体" w:cs="宋体"/>
                <w:sz w:val="24"/>
                <w:szCs w:val="24"/>
                <w:u w:val="single"/>
              </w:rPr>
            </w:pP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1D47DDD7">
            <w:pPr>
              <w:spacing w:line="240" w:lineRule="exact"/>
              <w:rPr>
                <w:rFonts w:hint="eastAsia" w:ascii="宋体" w:hAnsi="宋体" w:eastAsia="宋体" w:cs="宋体"/>
                <w:sz w:val="24"/>
                <w:szCs w:val="24"/>
                <w:u w:val="single"/>
              </w:rPr>
            </w:pP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4A3ACA19">
            <w:pPr>
              <w:spacing w:line="240" w:lineRule="exact"/>
              <w:rPr>
                <w:rFonts w:hint="eastAsia" w:ascii="宋体" w:hAnsi="宋体" w:eastAsia="宋体" w:cs="宋体"/>
                <w:sz w:val="24"/>
                <w:szCs w:val="24"/>
                <w:u w:val="single"/>
              </w:rPr>
            </w:pPr>
          </w:p>
        </w:tc>
        <w:tc>
          <w:tcPr>
            <w:tcW w:w="1571" w:type="dxa"/>
            <w:tcBorders>
              <w:top w:val="single" w:color="auto" w:sz="4" w:space="0"/>
              <w:left w:val="single" w:color="auto" w:sz="4" w:space="0"/>
              <w:bottom w:val="single" w:color="auto" w:sz="4" w:space="0"/>
              <w:right w:val="single" w:color="auto" w:sz="4" w:space="0"/>
            </w:tcBorders>
            <w:noWrap w:val="0"/>
            <w:vAlign w:val="center"/>
          </w:tcPr>
          <w:p w14:paraId="2BA6B6A9">
            <w:pPr>
              <w:spacing w:line="240" w:lineRule="exact"/>
              <w:rPr>
                <w:rFonts w:hint="eastAsia" w:ascii="宋体" w:hAnsi="宋体" w:eastAsia="宋体" w:cs="宋体"/>
                <w:sz w:val="24"/>
                <w:szCs w:val="24"/>
                <w:u w:val="single"/>
              </w:rPr>
            </w:pPr>
          </w:p>
        </w:tc>
      </w:tr>
      <w:tr w14:paraId="2E2E46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6" w:hRule="atLeast"/>
          <w:jc w:val="center"/>
        </w:trPr>
        <w:tc>
          <w:tcPr>
            <w:tcW w:w="1543" w:type="dxa"/>
            <w:tcBorders>
              <w:top w:val="single" w:color="auto" w:sz="4" w:space="0"/>
              <w:left w:val="single" w:color="auto" w:sz="4" w:space="0"/>
              <w:bottom w:val="single" w:color="auto" w:sz="4" w:space="0"/>
              <w:right w:val="single" w:color="auto" w:sz="4" w:space="0"/>
            </w:tcBorders>
            <w:noWrap w:val="0"/>
            <w:vAlign w:val="center"/>
          </w:tcPr>
          <w:p w14:paraId="771384BD">
            <w:pPr>
              <w:spacing w:line="320" w:lineRule="exact"/>
              <w:jc w:val="center"/>
              <w:rPr>
                <w:rFonts w:hint="eastAsia" w:ascii="宋体" w:hAnsi="宋体" w:eastAsia="宋体" w:cs="宋体"/>
                <w:bCs/>
                <w:sz w:val="24"/>
                <w:szCs w:val="24"/>
              </w:rPr>
            </w:pPr>
            <w:r>
              <w:rPr>
                <w:rFonts w:hint="eastAsia" w:ascii="宋体" w:hAnsi="宋体" w:eastAsia="宋体" w:cs="宋体"/>
                <w:bCs/>
                <w:sz w:val="24"/>
                <w:szCs w:val="24"/>
              </w:rPr>
              <w:t>经营范围</w:t>
            </w:r>
          </w:p>
        </w:tc>
        <w:tc>
          <w:tcPr>
            <w:tcW w:w="7700" w:type="dxa"/>
            <w:gridSpan w:val="6"/>
            <w:tcBorders>
              <w:top w:val="single" w:color="auto" w:sz="4" w:space="0"/>
              <w:left w:val="single" w:color="auto" w:sz="4" w:space="0"/>
              <w:bottom w:val="single" w:color="auto" w:sz="4" w:space="0"/>
              <w:right w:val="single" w:color="auto" w:sz="4" w:space="0"/>
            </w:tcBorders>
            <w:noWrap w:val="0"/>
            <w:vAlign w:val="center"/>
          </w:tcPr>
          <w:p w14:paraId="79536A85">
            <w:pPr>
              <w:pStyle w:val="6"/>
              <w:tabs>
                <w:tab w:val="left" w:pos="1800"/>
                <w:tab w:val="left" w:pos="1980"/>
              </w:tabs>
              <w:spacing w:line="240" w:lineRule="exact"/>
              <w:ind w:left="420" w:hanging="420"/>
              <w:rPr>
                <w:rFonts w:hint="eastAsia" w:ascii="宋体" w:hAnsi="宋体" w:eastAsia="宋体" w:cs="宋体"/>
                <w:sz w:val="24"/>
                <w:szCs w:val="24"/>
                <w:lang w:val="en-US" w:eastAsia="zh-CN"/>
              </w:rPr>
            </w:pPr>
          </w:p>
        </w:tc>
      </w:tr>
      <w:tr w14:paraId="5DCA5D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9" w:hRule="atLeast"/>
          <w:jc w:val="center"/>
        </w:trPr>
        <w:tc>
          <w:tcPr>
            <w:tcW w:w="1543" w:type="dxa"/>
            <w:tcBorders>
              <w:top w:val="single" w:color="auto" w:sz="4" w:space="0"/>
              <w:left w:val="single" w:color="auto" w:sz="4" w:space="0"/>
              <w:bottom w:val="single" w:color="auto" w:sz="4" w:space="0"/>
              <w:right w:val="single" w:color="auto" w:sz="4" w:space="0"/>
            </w:tcBorders>
            <w:noWrap w:val="0"/>
            <w:vAlign w:val="center"/>
          </w:tcPr>
          <w:p w14:paraId="5033BB9B">
            <w:pPr>
              <w:spacing w:line="320" w:lineRule="exact"/>
              <w:jc w:val="center"/>
              <w:rPr>
                <w:rFonts w:hint="eastAsia" w:ascii="宋体" w:hAnsi="宋体" w:eastAsia="宋体" w:cs="宋体"/>
                <w:bCs/>
                <w:sz w:val="24"/>
                <w:szCs w:val="24"/>
              </w:rPr>
            </w:pPr>
            <w:r>
              <w:rPr>
                <w:rFonts w:hint="eastAsia" w:ascii="宋体" w:hAnsi="宋体" w:eastAsia="宋体" w:cs="宋体"/>
                <w:bCs/>
                <w:sz w:val="24"/>
                <w:szCs w:val="24"/>
              </w:rPr>
              <w:t>其他</w:t>
            </w:r>
          </w:p>
        </w:tc>
        <w:tc>
          <w:tcPr>
            <w:tcW w:w="7700" w:type="dxa"/>
            <w:gridSpan w:val="6"/>
            <w:tcBorders>
              <w:top w:val="single" w:color="auto" w:sz="4" w:space="0"/>
              <w:left w:val="single" w:color="auto" w:sz="4" w:space="0"/>
              <w:bottom w:val="single" w:color="auto" w:sz="4" w:space="0"/>
              <w:right w:val="single" w:color="auto" w:sz="4" w:space="0"/>
            </w:tcBorders>
            <w:noWrap w:val="0"/>
            <w:vAlign w:val="center"/>
          </w:tcPr>
          <w:p w14:paraId="724A8860">
            <w:pPr>
              <w:spacing w:line="240" w:lineRule="exact"/>
              <w:rPr>
                <w:rFonts w:hint="eastAsia" w:ascii="宋体" w:hAnsi="宋体" w:eastAsia="宋体" w:cs="宋体"/>
                <w:bCs/>
                <w:sz w:val="24"/>
                <w:szCs w:val="24"/>
              </w:rPr>
            </w:pPr>
          </w:p>
        </w:tc>
      </w:tr>
    </w:tbl>
    <w:p w14:paraId="03443430">
      <w:pPr>
        <w:spacing w:line="320" w:lineRule="exact"/>
        <w:ind w:firstLine="600" w:firstLineChars="250"/>
        <w:rPr>
          <w:rFonts w:hint="eastAsia" w:ascii="宋体" w:hAnsi="宋体" w:cs="宋体"/>
          <w:sz w:val="24"/>
          <w:szCs w:val="24"/>
        </w:rPr>
      </w:pPr>
      <w:r>
        <w:rPr>
          <w:rFonts w:hint="eastAsia" w:ascii="宋体" w:hAnsi="宋体" w:cs="宋体"/>
          <w:sz w:val="24"/>
          <w:szCs w:val="24"/>
        </w:rPr>
        <w:t>注：1.表格内容不够,可另附页。</w:t>
      </w:r>
    </w:p>
    <w:p w14:paraId="32942FA6">
      <w:pPr>
        <w:spacing w:line="320" w:lineRule="exact"/>
        <w:ind w:firstLine="1058" w:firstLineChars="441"/>
        <w:rPr>
          <w:rFonts w:hint="eastAsia" w:ascii="宋体" w:hAnsi="宋体" w:cs="宋体"/>
          <w:sz w:val="24"/>
          <w:szCs w:val="24"/>
        </w:rPr>
      </w:pPr>
      <w:r>
        <w:rPr>
          <w:rFonts w:hint="eastAsia" w:ascii="宋体" w:hAnsi="宋体" w:cs="宋体"/>
          <w:sz w:val="24"/>
          <w:szCs w:val="24"/>
        </w:rPr>
        <w:t>2.企业营业执照、所获认证证书、荣誉资料的复印件附后。</w:t>
      </w:r>
    </w:p>
    <w:p w14:paraId="71273840">
      <w:pPr>
        <w:pStyle w:val="27"/>
        <w:rPr>
          <w:rFonts w:hint="eastAsia" w:hAnsi="宋体"/>
          <w:color w:val="auto"/>
          <w:sz w:val="24"/>
          <w:szCs w:val="24"/>
        </w:rPr>
      </w:pPr>
    </w:p>
    <w:p w14:paraId="0E2C9FBF">
      <w:pPr>
        <w:spacing w:line="440" w:lineRule="exact"/>
        <w:ind w:firstLine="4860"/>
        <w:rPr>
          <w:rFonts w:hint="eastAsia" w:ascii="宋体" w:hAnsi="宋体" w:cs="宋体"/>
          <w:sz w:val="24"/>
          <w:szCs w:val="24"/>
          <w:u w:val="single"/>
        </w:rPr>
      </w:pPr>
      <w:r>
        <w:rPr>
          <w:rFonts w:hint="eastAsia" w:ascii="宋体" w:hAnsi="宋体" w:eastAsia="宋体" w:cs="宋体"/>
          <w:color w:val="auto"/>
          <w:sz w:val="24"/>
          <w:highlight w:val="none"/>
        </w:rPr>
        <w:t>供应商全称</w:t>
      </w:r>
      <w:r>
        <w:rPr>
          <w:rFonts w:hint="eastAsia" w:ascii="宋体" w:hAnsi="宋体" w:cs="宋体"/>
          <w:sz w:val="24"/>
          <w:szCs w:val="24"/>
        </w:rPr>
        <w:t>（盖章）：</w:t>
      </w:r>
      <w:r>
        <w:rPr>
          <w:rFonts w:hint="eastAsia" w:ascii="宋体" w:hAnsi="宋体" w:cs="宋体"/>
          <w:sz w:val="24"/>
          <w:szCs w:val="24"/>
          <w:u w:val="single"/>
        </w:rPr>
        <w:t xml:space="preserve">                           </w:t>
      </w:r>
    </w:p>
    <w:p w14:paraId="6AB87039">
      <w:pPr>
        <w:spacing w:line="440" w:lineRule="exact"/>
        <w:ind w:firstLine="4860"/>
        <w:rPr>
          <w:rFonts w:hint="eastAsia" w:ascii="宋体" w:hAnsi="宋体" w:cs="宋体"/>
          <w:sz w:val="24"/>
          <w:szCs w:val="24"/>
        </w:rPr>
      </w:pPr>
      <w:r>
        <w:rPr>
          <w:rFonts w:hint="eastAsia" w:ascii="宋体" w:hAnsi="宋体" w:cs="宋体"/>
          <w:sz w:val="24"/>
          <w:szCs w:val="24"/>
        </w:rPr>
        <w:t>日 期：  年  月  日</w:t>
      </w:r>
    </w:p>
    <w:p w14:paraId="5BFE3F22">
      <w:pPr>
        <w:spacing w:line="320" w:lineRule="exact"/>
        <w:ind w:firstLine="480"/>
        <w:rPr>
          <w:rFonts w:hint="eastAsia" w:ascii="宋体" w:hAnsi="宋体" w:cs="宋体"/>
          <w:b/>
          <w:bCs/>
          <w:sz w:val="24"/>
          <w:szCs w:val="24"/>
        </w:rPr>
      </w:pPr>
    </w:p>
    <w:p w14:paraId="5204FAFB">
      <w:pPr>
        <w:pStyle w:val="10"/>
        <w:ind w:left="0" w:leftChars="0" w:firstLine="0" w:firstLineChars="0"/>
        <w:rPr>
          <w:rFonts w:hint="eastAsia"/>
        </w:rPr>
      </w:pPr>
    </w:p>
    <w:p w14:paraId="54549D2D">
      <w:pPr>
        <w:spacing w:line="460" w:lineRule="exact"/>
        <w:rPr>
          <w:rFonts w:hint="eastAsia" w:ascii="宋体" w:hAnsi="宋体" w:cs="宋体"/>
          <w:b/>
          <w:bCs/>
          <w:sz w:val="22"/>
          <w:szCs w:val="22"/>
        </w:rPr>
      </w:pPr>
      <w:r>
        <w:rPr>
          <w:rFonts w:hint="eastAsia" w:ascii="宋体" w:hAnsi="宋体" w:cs="宋体"/>
          <w:b/>
          <w:bCs/>
          <w:sz w:val="22"/>
          <w:szCs w:val="22"/>
        </w:rPr>
        <w:t>附件6</w:t>
      </w:r>
    </w:p>
    <w:p w14:paraId="2E394F87">
      <w:pPr>
        <w:tabs>
          <w:tab w:val="left" w:pos="540"/>
        </w:tabs>
        <w:spacing w:line="400" w:lineRule="exact"/>
        <w:jc w:val="center"/>
        <w:rPr>
          <w:rFonts w:cs="宋体"/>
          <w:b/>
          <w:sz w:val="28"/>
          <w:szCs w:val="28"/>
        </w:rPr>
      </w:pPr>
      <w:r>
        <w:rPr>
          <w:rFonts w:hint="eastAsia" w:cs="宋体"/>
          <w:b/>
          <w:sz w:val="28"/>
          <w:szCs w:val="28"/>
        </w:rPr>
        <w:t>检测项目资质对应表</w:t>
      </w:r>
    </w:p>
    <w:tbl>
      <w:tblPr>
        <w:tblStyle w:val="22"/>
        <w:tblW w:w="83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1341"/>
        <w:gridCol w:w="1150"/>
        <w:gridCol w:w="3652"/>
        <w:gridCol w:w="1476"/>
      </w:tblGrid>
      <w:tr w14:paraId="6A11E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757" w:type="dxa"/>
            <w:noWrap/>
            <w:vAlign w:val="center"/>
          </w:tcPr>
          <w:p w14:paraId="2A6AF8B8">
            <w:pPr>
              <w:jc w:val="center"/>
              <w:rPr>
                <w:rFonts w:cs="宋体"/>
                <w:sz w:val="24"/>
                <w:szCs w:val="24"/>
              </w:rPr>
            </w:pPr>
            <w:r>
              <w:rPr>
                <w:rFonts w:hint="eastAsia" w:cs="宋体"/>
                <w:sz w:val="24"/>
                <w:szCs w:val="24"/>
              </w:rPr>
              <w:t>序号</w:t>
            </w:r>
          </w:p>
        </w:tc>
        <w:tc>
          <w:tcPr>
            <w:tcW w:w="1341" w:type="dxa"/>
            <w:noWrap w:val="0"/>
            <w:vAlign w:val="center"/>
          </w:tcPr>
          <w:p w14:paraId="48ABC381">
            <w:pPr>
              <w:jc w:val="center"/>
              <w:rPr>
                <w:rFonts w:cs="宋体"/>
                <w:sz w:val="24"/>
                <w:szCs w:val="24"/>
              </w:rPr>
            </w:pPr>
            <w:r>
              <w:rPr>
                <w:rFonts w:hint="eastAsia" w:cs="宋体"/>
                <w:sz w:val="24"/>
                <w:szCs w:val="24"/>
              </w:rPr>
              <w:t>产品</w:t>
            </w:r>
          </w:p>
          <w:p w14:paraId="03C5B5BA">
            <w:pPr>
              <w:jc w:val="center"/>
              <w:rPr>
                <w:rFonts w:cs="宋体"/>
                <w:sz w:val="24"/>
                <w:szCs w:val="24"/>
              </w:rPr>
            </w:pPr>
            <w:r>
              <w:rPr>
                <w:rFonts w:hint="eastAsia" w:cs="宋体"/>
                <w:sz w:val="24"/>
                <w:szCs w:val="24"/>
              </w:rPr>
              <w:t>名称</w:t>
            </w:r>
          </w:p>
        </w:tc>
        <w:tc>
          <w:tcPr>
            <w:tcW w:w="4802" w:type="dxa"/>
            <w:gridSpan w:val="2"/>
            <w:noWrap w:val="0"/>
            <w:vAlign w:val="center"/>
          </w:tcPr>
          <w:p w14:paraId="4A4F0ED6">
            <w:pPr>
              <w:jc w:val="center"/>
              <w:rPr>
                <w:rFonts w:cs="宋体"/>
                <w:sz w:val="24"/>
                <w:szCs w:val="24"/>
              </w:rPr>
            </w:pPr>
            <w:r>
              <w:rPr>
                <w:rFonts w:hint="eastAsia" w:cs="宋体"/>
                <w:sz w:val="24"/>
                <w:szCs w:val="24"/>
              </w:rPr>
              <w:t>检测项目</w:t>
            </w:r>
          </w:p>
        </w:tc>
        <w:tc>
          <w:tcPr>
            <w:tcW w:w="1476" w:type="dxa"/>
            <w:noWrap w:val="0"/>
            <w:vAlign w:val="center"/>
          </w:tcPr>
          <w:p w14:paraId="3724101C">
            <w:pPr>
              <w:widowControl/>
              <w:jc w:val="center"/>
              <w:rPr>
                <w:rFonts w:cs="宋体"/>
                <w:b/>
                <w:kern w:val="0"/>
                <w:sz w:val="24"/>
                <w:szCs w:val="24"/>
              </w:rPr>
            </w:pPr>
            <w:r>
              <w:rPr>
                <w:rFonts w:hint="eastAsia" w:cs="宋体"/>
                <w:b/>
                <w:kern w:val="0"/>
                <w:sz w:val="24"/>
                <w:szCs w:val="24"/>
              </w:rPr>
              <w:t>资质附表中对应检测项目的序号</w:t>
            </w:r>
          </w:p>
        </w:tc>
      </w:tr>
      <w:tr w14:paraId="473DD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757" w:type="dxa"/>
            <w:vMerge w:val="restart"/>
            <w:noWrap/>
            <w:vAlign w:val="center"/>
          </w:tcPr>
          <w:p w14:paraId="1B62C0DF">
            <w:pPr>
              <w:jc w:val="center"/>
              <w:rPr>
                <w:rFonts w:cs="宋体"/>
                <w:sz w:val="24"/>
                <w:szCs w:val="24"/>
              </w:rPr>
            </w:pPr>
            <w:r>
              <w:rPr>
                <w:rFonts w:hint="eastAsia" w:cs="宋体"/>
                <w:sz w:val="24"/>
                <w:szCs w:val="24"/>
              </w:rPr>
              <w:t>1</w:t>
            </w:r>
          </w:p>
        </w:tc>
        <w:tc>
          <w:tcPr>
            <w:tcW w:w="1341" w:type="dxa"/>
            <w:vMerge w:val="restart"/>
            <w:noWrap w:val="0"/>
            <w:vAlign w:val="center"/>
          </w:tcPr>
          <w:p w14:paraId="3DE6BA44">
            <w:pPr>
              <w:jc w:val="center"/>
              <w:rPr>
                <w:rFonts w:hint="eastAsia" w:cs="宋体"/>
                <w:sz w:val="24"/>
                <w:szCs w:val="24"/>
              </w:rPr>
            </w:pPr>
            <w:r>
              <w:rPr>
                <w:rFonts w:hint="eastAsia" w:cs="宋体"/>
                <w:sz w:val="24"/>
                <w:szCs w:val="24"/>
              </w:rPr>
              <w:t xml:space="preserve"> </w:t>
            </w:r>
          </w:p>
        </w:tc>
        <w:tc>
          <w:tcPr>
            <w:tcW w:w="1150" w:type="dxa"/>
            <w:vMerge w:val="restart"/>
            <w:noWrap w:val="0"/>
            <w:vAlign w:val="center"/>
          </w:tcPr>
          <w:p w14:paraId="502944B3">
            <w:pPr>
              <w:jc w:val="center"/>
              <w:rPr>
                <w:rFonts w:hint="eastAsia" w:cs="宋体"/>
                <w:sz w:val="24"/>
                <w:szCs w:val="24"/>
              </w:rPr>
            </w:pPr>
            <w:r>
              <w:rPr>
                <w:rFonts w:hint="eastAsia" w:cs="宋体"/>
                <w:sz w:val="24"/>
                <w:szCs w:val="24"/>
              </w:rPr>
              <w:t xml:space="preserve"> </w:t>
            </w:r>
          </w:p>
        </w:tc>
        <w:tc>
          <w:tcPr>
            <w:tcW w:w="3652" w:type="dxa"/>
            <w:noWrap w:val="0"/>
            <w:vAlign w:val="center"/>
          </w:tcPr>
          <w:p w14:paraId="5DFEA82C">
            <w:pPr>
              <w:jc w:val="center"/>
              <w:rPr>
                <w:rFonts w:cs="宋体"/>
                <w:sz w:val="24"/>
                <w:szCs w:val="24"/>
              </w:rPr>
            </w:pPr>
          </w:p>
        </w:tc>
        <w:tc>
          <w:tcPr>
            <w:tcW w:w="1476" w:type="dxa"/>
            <w:noWrap w:val="0"/>
            <w:vAlign w:val="center"/>
          </w:tcPr>
          <w:p w14:paraId="208DE2C8">
            <w:pPr>
              <w:jc w:val="center"/>
              <w:rPr>
                <w:rFonts w:cs="宋体"/>
                <w:sz w:val="24"/>
                <w:szCs w:val="24"/>
              </w:rPr>
            </w:pPr>
          </w:p>
        </w:tc>
      </w:tr>
      <w:tr w14:paraId="5E7D4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noWrap/>
            <w:vAlign w:val="center"/>
          </w:tcPr>
          <w:p w14:paraId="1A7F0E6F">
            <w:pPr>
              <w:jc w:val="center"/>
              <w:rPr>
                <w:rFonts w:cs="宋体"/>
                <w:sz w:val="24"/>
                <w:szCs w:val="24"/>
              </w:rPr>
            </w:pPr>
          </w:p>
        </w:tc>
        <w:tc>
          <w:tcPr>
            <w:tcW w:w="1341" w:type="dxa"/>
            <w:vMerge w:val="continue"/>
            <w:noWrap w:val="0"/>
            <w:vAlign w:val="center"/>
          </w:tcPr>
          <w:p w14:paraId="7EC89433">
            <w:pPr>
              <w:jc w:val="center"/>
              <w:rPr>
                <w:rFonts w:cs="宋体"/>
                <w:sz w:val="24"/>
                <w:szCs w:val="24"/>
              </w:rPr>
            </w:pPr>
          </w:p>
        </w:tc>
        <w:tc>
          <w:tcPr>
            <w:tcW w:w="1150" w:type="dxa"/>
            <w:vMerge w:val="continue"/>
            <w:noWrap w:val="0"/>
            <w:vAlign w:val="center"/>
          </w:tcPr>
          <w:p w14:paraId="6316EF78">
            <w:pPr>
              <w:jc w:val="center"/>
              <w:rPr>
                <w:rFonts w:cs="宋体"/>
                <w:sz w:val="24"/>
                <w:szCs w:val="24"/>
              </w:rPr>
            </w:pPr>
          </w:p>
        </w:tc>
        <w:tc>
          <w:tcPr>
            <w:tcW w:w="3652" w:type="dxa"/>
            <w:noWrap w:val="0"/>
            <w:vAlign w:val="center"/>
          </w:tcPr>
          <w:p w14:paraId="3327EF24">
            <w:pPr>
              <w:jc w:val="center"/>
              <w:rPr>
                <w:rFonts w:cs="宋体"/>
                <w:sz w:val="24"/>
                <w:szCs w:val="24"/>
              </w:rPr>
            </w:pPr>
          </w:p>
        </w:tc>
        <w:tc>
          <w:tcPr>
            <w:tcW w:w="1476" w:type="dxa"/>
            <w:noWrap w:val="0"/>
            <w:vAlign w:val="center"/>
          </w:tcPr>
          <w:p w14:paraId="0B5913DD">
            <w:pPr>
              <w:jc w:val="center"/>
              <w:rPr>
                <w:rFonts w:cs="宋体"/>
                <w:sz w:val="24"/>
                <w:szCs w:val="24"/>
              </w:rPr>
            </w:pPr>
          </w:p>
        </w:tc>
      </w:tr>
      <w:tr w14:paraId="25D69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noWrap/>
            <w:vAlign w:val="center"/>
          </w:tcPr>
          <w:p w14:paraId="57132FC8">
            <w:pPr>
              <w:jc w:val="center"/>
              <w:rPr>
                <w:rFonts w:cs="宋体"/>
                <w:sz w:val="24"/>
                <w:szCs w:val="24"/>
              </w:rPr>
            </w:pPr>
          </w:p>
        </w:tc>
        <w:tc>
          <w:tcPr>
            <w:tcW w:w="1341" w:type="dxa"/>
            <w:vMerge w:val="continue"/>
            <w:noWrap w:val="0"/>
            <w:vAlign w:val="center"/>
          </w:tcPr>
          <w:p w14:paraId="4B3617A1">
            <w:pPr>
              <w:jc w:val="center"/>
              <w:rPr>
                <w:rFonts w:cs="宋体"/>
                <w:sz w:val="24"/>
                <w:szCs w:val="24"/>
              </w:rPr>
            </w:pPr>
          </w:p>
        </w:tc>
        <w:tc>
          <w:tcPr>
            <w:tcW w:w="1150" w:type="dxa"/>
            <w:vMerge w:val="continue"/>
            <w:noWrap w:val="0"/>
            <w:vAlign w:val="center"/>
          </w:tcPr>
          <w:p w14:paraId="5E0A88C1">
            <w:pPr>
              <w:jc w:val="center"/>
              <w:rPr>
                <w:rFonts w:cs="宋体"/>
                <w:sz w:val="24"/>
                <w:szCs w:val="24"/>
              </w:rPr>
            </w:pPr>
          </w:p>
        </w:tc>
        <w:tc>
          <w:tcPr>
            <w:tcW w:w="3652" w:type="dxa"/>
            <w:noWrap w:val="0"/>
            <w:vAlign w:val="center"/>
          </w:tcPr>
          <w:p w14:paraId="2D38D56E">
            <w:pPr>
              <w:jc w:val="center"/>
              <w:rPr>
                <w:rFonts w:cs="宋体"/>
                <w:sz w:val="24"/>
                <w:szCs w:val="24"/>
              </w:rPr>
            </w:pPr>
          </w:p>
        </w:tc>
        <w:tc>
          <w:tcPr>
            <w:tcW w:w="1476" w:type="dxa"/>
            <w:noWrap w:val="0"/>
            <w:vAlign w:val="center"/>
          </w:tcPr>
          <w:p w14:paraId="35E33DE9">
            <w:pPr>
              <w:jc w:val="center"/>
              <w:rPr>
                <w:rFonts w:cs="宋体"/>
                <w:sz w:val="24"/>
                <w:szCs w:val="24"/>
              </w:rPr>
            </w:pPr>
          </w:p>
        </w:tc>
      </w:tr>
      <w:tr w14:paraId="77B74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noWrap/>
            <w:vAlign w:val="center"/>
          </w:tcPr>
          <w:p w14:paraId="513EE4BF">
            <w:pPr>
              <w:jc w:val="center"/>
              <w:rPr>
                <w:rFonts w:cs="宋体"/>
                <w:sz w:val="24"/>
                <w:szCs w:val="24"/>
              </w:rPr>
            </w:pPr>
          </w:p>
        </w:tc>
        <w:tc>
          <w:tcPr>
            <w:tcW w:w="1341" w:type="dxa"/>
            <w:vMerge w:val="continue"/>
            <w:noWrap w:val="0"/>
            <w:vAlign w:val="center"/>
          </w:tcPr>
          <w:p w14:paraId="1E5ACBAE">
            <w:pPr>
              <w:jc w:val="center"/>
              <w:rPr>
                <w:rFonts w:cs="宋体"/>
                <w:sz w:val="24"/>
                <w:szCs w:val="24"/>
              </w:rPr>
            </w:pPr>
          </w:p>
        </w:tc>
        <w:tc>
          <w:tcPr>
            <w:tcW w:w="1150" w:type="dxa"/>
            <w:vMerge w:val="continue"/>
            <w:noWrap w:val="0"/>
            <w:vAlign w:val="center"/>
          </w:tcPr>
          <w:p w14:paraId="062CC640">
            <w:pPr>
              <w:jc w:val="center"/>
              <w:rPr>
                <w:rFonts w:cs="宋体"/>
                <w:sz w:val="24"/>
                <w:szCs w:val="24"/>
              </w:rPr>
            </w:pPr>
          </w:p>
        </w:tc>
        <w:tc>
          <w:tcPr>
            <w:tcW w:w="3652" w:type="dxa"/>
            <w:noWrap w:val="0"/>
            <w:vAlign w:val="center"/>
          </w:tcPr>
          <w:p w14:paraId="33F88F73">
            <w:pPr>
              <w:jc w:val="center"/>
              <w:rPr>
                <w:rFonts w:cs="宋体"/>
                <w:sz w:val="24"/>
                <w:szCs w:val="24"/>
              </w:rPr>
            </w:pPr>
          </w:p>
        </w:tc>
        <w:tc>
          <w:tcPr>
            <w:tcW w:w="1476" w:type="dxa"/>
            <w:noWrap w:val="0"/>
            <w:vAlign w:val="center"/>
          </w:tcPr>
          <w:p w14:paraId="74D5BDF6">
            <w:pPr>
              <w:jc w:val="center"/>
              <w:rPr>
                <w:rFonts w:cs="宋体"/>
                <w:sz w:val="24"/>
                <w:szCs w:val="24"/>
              </w:rPr>
            </w:pPr>
          </w:p>
        </w:tc>
      </w:tr>
      <w:tr w14:paraId="63A49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noWrap/>
            <w:vAlign w:val="center"/>
          </w:tcPr>
          <w:p w14:paraId="1E868035">
            <w:pPr>
              <w:jc w:val="center"/>
              <w:rPr>
                <w:rFonts w:cs="宋体"/>
                <w:sz w:val="24"/>
                <w:szCs w:val="24"/>
              </w:rPr>
            </w:pPr>
          </w:p>
        </w:tc>
        <w:tc>
          <w:tcPr>
            <w:tcW w:w="1341" w:type="dxa"/>
            <w:vMerge w:val="continue"/>
            <w:noWrap w:val="0"/>
            <w:vAlign w:val="center"/>
          </w:tcPr>
          <w:p w14:paraId="0261429B">
            <w:pPr>
              <w:jc w:val="center"/>
              <w:rPr>
                <w:rFonts w:cs="宋体"/>
                <w:sz w:val="24"/>
                <w:szCs w:val="24"/>
              </w:rPr>
            </w:pPr>
          </w:p>
        </w:tc>
        <w:tc>
          <w:tcPr>
            <w:tcW w:w="1150" w:type="dxa"/>
            <w:vMerge w:val="continue"/>
            <w:noWrap w:val="0"/>
            <w:vAlign w:val="center"/>
          </w:tcPr>
          <w:p w14:paraId="085D9EEB">
            <w:pPr>
              <w:jc w:val="center"/>
              <w:rPr>
                <w:rFonts w:cs="宋体"/>
                <w:sz w:val="24"/>
                <w:szCs w:val="24"/>
              </w:rPr>
            </w:pPr>
          </w:p>
        </w:tc>
        <w:tc>
          <w:tcPr>
            <w:tcW w:w="3652" w:type="dxa"/>
            <w:noWrap w:val="0"/>
            <w:vAlign w:val="center"/>
          </w:tcPr>
          <w:p w14:paraId="5D32E863">
            <w:pPr>
              <w:jc w:val="center"/>
              <w:rPr>
                <w:rFonts w:cs="宋体"/>
                <w:sz w:val="24"/>
                <w:szCs w:val="24"/>
              </w:rPr>
            </w:pPr>
          </w:p>
        </w:tc>
        <w:tc>
          <w:tcPr>
            <w:tcW w:w="1476" w:type="dxa"/>
            <w:noWrap w:val="0"/>
            <w:vAlign w:val="center"/>
          </w:tcPr>
          <w:p w14:paraId="47DF9144">
            <w:pPr>
              <w:jc w:val="center"/>
              <w:rPr>
                <w:rFonts w:cs="宋体"/>
                <w:sz w:val="24"/>
                <w:szCs w:val="24"/>
              </w:rPr>
            </w:pPr>
          </w:p>
        </w:tc>
      </w:tr>
      <w:tr w14:paraId="1F837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shd w:val="clear" w:color="000000" w:fill="FFFFFF"/>
            <w:noWrap/>
            <w:vAlign w:val="center"/>
          </w:tcPr>
          <w:p w14:paraId="5706A96F">
            <w:pPr>
              <w:jc w:val="center"/>
              <w:rPr>
                <w:rFonts w:cs="宋体"/>
                <w:sz w:val="24"/>
                <w:szCs w:val="24"/>
              </w:rPr>
            </w:pPr>
          </w:p>
        </w:tc>
        <w:tc>
          <w:tcPr>
            <w:tcW w:w="1341" w:type="dxa"/>
            <w:vMerge w:val="continue"/>
            <w:shd w:val="clear" w:color="000000" w:fill="FFFFFF"/>
            <w:noWrap w:val="0"/>
            <w:vAlign w:val="center"/>
          </w:tcPr>
          <w:p w14:paraId="25007CFB">
            <w:pPr>
              <w:jc w:val="center"/>
              <w:rPr>
                <w:rFonts w:cs="宋体"/>
                <w:sz w:val="24"/>
                <w:szCs w:val="24"/>
              </w:rPr>
            </w:pPr>
          </w:p>
        </w:tc>
        <w:tc>
          <w:tcPr>
            <w:tcW w:w="1150" w:type="dxa"/>
            <w:vMerge w:val="continue"/>
            <w:shd w:val="clear" w:color="000000" w:fill="FFFFFF"/>
            <w:noWrap w:val="0"/>
            <w:vAlign w:val="center"/>
          </w:tcPr>
          <w:p w14:paraId="5B7203A3">
            <w:pPr>
              <w:jc w:val="center"/>
              <w:rPr>
                <w:rFonts w:cs="宋体"/>
                <w:sz w:val="24"/>
                <w:szCs w:val="24"/>
              </w:rPr>
            </w:pPr>
          </w:p>
        </w:tc>
        <w:tc>
          <w:tcPr>
            <w:tcW w:w="3652" w:type="dxa"/>
            <w:shd w:val="clear" w:color="000000" w:fill="auto"/>
            <w:noWrap w:val="0"/>
            <w:vAlign w:val="center"/>
          </w:tcPr>
          <w:p w14:paraId="44BE259F">
            <w:pPr>
              <w:jc w:val="center"/>
              <w:rPr>
                <w:rFonts w:ascii="Times New Roman" w:hAnsi="Times New Roman" w:cs="宋体"/>
                <w:sz w:val="24"/>
                <w:szCs w:val="24"/>
              </w:rPr>
            </w:pPr>
          </w:p>
        </w:tc>
        <w:tc>
          <w:tcPr>
            <w:tcW w:w="1476" w:type="dxa"/>
            <w:shd w:val="clear" w:color="000000" w:fill="auto"/>
            <w:noWrap w:val="0"/>
            <w:vAlign w:val="center"/>
          </w:tcPr>
          <w:p w14:paraId="3C45B03F">
            <w:pPr>
              <w:jc w:val="center"/>
              <w:rPr>
                <w:rFonts w:ascii="Times New Roman" w:hAnsi="Times New Roman" w:cs="宋体"/>
                <w:sz w:val="24"/>
                <w:szCs w:val="24"/>
              </w:rPr>
            </w:pPr>
          </w:p>
        </w:tc>
      </w:tr>
      <w:tr w14:paraId="48EE4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 w:hRule="atLeast"/>
          <w:jc w:val="center"/>
        </w:trPr>
        <w:tc>
          <w:tcPr>
            <w:tcW w:w="757" w:type="dxa"/>
            <w:vMerge w:val="continue"/>
            <w:shd w:val="clear" w:color="auto" w:fill="auto"/>
            <w:noWrap/>
            <w:vAlign w:val="center"/>
          </w:tcPr>
          <w:p w14:paraId="7799E928">
            <w:pPr>
              <w:jc w:val="center"/>
              <w:rPr>
                <w:rFonts w:cs="宋体"/>
                <w:sz w:val="24"/>
                <w:szCs w:val="24"/>
              </w:rPr>
            </w:pPr>
          </w:p>
        </w:tc>
        <w:tc>
          <w:tcPr>
            <w:tcW w:w="1341" w:type="dxa"/>
            <w:vMerge w:val="continue"/>
            <w:shd w:val="clear" w:color="auto" w:fill="auto"/>
            <w:noWrap w:val="0"/>
            <w:vAlign w:val="center"/>
          </w:tcPr>
          <w:p w14:paraId="43E0C62D">
            <w:pPr>
              <w:jc w:val="center"/>
              <w:rPr>
                <w:rFonts w:cs="宋体"/>
                <w:sz w:val="24"/>
                <w:szCs w:val="24"/>
              </w:rPr>
            </w:pPr>
          </w:p>
        </w:tc>
        <w:tc>
          <w:tcPr>
            <w:tcW w:w="1150" w:type="dxa"/>
            <w:vMerge w:val="continue"/>
            <w:shd w:val="clear" w:color="auto" w:fill="auto"/>
            <w:noWrap w:val="0"/>
            <w:vAlign w:val="center"/>
          </w:tcPr>
          <w:p w14:paraId="7BE54733">
            <w:pPr>
              <w:jc w:val="center"/>
              <w:rPr>
                <w:rFonts w:cs="宋体"/>
                <w:sz w:val="24"/>
                <w:szCs w:val="24"/>
              </w:rPr>
            </w:pPr>
          </w:p>
        </w:tc>
        <w:tc>
          <w:tcPr>
            <w:tcW w:w="3652" w:type="dxa"/>
            <w:shd w:val="clear" w:color="000000" w:fill="auto"/>
            <w:noWrap w:val="0"/>
            <w:vAlign w:val="center"/>
          </w:tcPr>
          <w:p w14:paraId="275D6659">
            <w:pPr>
              <w:jc w:val="center"/>
              <w:rPr>
                <w:rFonts w:ascii="Times New Roman" w:hAnsi="Times New Roman" w:cs="宋体"/>
                <w:sz w:val="24"/>
                <w:szCs w:val="24"/>
              </w:rPr>
            </w:pPr>
          </w:p>
        </w:tc>
        <w:tc>
          <w:tcPr>
            <w:tcW w:w="1476" w:type="dxa"/>
            <w:shd w:val="clear" w:color="000000" w:fill="auto"/>
            <w:noWrap w:val="0"/>
            <w:vAlign w:val="center"/>
          </w:tcPr>
          <w:p w14:paraId="0E14AB91">
            <w:pPr>
              <w:jc w:val="center"/>
              <w:rPr>
                <w:rFonts w:ascii="Times New Roman" w:hAnsi="Times New Roman" w:cs="宋体"/>
                <w:sz w:val="24"/>
                <w:szCs w:val="24"/>
              </w:rPr>
            </w:pPr>
          </w:p>
        </w:tc>
      </w:tr>
      <w:tr w14:paraId="5A26B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shd w:val="clear" w:color="auto" w:fill="auto"/>
            <w:noWrap/>
            <w:vAlign w:val="center"/>
          </w:tcPr>
          <w:p w14:paraId="17792668">
            <w:pPr>
              <w:jc w:val="center"/>
              <w:rPr>
                <w:rFonts w:cs="宋体"/>
                <w:sz w:val="24"/>
                <w:szCs w:val="24"/>
              </w:rPr>
            </w:pPr>
          </w:p>
        </w:tc>
        <w:tc>
          <w:tcPr>
            <w:tcW w:w="1341" w:type="dxa"/>
            <w:vMerge w:val="continue"/>
            <w:shd w:val="clear" w:color="000000" w:fill="FFFFFF"/>
            <w:noWrap w:val="0"/>
            <w:vAlign w:val="center"/>
          </w:tcPr>
          <w:p w14:paraId="4B6D9AFD">
            <w:pPr>
              <w:jc w:val="center"/>
              <w:rPr>
                <w:rFonts w:cs="宋体"/>
                <w:sz w:val="24"/>
                <w:szCs w:val="24"/>
              </w:rPr>
            </w:pPr>
          </w:p>
        </w:tc>
        <w:tc>
          <w:tcPr>
            <w:tcW w:w="1150" w:type="dxa"/>
            <w:vMerge w:val="continue"/>
            <w:shd w:val="clear" w:color="000000" w:fill="FFFFFF"/>
            <w:noWrap w:val="0"/>
            <w:vAlign w:val="center"/>
          </w:tcPr>
          <w:p w14:paraId="11217C54">
            <w:pPr>
              <w:jc w:val="center"/>
              <w:rPr>
                <w:rFonts w:cs="宋体"/>
                <w:sz w:val="24"/>
                <w:szCs w:val="24"/>
              </w:rPr>
            </w:pPr>
          </w:p>
        </w:tc>
        <w:tc>
          <w:tcPr>
            <w:tcW w:w="3652" w:type="dxa"/>
            <w:shd w:val="clear" w:color="000000" w:fill="auto"/>
            <w:noWrap w:val="0"/>
            <w:vAlign w:val="center"/>
          </w:tcPr>
          <w:p w14:paraId="78CA66D5">
            <w:pPr>
              <w:jc w:val="center"/>
              <w:rPr>
                <w:rFonts w:ascii="Times New Roman" w:hAnsi="Times New Roman" w:cs="宋体"/>
                <w:sz w:val="24"/>
                <w:szCs w:val="24"/>
              </w:rPr>
            </w:pPr>
          </w:p>
        </w:tc>
        <w:tc>
          <w:tcPr>
            <w:tcW w:w="1476" w:type="dxa"/>
            <w:shd w:val="clear" w:color="000000" w:fill="auto"/>
            <w:noWrap w:val="0"/>
            <w:vAlign w:val="center"/>
          </w:tcPr>
          <w:p w14:paraId="3FC2AFC2">
            <w:pPr>
              <w:jc w:val="center"/>
              <w:rPr>
                <w:rFonts w:ascii="Times New Roman" w:hAnsi="Times New Roman" w:cs="宋体"/>
                <w:sz w:val="24"/>
                <w:szCs w:val="24"/>
              </w:rPr>
            </w:pPr>
          </w:p>
        </w:tc>
      </w:tr>
      <w:tr w14:paraId="16068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shd w:val="clear" w:color="000000" w:fill="FFFFFF"/>
            <w:noWrap/>
            <w:vAlign w:val="center"/>
          </w:tcPr>
          <w:p w14:paraId="02E0FBF2">
            <w:pPr>
              <w:jc w:val="center"/>
              <w:rPr>
                <w:rFonts w:cs="宋体"/>
                <w:sz w:val="24"/>
                <w:szCs w:val="24"/>
              </w:rPr>
            </w:pPr>
          </w:p>
        </w:tc>
        <w:tc>
          <w:tcPr>
            <w:tcW w:w="1341" w:type="dxa"/>
            <w:vMerge w:val="continue"/>
            <w:shd w:val="clear" w:color="auto" w:fill="auto"/>
            <w:noWrap w:val="0"/>
            <w:vAlign w:val="center"/>
          </w:tcPr>
          <w:p w14:paraId="37B92605">
            <w:pPr>
              <w:jc w:val="center"/>
              <w:rPr>
                <w:rFonts w:cs="宋体"/>
                <w:sz w:val="24"/>
                <w:szCs w:val="24"/>
              </w:rPr>
            </w:pPr>
          </w:p>
        </w:tc>
        <w:tc>
          <w:tcPr>
            <w:tcW w:w="1150" w:type="dxa"/>
            <w:vMerge w:val="continue"/>
            <w:shd w:val="clear" w:color="auto" w:fill="auto"/>
            <w:noWrap w:val="0"/>
            <w:vAlign w:val="center"/>
          </w:tcPr>
          <w:p w14:paraId="510B1D37">
            <w:pPr>
              <w:jc w:val="center"/>
              <w:rPr>
                <w:rFonts w:cs="宋体"/>
                <w:sz w:val="24"/>
                <w:szCs w:val="24"/>
              </w:rPr>
            </w:pPr>
          </w:p>
        </w:tc>
        <w:tc>
          <w:tcPr>
            <w:tcW w:w="3652" w:type="dxa"/>
            <w:shd w:val="clear" w:color="000000" w:fill="auto"/>
            <w:noWrap w:val="0"/>
            <w:vAlign w:val="center"/>
          </w:tcPr>
          <w:p w14:paraId="1DD04676">
            <w:pPr>
              <w:jc w:val="center"/>
              <w:rPr>
                <w:rFonts w:ascii="Times New Roman" w:hAnsi="Times New Roman" w:cs="宋体"/>
                <w:sz w:val="24"/>
                <w:szCs w:val="24"/>
              </w:rPr>
            </w:pPr>
          </w:p>
        </w:tc>
        <w:tc>
          <w:tcPr>
            <w:tcW w:w="1476" w:type="dxa"/>
            <w:shd w:val="clear" w:color="000000" w:fill="auto"/>
            <w:noWrap w:val="0"/>
            <w:vAlign w:val="center"/>
          </w:tcPr>
          <w:p w14:paraId="38FA5BDB">
            <w:pPr>
              <w:jc w:val="center"/>
              <w:rPr>
                <w:rFonts w:ascii="Times New Roman" w:hAnsi="Times New Roman" w:cs="宋体"/>
                <w:sz w:val="24"/>
                <w:szCs w:val="24"/>
              </w:rPr>
            </w:pPr>
          </w:p>
        </w:tc>
      </w:tr>
      <w:tr w14:paraId="33823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757" w:type="dxa"/>
            <w:vMerge w:val="continue"/>
            <w:shd w:val="clear" w:color="000000" w:fill="FFFFFF"/>
            <w:noWrap/>
            <w:vAlign w:val="center"/>
          </w:tcPr>
          <w:p w14:paraId="5BE6A99D">
            <w:pPr>
              <w:jc w:val="center"/>
              <w:rPr>
                <w:rFonts w:cs="宋体"/>
                <w:sz w:val="24"/>
                <w:szCs w:val="24"/>
              </w:rPr>
            </w:pPr>
          </w:p>
        </w:tc>
        <w:tc>
          <w:tcPr>
            <w:tcW w:w="1341" w:type="dxa"/>
            <w:vMerge w:val="continue"/>
            <w:noWrap w:val="0"/>
            <w:vAlign w:val="center"/>
          </w:tcPr>
          <w:p w14:paraId="216B057F">
            <w:pPr>
              <w:jc w:val="center"/>
              <w:rPr>
                <w:rFonts w:cs="宋体"/>
                <w:sz w:val="24"/>
                <w:szCs w:val="24"/>
              </w:rPr>
            </w:pPr>
          </w:p>
        </w:tc>
        <w:tc>
          <w:tcPr>
            <w:tcW w:w="1150" w:type="dxa"/>
            <w:vMerge w:val="continue"/>
            <w:noWrap w:val="0"/>
            <w:vAlign w:val="center"/>
          </w:tcPr>
          <w:p w14:paraId="7307164E">
            <w:pPr>
              <w:jc w:val="center"/>
              <w:rPr>
                <w:rFonts w:cs="宋体"/>
                <w:sz w:val="24"/>
                <w:szCs w:val="24"/>
              </w:rPr>
            </w:pPr>
          </w:p>
        </w:tc>
        <w:tc>
          <w:tcPr>
            <w:tcW w:w="3652" w:type="dxa"/>
            <w:noWrap w:val="0"/>
            <w:vAlign w:val="center"/>
          </w:tcPr>
          <w:p w14:paraId="3AF42263">
            <w:pPr>
              <w:jc w:val="center"/>
              <w:rPr>
                <w:rFonts w:cs="宋体"/>
                <w:sz w:val="24"/>
                <w:szCs w:val="24"/>
              </w:rPr>
            </w:pPr>
          </w:p>
        </w:tc>
        <w:tc>
          <w:tcPr>
            <w:tcW w:w="1476" w:type="dxa"/>
            <w:noWrap w:val="0"/>
            <w:vAlign w:val="center"/>
          </w:tcPr>
          <w:p w14:paraId="51DDD2BA">
            <w:pPr>
              <w:jc w:val="center"/>
              <w:rPr>
                <w:rFonts w:cs="宋体"/>
                <w:sz w:val="24"/>
                <w:szCs w:val="24"/>
              </w:rPr>
            </w:pPr>
          </w:p>
        </w:tc>
      </w:tr>
      <w:tr w14:paraId="3707D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shd w:val="clear" w:color="000000" w:fill="FFFFFF"/>
            <w:noWrap/>
            <w:vAlign w:val="center"/>
          </w:tcPr>
          <w:p w14:paraId="404A954F">
            <w:pPr>
              <w:jc w:val="center"/>
              <w:rPr>
                <w:rFonts w:cs="宋体"/>
                <w:sz w:val="24"/>
                <w:szCs w:val="24"/>
              </w:rPr>
            </w:pPr>
          </w:p>
        </w:tc>
        <w:tc>
          <w:tcPr>
            <w:tcW w:w="1341" w:type="dxa"/>
            <w:vMerge w:val="continue"/>
            <w:noWrap w:val="0"/>
            <w:vAlign w:val="center"/>
          </w:tcPr>
          <w:p w14:paraId="15BA1E9B">
            <w:pPr>
              <w:jc w:val="center"/>
              <w:rPr>
                <w:rFonts w:cs="宋体"/>
                <w:sz w:val="24"/>
                <w:szCs w:val="24"/>
              </w:rPr>
            </w:pPr>
          </w:p>
        </w:tc>
        <w:tc>
          <w:tcPr>
            <w:tcW w:w="1150" w:type="dxa"/>
            <w:vMerge w:val="restart"/>
            <w:noWrap w:val="0"/>
            <w:vAlign w:val="center"/>
          </w:tcPr>
          <w:p w14:paraId="11BA18D7">
            <w:pPr>
              <w:jc w:val="center"/>
              <w:rPr>
                <w:rFonts w:hint="eastAsia" w:cs="宋体"/>
                <w:sz w:val="24"/>
                <w:szCs w:val="24"/>
              </w:rPr>
            </w:pPr>
            <w:r>
              <w:rPr>
                <w:rFonts w:hint="eastAsia" w:cs="宋体"/>
                <w:sz w:val="24"/>
                <w:szCs w:val="24"/>
              </w:rPr>
              <w:t xml:space="preserve"> </w:t>
            </w:r>
          </w:p>
        </w:tc>
        <w:tc>
          <w:tcPr>
            <w:tcW w:w="3652" w:type="dxa"/>
            <w:noWrap w:val="0"/>
            <w:vAlign w:val="center"/>
          </w:tcPr>
          <w:p w14:paraId="669514A8">
            <w:pPr>
              <w:jc w:val="center"/>
              <w:rPr>
                <w:rFonts w:cs="宋体"/>
                <w:sz w:val="24"/>
                <w:szCs w:val="24"/>
              </w:rPr>
            </w:pPr>
          </w:p>
        </w:tc>
        <w:tc>
          <w:tcPr>
            <w:tcW w:w="1476" w:type="dxa"/>
            <w:noWrap w:val="0"/>
            <w:vAlign w:val="center"/>
          </w:tcPr>
          <w:p w14:paraId="54964E9E">
            <w:pPr>
              <w:jc w:val="center"/>
              <w:rPr>
                <w:rFonts w:cs="宋体"/>
                <w:sz w:val="24"/>
                <w:szCs w:val="24"/>
              </w:rPr>
            </w:pPr>
          </w:p>
        </w:tc>
      </w:tr>
      <w:tr w14:paraId="0F2E4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shd w:val="clear" w:color="000000" w:fill="FFFFFF"/>
            <w:noWrap/>
            <w:vAlign w:val="center"/>
          </w:tcPr>
          <w:p w14:paraId="7F48BFDE">
            <w:pPr>
              <w:jc w:val="center"/>
              <w:rPr>
                <w:rFonts w:cs="宋体"/>
                <w:sz w:val="24"/>
                <w:szCs w:val="24"/>
              </w:rPr>
            </w:pPr>
          </w:p>
        </w:tc>
        <w:tc>
          <w:tcPr>
            <w:tcW w:w="1341" w:type="dxa"/>
            <w:vMerge w:val="continue"/>
            <w:noWrap w:val="0"/>
            <w:vAlign w:val="center"/>
          </w:tcPr>
          <w:p w14:paraId="1666EC96">
            <w:pPr>
              <w:jc w:val="center"/>
              <w:rPr>
                <w:rFonts w:cs="宋体"/>
                <w:sz w:val="24"/>
                <w:szCs w:val="24"/>
              </w:rPr>
            </w:pPr>
          </w:p>
        </w:tc>
        <w:tc>
          <w:tcPr>
            <w:tcW w:w="1150" w:type="dxa"/>
            <w:vMerge w:val="continue"/>
            <w:noWrap w:val="0"/>
            <w:vAlign w:val="center"/>
          </w:tcPr>
          <w:p w14:paraId="22C37C11">
            <w:pPr>
              <w:jc w:val="center"/>
              <w:rPr>
                <w:rFonts w:cs="宋体"/>
                <w:sz w:val="24"/>
                <w:szCs w:val="24"/>
              </w:rPr>
            </w:pPr>
          </w:p>
        </w:tc>
        <w:tc>
          <w:tcPr>
            <w:tcW w:w="3652" w:type="dxa"/>
            <w:noWrap w:val="0"/>
            <w:vAlign w:val="center"/>
          </w:tcPr>
          <w:p w14:paraId="7CBA84D9">
            <w:pPr>
              <w:jc w:val="center"/>
              <w:rPr>
                <w:rFonts w:cs="宋体"/>
                <w:sz w:val="24"/>
                <w:szCs w:val="24"/>
              </w:rPr>
            </w:pPr>
          </w:p>
        </w:tc>
        <w:tc>
          <w:tcPr>
            <w:tcW w:w="1476" w:type="dxa"/>
            <w:noWrap w:val="0"/>
            <w:vAlign w:val="center"/>
          </w:tcPr>
          <w:p w14:paraId="03D8448D">
            <w:pPr>
              <w:jc w:val="center"/>
              <w:rPr>
                <w:rFonts w:cs="宋体"/>
                <w:sz w:val="24"/>
                <w:szCs w:val="24"/>
              </w:rPr>
            </w:pPr>
          </w:p>
        </w:tc>
      </w:tr>
      <w:tr w14:paraId="654E2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shd w:val="clear" w:color="000000" w:fill="FFFFFF"/>
            <w:noWrap/>
            <w:vAlign w:val="center"/>
          </w:tcPr>
          <w:p w14:paraId="66F14A19">
            <w:pPr>
              <w:jc w:val="center"/>
              <w:rPr>
                <w:rFonts w:cs="宋体"/>
                <w:sz w:val="24"/>
                <w:szCs w:val="24"/>
              </w:rPr>
            </w:pPr>
          </w:p>
        </w:tc>
        <w:tc>
          <w:tcPr>
            <w:tcW w:w="1341" w:type="dxa"/>
            <w:vMerge w:val="continue"/>
            <w:noWrap w:val="0"/>
            <w:vAlign w:val="center"/>
          </w:tcPr>
          <w:p w14:paraId="244960B2">
            <w:pPr>
              <w:jc w:val="center"/>
              <w:rPr>
                <w:rFonts w:cs="宋体"/>
                <w:sz w:val="24"/>
                <w:szCs w:val="24"/>
              </w:rPr>
            </w:pPr>
          </w:p>
        </w:tc>
        <w:tc>
          <w:tcPr>
            <w:tcW w:w="1150" w:type="dxa"/>
            <w:vMerge w:val="continue"/>
            <w:noWrap w:val="0"/>
            <w:vAlign w:val="center"/>
          </w:tcPr>
          <w:p w14:paraId="0F3ACD99">
            <w:pPr>
              <w:jc w:val="center"/>
              <w:rPr>
                <w:rFonts w:cs="宋体"/>
                <w:sz w:val="24"/>
                <w:szCs w:val="24"/>
              </w:rPr>
            </w:pPr>
          </w:p>
        </w:tc>
        <w:tc>
          <w:tcPr>
            <w:tcW w:w="3652" w:type="dxa"/>
            <w:noWrap w:val="0"/>
            <w:vAlign w:val="center"/>
          </w:tcPr>
          <w:p w14:paraId="10BEA750">
            <w:pPr>
              <w:jc w:val="center"/>
              <w:rPr>
                <w:rFonts w:cs="宋体"/>
                <w:sz w:val="24"/>
                <w:szCs w:val="24"/>
              </w:rPr>
            </w:pPr>
          </w:p>
        </w:tc>
        <w:tc>
          <w:tcPr>
            <w:tcW w:w="1476" w:type="dxa"/>
            <w:noWrap w:val="0"/>
            <w:vAlign w:val="center"/>
          </w:tcPr>
          <w:p w14:paraId="19A29631">
            <w:pPr>
              <w:jc w:val="center"/>
              <w:rPr>
                <w:rFonts w:cs="宋体"/>
                <w:sz w:val="24"/>
                <w:szCs w:val="24"/>
              </w:rPr>
            </w:pPr>
          </w:p>
        </w:tc>
      </w:tr>
      <w:tr w14:paraId="300B2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shd w:val="clear" w:color="000000" w:fill="FFFFFF"/>
            <w:noWrap/>
            <w:vAlign w:val="center"/>
          </w:tcPr>
          <w:p w14:paraId="3137CA53">
            <w:pPr>
              <w:jc w:val="center"/>
              <w:rPr>
                <w:rFonts w:cs="宋体"/>
                <w:sz w:val="24"/>
                <w:szCs w:val="24"/>
              </w:rPr>
            </w:pPr>
          </w:p>
        </w:tc>
        <w:tc>
          <w:tcPr>
            <w:tcW w:w="1341" w:type="dxa"/>
            <w:vMerge w:val="continue"/>
            <w:noWrap w:val="0"/>
            <w:vAlign w:val="center"/>
          </w:tcPr>
          <w:p w14:paraId="2BCCF95A">
            <w:pPr>
              <w:jc w:val="center"/>
              <w:rPr>
                <w:rFonts w:cs="宋体"/>
                <w:sz w:val="24"/>
                <w:szCs w:val="24"/>
              </w:rPr>
            </w:pPr>
          </w:p>
        </w:tc>
        <w:tc>
          <w:tcPr>
            <w:tcW w:w="1150" w:type="dxa"/>
            <w:vMerge w:val="continue"/>
            <w:noWrap w:val="0"/>
            <w:vAlign w:val="center"/>
          </w:tcPr>
          <w:p w14:paraId="63728985">
            <w:pPr>
              <w:jc w:val="center"/>
              <w:rPr>
                <w:rFonts w:cs="宋体"/>
                <w:sz w:val="24"/>
                <w:szCs w:val="24"/>
              </w:rPr>
            </w:pPr>
          </w:p>
        </w:tc>
        <w:tc>
          <w:tcPr>
            <w:tcW w:w="3652" w:type="dxa"/>
            <w:noWrap w:val="0"/>
            <w:vAlign w:val="center"/>
          </w:tcPr>
          <w:p w14:paraId="38109595">
            <w:pPr>
              <w:jc w:val="center"/>
              <w:rPr>
                <w:rFonts w:cs="宋体"/>
                <w:sz w:val="24"/>
                <w:szCs w:val="24"/>
              </w:rPr>
            </w:pPr>
          </w:p>
        </w:tc>
        <w:tc>
          <w:tcPr>
            <w:tcW w:w="1476" w:type="dxa"/>
            <w:noWrap w:val="0"/>
            <w:vAlign w:val="center"/>
          </w:tcPr>
          <w:p w14:paraId="4B9523BB">
            <w:pPr>
              <w:jc w:val="center"/>
              <w:rPr>
                <w:rFonts w:cs="宋体"/>
                <w:sz w:val="24"/>
                <w:szCs w:val="24"/>
              </w:rPr>
            </w:pPr>
          </w:p>
        </w:tc>
      </w:tr>
      <w:tr w14:paraId="5F5E0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shd w:val="clear" w:color="000000" w:fill="FFFFFF"/>
            <w:noWrap/>
            <w:vAlign w:val="center"/>
          </w:tcPr>
          <w:p w14:paraId="26343FA2">
            <w:pPr>
              <w:jc w:val="center"/>
              <w:rPr>
                <w:rFonts w:cs="宋体"/>
                <w:sz w:val="24"/>
                <w:szCs w:val="24"/>
              </w:rPr>
            </w:pPr>
          </w:p>
        </w:tc>
        <w:tc>
          <w:tcPr>
            <w:tcW w:w="1341" w:type="dxa"/>
            <w:vMerge w:val="continue"/>
            <w:noWrap w:val="0"/>
            <w:vAlign w:val="center"/>
          </w:tcPr>
          <w:p w14:paraId="00E261EF">
            <w:pPr>
              <w:jc w:val="center"/>
              <w:rPr>
                <w:rFonts w:cs="宋体"/>
                <w:sz w:val="24"/>
                <w:szCs w:val="24"/>
              </w:rPr>
            </w:pPr>
          </w:p>
        </w:tc>
        <w:tc>
          <w:tcPr>
            <w:tcW w:w="1150" w:type="dxa"/>
            <w:vMerge w:val="continue"/>
            <w:noWrap w:val="0"/>
            <w:vAlign w:val="center"/>
          </w:tcPr>
          <w:p w14:paraId="54A3DAD7">
            <w:pPr>
              <w:jc w:val="center"/>
              <w:rPr>
                <w:rFonts w:cs="宋体"/>
                <w:sz w:val="24"/>
                <w:szCs w:val="24"/>
              </w:rPr>
            </w:pPr>
          </w:p>
        </w:tc>
        <w:tc>
          <w:tcPr>
            <w:tcW w:w="3652" w:type="dxa"/>
            <w:noWrap w:val="0"/>
            <w:vAlign w:val="center"/>
          </w:tcPr>
          <w:p w14:paraId="3952C975">
            <w:pPr>
              <w:jc w:val="center"/>
              <w:rPr>
                <w:rFonts w:cs="宋体"/>
                <w:sz w:val="24"/>
                <w:szCs w:val="24"/>
              </w:rPr>
            </w:pPr>
          </w:p>
        </w:tc>
        <w:tc>
          <w:tcPr>
            <w:tcW w:w="1476" w:type="dxa"/>
            <w:noWrap w:val="0"/>
            <w:vAlign w:val="center"/>
          </w:tcPr>
          <w:p w14:paraId="6285682F">
            <w:pPr>
              <w:jc w:val="center"/>
              <w:rPr>
                <w:rFonts w:cs="宋体"/>
                <w:sz w:val="24"/>
                <w:szCs w:val="24"/>
              </w:rPr>
            </w:pPr>
          </w:p>
        </w:tc>
      </w:tr>
      <w:tr w14:paraId="742B8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shd w:val="clear" w:color="000000" w:fill="FFFFFF"/>
            <w:noWrap/>
            <w:vAlign w:val="center"/>
          </w:tcPr>
          <w:p w14:paraId="7041E2BD">
            <w:pPr>
              <w:jc w:val="center"/>
              <w:rPr>
                <w:rFonts w:cs="宋体"/>
                <w:sz w:val="24"/>
                <w:szCs w:val="24"/>
              </w:rPr>
            </w:pPr>
          </w:p>
        </w:tc>
        <w:tc>
          <w:tcPr>
            <w:tcW w:w="1341" w:type="dxa"/>
            <w:vMerge w:val="continue"/>
            <w:noWrap w:val="0"/>
            <w:vAlign w:val="center"/>
          </w:tcPr>
          <w:p w14:paraId="15320254">
            <w:pPr>
              <w:jc w:val="center"/>
              <w:rPr>
                <w:rFonts w:cs="宋体"/>
                <w:sz w:val="24"/>
                <w:szCs w:val="24"/>
              </w:rPr>
            </w:pPr>
          </w:p>
        </w:tc>
        <w:tc>
          <w:tcPr>
            <w:tcW w:w="1150" w:type="dxa"/>
            <w:vMerge w:val="continue"/>
            <w:noWrap w:val="0"/>
            <w:vAlign w:val="center"/>
          </w:tcPr>
          <w:p w14:paraId="62E8E7A5">
            <w:pPr>
              <w:jc w:val="center"/>
              <w:rPr>
                <w:rFonts w:cs="宋体"/>
                <w:sz w:val="24"/>
                <w:szCs w:val="24"/>
              </w:rPr>
            </w:pPr>
          </w:p>
        </w:tc>
        <w:tc>
          <w:tcPr>
            <w:tcW w:w="3652" w:type="dxa"/>
            <w:noWrap w:val="0"/>
            <w:vAlign w:val="center"/>
          </w:tcPr>
          <w:p w14:paraId="75E0BD1E">
            <w:pPr>
              <w:jc w:val="center"/>
              <w:rPr>
                <w:rFonts w:cs="宋体"/>
                <w:sz w:val="24"/>
                <w:szCs w:val="24"/>
              </w:rPr>
            </w:pPr>
          </w:p>
        </w:tc>
        <w:tc>
          <w:tcPr>
            <w:tcW w:w="1476" w:type="dxa"/>
            <w:noWrap w:val="0"/>
            <w:vAlign w:val="center"/>
          </w:tcPr>
          <w:p w14:paraId="283C4713">
            <w:pPr>
              <w:jc w:val="center"/>
              <w:rPr>
                <w:rFonts w:cs="宋体"/>
                <w:sz w:val="24"/>
                <w:szCs w:val="24"/>
              </w:rPr>
            </w:pPr>
          </w:p>
        </w:tc>
      </w:tr>
      <w:tr w14:paraId="054CF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shd w:val="clear" w:color="000000" w:fill="FFFFFF"/>
            <w:noWrap/>
            <w:vAlign w:val="center"/>
          </w:tcPr>
          <w:p w14:paraId="38FACC86">
            <w:pPr>
              <w:jc w:val="center"/>
              <w:rPr>
                <w:rFonts w:cs="宋体"/>
                <w:sz w:val="24"/>
                <w:szCs w:val="24"/>
              </w:rPr>
            </w:pPr>
          </w:p>
        </w:tc>
        <w:tc>
          <w:tcPr>
            <w:tcW w:w="1341" w:type="dxa"/>
            <w:vMerge w:val="continue"/>
            <w:noWrap w:val="0"/>
            <w:vAlign w:val="center"/>
          </w:tcPr>
          <w:p w14:paraId="5A2C32A0">
            <w:pPr>
              <w:jc w:val="center"/>
              <w:rPr>
                <w:rFonts w:cs="宋体"/>
                <w:sz w:val="24"/>
                <w:szCs w:val="24"/>
              </w:rPr>
            </w:pPr>
          </w:p>
        </w:tc>
        <w:tc>
          <w:tcPr>
            <w:tcW w:w="1150" w:type="dxa"/>
            <w:vMerge w:val="continue"/>
            <w:noWrap w:val="0"/>
            <w:vAlign w:val="center"/>
          </w:tcPr>
          <w:p w14:paraId="7B362E4E">
            <w:pPr>
              <w:jc w:val="center"/>
              <w:rPr>
                <w:rFonts w:cs="宋体"/>
                <w:sz w:val="24"/>
                <w:szCs w:val="24"/>
              </w:rPr>
            </w:pPr>
          </w:p>
        </w:tc>
        <w:tc>
          <w:tcPr>
            <w:tcW w:w="3652" w:type="dxa"/>
            <w:noWrap w:val="0"/>
            <w:vAlign w:val="center"/>
          </w:tcPr>
          <w:p w14:paraId="194C5E0D">
            <w:pPr>
              <w:jc w:val="center"/>
              <w:rPr>
                <w:rFonts w:cs="宋体"/>
                <w:sz w:val="24"/>
                <w:szCs w:val="24"/>
              </w:rPr>
            </w:pPr>
          </w:p>
        </w:tc>
        <w:tc>
          <w:tcPr>
            <w:tcW w:w="1476" w:type="dxa"/>
            <w:noWrap w:val="0"/>
            <w:vAlign w:val="center"/>
          </w:tcPr>
          <w:p w14:paraId="0207888D">
            <w:pPr>
              <w:jc w:val="center"/>
              <w:rPr>
                <w:rFonts w:cs="宋体"/>
                <w:sz w:val="24"/>
                <w:szCs w:val="24"/>
              </w:rPr>
            </w:pPr>
          </w:p>
        </w:tc>
      </w:tr>
      <w:tr w14:paraId="081FB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shd w:val="clear" w:color="000000" w:fill="FFFFFF"/>
            <w:noWrap/>
            <w:vAlign w:val="center"/>
          </w:tcPr>
          <w:p w14:paraId="1CB4920A">
            <w:pPr>
              <w:jc w:val="center"/>
              <w:rPr>
                <w:rFonts w:cs="宋体"/>
                <w:sz w:val="24"/>
                <w:szCs w:val="24"/>
              </w:rPr>
            </w:pPr>
          </w:p>
        </w:tc>
        <w:tc>
          <w:tcPr>
            <w:tcW w:w="1341" w:type="dxa"/>
            <w:vMerge w:val="continue"/>
            <w:noWrap w:val="0"/>
            <w:vAlign w:val="center"/>
          </w:tcPr>
          <w:p w14:paraId="05017439">
            <w:pPr>
              <w:jc w:val="center"/>
              <w:rPr>
                <w:rFonts w:cs="宋体"/>
                <w:sz w:val="24"/>
                <w:szCs w:val="24"/>
              </w:rPr>
            </w:pPr>
          </w:p>
        </w:tc>
        <w:tc>
          <w:tcPr>
            <w:tcW w:w="1150" w:type="dxa"/>
            <w:vMerge w:val="continue"/>
            <w:noWrap w:val="0"/>
            <w:vAlign w:val="center"/>
          </w:tcPr>
          <w:p w14:paraId="64E0C923">
            <w:pPr>
              <w:jc w:val="center"/>
              <w:rPr>
                <w:rFonts w:cs="宋体"/>
                <w:sz w:val="24"/>
                <w:szCs w:val="24"/>
              </w:rPr>
            </w:pPr>
          </w:p>
        </w:tc>
        <w:tc>
          <w:tcPr>
            <w:tcW w:w="3652" w:type="dxa"/>
            <w:noWrap w:val="0"/>
            <w:vAlign w:val="center"/>
          </w:tcPr>
          <w:p w14:paraId="02828F0F">
            <w:pPr>
              <w:jc w:val="center"/>
              <w:rPr>
                <w:rFonts w:cs="宋体"/>
                <w:sz w:val="24"/>
                <w:szCs w:val="24"/>
              </w:rPr>
            </w:pPr>
          </w:p>
        </w:tc>
        <w:tc>
          <w:tcPr>
            <w:tcW w:w="1476" w:type="dxa"/>
            <w:noWrap w:val="0"/>
            <w:vAlign w:val="center"/>
          </w:tcPr>
          <w:p w14:paraId="09388412">
            <w:pPr>
              <w:jc w:val="center"/>
              <w:rPr>
                <w:rFonts w:cs="宋体"/>
                <w:sz w:val="24"/>
                <w:szCs w:val="24"/>
              </w:rPr>
            </w:pPr>
          </w:p>
        </w:tc>
      </w:tr>
      <w:tr w14:paraId="28001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vMerge w:val="continue"/>
            <w:shd w:val="clear" w:color="000000" w:fill="FFFFFF"/>
            <w:noWrap/>
            <w:vAlign w:val="center"/>
          </w:tcPr>
          <w:p w14:paraId="465981B8">
            <w:pPr>
              <w:jc w:val="center"/>
              <w:rPr>
                <w:rFonts w:cs="宋体"/>
                <w:sz w:val="24"/>
                <w:szCs w:val="24"/>
              </w:rPr>
            </w:pPr>
          </w:p>
        </w:tc>
        <w:tc>
          <w:tcPr>
            <w:tcW w:w="1341" w:type="dxa"/>
            <w:vMerge w:val="continue"/>
            <w:noWrap w:val="0"/>
            <w:vAlign w:val="center"/>
          </w:tcPr>
          <w:p w14:paraId="2BC4D068">
            <w:pPr>
              <w:jc w:val="center"/>
              <w:rPr>
                <w:rFonts w:cs="宋体"/>
                <w:sz w:val="24"/>
                <w:szCs w:val="24"/>
              </w:rPr>
            </w:pPr>
          </w:p>
        </w:tc>
        <w:tc>
          <w:tcPr>
            <w:tcW w:w="1150" w:type="dxa"/>
            <w:vMerge w:val="continue"/>
            <w:noWrap w:val="0"/>
            <w:vAlign w:val="center"/>
          </w:tcPr>
          <w:p w14:paraId="34B665B9">
            <w:pPr>
              <w:jc w:val="center"/>
              <w:rPr>
                <w:rFonts w:cs="宋体"/>
                <w:sz w:val="24"/>
                <w:szCs w:val="24"/>
              </w:rPr>
            </w:pPr>
          </w:p>
        </w:tc>
        <w:tc>
          <w:tcPr>
            <w:tcW w:w="3652" w:type="dxa"/>
            <w:noWrap w:val="0"/>
            <w:vAlign w:val="center"/>
          </w:tcPr>
          <w:p w14:paraId="790F7E0E">
            <w:pPr>
              <w:jc w:val="center"/>
              <w:rPr>
                <w:rFonts w:cs="宋体"/>
                <w:sz w:val="24"/>
                <w:szCs w:val="24"/>
              </w:rPr>
            </w:pPr>
          </w:p>
        </w:tc>
        <w:tc>
          <w:tcPr>
            <w:tcW w:w="1476" w:type="dxa"/>
            <w:noWrap w:val="0"/>
            <w:vAlign w:val="center"/>
          </w:tcPr>
          <w:p w14:paraId="6781EA12">
            <w:pPr>
              <w:jc w:val="center"/>
              <w:rPr>
                <w:rFonts w:cs="宋体"/>
                <w:sz w:val="24"/>
                <w:szCs w:val="24"/>
              </w:rPr>
            </w:pPr>
          </w:p>
        </w:tc>
      </w:tr>
      <w:tr w14:paraId="1E861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757" w:type="dxa"/>
            <w:vMerge w:val="continue"/>
            <w:shd w:val="clear" w:color="000000" w:fill="FFFFFF"/>
            <w:noWrap/>
            <w:vAlign w:val="center"/>
          </w:tcPr>
          <w:p w14:paraId="365DA9EF">
            <w:pPr>
              <w:jc w:val="center"/>
              <w:rPr>
                <w:rFonts w:cs="宋体"/>
                <w:sz w:val="24"/>
                <w:szCs w:val="24"/>
              </w:rPr>
            </w:pPr>
          </w:p>
        </w:tc>
        <w:tc>
          <w:tcPr>
            <w:tcW w:w="1341" w:type="dxa"/>
            <w:vMerge w:val="continue"/>
            <w:noWrap w:val="0"/>
            <w:vAlign w:val="center"/>
          </w:tcPr>
          <w:p w14:paraId="073CB363">
            <w:pPr>
              <w:jc w:val="center"/>
              <w:rPr>
                <w:rFonts w:cs="宋体"/>
                <w:sz w:val="24"/>
                <w:szCs w:val="24"/>
              </w:rPr>
            </w:pPr>
          </w:p>
        </w:tc>
        <w:tc>
          <w:tcPr>
            <w:tcW w:w="1150" w:type="dxa"/>
            <w:vMerge w:val="continue"/>
            <w:noWrap w:val="0"/>
            <w:vAlign w:val="center"/>
          </w:tcPr>
          <w:p w14:paraId="43C2C8ED">
            <w:pPr>
              <w:jc w:val="center"/>
              <w:rPr>
                <w:rFonts w:cs="宋体"/>
                <w:sz w:val="24"/>
                <w:szCs w:val="24"/>
              </w:rPr>
            </w:pPr>
          </w:p>
        </w:tc>
        <w:tc>
          <w:tcPr>
            <w:tcW w:w="3652" w:type="dxa"/>
            <w:noWrap w:val="0"/>
            <w:vAlign w:val="center"/>
          </w:tcPr>
          <w:p w14:paraId="70893545">
            <w:pPr>
              <w:jc w:val="center"/>
              <w:rPr>
                <w:rFonts w:cs="宋体"/>
                <w:sz w:val="24"/>
                <w:szCs w:val="24"/>
              </w:rPr>
            </w:pPr>
          </w:p>
        </w:tc>
        <w:tc>
          <w:tcPr>
            <w:tcW w:w="1476" w:type="dxa"/>
            <w:noWrap w:val="0"/>
            <w:vAlign w:val="center"/>
          </w:tcPr>
          <w:p w14:paraId="74EA8B46">
            <w:pPr>
              <w:jc w:val="center"/>
              <w:rPr>
                <w:rFonts w:cs="宋体"/>
                <w:sz w:val="24"/>
                <w:szCs w:val="24"/>
              </w:rPr>
            </w:pPr>
          </w:p>
        </w:tc>
      </w:tr>
      <w:tr w14:paraId="26396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shd w:val="clear" w:color="000000" w:fill="auto"/>
            <w:noWrap/>
            <w:vAlign w:val="center"/>
          </w:tcPr>
          <w:p w14:paraId="50E5DABF">
            <w:pPr>
              <w:jc w:val="center"/>
              <w:rPr>
                <w:rFonts w:cs="宋体"/>
                <w:sz w:val="24"/>
                <w:szCs w:val="24"/>
              </w:rPr>
            </w:pPr>
            <w:r>
              <w:rPr>
                <w:rFonts w:hint="eastAsia" w:cs="宋体"/>
                <w:sz w:val="24"/>
                <w:szCs w:val="24"/>
              </w:rPr>
              <w:t>2</w:t>
            </w:r>
          </w:p>
        </w:tc>
        <w:tc>
          <w:tcPr>
            <w:tcW w:w="1341" w:type="dxa"/>
            <w:noWrap w:val="0"/>
            <w:vAlign w:val="center"/>
          </w:tcPr>
          <w:p w14:paraId="2F84791F">
            <w:pPr>
              <w:jc w:val="center"/>
              <w:rPr>
                <w:rFonts w:cs="宋体"/>
                <w:sz w:val="24"/>
                <w:szCs w:val="24"/>
              </w:rPr>
            </w:pPr>
          </w:p>
        </w:tc>
        <w:tc>
          <w:tcPr>
            <w:tcW w:w="1150" w:type="dxa"/>
            <w:noWrap w:val="0"/>
            <w:vAlign w:val="center"/>
          </w:tcPr>
          <w:p w14:paraId="05162F68">
            <w:pPr>
              <w:jc w:val="center"/>
              <w:rPr>
                <w:rFonts w:cs="宋体"/>
                <w:sz w:val="24"/>
                <w:szCs w:val="24"/>
              </w:rPr>
            </w:pPr>
          </w:p>
        </w:tc>
        <w:tc>
          <w:tcPr>
            <w:tcW w:w="3652" w:type="dxa"/>
            <w:noWrap w:val="0"/>
            <w:vAlign w:val="center"/>
          </w:tcPr>
          <w:p w14:paraId="04164300">
            <w:pPr>
              <w:jc w:val="center"/>
              <w:rPr>
                <w:rFonts w:cs="宋体"/>
                <w:sz w:val="24"/>
                <w:szCs w:val="24"/>
              </w:rPr>
            </w:pPr>
          </w:p>
        </w:tc>
        <w:tc>
          <w:tcPr>
            <w:tcW w:w="1476" w:type="dxa"/>
            <w:noWrap w:val="0"/>
            <w:vAlign w:val="center"/>
          </w:tcPr>
          <w:p w14:paraId="1B1931D0">
            <w:pPr>
              <w:jc w:val="center"/>
              <w:rPr>
                <w:rFonts w:cs="宋体"/>
                <w:sz w:val="24"/>
                <w:szCs w:val="24"/>
              </w:rPr>
            </w:pPr>
          </w:p>
        </w:tc>
      </w:tr>
      <w:tr w14:paraId="0C6F8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shd w:val="clear" w:color="000000" w:fill="auto"/>
            <w:noWrap/>
            <w:vAlign w:val="center"/>
          </w:tcPr>
          <w:p w14:paraId="1D55463C">
            <w:pPr>
              <w:jc w:val="center"/>
              <w:rPr>
                <w:rFonts w:cs="宋体"/>
                <w:sz w:val="24"/>
                <w:szCs w:val="24"/>
              </w:rPr>
            </w:pPr>
            <w:r>
              <w:rPr>
                <w:rFonts w:hint="eastAsia" w:cs="宋体"/>
                <w:sz w:val="24"/>
                <w:szCs w:val="24"/>
              </w:rPr>
              <w:t>3</w:t>
            </w:r>
          </w:p>
        </w:tc>
        <w:tc>
          <w:tcPr>
            <w:tcW w:w="1341" w:type="dxa"/>
            <w:noWrap w:val="0"/>
            <w:vAlign w:val="center"/>
          </w:tcPr>
          <w:p w14:paraId="417BEAA4">
            <w:pPr>
              <w:jc w:val="center"/>
              <w:rPr>
                <w:rFonts w:cs="宋体"/>
                <w:sz w:val="24"/>
                <w:szCs w:val="24"/>
              </w:rPr>
            </w:pPr>
          </w:p>
        </w:tc>
        <w:tc>
          <w:tcPr>
            <w:tcW w:w="1150" w:type="dxa"/>
            <w:noWrap w:val="0"/>
            <w:vAlign w:val="center"/>
          </w:tcPr>
          <w:p w14:paraId="1D0988C5">
            <w:pPr>
              <w:jc w:val="center"/>
              <w:rPr>
                <w:rFonts w:cs="宋体"/>
                <w:sz w:val="24"/>
                <w:szCs w:val="24"/>
              </w:rPr>
            </w:pPr>
          </w:p>
        </w:tc>
        <w:tc>
          <w:tcPr>
            <w:tcW w:w="3652" w:type="dxa"/>
            <w:noWrap w:val="0"/>
            <w:vAlign w:val="center"/>
          </w:tcPr>
          <w:p w14:paraId="2DCCEE6B">
            <w:pPr>
              <w:jc w:val="center"/>
              <w:rPr>
                <w:rFonts w:cs="宋体"/>
                <w:sz w:val="24"/>
                <w:szCs w:val="24"/>
              </w:rPr>
            </w:pPr>
          </w:p>
        </w:tc>
        <w:tc>
          <w:tcPr>
            <w:tcW w:w="1476" w:type="dxa"/>
            <w:noWrap w:val="0"/>
            <w:vAlign w:val="center"/>
          </w:tcPr>
          <w:p w14:paraId="573DCC7C">
            <w:pPr>
              <w:jc w:val="center"/>
              <w:rPr>
                <w:rFonts w:cs="宋体"/>
                <w:sz w:val="24"/>
                <w:szCs w:val="24"/>
              </w:rPr>
            </w:pPr>
          </w:p>
        </w:tc>
      </w:tr>
      <w:tr w14:paraId="4CA6E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shd w:val="clear" w:color="000000" w:fill="auto"/>
            <w:noWrap/>
            <w:vAlign w:val="center"/>
          </w:tcPr>
          <w:p w14:paraId="3E650962">
            <w:pPr>
              <w:jc w:val="center"/>
              <w:rPr>
                <w:rFonts w:cs="宋体"/>
                <w:sz w:val="24"/>
                <w:szCs w:val="24"/>
              </w:rPr>
            </w:pPr>
            <w:r>
              <w:rPr>
                <w:rFonts w:hint="eastAsia" w:cs="宋体"/>
                <w:sz w:val="24"/>
                <w:szCs w:val="24"/>
              </w:rPr>
              <w:t>4</w:t>
            </w:r>
          </w:p>
        </w:tc>
        <w:tc>
          <w:tcPr>
            <w:tcW w:w="1341" w:type="dxa"/>
            <w:noWrap w:val="0"/>
            <w:vAlign w:val="center"/>
          </w:tcPr>
          <w:p w14:paraId="09E71659">
            <w:pPr>
              <w:jc w:val="center"/>
              <w:rPr>
                <w:rFonts w:cs="宋体"/>
                <w:sz w:val="24"/>
                <w:szCs w:val="24"/>
              </w:rPr>
            </w:pPr>
          </w:p>
        </w:tc>
        <w:tc>
          <w:tcPr>
            <w:tcW w:w="1150" w:type="dxa"/>
            <w:noWrap w:val="0"/>
            <w:vAlign w:val="center"/>
          </w:tcPr>
          <w:p w14:paraId="0604315C">
            <w:pPr>
              <w:jc w:val="center"/>
              <w:rPr>
                <w:rFonts w:cs="宋体"/>
                <w:sz w:val="24"/>
                <w:szCs w:val="24"/>
              </w:rPr>
            </w:pPr>
          </w:p>
        </w:tc>
        <w:tc>
          <w:tcPr>
            <w:tcW w:w="3652" w:type="dxa"/>
            <w:noWrap w:val="0"/>
            <w:vAlign w:val="center"/>
          </w:tcPr>
          <w:p w14:paraId="0F23B76D">
            <w:pPr>
              <w:jc w:val="center"/>
              <w:rPr>
                <w:rFonts w:cs="宋体"/>
                <w:sz w:val="24"/>
                <w:szCs w:val="24"/>
              </w:rPr>
            </w:pPr>
          </w:p>
        </w:tc>
        <w:tc>
          <w:tcPr>
            <w:tcW w:w="1476" w:type="dxa"/>
            <w:noWrap w:val="0"/>
            <w:vAlign w:val="center"/>
          </w:tcPr>
          <w:p w14:paraId="19456FF4">
            <w:pPr>
              <w:jc w:val="center"/>
              <w:rPr>
                <w:rFonts w:cs="宋体"/>
                <w:sz w:val="24"/>
                <w:szCs w:val="24"/>
              </w:rPr>
            </w:pPr>
          </w:p>
        </w:tc>
      </w:tr>
      <w:tr w14:paraId="3D075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57" w:type="dxa"/>
            <w:shd w:val="clear" w:color="000000" w:fill="auto"/>
            <w:noWrap/>
            <w:vAlign w:val="center"/>
          </w:tcPr>
          <w:p w14:paraId="2597D3B0">
            <w:pPr>
              <w:jc w:val="center"/>
              <w:rPr>
                <w:rFonts w:cs="宋体"/>
                <w:sz w:val="24"/>
                <w:szCs w:val="24"/>
              </w:rPr>
            </w:pPr>
            <w:r>
              <w:rPr>
                <w:rFonts w:hint="eastAsia" w:cs="宋体"/>
                <w:sz w:val="24"/>
                <w:szCs w:val="24"/>
              </w:rPr>
              <w:t>...</w:t>
            </w:r>
          </w:p>
        </w:tc>
        <w:tc>
          <w:tcPr>
            <w:tcW w:w="1341" w:type="dxa"/>
            <w:noWrap w:val="0"/>
            <w:vAlign w:val="center"/>
          </w:tcPr>
          <w:p w14:paraId="3F036A8F">
            <w:pPr>
              <w:jc w:val="center"/>
              <w:rPr>
                <w:rFonts w:cs="宋体"/>
                <w:sz w:val="24"/>
                <w:szCs w:val="24"/>
              </w:rPr>
            </w:pPr>
          </w:p>
        </w:tc>
        <w:tc>
          <w:tcPr>
            <w:tcW w:w="1150" w:type="dxa"/>
            <w:noWrap w:val="0"/>
            <w:vAlign w:val="center"/>
          </w:tcPr>
          <w:p w14:paraId="1A22965E">
            <w:pPr>
              <w:jc w:val="center"/>
              <w:rPr>
                <w:rFonts w:cs="宋体"/>
                <w:sz w:val="24"/>
                <w:szCs w:val="24"/>
              </w:rPr>
            </w:pPr>
          </w:p>
        </w:tc>
        <w:tc>
          <w:tcPr>
            <w:tcW w:w="3652" w:type="dxa"/>
            <w:noWrap w:val="0"/>
            <w:vAlign w:val="center"/>
          </w:tcPr>
          <w:p w14:paraId="30B4E633">
            <w:pPr>
              <w:jc w:val="center"/>
              <w:rPr>
                <w:rFonts w:cs="宋体"/>
                <w:sz w:val="24"/>
                <w:szCs w:val="24"/>
              </w:rPr>
            </w:pPr>
          </w:p>
        </w:tc>
        <w:tc>
          <w:tcPr>
            <w:tcW w:w="1476" w:type="dxa"/>
            <w:noWrap w:val="0"/>
            <w:vAlign w:val="center"/>
          </w:tcPr>
          <w:p w14:paraId="75127597">
            <w:pPr>
              <w:jc w:val="center"/>
              <w:rPr>
                <w:rFonts w:cs="宋体"/>
                <w:sz w:val="24"/>
                <w:szCs w:val="24"/>
              </w:rPr>
            </w:pPr>
          </w:p>
        </w:tc>
      </w:tr>
    </w:tbl>
    <w:p w14:paraId="47AC1727">
      <w:pPr>
        <w:spacing w:line="440" w:lineRule="exact"/>
        <w:rPr>
          <w:rFonts w:hint="eastAsia" w:ascii="宋体" w:hAnsi="宋体" w:eastAsia="宋体" w:cs="宋体"/>
          <w:sz w:val="24"/>
          <w:szCs w:val="24"/>
        </w:rPr>
      </w:pPr>
      <w:r>
        <w:rPr>
          <w:rFonts w:hint="eastAsia" w:ascii="宋体" w:hAnsi="宋体" w:eastAsia="宋体" w:cs="宋体"/>
          <w:sz w:val="24"/>
          <w:szCs w:val="24"/>
          <w:lang w:val="en-GB"/>
        </w:rPr>
        <w:t>注：</w:t>
      </w:r>
      <w:r>
        <w:rPr>
          <w:rFonts w:hint="eastAsia" w:ascii="宋体" w:hAnsi="宋体" w:eastAsia="宋体" w:cs="宋体"/>
          <w:sz w:val="24"/>
          <w:szCs w:val="24"/>
        </w:rPr>
        <w:t>此表仅提供了表格形式，供应商应根据采购需求中相应数量的表格来填写。</w:t>
      </w:r>
    </w:p>
    <w:p w14:paraId="7A5B65AD">
      <w:pPr>
        <w:spacing w:line="440" w:lineRule="exact"/>
        <w:jc w:val="center"/>
        <w:rPr>
          <w:rFonts w:hint="eastAsia" w:ascii="宋体" w:hAnsi="宋体" w:eastAsia="宋体" w:cs="宋体"/>
          <w:sz w:val="24"/>
          <w:szCs w:val="24"/>
        </w:rPr>
      </w:pPr>
      <w:r>
        <w:rPr>
          <w:rFonts w:hint="eastAsia" w:ascii="宋体" w:hAnsi="宋体" w:cs="宋体"/>
          <w:sz w:val="24"/>
          <w:szCs w:val="24"/>
          <w:lang w:val="en-US" w:eastAsia="zh-CN"/>
        </w:rPr>
        <w:t xml:space="preserve">                       </w:t>
      </w:r>
      <w:r>
        <w:rPr>
          <w:rFonts w:hint="eastAsia" w:ascii="宋体" w:hAnsi="宋体" w:eastAsia="宋体" w:cs="宋体"/>
          <w:color w:val="auto"/>
          <w:sz w:val="24"/>
          <w:highlight w:val="none"/>
        </w:rPr>
        <w:t>供应商全称</w:t>
      </w:r>
      <w:r>
        <w:rPr>
          <w:rFonts w:hint="eastAsia" w:ascii="宋体" w:hAnsi="宋体" w:eastAsia="宋体" w:cs="宋体"/>
          <w:sz w:val="24"/>
          <w:szCs w:val="24"/>
        </w:rPr>
        <w:t>（盖章）：</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 xml:space="preserve">                            </w:t>
      </w:r>
    </w:p>
    <w:p w14:paraId="7FEB6C55">
      <w:pPr>
        <w:spacing w:line="440" w:lineRule="exact"/>
        <w:jc w:val="right"/>
        <w:rPr>
          <w:rFonts w:hint="eastAsia" w:ascii="宋体" w:hAnsi="宋体" w:eastAsia="宋体" w:cs="宋体"/>
          <w:sz w:val="24"/>
          <w:szCs w:val="24"/>
        </w:rPr>
      </w:pPr>
      <w:r>
        <w:rPr>
          <w:rFonts w:hint="eastAsia" w:ascii="宋体" w:hAnsi="宋体" w:eastAsia="宋体" w:cs="宋体"/>
          <w:sz w:val="24"/>
          <w:szCs w:val="24"/>
        </w:rPr>
        <w:t xml:space="preserve">日 期：    年   月 </w:t>
      </w:r>
      <w:r>
        <w:rPr>
          <w:rFonts w:hint="eastAsia" w:ascii="宋体" w:hAnsi="宋体" w:cs="宋体"/>
          <w:sz w:val="24"/>
          <w:szCs w:val="24"/>
          <w:lang w:val="en-US" w:eastAsia="zh-CN"/>
        </w:rPr>
        <w:t xml:space="preserve"> </w:t>
      </w:r>
      <w:r>
        <w:rPr>
          <w:rFonts w:hint="eastAsia" w:ascii="宋体" w:hAnsi="宋体" w:eastAsia="宋体" w:cs="宋体"/>
          <w:sz w:val="24"/>
          <w:szCs w:val="24"/>
        </w:rPr>
        <w:t>日</w:t>
      </w:r>
    </w:p>
    <w:p w14:paraId="7FE51304">
      <w:pPr>
        <w:spacing w:line="500" w:lineRule="exact"/>
        <w:jc w:val="right"/>
        <w:rPr>
          <w:rFonts w:hint="eastAsia" w:ascii="宋体" w:hAnsi="宋体" w:cs="宋体"/>
          <w:b/>
          <w:bCs/>
          <w:sz w:val="22"/>
          <w:szCs w:val="22"/>
        </w:rPr>
      </w:pPr>
    </w:p>
    <w:p w14:paraId="0F0B31F2">
      <w:pPr>
        <w:spacing w:line="500" w:lineRule="exact"/>
        <w:jc w:val="left"/>
        <w:rPr>
          <w:rFonts w:hint="eastAsia" w:ascii="宋体" w:hAnsi="宋体" w:cs="宋体"/>
          <w:b/>
          <w:bCs/>
          <w:sz w:val="22"/>
          <w:szCs w:val="22"/>
        </w:rPr>
        <w:sectPr>
          <w:pgSz w:w="11906" w:h="16838"/>
          <w:pgMar w:top="1440" w:right="1080" w:bottom="1440" w:left="1080" w:header="851" w:footer="992" w:gutter="0"/>
          <w:cols w:space="720" w:num="1"/>
          <w:docGrid w:type="lines" w:linePitch="312" w:charSpace="0"/>
        </w:sectPr>
      </w:pPr>
    </w:p>
    <w:p w14:paraId="443B778E">
      <w:pPr>
        <w:spacing w:line="500" w:lineRule="exact"/>
        <w:jc w:val="left"/>
        <w:rPr>
          <w:rFonts w:hint="eastAsia" w:ascii="宋体" w:hAnsi="宋体" w:eastAsia="宋体" w:cs="宋体"/>
          <w:b/>
          <w:bCs/>
          <w:sz w:val="22"/>
          <w:szCs w:val="22"/>
          <w:lang w:eastAsia="zh-CN"/>
        </w:rPr>
      </w:pPr>
      <w:r>
        <w:rPr>
          <w:rFonts w:hint="eastAsia" w:ascii="宋体" w:hAnsi="宋体" w:cs="宋体"/>
          <w:b/>
          <w:bCs/>
          <w:sz w:val="22"/>
          <w:szCs w:val="22"/>
        </w:rPr>
        <w:t>附件</w:t>
      </w:r>
      <w:r>
        <w:rPr>
          <w:rFonts w:hint="eastAsia" w:ascii="宋体" w:hAnsi="宋体" w:cs="宋体"/>
          <w:b/>
          <w:bCs/>
          <w:sz w:val="22"/>
          <w:szCs w:val="22"/>
          <w:lang w:val="en-US" w:eastAsia="zh-CN"/>
        </w:rPr>
        <w:t>7</w:t>
      </w:r>
      <w:r>
        <w:rPr>
          <w:rFonts w:hint="eastAsia" w:ascii="宋体" w:hAnsi="宋体" w:eastAsia="宋体" w:cs="宋体"/>
          <w:b/>
          <w:bCs/>
          <w:sz w:val="22"/>
          <w:szCs w:val="22"/>
        </w:rPr>
        <w:t>：</w:t>
      </w:r>
      <w:r>
        <w:rPr>
          <w:rFonts w:hint="eastAsia" w:ascii="宋体" w:hAnsi="宋体" w:eastAsia="宋体" w:cs="宋体"/>
          <w:b/>
          <w:bCs/>
          <w:sz w:val="22"/>
          <w:szCs w:val="22"/>
          <w:lang w:eastAsia="zh-CN"/>
        </w:rPr>
        <w:t>团队人员情况</w:t>
      </w:r>
    </w:p>
    <w:p w14:paraId="431EEAFC">
      <w:pPr>
        <w:spacing w:line="460" w:lineRule="exact"/>
        <w:jc w:val="center"/>
        <w:rPr>
          <w:rFonts w:hint="eastAsia" w:ascii="宋体" w:hAnsi="宋体" w:eastAsia="宋体" w:cs="宋体"/>
          <w:b/>
          <w:bCs/>
          <w:kern w:val="0"/>
          <w:sz w:val="30"/>
          <w:szCs w:val="30"/>
        </w:rPr>
      </w:pPr>
      <w:r>
        <w:rPr>
          <w:rFonts w:hint="eastAsia" w:ascii="宋体" w:hAnsi="宋体" w:eastAsia="宋体" w:cs="宋体"/>
          <w:b/>
          <w:bCs/>
          <w:kern w:val="0"/>
          <w:sz w:val="30"/>
          <w:szCs w:val="30"/>
        </w:rPr>
        <w:t>拟投入本项目的服务团队情况表</w:t>
      </w:r>
    </w:p>
    <w:p w14:paraId="0FA9FA84">
      <w:pPr>
        <w:spacing w:line="460" w:lineRule="exact"/>
        <w:jc w:val="center"/>
        <w:rPr>
          <w:rFonts w:hint="eastAsia" w:ascii="宋体" w:hAnsi="宋体" w:eastAsia="宋体" w:cs="宋体"/>
          <w:b/>
          <w:bCs/>
          <w:kern w:val="0"/>
          <w:sz w:val="30"/>
          <w:szCs w:val="30"/>
        </w:rPr>
      </w:pP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1374"/>
        <w:gridCol w:w="3058"/>
        <w:gridCol w:w="1365"/>
        <w:gridCol w:w="1605"/>
        <w:gridCol w:w="840"/>
      </w:tblGrid>
      <w:tr w14:paraId="07391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05" w:hRule="atLeast"/>
          <w:jc w:val="center"/>
        </w:trPr>
        <w:tc>
          <w:tcPr>
            <w:tcW w:w="728" w:type="dxa"/>
            <w:tcBorders>
              <w:top w:val="single" w:color="auto" w:sz="4" w:space="0"/>
              <w:left w:val="single" w:color="auto" w:sz="4" w:space="0"/>
              <w:bottom w:val="single" w:color="auto" w:sz="4" w:space="0"/>
              <w:right w:val="single" w:color="auto" w:sz="4" w:space="0"/>
            </w:tcBorders>
            <w:vAlign w:val="center"/>
          </w:tcPr>
          <w:p w14:paraId="60147F8B">
            <w:pPr>
              <w:spacing w:after="0" w:line="36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374" w:type="dxa"/>
            <w:tcBorders>
              <w:top w:val="single" w:color="auto" w:sz="4" w:space="0"/>
              <w:left w:val="single" w:color="auto" w:sz="4" w:space="0"/>
              <w:bottom w:val="single" w:color="auto" w:sz="4" w:space="0"/>
              <w:right w:val="single" w:color="auto" w:sz="4" w:space="0"/>
            </w:tcBorders>
            <w:vAlign w:val="center"/>
          </w:tcPr>
          <w:p w14:paraId="23524BFB">
            <w:pPr>
              <w:spacing w:after="0" w:line="36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姓名</w:t>
            </w:r>
          </w:p>
        </w:tc>
        <w:tc>
          <w:tcPr>
            <w:tcW w:w="3058" w:type="dxa"/>
            <w:tcBorders>
              <w:top w:val="single" w:color="auto" w:sz="4" w:space="0"/>
              <w:left w:val="single" w:color="auto" w:sz="4" w:space="0"/>
              <w:bottom w:val="single" w:color="auto" w:sz="4" w:space="0"/>
              <w:right w:val="single" w:color="auto" w:sz="4" w:space="0"/>
            </w:tcBorders>
            <w:vAlign w:val="center"/>
          </w:tcPr>
          <w:p w14:paraId="70E6414B">
            <w:pPr>
              <w:spacing w:after="0" w:line="360" w:lineRule="exact"/>
              <w:jc w:val="center"/>
              <w:rPr>
                <w:rFonts w:hint="eastAsia" w:ascii="宋体" w:hAnsi="宋体" w:eastAsia="宋体" w:cs="宋体"/>
                <w:b/>
                <w:color w:val="auto"/>
                <w:sz w:val="24"/>
                <w:szCs w:val="24"/>
                <w:highlight w:val="none"/>
              </w:rPr>
            </w:pPr>
            <w:r>
              <w:rPr>
                <w:rFonts w:ascii="宋体" w:hAnsi="宋体" w:cs="宋体"/>
                <w:b/>
                <w:kern w:val="0"/>
                <w:sz w:val="24"/>
                <w:szCs w:val="24"/>
              </w:rPr>
              <w:t>职称及相关专业认证（或执业资格）情况（如评分需要）</w:t>
            </w:r>
          </w:p>
        </w:tc>
        <w:tc>
          <w:tcPr>
            <w:tcW w:w="1365" w:type="dxa"/>
            <w:tcBorders>
              <w:top w:val="single" w:color="auto" w:sz="4" w:space="0"/>
              <w:left w:val="single" w:color="auto" w:sz="4" w:space="0"/>
              <w:bottom w:val="single" w:color="auto" w:sz="4" w:space="0"/>
              <w:right w:val="single" w:color="auto" w:sz="4" w:space="0"/>
            </w:tcBorders>
            <w:vAlign w:val="center"/>
          </w:tcPr>
          <w:p w14:paraId="7B9B2A77">
            <w:pPr>
              <w:spacing w:after="0" w:line="360" w:lineRule="exact"/>
              <w:jc w:val="center"/>
              <w:rPr>
                <w:rFonts w:hint="default" w:ascii="宋体" w:hAnsi="宋体" w:eastAsia="宋体" w:cs="宋体"/>
                <w:b/>
                <w:color w:val="auto"/>
                <w:sz w:val="24"/>
                <w:szCs w:val="24"/>
                <w:highlight w:val="none"/>
                <w:lang w:val="en-US" w:eastAsia="zh-CN"/>
              </w:rPr>
            </w:pPr>
            <w:r>
              <w:rPr>
                <w:rFonts w:hint="eastAsia" w:ascii="宋体" w:hAnsi="宋体" w:cs="宋体"/>
                <w:b/>
                <w:color w:val="auto"/>
                <w:sz w:val="24"/>
                <w:szCs w:val="24"/>
                <w:highlight w:val="none"/>
                <w:lang w:val="en-US" w:eastAsia="zh-CN"/>
              </w:rPr>
              <w:t>在本单位工作年限</w:t>
            </w:r>
          </w:p>
        </w:tc>
        <w:tc>
          <w:tcPr>
            <w:tcW w:w="1605" w:type="dxa"/>
            <w:tcBorders>
              <w:top w:val="single" w:color="auto" w:sz="4" w:space="0"/>
              <w:left w:val="single" w:color="auto" w:sz="4" w:space="0"/>
              <w:bottom w:val="single" w:color="auto" w:sz="4" w:space="0"/>
              <w:right w:val="single" w:color="auto" w:sz="4" w:space="0"/>
            </w:tcBorders>
            <w:vAlign w:val="center"/>
          </w:tcPr>
          <w:p w14:paraId="47D3908D">
            <w:pPr>
              <w:spacing w:after="0" w:line="360" w:lineRule="exact"/>
              <w:jc w:val="center"/>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在本项目中拟担任职务</w:t>
            </w:r>
          </w:p>
        </w:tc>
        <w:tc>
          <w:tcPr>
            <w:tcW w:w="840" w:type="dxa"/>
            <w:tcBorders>
              <w:top w:val="single" w:color="auto" w:sz="4" w:space="0"/>
              <w:left w:val="single" w:color="auto" w:sz="4" w:space="0"/>
              <w:bottom w:val="single" w:color="auto" w:sz="4" w:space="0"/>
              <w:right w:val="single" w:color="auto" w:sz="4" w:space="0"/>
            </w:tcBorders>
            <w:vAlign w:val="center"/>
          </w:tcPr>
          <w:p w14:paraId="62E0F82D">
            <w:pPr>
              <w:spacing w:after="0" w:line="360" w:lineRule="exact"/>
              <w:ind w:left="45"/>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备注</w:t>
            </w:r>
          </w:p>
        </w:tc>
      </w:tr>
      <w:tr w14:paraId="1584F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8" w:type="dxa"/>
            <w:tcBorders>
              <w:top w:val="single" w:color="auto" w:sz="4" w:space="0"/>
              <w:left w:val="single" w:color="auto" w:sz="4" w:space="0"/>
              <w:bottom w:val="single" w:color="auto" w:sz="4" w:space="0"/>
              <w:right w:val="single" w:color="auto" w:sz="4" w:space="0"/>
            </w:tcBorders>
            <w:vAlign w:val="center"/>
          </w:tcPr>
          <w:p w14:paraId="4AACB53E">
            <w:pPr>
              <w:spacing w:after="0" w:line="36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374" w:type="dxa"/>
            <w:tcBorders>
              <w:top w:val="single" w:color="auto" w:sz="4" w:space="0"/>
              <w:left w:val="single" w:color="auto" w:sz="4" w:space="0"/>
              <w:bottom w:val="single" w:color="auto" w:sz="4" w:space="0"/>
              <w:right w:val="single" w:color="auto" w:sz="4" w:space="0"/>
            </w:tcBorders>
            <w:vAlign w:val="center"/>
          </w:tcPr>
          <w:p w14:paraId="6CD0B058">
            <w:pPr>
              <w:spacing w:after="0" w:line="360" w:lineRule="exact"/>
              <w:ind w:firstLine="420" w:firstLineChars="200"/>
              <w:jc w:val="center"/>
              <w:rPr>
                <w:rFonts w:hint="eastAsia" w:ascii="宋体" w:hAnsi="宋体" w:eastAsia="宋体" w:cs="宋体"/>
                <w:color w:val="auto"/>
                <w:sz w:val="21"/>
                <w:szCs w:val="21"/>
                <w:highlight w:val="none"/>
              </w:rPr>
            </w:pPr>
          </w:p>
        </w:tc>
        <w:tc>
          <w:tcPr>
            <w:tcW w:w="3058" w:type="dxa"/>
            <w:tcBorders>
              <w:top w:val="single" w:color="auto" w:sz="4" w:space="0"/>
              <w:left w:val="single" w:color="auto" w:sz="4" w:space="0"/>
              <w:bottom w:val="single" w:color="auto" w:sz="4" w:space="0"/>
              <w:right w:val="single" w:color="auto" w:sz="4" w:space="0"/>
            </w:tcBorders>
            <w:vAlign w:val="center"/>
          </w:tcPr>
          <w:p w14:paraId="0CA601EE">
            <w:pPr>
              <w:spacing w:after="0" w:line="360" w:lineRule="exact"/>
              <w:ind w:firstLine="420" w:firstLineChars="200"/>
              <w:jc w:val="center"/>
              <w:rPr>
                <w:rFonts w:hint="eastAsia" w:ascii="宋体" w:hAnsi="宋体" w:eastAsia="宋体" w:cs="宋体"/>
                <w:color w:val="auto"/>
                <w:sz w:val="21"/>
                <w:szCs w:val="21"/>
                <w:highlight w:val="none"/>
              </w:rPr>
            </w:pPr>
          </w:p>
        </w:tc>
        <w:tc>
          <w:tcPr>
            <w:tcW w:w="1365" w:type="dxa"/>
            <w:tcBorders>
              <w:top w:val="single" w:color="auto" w:sz="4" w:space="0"/>
              <w:left w:val="single" w:color="auto" w:sz="4" w:space="0"/>
              <w:bottom w:val="single" w:color="auto" w:sz="4" w:space="0"/>
              <w:right w:val="single" w:color="auto" w:sz="4" w:space="0"/>
            </w:tcBorders>
            <w:vAlign w:val="center"/>
          </w:tcPr>
          <w:p w14:paraId="05DA7314">
            <w:pPr>
              <w:spacing w:after="0" w:line="360" w:lineRule="exact"/>
              <w:ind w:firstLine="420" w:firstLineChars="200"/>
              <w:jc w:val="center"/>
              <w:rPr>
                <w:rFonts w:hint="eastAsia" w:ascii="宋体" w:hAnsi="宋体" w:eastAsia="宋体" w:cs="宋体"/>
                <w:color w:val="auto"/>
                <w:sz w:val="21"/>
                <w:szCs w:val="21"/>
                <w:highlight w:val="none"/>
              </w:rPr>
            </w:pPr>
          </w:p>
        </w:tc>
        <w:tc>
          <w:tcPr>
            <w:tcW w:w="1605" w:type="dxa"/>
            <w:tcBorders>
              <w:top w:val="single" w:color="auto" w:sz="4" w:space="0"/>
              <w:left w:val="single" w:color="auto" w:sz="4" w:space="0"/>
              <w:bottom w:val="single" w:color="auto" w:sz="4" w:space="0"/>
              <w:right w:val="single" w:color="auto" w:sz="4" w:space="0"/>
            </w:tcBorders>
            <w:vAlign w:val="center"/>
          </w:tcPr>
          <w:p w14:paraId="6231BBD9">
            <w:pPr>
              <w:spacing w:after="0" w:line="360" w:lineRule="exact"/>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项目负责人</w:t>
            </w:r>
          </w:p>
        </w:tc>
        <w:tc>
          <w:tcPr>
            <w:tcW w:w="840" w:type="dxa"/>
            <w:tcBorders>
              <w:top w:val="single" w:color="auto" w:sz="4" w:space="0"/>
              <w:left w:val="single" w:color="auto" w:sz="4" w:space="0"/>
              <w:bottom w:val="single" w:color="auto" w:sz="4" w:space="0"/>
              <w:right w:val="single" w:color="auto" w:sz="4" w:space="0"/>
            </w:tcBorders>
            <w:vAlign w:val="center"/>
          </w:tcPr>
          <w:p w14:paraId="6316C612">
            <w:pPr>
              <w:spacing w:after="0" w:line="360" w:lineRule="exact"/>
              <w:ind w:firstLine="420" w:firstLineChars="200"/>
              <w:jc w:val="center"/>
              <w:rPr>
                <w:rFonts w:hint="eastAsia" w:ascii="宋体" w:hAnsi="宋体" w:eastAsia="宋体" w:cs="宋体"/>
                <w:color w:val="auto"/>
                <w:sz w:val="21"/>
                <w:szCs w:val="21"/>
                <w:highlight w:val="none"/>
              </w:rPr>
            </w:pPr>
          </w:p>
        </w:tc>
      </w:tr>
      <w:tr w14:paraId="658B1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4" w:hRule="exact"/>
          <w:jc w:val="center"/>
        </w:trPr>
        <w:tc>
          <w:tcPr>
            <w:tcW w:w="728" w:type="dxa"/>
            <w:tcBorders>
              <w:top w:val="single" w:color="auto" w:sz="4" w:space="0"/>
              <w:left w:val="single" w:color="auto" w:sz="4" w:space="0"/>
              <w:bottom w:val="single" w:color="auto" w:sz="4" w:space="0"/>
              <w:right w:val="single" w:color="auto" w:sz="4" w:space="0"/>
            </w:tcBorders>
            <w:vAlign w:val="center"/>
          </w:tcPr>
          <w:p w14:paraId="32298873">
            <w:pPr>
              <w:spacing w:after="0" w:line="36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374" w:type="dxa"/>
            <w:tcBorders>
              <w:top w:val="single" w:color="auto" w:sz="4" w:space="0"/>
              <w:left w:val="single" w:color="auto" w:sz="4" w:space="0"/>
              <w:bottom w:val="single" w:color="auto" w:sz="4" w:space="0"/>
              <w:right w:val="single" w:color="auto" w:sz="4" w:space="0"/>
            </w:tcBorders>
            <w:vAlign w:val="center"/>
          </w:tcPr>
          <w:p w14:paraId="2BA45952">
            <w:pPr>
              <w:spacing w:after="0" w:line="360" w:lineRule="exact"/>
              <w:ind w:firstLine="420" w:firstLineChars="200"/>
              <w:jc w:val="center"/>
              <w:rPr>
                <w:rFonts w:hint="eastAsia" w:ascii="宋体" w:hAnsi="宋体" w:eastAsia="宋体" w:cs="宋体"/>
                <w:color w:val="auto"/>
                <w:sz w:val="21"/>
                <w:szCs w:val="21"/>
                <w:highlight w:val="none"/>
              </w:rPr>
            </w:pPr>
          </w:p>
        </w:tc>
        <w:tc>
          <w:tcPr>
            <w:tcW w:w="3058" w:type="dxa"/>
            <w:tcBorders>
              <w:top w:val="single" w:color="auto" w:sz="4" w:space="0"/>
              <w:left w:val="single" w:color="auto" w:sz="4" w:space="0"/>
              <w:bottom w:val="single" w:color="auto" w:sz="4" w:space="0"/>
              <w:right w:val="single" w:color="auto" w:sz="4" w:space="0"/>
            </w:tcBorders>
            <w:vAlign w:val="center"/>
          </w:tcPr>
          <w:p w14:paraId="77C7A0FD">
            <w:pPr>
              <w:spacing w:after="0" w:line="360" w:lineRule="exact"/>
              <w:ind w:firstLine="420" w:firstLineChars="200"/>
              <w:jc w:val="center"/>
              <w:rPr>
                <w:rFonts w:hint="eastAsia" w:ascii="宋体" w:hAnsi="宋体" w:eastAsia="宋体" w:cs="宋体"/>
                <w:color w:val="auto"/>
                <w:sz w:val="21"/>
                <w:szCs w:val="21"/>
                <w:highlight w:val="none"/>
              </w:rPr>
            </w:pPr>
          </w:p>
        </w:tc>
        <w:tc>
          <w:tcPr>
            <w:tcW w:w="1365" w:type="dxa"/>
            <w:tcBorders>
              <w:top w:val="single" w:color="auto" w:sz="4" w:space="0"/>
              <w:left w:val="single" w:color="auto" w:sz="4" w:space="0"/>
              <w:bottom w:val="single" w:color="auto" w:sz="4" w:space="0"/>
              <w:right w:val="single" w:color="auto" w:sz="4" w:space="0"/>
            </w:tcBorders>
            <w:vAlign w:val="center"/>
          </w:tcPr>
          <w:p w14:paraId="721D6BF2">
            <w:pPr>
              <w:spacing w:after="0" w:line="360" w:lineRule="exact"/>
              <w:ind w:firstLine="420" w:firstLineChars="200"/>
              <w:jc w:val="center"/>
              <w:rPr>
                <w:rFonts w:hint="eastAsia" w:ascii="宋体" w:hAnsi="宋体" w:eastAsia="宋体" w:cs="宋体"/>
                <w:color w:val="auto"/>
                <w:sz w:val="21"/>
                <w:szCs w:val="21"/>
                <w:highlight w:val="none"/>
              </w:rPr>
            </w:pPr>
          </w:p>
        </w:tc>
        <w:tc>
          <w:tcPr>
            <w:tcW w:w="1605" w:type="dxa"/>
            <w:tcBorders>
              <w:top w:val="single" w:color="auto" w:sz="4" w:space="0"/>
              <w:left w:val="single" w:color="auto" w:sz="4" w:space="0"/>
              <w:bottom w:val="single" w:color="auto" w:sz="4" w:space="0"/>
              <w:right w:val="single" w:color="auto" w:sz="4" w:space="0"/>
            </w:tcBorders>
            <w:vAlign w:val="center"/>
          </w:tcPr>
          <w:p w14:paraId="70D518CE">
            <w:pPr>
              <w:spacing w:after="0" w:line="360" w:lineRule="exact"/>
              <w:ind w:firstLine="420" w:firstLineChars="200"/>
              <w:jc w:val="center"/>
              <w:rPr>
                <w:rFonts w:hint="eastAsia" w:ascii="宋体" w:hAnsi="宋体" w:eastAsia="宋体" w:cs="宋体"/>
                <w:color w:val="auto"/>
                <w:sz w:val="21"/>
                <w:szCs w:val="21"/>
                <w:highlight w:val="none"/>
              </w:rPr>
            </w:pPr>
          </w:p>
        </w:tc>
        <w:tc>
          <w:tcPr>
            <w:tcW w:w="840" w:type="dxa"/>
            <w:tcBorders>
              <w:top w:val="single" w:color="auto" w:sz="4" w:space="0"/>
              <w:left w:val="single" w:color="auto" w:sz="4" w:space="0"/>
              <w:bottom w:val="single" w:color="auto" w:sz="4" w:space="0"/>
              <w:right w:val="single" w:color="auto" w:sz="4" w:space="0"/>
            </w:tcBorders>
            <w:vAlign w:val="center"/>
          </w:tcPr>
          <w:p w14:paraId="047A9372">
            <w:pPr>
              <w:spacing w:after="0" w:line="360" w:lineRule="exact"/>
              <w:ind w:firstLine="420" w:firstLineChars="200"/>
              <w:jc w:val="center"/>
              <w:rPr>
                <w:rFonts w:hint="eastAsia" w:ascii="宋体" w:hAnsi="宋体" w:eastAsia="宋体" w:cs="宋体"/>
                <w:color w:val="auto"/>
                <w:sz w:val="21"/>
                <w:szCs w:val="21"/>
                <w:highlight w:val="none"/>
              </w:rPr>
            </w:pPr>
          </w:p>
        </w:tc>
      </w:tr>
      <w:tr w14:paraId="05E38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8" w:type="dxa"/>
            <w:tcBorders>
              <w:top w:val="single" w:color="auto" w:sz="4" w:space="0"/>
              <w:left w:val="single" w:color="auto" w:sz="4" w:space="0"/>
              <w:bottom w:val="single" w:color="auto" w:sz="4" w:space="0"/>
              <w:right w:val="single" w:color="auto" w:sz="4" w:space="0"/>
            </w:tcBorders>
            <w:vAlign w:val="center"/>
          </w:tcPr>
          <w:p w14:paraId="0F56D7E4">
            <w:pPr>
              <w:spacing w:after="0" w:line="36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374" w:type="dxa"/>
            <w:tcBorders>
              <w:top w:val="single" w:color="auto" w:sz="4" w:space="0"/>
              <w:left w:val="single" w:color="auto" w:sz="4" w:space="0"/>
              <w:bottom w:val="single" w:color="auto" w:sz="4" w:space="0"/>
              <w:right w:val="single" w:color="auto" w:sz="4" w:space="0"/>
            </w:tcBorders>
            <w:vAlign w:val="center"/>
          </w:tcPr>
          <w:p w14:paraId="4B55B8EA">
            <w:pPr>
              <w:spacing w:after="0" w:line="360" w:lineRule="exact"/>
              <w:ind w:firstLine="420" w:firstLineChars="200"/>
              <w:jc w:val="center"/>
              <w:rPr>
                <w:rFonts w:hint="eastAsia" w:ascii="宋体" w:hAnsi="宋体" w:eastAsia="宋体" w:cs="宋体"/>
                <w:color w:val="auto"/>
                <w:sz w:val="21"/>
                <w:szCs w:val="21"/>
                <w:highlight w:val="none"/>
              </w:rPr>
            </w:pPr>
          </w:p>
        </w:tc>
        <w:tc>
          <w:tcPr>
            <w:tcW w:w="3058" w:type="dxa"/>
            <w:tcBorders>
              <w:top w:val="single" w:color="auto" w:sz="4" w:space="0"/>
              <w:left w:val="single" w:color="auto" w:sz="4" w:space="0"/>
              <w:bottom w:val="single" w:color="auto" w:sz="4" w:space="0"/>
              <w:right w:val="single" w:color="auto" w:sz="4" w:space="0"/>
            </w:tcBorders>
            <w:vAlign w:val="center"/>
          </w:tcPr>
          <w:p w14:paraId="12491CD5">
            <w:pPr>
              <w:spacing w:after="0" w:line="360" w:lineRule="exact"/>
              <w:ind w:firstLine="420" w:firstLineChars="200"/>
              <w:jc w:val="center"/>
              <w:rPr>
                <w:rFonts w:hint="eastAsia" w:ascii="宋体" w:hAnsi="宋体" w:eastAsia="宋体" w:cs="宋体"/>
                <w:color w:val="auto"/>
                <w:sz w:val="21"/>
                <w:szCs w:val="21"/>
                <w:highlight w:val="none"/>
              </w:rPr>
            </w:pPr>
          </w:p>
        </w:tc>
        <w:tc>
          <w:tcPr>
            <w:tcW w:w="1365" w:type="dxa"/>
            <w:tcBorders>
              <w:top w:val="single" w:color="auto" w:sz="4" w:space="0"/>
              <w:left w:val="single" w:color="auto" w:sz="4" w:space="0"/>
              <w:bottom w:val="single" w:color="auto" w:sz="4" w:space="0"/>
              <w:right w:val="single" w:color="auto" w:sz="4" w:space="0"/>
            </w:tcBorders>
            <w:vAlign w:val="center"/>
          </w:tcPr>
          <w:p w14:paraId="19467BAD">
            <w:pPr>
              <w:spacing w:after="0" w:line="360" w:lineRule="exact"/>
              <w:ind w:firstLine="420" w:firstLineChars="200"/>
              <w:jc w:val="center"/>
              <w:rPr>
                <w:rFonts w:hint="eastAsia" w:ascii="宋体" w:hAnsi="宋体" w:eastAsia="宋体" w:cs="宋体"/>
                <w:color w:val="auto"/>
                <w:sz w:val="21"/>
                <w:szCs w:val="21"/>
                <w:highlight w:val="none"/>
              </w:rPr>
            </w:pPr>
          </w:p>
        </w:tc>
        <w:tc>
          <w:tcPr>
            <w:tcW w:w="1605" w:type="dxa"/>
            <w:tcBorders>
              <w:top w:val="single" w:color="auto" w:sz="4" w:space="0"/>
              <w:left w:val="single" w:color="auto" w:sz="4" w:space="0"/>
              <w:bottom w:val="single" w:color="auto" w:sz="4" w:space="0"/>
              <w:right w:val="single" w:color="auto" w:sz="4" w:space="0"/>
            </w:tcBorders>
            <w:vAlign w:val="center"/>
          </w:tcPr>
          <w:p w14:paraId="0F610F5A">
            <w:pPr>
              <w:spacing w:after="0" w:line="360" w:lineRule="exact"/>
              <w:ind w:firstLine="420" w:firstLineChars="200"/>
              <w:jc w:val="center"/>
              <w:rPr>
                <w:rFonts w:hint="eastAsia" w:ascii="宋体" w:hAnsi="宋体" w:eastAsia="宋体" w:cs="宋体"/>
                <w:color w:val="auto"/>
                <w:sz w:val="21"/>
                <w:szCs w:val="21"/>
                <w:highlight w:val="none"/>
              </w:rPr>
            </w:pPr>
          </w:p>
        </w:tc>
        <w:tc>
          <w:tcPr>
            <w:tcW w:w="840" w:type="dxa"/>
            <w:tcBorders>
              <w:top w:val="single" w:color="auto" w:sz="4" w:space="0"/>
              <w:left w:val="single" w:color="auto" w:sz="4" w:space="0"/>
              <w:bottom w:val="single" w:color="auto" w:sz="4" w:space="0"/>
              <w:right w:val="single" w:color="auto" w:sz="4" w:space="0"/>
            </w:tcBorders>
            <w:vAlign w:val="center"/>
          </w:tcPr>
          <w:p w14:paraId="3F3F555A">
            <w:pPr>
              <w:spacing w:after="0" w:line="360" w:lineRule="exact"/>
              <w:ind w:firstLine="420" w:firstLineChars="200"/>
              <w:jc w:val="center"/>
              <w:rPr>
                <w:rFonts w:hint="eastAsia" w:ascii="宋体" w:hAnsi="宋体" w:eastAsia="宋体" w:cs="宋体"/>
                <w:color w:val="auto"/>
                <w:sz w:val="21"/>
                <w:szCs w:val="21"/>
                <w:highlight w:val="none"/>
              </w:rPr>
            </w:pPr>
          </w:p>
        </w:tc>
      </w:tr>
      <w:tr w14:paraId="7F47B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8" w:type="dxa"/>
            <w:tcBorders>
              <w:top w:val="single" w:color="auto" w:sz="4" w:space="0"/>
              <w:left w:val="single" w:color="auto" w:sz="4" w:space="0"/>
              <w:bottom w:val="single" w:color="auto" w:sz="4" w:space="0"/>
              <w:right w:val="single" w:color="auto" w:sz="4" w:space="0"/>
            </w:tcBorders>
            <w:vAlign w:val="center"/>
          </w:tcPr>
          <w:p w14:paraId="3FEA1658">
            <w:pPr>
              <w:spacing w:after="0" w:line="36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1374" w:type="dxa"/>
            <w:tcBorders>
              <w:top w:val="single" w:color="auto" w:sz="4" w:space="0"/>
              <w:left w:val="single" w:color="auto" w:sz="4" w:space="0"/>
              <w:bottom w:val="single" w:color="auto" w:sz="4" w:space="0"/>
              <w:right w:val="single" w:color="auto" w:sz="4" w:space="0"/>
            </w:tcBorders>
            <w:vAlign w:val="center"/>
          </w:tcPr>
          <w:p w14:paraId="083B0E98">
            <w:pPr>
              <w:spacing w:after="0" w:line="360" w:lineRule="exact"/>
              <w:ind w:firstLine="420" w:firstLineChars="200"/>
              <w:jc w:val="center"/>
              <w:rPr>
                <w:rFonts w:hint="eastAsia" w:ascii="宋体" w:hAnsi="宋体" w:eastAsia="宋体" w:cs="宋体"/>
                <w:color w:val="auto"/>
                <w:sz w:val="21"/>
                <w:szCs w:val="21"/>
                <w:highlight w:val="none"/>
              </w:rPr>
            </w:pPr>
          </w:p>
        </w:tc>
        <w:tc>
          <w:tcPr>
            <w:tcW w:w="3058" w:type="dxa"/>
            <w:tcBorders>
              <w:top w:val="single" w:color="auto" w:sz="4" w:space="0"/>
              <w:left w:val="single" w:color="auto" w:sz="4" w:space="0"/>
              <w:bottom w:val="single" w:color="auto" w:sz="4" w:space="0"/>
              <w:right w:val="single" w:color="auto" w:sz="4" w:space="0"/>
            </w:tcBorders>
            <w:vAlign w:val="center"/>
          </w:tcPr>
          <w:p w14:paraId="3948EA56">
            <w:pPr>
              <w:spacing w:after="0" w:line="360" w:lineRule="exact"/>
              <w:ind w:firstLine="420" w:firstLineChars="200"/>
              <w:jc w:val="center"/>
              <w:rPr>
                <w:rFonts w:hint="eastAsia" w:ascii="宋体" w:hAnsi="宋体" w:eastAsia="宋体" w:cs="宋体"/>
                <w:color w:val="auto"/>
                <w:sz w:val="21"/>
                <w:szCs w:val="21"/>
                <w:highlight w:val="none"/>
              </w:rPr>
            </w:pPr>
          </w:p>
        </w:tc>
        <w:tc>
          <w:tcPr>
            <w:tcW w:w="1365" w:type="dxa"/>
            <w:tcBorders>
              <w:top w:val="single" w:color="auto" w:sz="4" w:space="0"/>
              <w:left w:val="single" w:color="auto" w:sz="4" w:space="0"/>
              <w:bottom w:val="single" w:color="auto" w:sz="4" w:space="0"/>
              <w:right w:val="single" w:color="auto" w:sz="4" w:space="0"/>
            </w:tcBorders>
            <w:vAlign w:val="center"/>
          </w:tcPr>
          <w:p w14:paraId="7908E801">
            <w:pPr>
              <w:spacing w:after="0" w:line="360" w:lineRule="exact"/>
              <w:ind w:firstLine="420" w:firstLineChars="200"/>
              <w:jc w:val="center"/>
              <w:rPr>
                <w:rFonts w:hint="eastAsia" w:ascii="宋体" w:hAnsi="宋体" w:eastAsia="宋体" w:cs="宋体"/>
                <w:color w:val="auto"/>
                <w:sz w:val="21"/>
                <w:szCs w:val="21"/>
                <w:highlight w:val="none"/>
              </w:rPr>
            </w:pPr>
          </w:p>
        </w:tc>
        <w:tc>
          <w:tcPr>
            <w:tcW w:w="1605" w:type="dxa"/>
            <w:tcBorders>
              <w:top w:val="single" w:color="auto" w:sz="4" w:space="0"/>
              <w:left w:val="single" w:color="auto" w:sz="4" w:space="0"/>
              <w:bottom w:val="single" w:color="auto" w:sz="4" w:space="0"/>
              <w:right w:val="single" w:color="auto" w:sz="4" w:space="0"/>
            </w:tcBorders>
            <w:vAlign w:val="center"/>
          </w:tcPr>
          <w:p w14:paraId="6297B3A4">
            <w:pPr>
              <w:spacing w:after="0" w:line="360" w:lineRule="exact"/>
              <w:ind w:firstLine="420" w:firstLineChars="200"/>
              <w:jc w:val="center"/>
              <w:rPr>
                <w:rFonts w:hint="eastAsia" w:ascii="宋体" w:hAnsi="宋体" w:eastAsia="宋体" w:cs="宋体"/>
                <w:color w:val="auto"/>
                <w:sz w:val="21"/>
                <w:szCs w:val="21"/>
                <w:highlight w:val="none"/>
              </w:rPr>
            </w:pPr>
          </w:p>
        </w:tc>
        <w:tc>
          <w:tcPr>
            <w:tcW w:w="840" w:type="dxa"/>
            <w:tcBorders>
              <w:top w:val="single" w:color="auto" w:sz="4" w:space="0"/>
              <w:left w:val="single" w:color="auto" w:sz="4" w:space="0"/>
              <w:bottom w:val="single" w:color="auto" w:sz="4" w:space="0"/>
              <w:right w:val="single" w:color="auto" w:sz="4" w:space="0"/>
            </w:tcBorders>
            <w:vAlign w:val="center"/>
          </w:tcPr>
          <w:p w14:paraId="543D77CC">
            <w:pPr>
              <w:spacing w:after="0" w:line="360" w:lineRule="exact"/>
              <w:ind w:firstLine="420" w:firstLineChars="200"/>
              <w:jc w:val="center"/>
              <w:rPr>
                <w:rFonts w:hint="eastAsia" w:ascii="宋体" w:hAnsi="宋体" w:eastAsia="宋体" w:cs="宋体"/>
                <w:color w:val="auto"/>
                <w:sz w:val="21"/>
                <w:szCs w:val="21"/>
                <w:highlight w:val="none"/>
              </w:rPr>
            </w:pPr>
          </w:p>
        </w:tc>
      </w:tr>
      <w:tr w14:paraId="41A3B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8" w:type="dxa"/>
            <w:tcBorders>
              <w:top w:val="single" w:color="auto" w:sz="4" w:space="0"/>
              <w:left w:val="single" w:color="auto" w:sz="4" w:space="0"/>
              <w:bottom w:val="single" w:color="auto" w:sz="4" w:space="0"/>
              <w:right w:val="single" w:color="auto" w:sz="4" w:space="0"/>
            </w:tcBorders>
            <w:vAlign w:val="center"/>
          </w:tcPr>
          <w:p w14:paraId="210F3C47">
            <w:pPr>
              <w:spacing w:after="0" w:line="36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374" w:type="dxa"/>
            <w:tcBorders>
              <w:top w:val="single" w:color="auto" w:sz="4" w:space="0"/>
              <w:left w:val="single" w:color="auto" w:sz="4" w:space="0"/>
              <w:bottom w:val="single" w:color="auto" w:sz="4" w:space="0"/>
              <w:right w:val="single" w:color="auto" w:sz="4" w:space="0"/>
            </w:tcBorders>
            <w:vAlign w:val="center"/>
          </w:tcPr>
          <w:p w14:paraId="614F62BD">
            <w:pPr>
              <w:spacing w:after="0" w:line="360" w:lineRule="exact"/>
              <w:ind w:firstLine="420" w:firstLineChars="200"/>
              <w:jc w:val="center"/>
              <w:rPr>
                <w:rFonts w:hint="eastAsia" w:ascii="宋体" w:hAnsi="宋体" w:eastAsia="宋体" w:cs="宋体"/>
                <w:color w:val="auto"/>
                <w:sz w:val="21"/>
                <w:szCs w:val="21"/>
                <w:highlight w:val="none"/>
              </w:rPr>
            </w:pPr>
          </w:p>
        </w:tc>
        <w:tc>
          <w:tcPr>
            <w:tcW w:w="3058" w:type="dxa"/>
            <w:tcBorders>
              <w:top w:val="single" w:color="auto" w:sz="4" w:space="0"/>
              <w:left w:val="single" w:color="auto" w:sz="4" w:space="0"/>
              <w:bottom w:val="single" w:color="auto" w:sz="4" w:space="0"/>
              <w:right w:val="single" w:color="auto" w:sz="4" w:space="0"/>
            </w:tcBorders>
            <w:vAlign w:val="center"/>
          </w:tcPr>
          <w:p w14:paraId="79678BF2">
            <w:pPr>
              <w:spacing w:after="0" w:line="360" w:lineRule="exact"/>
              <w:ind w:firstLine="420" w:firstLineChars="200"/>
              <w:jc w:val="center"/>
              <w:rPr>
                <w:rFonts w:hint="eastAsia" w:ascii="宋体" w:hAnsi="宋体" w:eastAsia="宋体" w:cs="宋体"/>
                <w:color w:val="auto"/>
                <w:sz w:val="21"/>
                <w:szCs w:val="21"/>
                <w:highlight w:val="none"/>
              </w:rPr>
            </w:pPr>
          </w:p>
        </w:tc>
        <w:tc>
          <w:tcPr>
            <w:tcW w:w="1365" w:type="dxa"/>
            <w:tcBorders>
              <w:top w:val="single" w:color="auto" w:sz="4" w:space="0"/>
              <w:left w:val="single" w:color="auto" w:sz="4" w:space="0"/>
              <w:bottom w:val="single" w:color="auto" w:sz="4" w:space="0"/>
              <w:right w:val="single" w:color="auto" w:sz="4" w:space="0"/>
            </w:tcBorders>
            <w:vAlign w:val="center"/>
          </w:tcPr>
          <w:p w14:paraId="5E4A3B2D">
            <w:pPr>
              <w:spacing w:after="0" w:line="360" w:lineRule="exact"/>
              <w:ind w:firstLine="420" w:firstLineChars="200"/>
              <w:jc w:val="center"/>
              <w:rPr>
                <w:rFonts w:hint="eastAsia" w:ascii="宋体" w:hAnsi="宋体" w:eastAsia="宋体" w:cs="宋体"/>
                <w:color w:val="auto"/>
                <w:sz w:val="21"/>
                <w:szCs w:val="21"/>
                <w:highlight w:val="none"/>
              </w:rPr>
            </w:pPr>
          </w:p>
        </w:tc>
        <w:tc>
          <w:tcPr>
            <w:tcW w:w="1605" w:type="dxa"/>
            <w:tcBorders>
              <w:top w:val="single" w:color="auto" w:sz="4" w:space="0"/>
              <w:left w:val="single" w:color="auto" w:sz="4" w:space="0"/>
              <w:bottom w:val="single" w:color="auto" w:sz="4" w:space="0"/>
              <w:right w:val="single" w:color="auto" w:sz="4" w:space="0"/>
            </w:tcBorders>
            <w:vAlign w:val="center"/>
          </w:tcPr>
          <w:p w14:paraId="64F0B2C9">
            <w:pPr>
              <w:spacing w:after="0" w:line="360" w:lineRule="exact"/>
              <w:ind w:firstLine="420" w:firstLineChars="200"/>
              <w:jc w:val="center"/>
              <w:rPr>
                <w:rFonts w:hint="eastAsia" w:ascii="宋体" w:hAnsi="宋体" w:eastAsia="宋体" w:cs="宋体"/>
                <w:color w:val="auto"/>
                <w:sz w:val="21"/>
                <w:szCs w:val="21"/>
                <w:highlight w:val="none"/>
              </w:rPr>
            </w:pPr>
          </w:p>
        </w:tc>
        <w:tc>
          <w:tcPr>
            <w:tcW w:w="840" w:type="dxa"/>
            <w:tcBorders>
              <w:top w:val="single" w:color="auto" w:sz="4" w:space="0"/>
              <w:left w:val="single" w:color="auto" w:sz="4" w:space="0"/>
              <w:bottom w:val="single" w:color="auto" w:sz="4" w:space="0"/>
              <w:right w:val="single" w:color="auto" w:sz="4" w:space="0"/>
            </w:tcBorders>
            <w:vAlign w:val="center"/>
          </w:tcPr>
          <w:p w14:paraId="59CE942F">
            <w:pPr>
              <w:spacing w:after="0" w:line="360" w:lineRule="exact"/>
              <w:ind w:firstLine="420" w:firstLineChars="200"/>
              <w:jc w:val="center"/>
              <w:rPr>
                <w:rFonts w:hint="eastAsia" w:ascii="宋体" w:hAnsi="宋体" w:eastAsia="宋体" w:cs="宋体"/>
                <w:color w:val="auto"/>
                <w:sz w:val="21"/>
                <w:szCs w:val="21"/>
                <w:highlight w:val="none"/>
              </w:rPr>
            </w:pPr>
          </w:p>
        </w:tc>
      </w:tr>
      <w:tr w14:paraId="06444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8" w:type="dxa"/>
            <w:tcBorders>
              <w:top w:val="single" w:color="auto" w:sz="4" w:space="0"/>
              <w:left w:val="single" w:color="auto" w:sz="4" w:space="0"/>
              <w:bottom w:val="single" w:color="auto" w:sz="4" w:space="0"/>
              <w:right w:val="single" w:color="auto" w:sz="4" w:space="0"/>
            </w:tcBorders>
            <w:vAlign w:val="center"/>
          </w:tcPr>
          <w:p w14:paraId="3EEC0C2B">
            <w:pPr>
              <w:spacing w:after="0" w:line="36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1374" w:type="dxa"/>
            <w:tcBorders>
              <w:top w:val="single" w:color="auto" w:sz="4" w:space="0"/>
              <w:left w:val="single" w:color="auto" w:sz="4" w:space="0"/>
              <w:bottom w:val="single" w:color="auto" w:sz="4" w:space="0"/>
              <w:right w:val="single" w:color="auto" w:sz="4" w:space="0"/>
            </w:tcBorders>
            <w:vAlign w:val="center"/>
          </w:tcPr>
          <w:p w14:paraId="769A3BAD">
            <w:pPr>
              <w:spacing w:after="0" w:line="360" w:lineRule="exact"/>
              <w:ind w:firstLine="420" w:firstLineChars="200"/>
              <w:jc w:val="center"/>
              <w:rPr>
                <w:rFonts w:hint="eastAsia" w:ascii="宋体" w:hAnsi="宋体" w:eastAsia="宋体" w:cs="宋体"/>
                <w:color w:val="auto"/>
                <w:sz w:val="21"/>
                <w:szCs w:val="21"/>
                <w:highlight w:val="none"/>
              </w:rPr>
            </w:pPr>
          </w:p>
        </w:tc>
        <w:tc>
          <w:tcPr>
            <w:tcW w:w="3058" w:type="dxa"/>
            <w:tcBorders>
              <w:top w:val="single" w:color="auto" w:sz="4" w:space="0"/>
              <w:left w:val="single" w:color="auto" w:sz="4" w:space="0"/>
              <w:bottom w:val="single" w:color="auto" w:sz="4" w:space="0"/>
              <w:right w:val="single" w:color="auto" w:sz="4" w:space="0"/>
            </w:tcBorders>
            <w:vAlign w:val="center"/>
          </w:tcPr>
          <w:p w14:paraId="697E4D2A">
            <w:pPr>
              <w:spacing w:after="0" w:line="360" w:lineRule="exact"/>
              <w:ind w:firstLine="420" w:firstLineChars="200"/>
              <w:jc w:val="center"/>
              <w:rPr>
                <w:rFonts w:hint="eastAsia" w:ascii="宋体" w:hAnsi="宋体" w:eastAsia="宋体" w:cs="宋体"/>
                <w:color w:val="auto"/>
                <w:sz w:val="21"/>
                <w:szCs w:val="21"/>
                <w:highlight w:val="none"/>
              </w:rPr>
            </w:pPr>
          </w:p>
        </w:tc>
        <w:tc>
          <w:tcPr>
            <w:tcW w:w="1365" w:type="dxa"/>
            <w:tcBorders>
              <w:top w:val="single" w:color="auto" w:sz="4" w:space="0"/>
              <w:left w:val="single" w:color="auto" w:sz="4" w:space="0"/>
              <w:bottom w:val="single" w:color="auto" w:sz="4" w:space="0"/>
              <w:right w:val="single" w:color="auto" w:sz="4" w:space="0"/>
            </w:tcBorders>
            <w:vAlign w:val="center"/>
          </w:tcPr>
          <w:p w14:paraId="011715AE">
            <w:pPr>
              <w:spacing w:after="0" w:line="360" w:lineRule="exact"/>
              <w:ind w:firstLine="420" w:firstLineChars="200"/>
              <w:jc w:val="center"/>
              <w:rPr>
                <w:rFonts w:hint="eastAsia" w:ascii="宋体" w:hAnsi="宋体" w:eastAsia="宋体" w:cs="宋体"/>
                <w:color w:val="auto"/>
                <w:sz w:val="21"/>
                <w:szCs w:val="21"/>
                <w:highlight w:val="none"/>
              </w:rPr>
            </w:pPr>
          </w:p>
        </w:tc>
        <w:tc>
          <w:tcPr>
            <w:tcW w:w="1605" w:type="dxa"/>
            <w:tcBorders>
              <w:top w:val="single" w:color="auto" w:sz="4" w:space="0"/>
              <w:left w:val="single" w:color="auto" w:sz="4" w:space="0"/>
              <w:bottom w:val="single" w:color="auto" w:sz="4" w:space="0"/>
              <w:right w:val="single" w:color="auto" w:sz="4" w:space="0"/>
            </w:tcBorders>
            <w:vAlign w:val="center"/>
          </w:tcPr>
          <w:p w14:paraId="16BA283E">
            <w:pPr>
              <w:spacing w:after="0" w:line="360" w:lineRule="exact"/>
              <w:ind w:firstLine="420" w:firstLineChars="200"/>
              <w:jc w:val="center"/>
              <w:rPr>
                <w:rFonts w:hint="eastAsia" w:ascii="宋体" w:hAnsi="宋体" w:eastAsia="宋体" w:cs="宋体"/>
                <w:color w:val="auto"/>
                <w:sz w:val="21"/>
                <w:szCs w:val="21"/>
                <w:highlight w:val="none"/>
              </w:rPr>
            </w:pPr>
          </w:p>
        </w:tc>
        <w:tc>
          <w:tcPr>
            <w:tcW w:w="840" w:type="dxa"/>
            <w:tcBorders>
              <w:top w:val="single" w:color="auto" w:sz="4" w:space="0"/>
              <w:left w:val="single" w:color="auto" w:sz="4" w:space="0"/>
              <w:bottom w:val="single" w:color="auto" w:sz="4" w:space="0"/>
              <w:right w:val="single" w:color="auto" w:sz="4" w:space="0"/>
            </w:tcBorders>
            <w:vAlign w:val="center"/>
          </w:tcPr>
          <w:p w14:paraId="6072785B">
            <w:pPr>
              <w:spacing w:after="0" w:line="360" w:lineRule="exact"/>
              <w:ind w:firstLine="420" w:firstLineChars="200"/>
              <w:jc w:val="center"/>
              <w:rPr>
                <w:rFonts w:hint="eastAsia" w:ascii="宋体" w:hAnsi="宋体" w:eastAsia="宋体" w:cs="宋体"/>
                <w:color w:val="auto"/>
                <w:sz w:val="21"/>
                <w:szCs w:val="21"/>
                <w:highlight w:val="none"/>
              </w:rPr>
            </w:pPr>
          </w:p>
        </w:tc>
      </w:tr>
      <w:tr w14:paraId="2BC63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8" w:type="dxa"/>
            <w:tcBorders>
              <w:top w:val="single" w:color="auto" w:sz="4" w:space="0"/>
              <w:left w:val="single" w:color="auto" w:sz="4" w:space="0"/>
              <w:bottom w:val="single" w:color="auto" w:sz="4" w:space="0"/>
              <w:right w:val="single" w:color="auto" w:sz="4" w:space="0"/>
            </w:tcBorders>
            <w:vAlign w:val="center"/>
          </w:tcPr>
          <w:p w14:paraId="5CBD80E0">
            <w:pPr>
              <w:spacing w:after="0" w:line="36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374" w:type="dxa"/>
            <w:tcBorders>
              <w:top w:val="single" w:color="auto" w:sz="4" w:space="0"/>
              <w:left w:val="single" w:color="auto" w:sz="4" w:space="0"/>
              <w:bottom w:val="single" w:color="auto" w:sz="4" w:space="0"/>
              <w:right w:val="single" w:color="auto" w:sz="4" w:space="0"/>
            </w:tcBorders>
            <w:vAlign w:val="center"/>
          </w:tcPr>
          <w:p w14:paraId="0FA52345">
            <w:pPr>
              <w:spacing w:after="0" w:line="360" w:lineRule="exact"/>
              <w:ind w:firstLine="420" w:firstLineChars="200"/>
              <w:jc w:val="center"/>
              <w:rPr>
                <w:rFonts w:hint="eastAsia" w:ascii="宋体" w:hAnsi="宋体" w:eastAsia="宋体" w:cs="宋体"/>
                <w:color w:val="auto"/>
                <w:sz w:val="21"/>
                <w:szCs w:val="21"/>
                <w:highlight w:val="none"/>
              </w:rPr>
            </w:pPr>
          </w:p>
        </w:tc>
        <w:tc>
          <w:tcPr>
            <w:tcW w:w="3058" w:type="dxa"/>
            <w:tcBorders>
              <w:top w:val="single" w:color="auto" w:sz="4" w:space="0"/>
              <w:left w:val="single" w:color="auto" w:sz="4" w:space="0"/>
              <w:bottom w:val="single" w:color="auto" w:sz="4" w:space="0"/>
              <w:right w:val="single" w:color="auto" w:sz="4" w:space="0"/>
            </w:tcBorders>
            <w:vAlign w:val="center"/>
          </w:tcPr>
          <w:p w14:paraId="3900D768">
            <w:pPr>
              <w:spacing w:after="0" w:line="360" w:lineRule="exact"/>
              <w:ind w:firstLine="420" w:firstLineChars="200"/>
              <w:jc w:val="center"/>
              <w:rPr>
                <w:rFonts w:hint="eastAsia" w:ascii="宋体" w:hAnsi="宋体" w:eastAsia="宋体" w:cs="宋体"/>
                <w:color w:val="auto"/>
                <w:sz w:val="21"/>
                <w:szCs w:val="21"/>
                <w:highlight w:val="none"/>
              </w:rPr>
            </w:pPr>
          </w:p>
        </w:tc>
        <w:tc>
          <w:tcPr>
            <w:tcW w:w="1365" w:type="dxa"/>
            <w:tcBorders>
              <w:top w:val="single" w:color="auto" w:sz="4" w:space="0"/>
              <w:left w:val="single" w:color="auto" w:sz="4" w:space="0"/>
              <w:bottom w:val="single" w:color="auto" w:sz="4" w:space="0"/>
              <w:right w:val="single" w:color="auto" w:sz="4" w:space="0"/>
            </w:tcBorders>
            <w:vAlign w:val="center"/>
          </w:tcPr>
          <w:p w14:paraId="5175E22D">
            <w:pPr>
              <w:spacing w:after="0" w:line="360" w:lineRule="exact"/>
              <w:ind w:firstLine="420" w:firstLineChars="200"/>
              <w:jc w:val="center"/>
              <w:rPr>
                <w:rFonts w:hint="eastAsia" w:ascii="宋体" w:hAnsi="宋体" w:eastAsia="宋体" w:cs="宋体"/>
                <w:color w:val="auto"/>
                <w:sz w:val="21"/>
                <w:szCs w:val="21"/>
                <w:highlight w:val="none"/>
              </w:rPr>
            </w:pPr>
          </w:p>
        </w:tc>
        <w:tc>
          <w:tcPr>
            <w:tcW w:w="1605" w:type="dxa"/>
            <w:tcBorders>
              <w:top w:val="single" w:color="auto" w:sz="4" w:space="0"/>
              <w:left w:val="single" w:color="auto" w:sz="4" w:space="0"/>
              <w:bottom w:val="single" w:color="auto" w:sz="4" w:space="0"/>
              <w:right w:val="single" w:color="auto" w:sz="4" w:space="0"/>
            </w:tcBorders>
            <w:vAlign w:val="center"/>
          </w:tcPr>
          <w:p w14:paraId="1C893939">
            <w:pPr>
              <w:spacing w:after="0" w:line="360" w:lineRule="exact"/>
              <w:ind w:firstLine="420" w:firstLineChars="200"/>
              <w:jc w:val="center"/>
              <w:rPr>
                <w:rFonts w:hint="eastAsia" w:ascii="宋体" w:hAnsi="宋体" w:eastAsia="宋体" w:cs="宋体"/>
                <w:color w:val="auto"/>
                <w:sz w:val="21"/>
                <w:szCs w:val="21"/>
                <w:highlight w:val="none"/>
              </w:rPr>
            </w:pPr>
          </w:p>
        </w:tc>
        <w:tc>
          <w:tcPr>
            <w:tcW w:w="840" w:type="dxa"/>
            <w:tcBorders>
              <w:top w:val="single" w:color="auto" w:sz="4" w:space="0"/>
              <w:left w:val="single" w:color="auto" w:sz="4" w:space="0"/>
              <w:bottom w:val="single" w:color="auto" w:sz="4" w:space="0"/>
              <w:right w:val="single" w:color="auto" w:sz="4" w:space="0"/>
            </w:tcBorders>
            <w:vAlign w:val="center"/>
          </w:tcPr>
          <w:p w14:paraId="0BE86F53">
            <w:pPr>
              <w:spacing w:after="0" w:line="360" w:lineRule="exact"/>
              <w:ind w:firstLine="420" w:firstLineChars="200"/>
              <w:jc w:val="center"/>
              <w:rPr>
                <w:rFonts w:hint="eastAsia" w:ascii="宋体" w:hAnsi="宋体" w:eastAsia="宋体" w:cs="宋体"/>
                <w:color w:val="auto"/>
                <w:sz w:val="21"/>
                <w:szCs w:val="21"/>
                <w:highlight w:val="none"/>
              </w:rPr>
            </w:pPr>
          </w:p>
        </w:tc>
      </w:tr>
      <w:tr w14:paraId="6582F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8" w:type="dxa"/>
            <w:tcBorders>
              <w:top w:val="single" w:color="auto" w:sz="4" w:space="0"/>
              <w:left w:val="single" w:color="auto" w:sz="4" w:space="0"/>
              <w:bottom w:val="single" w:color="auto" w:sz="4" w:space="0"/>
              <w:right w:val="single" w:color="auto" w:sz="4" w:space="0"/>
            </w:tcBorders>
            <w:vAlign w:val="center"/>
          </w:tcPr>
          <w:p w14:paraId="57CE40A1">
            <w:pPr>
              <w:spacing w:after="0" w:line="360" w:lineRule="exact"/>
              <w:jc w:val="center"/>
              <w:rPr>
                <w:rFonts w:hint="eastAsia" w:ascii="宋体" w:hAnsi="宋体" w:eastAsia="宋体" w:cs="宋体"/>
                <w:color w:val="auto"/>
                <w:sz w:val="21"/>
                <w:szCs w:val="21"/>
                <w:highlight w:val="none"/>
              </w:rPr>
            </w:pPr>
          </w:p>
        </w:tc>
        <w:tc>
          <w:tcPr>
            <w:tcW w:w="1374" w:type="dxa"/>
            <w:tcBorders>
              <w:top w:val="single" w:color="auto" w:sz="4" w:space="0"/>
              <w:left w:val="single" w:color="auto" w:sz="4" w:space="0"/>
              <w:bottom w:val="single" w:color="auto" w:sz="4" w:space="0"/>
              <w:right w:val="single" w:color="auto" w:sz="4" w:space="0"/>
            </w:tcBorders>
            <w:vAlign w:val="center"/>
          </w:tcPr>
          <w:p w14:paraId="41FAFD0D">
            <w:pPr>
              <w:spacing w:after="0" w:line="360" w:lineRule="exact"/>
              <w:ind w:firstLine="420" w:firstLineChars="200"/>
              <w:jc w:val="center"/>
              <w:rPr>
                <w:rFonts w:hint="eastAsia" w:ascii="宋体" w:hAnsi="宋体" w:eastAsia="宋体" w:cs="宋体"/>
                <w:color w:val="auto"/>
                <w:sz w:val="21"/>
                <w:szCs w:val="21"/>
                <w:highlight w:val="none"/>
              </w:rPr>
            </w:pPr>
          </w:p>
        </w:tc>
        <w:tc>
          <w:tcPr>
            <w:tcW w:w="3058" w:type="dxa"/>
            <w:tcBorders>
              <w:top w:val="single" w:color="auto" w:sz="4" w:space="0"/>
              <w:left w:val="single" w:color="auto" w:sz="4" w:space="0"/>
              <w:bottom w:val="single" w:color="auto" w:sz="4" w:space="0"/>
              <w:right w:val="single" w:color="auto" w:sz="4" w:space="0"/>
            </w:tcBorders>
            <w:vAlign w:val="center"/>
          </w:tcPr>
          <w:p w14:paraId="7DF2DF39">
            <w:pPr>
              <w:spacing w:after="0" w:line="360" w:lineRule="exact"/>
              <w:ind w:firstLine="420" w:firstLineChars="200"/>
              <w:jc w:val="center"/>
              <w:rPr>
                <w:rFonts w:hint="eastAsia" w:ascii="宋体" w:hAnsi="宋体" w:eastAsia="宋体" w:cs="宋体"/>
                <w:color w:val="auto"/>
                <w:sz w:val="21"/>
                <w:szCs w:val="21"/>
                <w:highlight w:val="none"/>
              </w:rPr>
            </w:pPr>
          </w:p>
        </w:tc>
        <w:tc>
          <w:tcPr>
            <w:tcW w:w="1365" w:type="dxa"/>
            <w:tcBorders>
              <w:top w:val="single" w:color="auto" w:sz="4" w:space="0"/>
              <w:left w:val="single" w:color="auto" w:sz="4" w:space="0"/>
              <w:bottom w:val="single" w:color="auto" w:sz="4" w:space="0"/>
              <w:right w:val="single" w:color="auto" w:sz="4" w:space="0"/>
            </w:tcBorders>
            <w:vAlign w:val="center"/>
          </w:tcPr>
          <w:p w14:paraId="7308FA91">
            <w:pPr>
              <w:spacing w:after="0" w:line="360" w:lineRule="exact"/>
              <w:ind w:firstLine="420" w:firstLineChars="200"/>
              <w:jc w:val="center"/>
              <w:rPr>
                <w:rFonts w:hint="eastAsia" w:ascii="宋体" w:hAnsi="宋体" w:eastAsia="宋体" w:cs="宋体"/>
                <w:color w:val="auto"/>
                <w:sz w:val="21"/>
                <w:szCs w:val="21"/>
                <w:highlight w:val="none"/>
              </w:rPr>
            </w:pPr>
          </w:p>
        </w:tc>
        <w:tc>
          <w:tcPr>
            <w:tcW w:w="1605" w:type="dxa"/>
            <w:tcBorders>
              <w:top w:val="single" w:color="auto" w:sz="4" w:space="0"/>
              <w:left w:val="single" w:color="auto" w:sz="4" w:space="0"/>
              <w:bottom w:val="single" w:color="auto" w:sz="4" w:space="0"/>
              <w:right w:val="single" w:color="auto" w:sz="4" w:space="0"/>
            </w:tcBorders>
            <w:vAlign w:val="center"/>
          </w:tcPr>
          <w:p w14:paraId="59B438BD">
            <w:pPr>
              <w:spacing w:after="0" w:line="360" w:lineRule="exact"/>
              <w:ind w:firstLine="420" w:firstLineChars="200"/>
              <w:jc w:val="center"/>
              <w:rPr>
                <w:rFonts w:hint="eastAsia" w:ascii="宋体" w:hAnsi="宋体" w:eastAsia="宋体" w:cs="宋体"/>
                <w:color w:val="auto"/>
                <w:sz w:val="21"/>
                <w:szCs w:val="21"/>
                <w:highlight w:val="none"/>
              </w:rPr>
            </w:pPr>
          </w:p>
        </w:tc>
        <w:tc>
          <w:tcPr>
            <w:tcW w:w="840" w:type="dxa"/>
            <w:tcBorders>
              <w:top w:val="single" w:color="auto" w:sz="4" w:space="0"/>
              <w:left w:val="single" w:color="auto" w:sz="4" w:space="0"/>
              <w:bottom w:val="single" w:color="auto" w:sz="4" w:space="0"/>
              <w:right w:val="single" w:color="auto" w:sz="4" w:space="0"/>
            </w:tcBorders>
            <w:vAlign w:val="center"/>
          </w:tcPr>
          <w:p w14:paraId="7E96774E">
            <w:pPr>
              <w:spacing w:after="0" w:line="360" w:lineRule="exact"/>
              <w:ind w:firstLine="420" w:firstLineChars="200"/>
              <w:jc w:val="center"/>
              <w:rPr>
                <w:rFonts w:hint="eastAsia" w:ascii="宋体" w:hAnsi="宋体" w:eastAsia="宋体" w:cs="宋体"/>
                <w:color w:val="auto"/>
                <w:sz w:val="21"/>
                <w:szCs w:val="21"/>
                <w:highlight w:val="none"/>
              </w:rPr>
            </w:pPr>
          </w:p>
        </w:tc>
      </w:tr>
      <w:tr w14:paraId="74DF5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8" w:type="dxa"/>
            <w:tcBorders>
              <w:top w:val="single" w:color="auto" w:sz="4" w:space="0"/>
              <w:left w:val="single" w:color="auto" w:sz="4" w:space="0"/>
              <w:bottom w:val="single" w:color="auto" w:sz="4" w:space="0"/>
              <w:right w:val="single" w:color="auto" w:sz="4" w:space="0"/>
            </w:tcBorders>
            <w:vAlign w:val="center"/>
          </w:tcPr>
          <w:p w14:paraId="3C377395">
            <w:pPr>
              <w:spacing w:after="0" w:line="360" w:lineRule="exact"/>
              <w:jc w:val="center"/>
              <w:rPr>
                <w:rFonts w:hint="eastAsia" w:ascii="宋体" w:hAnsi="宋体" w:eastAsia="宋体" w:cs="宋体"/>
                <w:color w:val="auto"/>
                <w:sz w:val="21"/>
                <w:szCs w:val="21"/>
                <w:highlight w:val="none"/>
              </w:rPr>
            </w:pPr>
          </w:p>
        </w:tc>
        <w:tc>
          <w:tcPr>
            <w:tcW w:w="1374" w:type="dxa"/>
            <w:tcBorders>
              <w:top w:val="single" w:color="auto" w:sz="4" w:space="0"/>
              <w:left w:val="single" w:color="auto" w:sz="4" w:space="0"/>
              <w:bottom w:val="single" w:color="auto" w:sz="4" w:space="0"/>
              <w:right w:val="single" w:color="auto" w:sz="4" w:space="0"/>
            </w:tcBorders>
            <w:vAlign w:val="center"/>
          </w:tcPr>
          <w:p w14:paraId="432F8886">
            <w:pPr>
              <w:spacing w:after="0" w:line="360" w:lineRule="exact"/>
              <w:ind w:firstLine="420" w:firstLineChars="200"/>
              <w:jc w:val="center"/>
              <w:rPr>
                <w:rFonts w:hint="eastAsia" w:ascii="宋体" w:hAnsi="宋体" w:eastAsia="宋体" w:cs="宋体"/>
                <w:color w:val="auto"/>
                <w:sz w:val="21"/>
                <w:szCs w:val="21"/>
                <w:highlight w:val="none"/>
              </w:rPr>
            </w:pPr>
          </w:p>
        </w:tc>
        <w:tc>
          <w:tcPr>
            <w:tcW w:w="3058" w:type="dxa"/>
            <w:tcBorders>
              <w:top w:val="single" w:color="auto" w:sz="4" w:space="0"/>
              <w:left w:val="single" w:color="auto" w:sz="4" w:space="0"/>
              <w:bottom w:val="single" w:color="auto" w:sz="4" w:space="0"/>
              <w:right w:val="single" w:color="auto" w:sz="4" w:space="0"/>
            </w:tcBorders>
            <w:vAlign w:val="center"/>
          </w:tcPr>
          <w:p w14:paraId="50F4BC93">
            <w:pPr>
              <w:spacing w:after="0" w:line="360" w:lineRule="exact"/>
              <w:ind w:firstLine="420" w:firstLineChars="200"/>
              <w:jc w:val="center"/>
              <w:rPr>
                <w:rFonts w:hint="eastAsia" w:ascii="宋体" w:hAnsi="宋体" w:eastAsia="宋体" w:cs="宋体"/>
                <w:color w:val="auto"/>
                <w:sz w:val="21"/>
                <w:szCs w:val="21"/>
                <w:highlight w:val="none"/>
              </w:rPr>
            </w:pPr>
          </w:p>
        </w:tc>
        <w:tc>
          <w:tcPr>
            <w:tcW w:w="1365" w:type="dxa"/>
            <w:tcBorders>
              <w:top w:val="single" w:color="auto" w:sz="4" w:space="0"/>
              <w:left w:val="single" w:color="auto" w:sz="4" w:space="0"/>
              <w:bottom w:val="single" w:color="auto" w:sz="4" w:space="0"/>
              <w:right w:val="single" w:color="auto" w:sz="4" w:space="0"/>
            </w:tcBorders>
            <w:vAlign w:val="center"/>
          </w:tcPr>
          <w:p w14:paraId="2C74B323">
            <w:pPr>
              <w:spacing w:after="0" w:line="360" w:lineRule="exact"/>
              <w:ind w:firstLine="420" w:firstLineChars="200"/>
              <w:jc w:val="center"/>
              <w:rPr>
                <w:rFonts w:hint="eastAsia" w:ascii="宋体" w:hAnsi="宋体" w:eastAsia="宋体" w:cs="宋体"/>
                <w:color w:val="auto"/>
                <w:sz w:val="21"/>
                <w:szCs w:val="21"/>
                <w:highlight w:val="none"/>
              </w:rPr>
            </w:pPr>
          </w:p>
        </w:tc>
        <w:tc>
          <w:tcPr>
            <w:tcW w:w="1605" w:type="dxa"/>
            <w:tcBorders>
              <w:top w:val="single" w:color="auto" w:sz="4" w:space="0"/>
              <w:left w:val="single" w:color="auto" w:sz="4" w:space="0"/>
              <w:bottom w:val="single" w:color="auto" w:sz="4" w:space="0"/>
              <w:right w:val="single" w:color="auto" w:sz="4" w:space="0"/>
            </w:tcBorders>
            <w:vAlign w:val="center"/>
          </w:tcPr>
          <w:p w14:paraId="0E25AE2F">
            <w:pPr>
              <w:spacing w:after="0" w:line="360" w:lineRule="exact"/>
              <w:ind w:firstLine="420" w:firstLineChars="200"/>
              <w:jc w:val="center"/>
              <w:rPr>
                <w:rFonts w:hint="eastAsia" w:ascii="宋体" w:hAnsi="宋体" w:eastAsia="宋体" w:cs="宋体"/>
                <w:color w:val="auto"/>
                <w:sz w:val="21"/>
                <w:szCs w:val="21"/>
                <w:highlight w:val="none"/>
              </w:rPr>
            </w:pPr>
          </w:p>
        </w:tc>
        <w:tc>
          <w:tcPr>
            <w:tcW w:w="840" w:type="dxa"/>
            <w:tcBorders>
              <w:top w:val="single" w:color="auto" w:sz="4" w:space="0"/>
              <w:left w:val="single" w:color="auto" w:sz="4" w:space="0"/>
              <w:bottom w:val="single" w:color="auto" w:sz="4" w:space="0"/>
              <w:right w:val="single" w:color="auto" w:sz="4" w:space="0"/>
            </w:tcBorders>
            <w:vAlign w:val="center"/>
          </w:tcPr>
          <w:p w14:paraId="07B956CD">
            <w:pPr>
              <w:spacing w:after="0" w:line="360" w:lineRule="exact"/>
              <w:ind w:firstLine="420" w:firstLineChars="200"/>
              <w:jc w:val="center"/>
              <w:rPr>
                <w:rFonts w:hint="eastAsia" w:ascii="宋体" w:hAnsi="宋体" w:eastAsia="宋体" w:cs="宋体"/>
                <w:color w:val="auto"/>
                <w:sz w:val="21"/>
                <w:szCs w:val="21"/>
                <w:highlight w:val="none"/>
              </w:rPr>
            </w:pPr>
          </w:p>
        </w:tc>
      </w:tr>
      <w:tr w14:paraId="0014E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8" w:type="dxa"/>
            <w:tcBorders>
              <w:top w:val="single" w:color="auto" w:sz="4" w:space="0"/>
              <w:left w:val="single" w:color="auto" w:sz="4" w:space="0"/>
              <w:bottom w:val="single" w:color="auto" w:sz="4" w:space="0"/>
              <w:right w:val="single" w:color="auto" w:sz="4" w:space="0"/>
            </w:tcBorders>
            <w:vAlign w:val="center"/>
          </w:tcPr>
          <w:p w14:paraId="629D1255">
            <w:pPr>
              <w:spacing w:after="0" w:line="360" w:lineRule="exact"/>
              <w:jc w:val="center"/>
              <w:rPr>
                <w:rFonts w:hint="eastAsia" w:ascii="宋体" w:hAnsi="宋体" w:eastAsia="宋体" w:cs="宋体"/>
                <w:color w:val="auto"/>
                <w:sz w:val="21"/>
                <w:szCs w:val="21"/>
                <w:highlight w:val="none"/>
              </w:rPr>
            </w:pPr>
          </w:p>
        </w:tc>
        <w:tc>
          <w:tcPr>
            <w:tcW w:w="1374" w:type="dxa"/>
            <w:tcBorders>
              <w:top w:val="single" w:color="auto" w:sz="4" w:space="0"/>
              <w:left w:val="single" w:color="auto" w:sz="4" w:space="0"/>
              <w:bottom w:val="single" w:color="auto" w:sz="4" w:space="0"/>
              <w:right w:val="single" w:color="auto" w:sz="4" w:space="0"/>
            </w:tcBorders>
            <w:vAlign w:val="center"/>
          </w:tcPr>
          <w:p w14:paraId="799F116A">
            <w:pPr>
              <w:spacing w:after="0" w:line="360" w:lineRule="exact"/>
              <w:ind w:firstLine="420" w:firstLineChars="200"/>
              <w:jc w:val="center"/>
              <w:rPr>
                <w:rFonts w:hint="eastAsia" w:ascii="宋体" w:hAnsi="宋体" w:eastAsia="宋体" w:cs="宋体"/>
                <w:color w:val="auto"/>
                <w:sz w:val="21"/>
                <w:szCs w:val="21"/>
                <w:highlight w:val="none"/>
              </w:rPr>
            </w:pPr>
          </w:p>
        </w:tc>
        <w:tc>
          <w:tcPr>
            <w:tcW w:w="3058" w:type="dxa"/>
            <w:tcBorders>
              <w:top w:val="single" w:color="auto" w:sz="4" w:space="0"/>
              <w:left w:val="single" w:color="auto" w:sz="4" w:space="0"/>
              <w:bottom w:val="single" w:color="auto" w:sz="4" w:space="0"/>
              <w:right w:val="single" w:color="auto" w:sz="4" w:space="0"/>
            </w:tcBorders>
            <w:vAlign w:val="center"/>
          </w:tcPr>
          <w:p w14:paraId="5136762D">
            <w:pPr>
              <w:spacing w:after="0" w:line="360" w:lineRule="exact"/>
              <w:ind w:firstLine="420" w:firstLineChars="200"/>
              <w:jc w:val="center"/>
              <w:rPr>
                <w:rFonts w:hint="eastAsia" w:ascii="宋体" w:hAnsi="宋体" w:eastAsia="宋体" w:cs="宋体"/>
                <w:color w:val="auto"/>
                <w:sz w:val="21"/>
                <w:szCs w:val="21"/>
                <w:highlight w:val="none"/>
              </w:rPr>
            </w:pPr>
          </w:p>
        </w:tc>
        <w:tc>
          <w:tcPr>
            <w:tcW w:w="1365" w:type="dxa"/>
            <w:tcBorders>
              <w:top w:val="single" w:color="auto" w:sz="4" w:space="0"/>
              <w:left w:val="single" w:color="auto" w:sz="4" w:space="0"/>
              <w:bottom w:val="single" w:color="auto" w:sz="4" w:space="0"/>
              <w:right w:val="single" w:color="auto" w:sz="4" w:space="0"/>
            </w:tcBorders>
            <w:vAlign w:val="center"/>
          </w:tcPr>
          <w:p w14:paraId="59CFFAC1">
            <w:pPr>
              <w:spacing w:after="0" w:line="360" w:lineRule="exact"/>
              <w:ind w:firstLine="420" w:firstLineChars="200"/>
              <w:jc w:val="center"/>
              <w:rPr>
                <w:rFonts w:hint="eastAsia" w:ascii="宋体" w:hAnsi="宋体" w:eastAsia="宋体" w:cs="宋体"/>
                <w:color w:val="auto"/>
                <w:sz w:val="21"/>
                <w:szCs w:val="21"/>
                <w:highlight w:val="none"/>
              </w:rPr>
            </w:pPr>
          </w:p>
        </w:tc>
        <w:tc>
          <w:tcPr>
            <w:tcW w:w="1605" w:type="dxa"/>
            <w:tcBorders>
              <w:top w:val="single" w:color="auto" w:sz="4" w:space="0"/>
              <w:left w:val="single" w:color="auto" w:sz="4" w:space="0"/>
              <w:bottom w:val="single" w:color="auto" w:sz="4" w:space="0"/>
              <w:right w:val="single" w:color="auto" w:sz="4" w:space="0"/>
            </w:tcBorders>
            <w:vAlign w:val="center"/>
          </w:tcPr>
          <w:p w14:paraId="03F3478F">
            <w:pPr>
              <w:spacing w:after="0" w:line="360" w:lineRule="exact"/>
              <w:ind w:firstLine="420" w:firstLineChars="200"/>
              <w:jc w:val="center"/>
              <w:rPr>
                <w:rFonts w:hint="eastAsia" w:ascii="宋体" w:hAnsi="宋体" w:eastAsia="宋体" w:cs="宋体"/>
                <w:color w:val="auto"/>
                <w:sz w:val="21"/>
                <w:szCs w:val="21"/>
                <w:highlight w:val="none"/>
              </w:rPr>
            </w:pPr>
          </w:p>
        </w:tc>
        <w:tc>
          <w:tcPr>
            <w:tcW w:w="840" w:type="dxa"/>
            <w:tcBorders>
              <w:top w:val="single" w:color="auto" w:sz="4" w:space="0"/>
              <w:left w:val="single" w:color="auto" w:sz="4" w:space="0"/>
              <w:bottom w:val="single" w:color="auto" w:sz="4" w:space="0"/>
              <w:right w:val="single" w:color="auto" w:sz="4" w:space="0"/>
            </w:tcBorders>
            <w:vAlign w:val="center"/>
          </w:tcPr>
          <w:p w14:paraId="349E6BE0">
            <w:pPr>
              <w:spacing w:after="0" w:line="360" w:lineRule="exact"/>
              <w:ind w:firstLine="420" w:firstLineChars="200"/>
              <w:jc w:val="center"/>
              <w:rPr>
                <w:rFonts w:hint="eastAsia" w:ascii="宋体" w:hAnsi="宋体" w:eastAsia="宋体" w:cs="宋体"/>
                <w:color w:val="auto"/>
                <w:sz w:val="21"/>
                <w:szCs w:val="21"/>
                <w:highlight w:val="none"/>
              </w:rPr>
            </w:pPr>
          </w:p>
        </w:tc>
      </w:tr>
    </w:tbl>
    <w:p w14:paraId="4A9EDD75">
      <w:pPr>
        <w:widowControl w:val="0"/>
        <w:adjustRightInd/>
        <w:spacing w:after="0" w:line="240" w:lineRule="exact"/>
        <w:rPr>
          <w:rFonts w:hint="eastAsia" w:ascii="宋体" w:hAnsi="宋体" w:eastAsia="宋体" w:cs="宋体"/>
          <w:b/>
          <w:bCs/>
          <w:color w:val="auto"/>
          <w:sz w:val="24"/>
          <w:szCs w:val="24"/>
          <w:highlight w:val="none"/>
        </w:rPr>
      </w:pPr>
    </w:p>
    <w:p w14:paraId="2EAA800C">
      <w:pPr>
        <w:widowControl w:val="0"/>
        <w:adjustRightInd/>
        <w:spacing w:before="50" w:after="50"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注：1.本表后附评分办法中要求的证明材料</w:t>
      </w:r>
      <w:r>
        <w:rPr>
          <w:rFonts w:hint="eastAsia" w:ascii="宋体" w:hAnsi="宋体" w:eastAsia="宋体" w:cs="宋体"/>
          <w:b/>
          <w:color w:val="auto"/>
          <w:kern w:val="2"/>
          <w:sz w:val="24"/>
          <w:szCs w:val="24"/>
          <w:highlight w:val="none"/>
        </w:rPr>
        <w:t>；</w:t>
      </w:r>
    </w:p>
    <w:p w14:paraId="4E504F5F">
      <w:pPr>
        <w:widowControl w:val="0"/>
        <w:adjustRightInd/>
        <w:spacing w:before="50" w:after="50"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w:t>
      </w:r>
      <w:r>
        <w:rPr>
          <w:rFonts w:hint="eastAsia" w:ascii="宋体" w:hAnsi="宋体" w:eastAsia="宋体" w:cs="宋体"/>
          <w:b/>
          <w:bCs/>
          <w:color w:val="auto"/>
          <w:sz w:val="24"/>
          <w:highlight w:val="none"/>
        </w:rPr>
        <w:t>此表仅提供了表格形式，供应商可按此表格格式进行扩展</w:t>
      </w:r>
      <w:r>
        <w:rPr>
          <w:rFonts w:hint="eastAsia" w:ascii="宋体" w:hAnsi="宋体" w:eastAsia="宋体" w:cs="宋体"/>
          <w:b/>
          <w:bCs/>
          <w:color w:val="auto"/>
          <w:sz w:val="24"/>
          <w:szCs w:val="24"/>
          <w:highlight w:val="none"/>
        </w:rPr>
        <w:t>。</w:t>
      </w:r>
    </w:p>
    <w:p w14:paraId="3D764155">
      <w:pPr>
        <w:keepNext/>
        <w:keepLines/>
        <w:widowControl w:val="0"/>
        <w:numPr>
          <w:ilvl w:val="1"/>
          <w:numId w:val="0"/>
        </w:numPr>
        <w:adjustRightInd/>
        <w:snapToGrid/>
        <w:spacing w:before="156" w:beforeLines="50" w:after="156" w:afterLines="50" w:line="360" w:lineRule="auto"/>
        <w:jc w:val="both"/>
        <w:outlineLvl w:val="1"/>
        <w:rPr>
          <w:rFonts w:hint="eastAsia" w:ascii="宋体" w:hAnsi="宋体" w:eastAsia="宋体" w:cs="宋体"/>
          <w:b/>
          <w:color w:val="auto"/>
          <w:kern w:val="2"/>
          <w:sz w:val="24"/>
          <w:szCs w:val="24"/>
          <w:highlight w:val="none"/>
        </w:rPr>
      </w:pPr>
    </w:p>
    <w:p w14:paraId="70A7A434">
      <w:pPr>
        <w:rPr>
          <w:rFonts w:hint="eastAsia" w:ascii="宋体" w:hAnsi="宋体" w:eastAsia="宋体" w:cs="宋体"/>
          <w:color w:val="auto"/>
          <w:sz w:val="24"/>
          <w:szCs w:val="24"/>
          <w:highlight w:val="none"/>
        </w:rPr>
      </w:pPr>
    </w:p>
    <w:p w14:paraId="5210EA78">
      <w:pPr>
        <w:spacing w:line="480" w:lineRule="auto"/>
        <w:jc w:val="cente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供应商全称（盖章）：</w:t>
      </w:r>
      <w:r>
        <w:rPr>
          <w:rFonts w:hint="eastAsia" w:ascii="宋体" w:hAnsi="宋体" w:eastAsia="宋体" w:cs="宋体"/>
          <w:color w:val="auto"/>
          <w:sz w:val="24"/>
          <w:highlight w:val="none"/>
          <w:u w:val="single"/>
        </w:rPr>
        <w:t xml:space="preserve">             </w:t>
      </w:r>
    </w:p>
    <w:p w14:paraId="62E8D4BC">
      <w:pPr>
        <w:spacing w:line="48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eastAsia="zh-CN"/>
        </w:rPr>
        <w:t>法定代表人或委托代理人（签字或盖章）</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p>
    <w:p w14:paraId="76236DA8">
      <w:pPr>
        <w:ind w:firstLine="274"/>
        <w:jc w:val="both"/>
        <w:outlineLvl w:val="0"/>
        <w:rPr>
          <w:rFonts w:hint="eastAsia" w:ascii="宋体" w:hAnsi="宋体" w:eastAsia="宋体" w:cs="宋体"/>
          <w:b/>
          <w:color w:val="auto"/>
          <w:sz w:val="24"/>
          <w:highlight w:val="none"/>
        </w:rPr>
      </w:pPr>
      <w:r>
        <w:rPr>
          <w:rFonts w:hint="eastAsia" w:ascii="宋体" w:hAnsi="宋体" w:eastAsia="宋体" w:cs="宋体"/>
          <w:color w:val="auto"/>
          <w:sz w:val="24"/>
          <w:highlight w:val="none"/>
        </w:rPr>
        <w:t xml:space="preserve">                                           日期：   年   月   日</w:t>
      </w:r>
    </w:p>
    <w:p w14:paraId="4C12A0E2">
      <w:pPr>
        <w:spacing w:line="500" w:lineRule="exact"/>
        <w:jc w:val="left"/>
        <w:rPr>
          <w:rFonts w:hint="eastAsia" w:ascii="宋体" w:hAnsi="宋体" w:cs="宋体"/>
          <w:b/>
          <w:bCs/>
          <w:sz w:val="22"/>
          <w:szCs w:val="22"/>
        </w:rPr>
        <w:sectPr>
          <w:pgSz w:w="11906" w:h="16838"/>
          <w:pgMar w:top="1440" w:right="1080" w:bottom="1440" w:left="1080" w:header="851" w:footer="992" w:gutter="0"/>
          <w:cols w:space="720" w:num="1"/>
          <w:docGrid w:type="lines" w:linePitch="312" w:charSpace="0"/>
        </w:sectPr>
      </w:pPr>
    </w:p>
    <w:p w14:paraId="499AA174">
      <w:pPr>
        <w:spacing w:line="500" w:lineRule="exact"/>
        <w:jc w:val="left"/>
        <w:rPr>
          <w:rFonts w:hint="eastAsia" w:ascii="宋体" w:hAnsi="宋体" w:eastAsia="宋体" w:cs="宋体"/>
          <w:b/>
          <w:bCs/>
          <w:sz w:val="22"/>
          <w:szCs w:val="22"/>
          <w:lang w:eastAsia="zh-CN"/>
        </w:rPr>
      </w:pPr>
      <w:r>
        <w:rPr>
          <w:rFonts w:hint="eastAsia" w:ascii="宋体" w:hAnsi="宋体" w:cs="宋体"/>
          <w:b/>
          <w:bCs/>
          <w:sz w:val="22"/>
          <w:szCs w:val="22"/>
        </w:rPr>
        <w:t>附件</w:t>
      </w:r>
      <w:r>
        <w:rPr>
          <w:rFonts w:hint="eastAsia" w:ascii="宋体" w:hAnsi="宋体" w:cs="宋体"/>
          <w:b/>
          <w:bCs/>
          <w:sz w:val="22"/>
          <w:szCs w:val="22"/>
          <w:lang w:val="en-US" w:eastAsia="zh-CN"/>
        </w:rPr>
        <w:t>8</w:t>
      </w:r>
    </w:p>
    <w:p w14:paraId="0D243DBB">
      <w:pPr>
        <w:spacing w:line="460" w:lineRule="exact"/>
        <w:rPr>
          <w:rFonts w:hint="eastAsia" w:ascii="宋体" w:hAnsi="宋体" w:cs="宋体"/>
          <w:b/>
          <w:bCs/>
          <w:sz w:val="22"/>
          <w:szCs w:val="22"/>
        </w:rPr>
      </w:pPr>
    </w:p>
    <w:p w14:paraId="2A192C95">
      <w:pPr>
        <w:spacing w:line="460" w:lineRule="exact"/>
        <w:jc w:val="center"/>
        <w:rPr>
          <w:rFonts w:hint="eastAsia" w:ascii="宋体" w:hAnsi="宋体" w:cs="宋体"/>
          <w:b/>
          <w:bCs/>
          <w:kern w:val="0"/>
          <w:sz w:val="30"/>
          <w:szCs w:val="30"/>
        </w:rPr>
      </w:pPr>
      <w:r>
        <w:rPr>
          <w:rFonts w:hint="eastAsia" w:ascii="宋体" w:hAnsi="宋体" w:cs="宋体"/>
          <w:b/>
          <w:bCs/>
          <w:kern w:val="0"/>
          <w:sz w:val="30"/>
          <w:szCs w:val="30"/>
        </w:rPr>
        <w:t>偏离表</w:t>
      </w:r>
    </w:p>
    <w:p w14:paraId="4114FE15">
      <w:pPr>
        <w:spacing w:line="360" w:lineRule="auto"/>
        <w:ind w:firstLine="960" w:firstLineChars="400"/>
        <w:rPr>
          <w:rFonts w:hint="eastAsia" w:ascii="宋体" w:hAnsi="宋体" w:cs="宋体"/>
          <w:sz w:val="24"/>
          <w:szCs w:val="24"/>
        </w:rPr>
      </w:pPr>
      <w:r>
        <w:rPr>
          <w:rFonts w:hint="eastAsia" w:ascii="宋体" w:hAnsi="宋体" w:cs="宋体"/>
          <w:sz w:val="24"/>
          <w:szCs w:val="24"/>
        </w:rPr>
        <w:t>项目名称：</w:t>
      </w:r>
      <w:r>
        <w:rPr>
          <w:rFonts w:hint="eastAsia" w:ascii="宋体" w:hAnsi="宋体" w:cs="宋体"/>
          <w:sz w:val="24"/>
          <w:szCs w:val="24"/>
          <w:u w:val="single"/>
        </w:rPr>
        <w:t xml:space="preserve"> </w:t>
      </w:r>
      <w:r>
        <w:rPr>
          <w:rFonts w:hint="eastAsia" w:ascii="宋体" w:hAnsi="宋体" w:cs="宋体"/>
          <w:sz w:val="24"/>
          <w:szCs w:val="24"/>
          <w:u w:val="single"/>
          <w:lang w:eastAsia="zh-CN"/>
        </w:rPr>
        <w:t>常山县2025年度产品质量监督抽查服务采购项目</w:t>
      </w:r>
      <w:r>
        <w:rPr>
          <w:rFonts w:hint="eastAsia" w:ascii="宋体" w:hAnsi="宋体" w:cs="宋体"/>
          <w:sz w:val="24"/>
          <w:szCs w:val="24"/>
        </w:rPr>
        <w:t xml:space="preserve">                                  </w:t>
      </w:r>
    </w:p>
    <w:p w14:paraId="67C153C3">
      <w:pPr>
        <w:spacing w:line="360" w:lineRule="auto"/>
        <w:ind w:firstLine="960" w:firstLineChars="400"/>
        <w:rPr>
          <w:rFonts w:hint="eastAsia" w:ascii="宋体" w:hAnsi="宋体" w:cs="宋体"/>
          <w:sz w:val="24"/>
          <w:szCs w:val="24"/>
          <w:u w:val="single"/>
        </w:rPr>
      </w:pPr>
      <w:r>
        <w:rPr>
          <w:rFonts w:hint="eastAsia" w:ascii="宋体" w:hAnsi="宋体" w:cs="宋体"/>
          <w:sz w:val="24"/>
          <w:szCs w:val="24"/>
        </w:rPr>
        <w:t>项目编号：</w:t>
      </w:r>
      <w:r>
        <w:rPr>
          <w:rFonts w:hint="eastAsia" w:ascii="宋体" w:hAnsi="宋体" w:cs="宋体"/>
          <w:sz w:val="24"/>
          <w:szCs w:val="24"/>
          <w:u w:val="single"/>
        </w:rPr>
        <w:t xml:space="preserve"> </w:t>
      </w:r>
      <w:r>
        <w:rPr>
          <w:rFonts w:hint="eastAsia" w:ascii="宋体" w:hAnsi="宋体" w:cs="宋体"/>
          <w:spacing w:val="6"/>
          <w:sz w:val="24"/>
          <w:szCs w:val="24"/>
          <w:u w:val="single"/>
          <w:lang w:eastAsia="zh-CN"/>
        </w:rPr>
        <w:t>ZJCD-GK-2025003</w:t>
      </w:r>
      <w:r>
        <w:rPr>
          <w:rFonts w:hint="eastAsia" w:ascii="宋体" w:hAnsi="宋体" w:cs="宋体"/>
          <w:sz w:val="24"/>
          <w:szCs w:val="24"/>
          <w:u w:val="single"/>
        </w:rPr>
        <w:t xml:space="preserve">       </w:t>
      </w:r>
    </w:p>
    <w:tbl>
      <w:tblPr>
        <w:tblStyle w:val="22"/>
        <w:tblW w:w="10151" w:type="dxa"/>
        <w:tblInd w:w="-2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99"/>
        <w:gridCol w:w="1455"/>
        <w:gridCol w:w="2235"/>
        <w:gridCol w:w="2208"/>
        <w:gridCol w:w="1527"/>
        <w:gridCol w:w="1527"/>
      </w:tblGrid>
      <w:tr w14:paraId="2408C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96" w:hRule="atLeast"/>
        </w:trPr>
        <w:tc>
          <w:tcPr>
            <w:tcW w:w="1199" w:type="dxa"/>
            <w:tcBorders>
              <w:top w:val="single" w:color="auto" w:sz="4" w:space="0"/>
              <w:left w:val="single" w:color="auto" w:sz="4" w:space="0"/>
              <w:bottom w:val="single" w:color="auto" w:sz="4" w:space="0"/>
              <w:right w:val="single" w:color="auto" w:sz="4" w:space="0"/>
            </w:tcBorders>
            <w:noWrap w:val="0"/>
            <w:vAlign w:val="center"/>
          </w:tcPr>
          <w:p w14:paraId="0A9B28E8">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序号</w:t>
            </w:r>
          </w:p>
        </w:tc>
        <w:tc>
          <w:tcPr>
            <w:tcW w:w="1455" w:type="dxa"/>
            <w:tcBorders>
              <w:top w:val="single" w:color="auto" w:sz="4" w:space="0"/>
              <w:left w:val="single" w:color="auto" w:sz="4" w:space="0"/>
              <w:bottom w:val="single" w:color="auto" w:sz="4" w:space="0"/>
              <w:right w:val="single" w:color="auto" w:sz="4" w:space="0"/>
            </w:tcBorders>
            <w:noWrap w:val="0"/>
            <w:vAlign w:val="center"/>
          </w:tcPr>
          <w:p w14:paraId="00D55504">
            <w:pPr>
              <w:spacing w:line="360" w:lineRule="auto"/>
              <w:jc w:val="center"/>
              <w:rPr>
                <w:rFonts w:hint="eastAsia" w:ascii="宋体" w:hAnsi="宋体" w:eastAsia="宋体" w:cs="宋体"/>
                <w:sz w:val="24"/>
                <w:szCs w:val="24"/>
              </w:rPr>
            </w:pPr>
            <w:r>
              <w:rPr>
                <w:rFonts w:hint="eastAsia" w:ascii="宋体" w:hAnsi="宋体" w:eastAsia="宋体" w:cs="宋体"/>
                <w:sz w:val="24"/>
                <w:szCs w:val="24"/>
              </w:rPr>
              <w:t>类别</w:t>
            </w:r>
          </w:p>
        </w:tc>
        <w:tc>
          <w:tcPr>
            <w:tcW w:w="2235" w:type="dxa"/>
            <w:tcBorders>
              <w:top w:val="single" w:color="auto" w:sz="4" w:space="0"/>
              <w:left w:val="single" w:color="auto" w:sz="4" w:space="0"/>
              <w:bottom w:val="single" w:color="auto" w:sz="4" w:space="0"/>
              <w:right w:val="single" w:color="auto" w:sz="4" w:space="0"/>
            </w:tcBorders>
            <w:noWrap w:val="0"/>
            <w:vAlign w:val="center"/>
          </w:tcPr>
          <w:p w14:paraId="642807F2">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招标要求</w:t>
            </w:r>
          </w:p>
        </w:tc>
        <w:tc>
          <w:tcPr>
            <w:tcW w:w="2208" w:type="dxa"/>
            <w:tcBorders>
              <w:top w:val="single" w:color="auto" w:sz="4" w:space="0"/>
              <w:left w:val="single" w:color="auto" w:sz="4" w:space="0"/>
              <w:bottom w:val="single" w:color="auto" w:sz="4" w:space="0"/>
              <w:right w:val="single" w:color="auto" w:sz="4" w:space="0"/>
            </w:tcBorders>
            <w:noWrap w:val="0"/>
            <w:vAlign w:val="center"/>
          </w:tcPr>
          <w:p w14:paraId="33A1AD26">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投标响应</w:t>
            </w:r>
          </w:p>
        </w:tc>
        <w:tc>
          <w:tcPr>
            <w:tcW w:w="1527" w:type="dxa"/>
            <w:tcBorders>
              <w:top w:val="single" w:color="auto" w:sz="4" w:space="0"/>
              <w:left w:val="single" w:color="auto" w:sz="4" w:space="0"/>
              <w:bottom w:val="single" w:color="auto" w:sz="4" w:space="0"/>
              <w:right w:val="single" w:color="auto" w:sz="4" w:space="0"/>
            </w:tcBorders>
            <w:noWrap w:val="0"/>
            <w:vAlign w:val="center"/>
          </w:tcPr>
          <w:p w14:paraId="51E8F0D3">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是否偏离</w:t>
            </w:r>
          </w:p>
        </w:tc>
        <w:tc>
          <w:tcPr>
            <w:tcW w:w="1527" w:type="dxa"/>
            <w:tcBorders>
              <w:top w:val="single" w:color="auto" w:sz="4" w:space="0"/>
              <w:left w:val="single" w:color="auto" w:sz="4" w:space="0"/>
              <w:bottom w:val="single" w:color="auto" w:sz="4" w:space="0"/>
              <w:right w:val="single" w:color="auto" w:sz="4" w:space="0"/>
            </w:tcBorders>
            <w:noWrap w:val="0"/>
            <w:vAlign w:val="center"/>
          </w:tcPr>
          <w:p w14:paraId="6652B73C">
            <w:pPr>
              <w:spacing w:line="360" w:lineRule="auto"/>
              <w:jc w:val="center"/>
              <w:rPr>
                <w:rFonts w:hint="eastAsia" w:ascii="宋体" w:hAnsi="宋体" w:eastAsia="宋体" w:cs="宋体"/>
                <w:sz w:val="24"/>
                <w:szCs w:val="24"/>
              </w:rPr>
            </w:pPr>
            <w:r>
              <w:rPr>
                <w:rFonts w:hint="eastAsia" w:ascii="宋体" w:hAnsi="宋体" w:eastAsia="宋体" w:cs="宋体"/>
                <w:sz w:val="24"/>
                <w:szCs w:val="24"/>
              </w:rPr>
              <w:t>说明</w:t>
            </w:r>
          </w:p>
        </w:tc>
      </w:tr>
      <w:tr w14:paraId="46717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1199" w:type="dxa"/>
            <w:tcBorders>
              <w:top w:val="single" w:color="auto" w:sz="4" w:space="0"/>
              <w:left w:val="single" w:color="auto" w:sz="4" w:space="0"/>
              <w:bottom w:val="single" w:color="auto" w:sz="4" w:space="0"/>
              <w:right w:val="single" w:color="auto" w:sz="4" w:space="0"/>
            </w:tcBorders>
            <w:noWrap w:val="0"/>
            <w:vAlign w:val="center"/>
          </w:tcPr>
          <w:p w14:paraId="6546B323">
            <w:pPr>
              <w:spacing w:line="360" w:lineRule="auto"/>
              <w:ind w:firstLine="960" w:firstLineChars="400"/>
              <w:rPr>
                <w:rFonts w:hint="eastAsia" w:ascii="宋体" w:hAnsi="宋体" w:eastAsia="宋体" w:cs="宋体"/>
                <w:sz w:val="24"/>
                <w:szCs w:val="24"/>
              </w:rPr>
            </w:pPr>
          </w:p>
        </w:tc>
        <w:tc>
          <w:tcPr>
            <w:tcW w:w="1455" w:type="dxa"/>
            <w:vMerge w:val="restart"/>
            <w:tcBorders>
              <w:top w:val="single" w:color="auto" w:sz="4" w:space="0"/>
              <w:left w:val="single" w:color="auto" w:sz="4" w:space="0"/>
              <w:right w:val="single" w:color="auto" w:sz="4" w:space="0"/>
            </w:tcBorders>
            <w:noWrap w:val="0"/>
            <w:vAlign w:val="center"/>
          </w:tcPr>
          <w:p w14:paraId="5BCBA43C">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商务偏离</w:t>
            </w:r>
          </w:p>
        </w:tc>
        <w:tc>
          <w:tcPr>
            <w:tcW w:w="2235" w:type="dxa"/>
            <w:tcBorders>
              <w:top w:val="single" w:color="auto" w:sz="4" w:space="0"/>
              <w:left w:val="single" w:color="auto" w:sz="4" w:space="0"/>
              <w:bottom w:val="single" w:color="auto" w:sz="4" w:space="0"/>
              <w:right w:val="single" w:color="auto" w:sz="4" w:space="0"/>
            </w:tcBorders>
            <w:noWrap w:val="0"/>
            <w:vAlign w:val="top"/>
          </w:tcPr>
          <w:p w14:paraId="2B9A78B2">
            <w:pPr>
              <w:spacing w:line="360" w:lineRule="auto"/>
              <w:ind w:firstLine="960" w:firstLineChars="400"/>
              <w:rPr>
                <w:rFonts w:hint="eastAsia" w:ascii="宋体" w:hAnsi="宋体" w:eastAsia="宋体" w:cs="宋体"/>
                <w:sz w:val="24"/>
                <w:szCs w:val="24"/>
              </w:rPr>
            </w:pPr>
          </w:p>
        </w:tc>
        <w:tc>
          <w:tcPr>
            <w:tcW w:w="2208" w:type="dxa"/>
            <w:tcBorders>
              <w:top w:val="single" w:color="auto" w:sz="4" w:space="0"/>
              <w:left w:val="single" w:color="auto" w:sz="4" w:space="0"/>
              <w:bottom w:val="single" w:color="auto" w:sz="4" w:space="0"/>
              <w:right w:val="single" w:color="auto" w:sz="4" w:space="0"/>
            </w:tcBorders>
            <w:noWrap w:val="0"/>
            <w:vAlign w:val="top"/>
          </w:tcPr>
          <w:p w14:paraId="22B9EB79">
            <w:pPr>
              <w:spacing w:line="360" w:lineRule="auto"/>
              <w:ind w:firstLine="960" w:firstLineChars="400"/>
              <w:rPr>
                <w:rFonts w:hint="eastAsia" w:ascii="宋体" w:hAnsi="宋体" w:eastAsia="宋体" w:cs="宋体"/>
                <w:sz w:val="24"/>
                <w:szCs w:val="24"/>
              </w:rPr>
            </w:pPr>
          </w:p>
        </w:tc>
        <w:tc>
          <w:tcPr>
            <w:tcW w:w="1527" w:type="dxa"/>
            <w:tcBorders>
              <w:top w:val="single" w:color="auto" w:sz="4" w:space="0"/>
              <w:left w:val="single" w:color="auto" w:sz="4" w:space="0"/>
              <w:bottom w:val="single" w:color="auto" w:sz="4" w:space="0"/>
              <w:right w:val="single" w:color="auto" w:sz="4" w:space="0"/>
            </w:tcBorders>
            <w:noWrap w:val="0"/>
            <w:vAlign w:val="top"/>
          </w:tcPr>
          <w:p w14:paraId="5716BE39">
            <w:pPr>
              <w:spacing w:line="360" w:lineRule="auto"/>
              <w:ind w:firstLine="960" w:firstLineChars="400"/>
              <w:rPr>
                <w:rFonts w:hint="eastAsia" w:ascii="宋体" w:hAnsi="宋体" w:eastAsia="宋体" w:cs="宋体"/>
                <w:sz w:val="24"/>
                <w:szCs w:val="24"/>
              </w:rPr>
            </w:pPr>
          </w:p>
        </w:tc>
        <w:tc>
          <w:tcPr>
            <w:tcW w:w="1527" w:type="dxa"/>
            <w:tcBorders>
              <w:top w:val="single" w:color="auto" w:sz="4" w:space="0"/>
              <w:left w:val="single" w:color="auto" w:sz="4" w:space="0"/>
              <w:bottom w:val="single" w:color="auto" w:sz="4" w:space="0"/>
              <w:right w:val="single" w:color="auto" w:sz="4" w:space="0"/>
            </w:tcBorders>
            <w:noWrap w:val="0"/>
            <w:vAlign w:val="top"/>
          </w:tcPr>
          <w:p w14:paraId="173424E3">
            <w:pPr>
              <w:spacing w:line="360" w:lineRule="auto"/>
              <w:ind w:firstLine="960" w:firstLineChars="400"/>
              <w:rPr>
                <w:rFonts w:hint="eastAsia" w:ascii="宋体" w:hAnsi="宋体" w:eastAsia="宋体" w:cs="宋体"/>
                <w:sz w:val="24"/>
                <w:szCs w:val="24"/>
              </w:rPr>
            </w:pPr>
          </w:p>
        </w:tc>
      </w:tr>
      <w:tr w14:paraId="16DCD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1199" w:type="dxa"/>
            <w:tcBorders>
              <w:top w:val="single" w:color="auto" w:sz="4" w:space="0"/>
              <w:left w:val="single" w:color="auto" w:sz="4" w:space="0"/>
              <w:bottom w:val="single" w:color="auto" w:sz="4" w:space="0"/>
              <w:right w:val="single" w:color="auto" w:sz="4" w:space="0"/>
            </w:tcBorders>
            <w:noWrap w:val="0"/>
            <w:vAlign w:val="center"/>
          </w:tcPr>
          <w:p w14:paraId="325E2001">
            <w:pPr>
              <w:spacing w:line="360" w:lineRule="auto"/>
              <w:ind w:firstLine="960" w:firstLineChars="400"/>
              <w:rPr>
                <w:rFonts w:hint="eastAsia" w:ascii="宋体" w:hAnsi="宋体" w:eastAsia="宋体" w:cs="宋体"/>
                <w:sz w:val="24"/>
                <w:szCs w:val="24"/>
              </w:rPr>
            </w:pPr>
          </w:p>
        </w:tc>
        <w:tc>
          <w:tcPr>
            <w:tcW w:w="1455" w:type="dxa"/>
            <w:vMerge w:val="continue"/>
            <w:tcBorders>
              <w:left w:val="single" w:color="auto" w:sz="4" w:space="0"/>
              <w:right w:val="single" w:color="auto" w:sz="4" w:space="0"/>
            </w:tcBorders>
            <w:noWrap w:val="0"/>
            <w:vAlign w:val="center"/>
          </w:tcPr>
          <w:p w14:paraId="38699CE0">
            <w:pPr>
              <w:spacing w:line="360" w:lineRule="auto"/>
              <w:ind w:firstLine="960" w:firstLineChars="400"/>
              <w:jc w:val="both"/>
              <w:rPr>
                <w:rFonts w:hint="eastAsia" w:ascii="宋体" w:hAnsi="宋体" w:eastAsia="宋体" w:cs="宋体"/>
                <w:sz w:val="24"/>
                <w:szCs w:val="24"/>
              </w:rPr>
            </w:pPr>
          </w:p>
        </w:tc>
        <w:tc>
          <w:tcPr>
            <w:tcW w:w="2235" w:type="dxa"/>
            <w:tcBorders>
              <w:top w:val="single" w:color="auto" w:sz="4" w:space="0"/>
              <w:left w:val="single" w:color="auto" w:sz="4" w:space="0"/>
              <w:bottom w:val="single" w:color="auto" w:sz="4" w:space="0"/>
              <w:right w:val="single" w:color="auto" w:sz="4" w:space="0"/>
            </w:tcBorders>
            <w:noWrap w:val="0"/>
            <w:vAlign w:val="top"/>
          </w:tcPr>
          <w:p w14:paraId="1A7A8D58">
            <w:pPr>
              <w:spacing w:line="360" w:lineRule="auto"/>
              <w:ind w:firstLine="960" w:firstLineChars="400"/>
              <w:rPr>
                <w:rFonts w:hint="eastAsia" w:ascii="宋体" w:hAnsi="宋体" w:eastAsia="宋体" w:cs="宋体"/>
                <w:sz w:val="24"/>
                <w:szCs w:val="24"/>
              </w:rPr>
            </w:pPr>
          </w:p>
        </w:tc>
        <w:tc>
          <w:tcPr>
            <w:tcW w:w="2208" w:type="dxa"/>
            <w:tcBorders>
              <w:top w:val="single" w:color="auto" w:sz="4" w:space="0"/>
              <w:left w:val="single" w:color="auto" w:sz="4" w:space="0"/>
              <w:bottom w:val="single" w:color="auto" w:sz="4" w:space="0"/>
              <w:right w:val="single" w:color="auto" w:sz="4" w:space="0"/>
            </w:tcBorders>
            <w:noWrap w:val="0"/>
            <w:vAlign w:val="top"/>
          </w:tcPr>
          <w:p w14:paraId="1FD0A0CC">
            <w:pPr>
              <w:spacing w:line="360" w:lineRule="auto"/>
              <w:ind w:firstLine="960" w:firstLineChars="400"/>
              <w:rPr>
                <w:rFonts w:hint="eastAsia" w:ascii="宋体" w:hAnsi="宋体" w:eastAsia="宋体" w:cs="宋体"/>
                <w:sz w:val="24"/>
                <w:szCs w:val="24"/>
              </w:rPr>
            </w:pPr>
          </w:p>
        </w:tc>
        <w:tc>
          <w:tcPr>
            <w:tcW w:w="1527" w:type="dxa"/>
            <w:tcBorders>
              <w:top w:val="single" w:color="auto" w:sz="4" w:space="0"/>
              <w:left w:val="single" w:color="auto" w:sz="4" w:space="0"/>
              <w:bottom w:val="single" w:color="auto" w:sz="4" w:space="0"/>
              <w:right w:val="single" w:color="auto" w:sz="4" w:space="0"/>
            </w:tcBorders>
            <w:noWrap w:val="0"/>
            <w:vAlign w:val="top"/>
          </w:tcPr>
          <w:p w14:paraId="7AC6A797">
            <w:pPr>
              <w:spacing w:line="360" w:lineRule="auto"/>
              <w:ind w:firstLine="960" w:firstLineChars="400"/>
              <w:rPr>
                <w:rFonts w:hint="eastAsia" w:ascii="宋体" w:hAnsi="宋体" w:eastAsia="宋体" w:cs="宋体"/>
                <w:sz w:val="24"/>
                <w:szCs w:val="24"/>
              </w:rPr>
            </w:pPr>
          </w:p>
        </w:tc>
        <w:tc>
          <w:tcPr>
            <w:tcW w:w="1527" w:type="dxa"/>
            <w:tcBorders>
              <w:top w:val="single" w:color="auto" w:sz="4" w:space="0"/>
              <w:left w:val="single" w:color="auto" w:sz="4" w:space="0"/>
              <w:bottom w:val="single" w:color="auto" w:sz="4" w:space="0"/>
              <w:right w:val="single" w:color="auto" w:sz="4" w:space="0"/>
            </w:tcBorders>
            <w:noWrap w:val="0"/>
            <w:vAlign w:val="top"/>
          </w:tcPr>
          <w:p w14:paraId="46B9855B">
            <w:pPr>
              <w:spacing w:line="360" w:lineRule="auto"/>
              <w:ind w:firstLine="960" w:firstLineChars="400"/>
              <w:rPr>
                <w:rFonts w:hint="eastAsia" w:ascii="宋体" w:hAnsi="宋体" w:eastAsia="宋体" w:cs="宋体"/>
                <w:sz w:val="24"/>
                <w:szCs w:val="24"/>
              </w:rPr>
            </w:pPr>
          </w:p>
        </w:tc>
      </w:tr>
      <w:tr w14:paraId="405C6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1199" w:type="dxa"/>
            <w:tcBorders>
              <w:top w:val="single" w:color="auto" w:sz="4" w:space="0"/>
              <w:left w:val="single" w:color="auto" w:sz="4" w:space="0"/>
              <w:bottom w:val="single" w:color="auto" w:sz="4" w:space="0"/>
              <w:right w:val="single" w:color="auto" w:sz="4" w:space="0"/>
            </w:tcBorders>
            <w:noWrap w:val="0"/>
            <w:vAlign w:val="center"/>
          </w:tcPr>
          <w:p w14:paraId="07558E57">
            <w:pPr>
              <w:spacing w:line="360" w:lineRule="auto"/>
              <w:ind w:firstLine="960" w:firstLineChars="400"/>
              <w:rPr>
                <w:rFonts w:hint="eastAsia" w:ascii="宋体" w:hAnsi="宋体" w:eastAsia="宋体" w:cs="宋体"/>
                <w:sz w:val="24"/>
                <w:szCs w:val="24"/>
              </w:rPr>
            </w:pPr>
          </w:p>
        </w:tc>
        <w:tc>
          <w:tcPr>
            <w:tcW w:w="1455" w:type="dxa"/>
            <w:vMerge w:val="continue"/>
            <w:tcBorders>
              <w:left w:val="single" w:color="auto" w:sz="4" w:space="0"/>
              <w:bottom w:val="single" w:color="auto" w:sz="4" w:space="0"/>
              <w:right w:val="single" w:color="auto" w:sz="4" w:space="0"/>
            </w:tcBorders>
            <w:noWrap w:val="0"/>
            <w:vAlign w:val="center"/>
          </w:tcPr>
          <w:p w14:paraId="02DAFA80">
            <w:pPr>
              <w:spacing w:line="360" w:lineRule="auto"/>
              <w:ind w:firstLine="960" w:firstLineChars="400"/>
              <w:jc w:val="both"/>
              <w:rPr>
                <w:rFonts w:hint="eastAsia" w:ascii="宋体" w:hAnsi="宋体" w:eastAsia="宋体" w:cs="宋体"/>
                <w:sz w:val="24"/>
                <w:szCs w:val="24"/>
              </w:rPr>
            </w:pPr>
          </w:p>
        </w:tc>
        <w:tc>
          <w:tcPr>
            <w:tcW w:w="2235" w:type="dxa"/>
            <w:tcBorders>
              <w:top w:val="single" w:color="auto" w:sz="4" w:space="0"/>
              <w:left w:val="single" w:color="auto" w:sz="4" w:space="0"/>
              <w:bottom w:val="single" w:color="auto" w:sz="4" w:space="0"/>
              <w:right w:val="single" w:color="auto" w:sz="4" w:space="0"/>
            </w:tcBorders>
            <w:noWrap w:val="0"/>
            <w:vAlign w:val="top"/>
          </w:tcPr>
          <w:p w14:paraId="79D7F7DE">
            <w:pPr>
              <w:spacing w:line="360" w:lineRule="auto"/>
              <w:ind w:firstLine="960" w:firstLineChars="400"/>
              <w:rPr>
                <w:rFonts w:hint="eastAsia" w:ascii="宋体" w:hAnsi="宋体" w:eastAsia="宋体" w:cs="宋体"/>
                <w:sz w:val="24"/>
                <w:szCs w:val="24"/>
              </w:rPr>
            </w:pPr>
          </w:p>
        </w:tc>
        <w:tc>
          <w:tcPr>
            <w:tcW w:w="2208" w:type="dxa"/>
            <w:tcBorders>
              <w:top w:val="single" w:color="auto" w:sz="4" w:space="0"/>
              <w:left w:val="single" w:color="auto" w:sz="4" w:space="0"/>
              <w:bottom w:val="single" w:color="auto" w:sz="4" w:space="0"/>
              <w:right w:val="single" w:color="auto" w:sz="4" w:space="0"/>
            </w:tcBorders>
            <w:noWrap w:val="0"/>
            <w:vAlign w:val="top"/>
          </w:tcPr>
          <w:p w14:paraId="2C870DE6">
            <w:pPr>
              <w:spacing w:line="360" w:lineRule="auto"/>
              <w:ind w:firstLine="960" w:firstLineChars="400"/>
              <w:rPr>
                <w:rFonts w:hint="eastAsia" w:ascii="宋体" w:hAnsi="宋体" w:eastAsia="宋体" w:cs="宋体"/>
                <w:sz w:val="24"/>
                <w:szCs w:val="24"/>
              </w:rPr>
            </w:pPr>
          </w:p>
        </w:tc>
        <w:tc>
          <w:tcPr>
            <w:tcW w:w="1527" w:type="dxa"/>
            <w:tcBorders>
              <w:top w:val="single" w:color="auto" w:sz="4" w:space="0"/>
              <w:left w:val="single" w:color="auto" w:sz="4" w:space="0"/>
              <w:bottom w:val="single" w:color="auto" w:sz="4" w:space="0"/>
              <w:right w:val="single" w:color="auto" w:sz="4" w:space="0"/>
            </w:tcBorders>
            <w:noWrap w:val="0"/>
            <w:vAlign w:val="top"/>
          </w:tcPr>
          <w:p w14:paraId="0BC7D796">
            <w:pPr>
              <w:spacing w:line="360" w:lineRule="auto"/>
              <w:ind w:firstLine="960" w:firstLineChars="400"/>
              <w:rPr>
                <w:rFonts w:hint="eastAsia" w:ascii="宋体" w:hAnsi="宋体" w:eastAsia="宋体" w:cs="宋体"/>
                <w:sz w:val="24"/>
                <w:szCs w:val="24"/>
              </w:rPr>
            </w:pPr>
          </w:p>
        </w:tc>
        <w:tc>
          <w:tcPr>
            <w:tcW w:w="1527" w:type="dxa"/>
            <w:tcBorders>
              <w:top w:val="single" w:color="auto" w:sz="4" w:space="0"/>
              <w:left w:val="single" w:color="auto" w:sz="4" w:space="0"/>
              <w:bottom w:val="single" w:color="auto" w:sz="4" w:space="0"/>
              <w:right w:val="single" w:color="auto" w:sz="4" w:space="0"/>
            </w:tcBorders>
            <w:noWrap w:val="0"/>
            <w:vAlign w:val="top"/>
          </w:tcPr>
          <w:p w14:paraId="22B0A28E">
            <w:pPr>
              <w:spacing w:line="360" w:lineRule="auto"/>
              <w:ind w:firstLine="960" w:firstLineChars="400"/>
              <w:rPr>
                <w:rFonts w:hint="eastAsia" w:ascii="宋体" w:hAnsi="宋体" w:eastAsia="宋体" w:cs="宋体"/>
                <w:sz w:val="24"/>
                <w:szCs w:val="24"/>
              </w:rPr>
            </w:pPr>
          </w:p>
        </w:tc>
      </w:tr>
      <w:tr w14:paraId="40DC0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1199" w:type="dxa"/>
            <w:tcBorders>
              <w:top w:val="single" w:color="auto" w:sz="4" w:space="0"/>
              <w:left w:val="single" w:color="auto" w:sz="4" w:space="0"/>
              <w:bottom w:val="single" w:color="auto" w:sz="4" w:space="0"/>
              <w:right w:val="single" w:color="auto" w:sz="4" w:space="0"/>
            </w:tcBorders>
            <w:noWrap w:val="0"/>
            <w:vAlign w:val="center"/>
          </w:tcPr>
          <w:p w14:paraId="764293E1">
            <w:pPr>
              <w:spacing w:line="360" w:lineRule="auto"/>
              <w:ind w:firstLine="960" w:firstLineChars="400"/>
              <w:rPr>
                <w:rFonts w:hint="eastAsia" w:ascii="宋体" w:hAnsi="宋体" w:eastAsia="宋体" w:cs="宋体"/>
                <w:sz w:val="24"/>
                <w:szCs w:val="24"/>
              </w:rPr>
            </w:pPr>
          </w:p>
        </w:tc>
        <w:tc>
          <w:tcPr>
            <w:tcW w:w="1455" w:type="dxa"/>
            <w:vMerge w:val="restart"/>
            <w:tcBorders>
              <w:top w:val="single" w:color="auto" w:sz="4" w:space="0"/>
              <w:left w:val="single" w:color="auto" w:sz="4" w:space="0"/>
              <w:right w:val="single" w:color="auto" w:sz="4" w:space="0"/>
            </w:tcBorders>
            <w:noWrap w:val="0"/>
            <w:vAlign w:val="center"/>
          </w:tcPr>
          <w:p w14:paraId="0631EA3B">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技术偏离</w:t>
            </w:r>
          </w:p>
        </w:tc>
        <w:tc>
          <w:tcPr>
            <w:tcW w:w="2235" w:type="dxa"/>
            <w:tcBorders>
              <w:top w:val="single" w:color="auto" w:sz="4" w:space="0"/>
              <w:left w:val="single" w:color="auto" w:sz="4" w:space="0"/>
              <w:bottom w:val="single" w:color="auto" w:sz="4" w:space="0"/>
              <w:right w:val="single" w:color="auto" w:sz="4" w:space="0"/>
            </w:tcBorders>
            <w:noWrap w:val="0"/>
            <w:vAlign w:val="top"/>
          </w:tcPr>
          <w:p w14:paraId="60185C8A">
            <w:pPr>
              <w:spacing w:line="360" w:lineRule="auto"/>
              <w:ind w:firstLine="960" w:firstLineChars="400"/>
              <w:rPr>
                <w:rFonts w:hint="eastAsia" w:ascii="宋体" w:hAnsi="宋体" w:eastAsia="宋体" w:cs="宋体"/>
                <w:sz w:val="24"/>
                <w:szCs w:val="24"/>
              </w:rPr>
            </w:pPr>
          </w:p>
        </w:tc>
        <w:tc>
          <w:tcPr>
            <w:tcW w:w="2208" w:type="dxa"/>
            <w:tcBorders>
              <w:top w:val="single" w:color="auto" w:sz="4" w:space="0"/>
              <w:left w:val="single" w:color="auto" w:sz="4" w:space="0"/>
              <w:bottom w:val="single" w:color="auto" w:sz="4" w:space="0"/>
              <w:right w:val="single" w:color="auto" w:sz="4" w:space="0"/>
            </w:tcBorders>
            <w:noWrap w:val="0"/>
            <w:vAlign w:val="top"/>
          </w:tcPr>
          <w:p w14:paraId="78B0C62B">
            <w:pPr>
              <w:spacing w:line="360" w:lineRule="auto"/>
              <w:ind w:firstLine="960" w:firstLineChars="400"/>
              <w:rPr>
                <w:rFonts w:hint="eastAsia" w:ascii="宋体" w:hAnsi="宋体" w:eastAsia="宋体" w:cs="宋体"/>
                <w:sz w:val="24"/>
                <w:szCs w:val="24"/>
              </w:rPr>
            </w:pPr>
          </w:p>
        </w:tc>
        <w:tc>
          <w:tcPr>
            <w:tcW w:w="1527" w:type="dxa"/>
            <w:tcBorders>
              <w:top w:val="single" w:color="auto" w:sz="4" w:space="0"/>
              <w:left w:val="single" w:color="auto" w:sz="4" w:space="0"/>
              <w:bottom w:val="single" w:color="auto" w:sz="4" w:space="0"/>
              <w:right w:val="single" w:color="auto" w:sz="4" w:space="0"/>
            </w:tcBorders>
            <w:noWrap w:val="0"/>
            <w:vAlign w:val="top"/>
          </w:tcPr>
          <w:p w14:paraId="0B69ABEC">
            <w:pPr>
              <w:spacing w:line="360" w:lineRule="auto"/>
              <w:ind w:firstLine="960" w:firstLineChars="400"/>
              <w:rPr>
                <w:rFonts w:hint="eastAsia" w:ascii="宋体" w:hAnsi="宋体" w:eastAsia="宋体" w:cs="宋体"/>
                <w:sz w:val="24"/>
                <w:szCs w:val="24"/>
              </w:rPr>
            </w:pPr>
          </w:p>
        </w:tc>
        <w:tc>
          <w:tcPr>
            <w:tcW w:w="1527" w:type="dxa"/>
            <w:tcBorders>
              <w:top w:val="single" w:color="auto" w:sz="4" w:space="0"/>
              <w:left w:val="single" w:color="auto" w:sz="4" w:space="0"/>
              <w:bottom w:val="single" w:color="auto" w:sz="4" w:space="0"/>
              <w:right w:val="single" w:color="auto" w:sz="4" w:space="0"/>
            </w:tcBorders>
            <w:noWrap w:val="0"/>
            <w:vAlign w:val="top"/>
          </w:tcPr>
          <w:p w14:paraId="7BF61E55">
            <w:pPr>
              <w:spacing w:line="360" w:lineRule="auto"/>
              <w:ind w:firstLine="960" w:firstLineChars="400"/>
              <w:rPr>
                <w:rFonts w:hint="eastAsia" w:ascii="宋体" w:hAnsi="宋体" w:eastAsia="宋体" w:cs="宋体"/>
                <w:sz w:val="24"/>
                <w:szCs w:val="24"/>
              </w:rPr>
            </w:pPr>
          </w:p>
        </w:tc>
      </w:tr>
      <w:tr w14:paraId="3D15C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1199" w:type="dxa"/>
            <w:tcBorders>
              <w:top w:val="single" w:color="auto" w:sz="4" w:space="0"/>
              <w:left w:val="single" w:color="auto" w:sz="4" w:space="0"/>
              <w:bottom w:val="single" w:color="auto" w:sz="4" w:space="0"/>
              <w:right w:val="single" w:color="auto" w:sz="4" w:space="0"/>
            </w:tcBorders>
            <w:noWrap w:val="0"/>
            <w:vAlign w:val="center"/>
          </w:tcPr>
          <w:p w14:paraId="31F80E3F">
            <w:pPr>
              <w:spacing w:line="360" w:lineRule="auto"/>
              <w:ind w:firstLine="960" w:firstLineChars="400"/>
              <w:rPr>
                <w:rFonts w:hint="eastAsia" w:ascii="宋体" w:hAnsi="宋体" w:eastAsia="宋体" w:cs="宋体"/>
                <w:sz w:val="24"/>
                <w:szCs w:val="24"/>
              </w:rPr>
            </w:pPr>
          </w:p>
        </w:tc>
        <w:tc>
          <w:tcPr>
            <w:tcW w:w="1455" w:type="dxa"/>
            <w:vMerge w:val="continue"/>
            <w:tcBorders>
              <w:left w:val="single" w:color="auto" w:sz="4" w:space="0"/>
              <w:right w:val="single" w:color="auto" w:sz="4" w:space="0"/>
            </w:tcBorders>
            <w:noWrap w:val="0"/>
            <w:vAlign w:val="top"/>
          </w:tcPr>
          <w:p w14:paraId="64533623">
            <w:pPr>
              <w:spacing w:line="360" w:lineRule="auto"/>
              <w:ind w:firstLine="960" w:firstLineChars="400"/>
              <w:rPr>
                <w:rFonts w:hint="eastAsia" w:ascii="宋体" w:hAnsi="宋体" w:eastAsia="宋体" w:cs="宋体"/>
                <w:sz w:val="24"/>
                <w:szCs w:val="24"/>
              </w:rPr>
            </w:pPr>
          </w:p>
        </w:tc>
        <w:tc>
          <w:tcPr>
            <w:tcW w:w="2235" w:type="dxa"/>
            <w:tcBorders>
              <w:top w:val="single" w:color="auto" w:sz="4" w:space="0"/>
              <w:left w:val="single" w:color="auto" w:sz="4" w:space="0"/>
              <w:bottom w:val="single" w:color="auto" w:sz="4" w:space="0"/>
              <w:right w:val="single" w:color="auto" w:sz="4" w:space="0"/>
            </w:tcBorders>
            <w:noWrap w:val="0"/>
            <w:vAlign w:val="top"/>
          </w:tcPr>
          <w:p w14:paraId="7040187E">
            <w:pPr>
              <w:spacing w:line="360" w:lineRule="auto"/>
              <w:ind w:firstLine="960" w:firstLineChars="400"/>
              <w:rPr>
                <w:rFonts w:hint="eastAsia" w:ascii="宋体" w:hAnsi="宋体" w:eastAsia="宋体" w:cs="宋体"/>
                <w:sz w:val="24"/>
                <w:szCs w:val="24"/>
              </w:rPr>
            </w:pPr>
          </w:p>
        </w:tc>
        <w:tc>
          <w:tcPr>
            <w:tcW w:w="2208" w:type="dxa"/>
            <w:tcBorders>
              <w:top w:val="single" w:color="auto" w:sz="4" w:space="0"/>
              <w:left w:val="single" w:color="auto" w:sz="4" w:space="0"/>
              <w:bottom w:val="single" w:color="auto" w:sz="4" w:space="0"/>
              <w:right w:val="single" w:color="auto" w:sz="4" w:space="0"/>
            </w:tcBorders>
            <w:noWrap w:val="0"/>
            <w:vAlign w:val="top"/>
          </w:tcPr>
          <w:p w14:paraId="4E2D9966">
            <w:pPr>
              <w:spacing w:line="360" w:lineRule="auto"/>
              <w:ind w:firstLine="960" w:firstLineChars="400"/>
              <w:rPr>
                <w:rFonts w:hint="eastAsia" w:ascii="宋体" w:hAnsi="宋体" w:eastAsia="宋体" w:cs="宋体"/>
                <w:sz w:val="24"/>
                <w:szCs w:val="24"/>
              </w:rPr>
            </w:pPr>
          </w:p>
        </w:tc>
        <w:tc>
          <w:tcPr>
            <w:tcW w:w="1527" w:type="dxa"/>
            <w:tcBorders>
              <w:top w:val="single" w:color="auto" w:sz="4" w:space="0"/>
              <w:left w:val="single" w:color="auto" w:sz="4" w:space="0"/>
              <w:bottom w:val="single" w:color="auto" w:sz="4" w:space="0"/>
              <w:right w:val="single" w:color="auto" w:sz="4" w:space="0"/>
            </w:tcBorders>
            <w:noWrap w:val="0"/>
            <w:vAlign w:val="top"/>
          </w:tcPr>
          <w:p w14:paraId="5FF79E66">
            <w:pPr>
              <w:spacing w:line="360" w:lineRule="auto"/>
              <w:ind w:firstLine="960" w:firstLineChars="400"/>
              <w:rPr>
                <w:rFonts w:hint="eastAsia" w:ascii="宋体" w:hAnsi="宋体" w:eastAsia="宋体" w:cs="宋体"/>
                <w:sz w:val="24"/>
                <w:szCs w:val="24"/>
              </w:rPr>
            </w:pPr>
          </w:p>
        </w:tc>
        <w:tc>
          <w:tcPr>
            <w:tcW w:w="1527" w:type="dxa"/>
            <w:tcBorders>
              <w:top w:val="single" w:color="auto" w:sz="4" w:space="0"/>
              <w:left w:val="single" w:color="auto" w:sz="4" w:space="0"/>
              <w:bottom w:val="single" w:color="auto" w:sz="4" w:space="0"/>
              <w:right w:val="single" w:color="auto" w:sz="4" w:space="0"/>
            </w:tcBorders>
            <w:noWrap w:val="0"/>
            <w:vAlign w:val="top"/>
          </w:tcPr>
          <w:p w14:paraId="519FE73B">
            <w:pPr>
              <w:spacing w:line="360" w:lineRule="auto"/>
              <w:ind w:firstLine="960" w:firstLineChars="400"/>
              <w:rPr>
                <w:rFonts w:hint="eastAsia" w:ascii="宋体" w:hAnsi="宋体" w:eastAsia="宋体" w:cs="宋体"/>
                <w:sz w:val="24"/>
                <w:szCs w:val="24"/>
              </w:rPr>
            </w:pPr>
          </w:p>
        </w:tc>
      </w:tr>
      <w:tr w14:paraId="62AFC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1199" w:type="dxa"/>
            <w:tcBorders>
              <w:top w:val="single" w:color="auto" w:sz="4" w:space="0"/>
              <w:left w:val="single" w:color="auto" w:sz="4" w:space="0"/>
              <w:bottom w:val="single" w:color="auto" w:sz="4" w:space="0"/>
              <w:right w:val="single" w:color="auto" w:sz="4" w:space="0"/>
            </w:tcBorders>
            <w:noWrap w:val="0"/>
            <w:vAlign w:val="center"/>
          </w:tcPr>
          <w:p w14:paraId="0D3B637D">
            <w:pPr>
              <w:spacing w:line="360" w:lineRule="auto"/>
              <w:ind w:firstLine="960" w:firstLineChars="400"/>
              <w:rPr>
                <w:rFonts w:hint="eastAsia" w:ascii="宋体" w:hAnsi="宋体" w:eastAsia="宋体" w:cs="宋体"/>
                <w:sz w:val="24"/>
                <w:szCs w:val="24"/>
              </w:rPr>
            </w:pPr>
          </w:p>
        </w:tc>
        <w:tc>
          <w:tcPr>
            <w:tcW w:w="1455" w:type="dxa"/>
            <w:vMerge w:val="continue"/>
            <w:tcBorders>
              <w:left w:val="single" w:color="auto" w:sz="4" w:space="0"/>
              <w:bottom w:val="single" w:color="auto" w:sz="4" w:space="0"/>
              <w:right w:val="single" w:color="auto" w:sz="4" w:space="0"/>
            </w:tcBorders>
            <w:noWrap w:val="0"/>
            <w:vAlign w:val="top"/>
          </w:tcPr>
          <w:p w14:paraId="2BEA0BA2">
            <w:pPr>
              <w:spacing w:line="360" w:lineRule="auto"/>
              <w:ind w:firstLine="960" w:firstLineChars="400"/>
              <w:rPr>
                <w:rFonts w:hint="eastAsia" w:ascii="宋体" w:hAnsi="宋体" w:eastAsia="宋体" w:cs="宋体"/>
                <w:sz w:val="24"/>
                <w:szCs w:val="24"/>
              </w:rPr>
            </w:pPr>
          </w:p>
        </w:tc>
        <w:tc>
          <w:tcPr>
            <w:tcW w:w="2235" w:type="dxa"/>
            <w:tcBorders>
              <w:top w:val="single" w:color="auto" w:sz="4" w:space="0"/>
              <w:left w:val="single" w:color="auto" w:sz="4" w:space="0"/>
              <w:bottom w:val="single" w:color="auto" w:sz="4" w:space="0"/>
              <w:right w:val="single" w:color="auto" w:sz="4" w:space="0"/>
            </w:tcBorders>
            <w:noWrap w:val="0"/>
            <w:vAlign w:val="top"/>
          </w:tcPr>
          <w:p w14:paraId="3CBE8F14">
            <w:pPr>
              <w:spacing w:line="360" w:lineRule="auto"/>
              <w:ind w:firstLine="960" w:firstLineChars="400"/>
              <w:rPr>
                <w:rFonts w:hint="eastAsia" w:ascii="宋体" w:hAnsi="宋体" w:eastAsia="宋体" w:cs="宋体"/>
                <w:sz w:val="24"/>
                <w:szCs w:val="24"/>
              </w:rPr>
            </w:pPr>
          </w:p>
        </w:tc>
        <w:tc>
          <w:tcPr>
            <w:tcW w:w="2208" w:type="dxa"/>
            <w:tcBorders>
              <w:top w:val="single" w:color="auto" w:sz="4" w:space="0"/>
              <w:left w:val="single" w:color="auto" w:sz="4" w:space="0"/>
              <w:bottom w:val="single" w:color="auto" w:sz="4" w:space="0"/>
              <w:right w:val="single" w:color="auto" w:sz="4" w:space="0"/>
            </w:tcBorders>
            <w:noWrap w:val="0"/>
            <w:vAlign w:val="top"/>
          </w:tcPr>
          <w:p w14:paraId="35DDAAA5">
            <w:pPr>
              <w:spacing w:line="360" w:lineRule="auto"/>
              <w:ind w:firstLine="960" w:firstLineChars="400"/>
              <w:rPr>
                <w:rFonts w:hint="eastAsia" w:ascii="宋体" w:hAnsi="宋体" w:eastAsia="宋体" w:cs="宋体"/>
                <w:sz w:val="24"/>
                <w:szCs w:val="24"/>
              </w:rPr>
            </w:pPr>
          </w:p>
        </w:tc>
        <w:tc>
          <w:tcPr>
            <w:tcW w:w="1527" w:type="dxa"/>
            <w:tcBorders>
              <w:top w:val="single" w:color="auto" w:sz="4" w:space="0"/>
              <w:left w:val="single" w:color="auto" w:sz="4" w:space="0"/>
              <w:bottom w:val="single" w:color="auto" w:sz="4" w:space="0"/>
              <w:right w:val="single" w:color="auto" w:sz="4" w:space="0"/>
            </w:tcBorders>
            <w:noWrap w:val="0"/>
            <w:vAlign w:val="top"/>
          </w:tcPr>
          <w:p w14:paraId="516EE037">
            <w:pPr>
              <w:spacing w:line="360" w:lineRule="auto"/>
              <w:ind w:firstLine="960" w:firstLineChars="400"/>
              <w:rPr>
                <w:rFonts w:hint="eastAsia" w:ascii="宋体" w:hAnsi="宋体" w:eastAsia="宋体" w:cs="宋体"/>
                <w:sz w:val="24"/>
                <w:szCs w:val="24"/>
              </w:rPr>
            </w:pPr>
          </w:p>
        </w:tc>
        <w:tc>
          <w:tcPr>
            <w:tcW w:w="1527" w:type="dxa"/>
            <w:tcBorders>
              <w:top w:val="single" w:color="auto" w:sz="4" w:space="0"/>
              <w:left w:val="single" w:color="auto" w:sz="4" w:space="0"/>
              <w:bottom w:val="single" w:color="auto" w:sz="4" w:space="0"/>
              <w:right w:val="single" w:color="auto" w:sz="4" w:space="0"/>
            </w:tcBorders>
            <w:noWrap w:val="0"/>
            <w:vAlign w:val="top"/>
          </w:tcPr>
          <w:p w14:paraId="2C80085D">
            <w:pPr>
              <w:spacing w:line="360" w:lineRule="auto"/>
              <w:ind w:firstLine="960" w:firstLineChars="400"/>
              <w:rPr>
                <w:rFonts w:hint="eastAsia" w:ascii="宋体" w:hAnsi="宋体" w:eastAsia="宋体" w:cs="宋体"/>
                <w:sz w:val="24"/>
                <w:szCs w:val="24"/>
              </w:rPr>
            </w:pPr>
          </w:p>
        </w:tc>
      </w:tr>
    </w:tbl>
    <w:p w14:paraId="37471D42">
      <w:pPr>
        <w:spacing w:line="440" w:lineRule="exact"/>
        <w:rPr>
          <w:rFonts w:hint="eastAsia" w:ascii="宋体" w:hAnsi="宋体" w:cs="宋体"/>
          <w:sz w:val="24"/>
          <w:szCs w:val="24"/>
        </w:rPr>
      </w:pPr>
      <w:r>
        <w:rPr>
          <w:rFonts w:hint="eastAsia" w:ascii="宋体" w:hAnsi="宋体" w:cs="宋体"/>
          <w:sz w:val="24"/>
          <w:szCs w:val="24"/>
        </w:rPr>
        <w:t>填表说明：</w:t>
      </w:r>
    </w:p>
    <w:p w14:paraId="4392145E">
      <w:pPr>
        <w:spacing w:line="440" w:lineRule="exact"/>
        <w:rPr>
          <w:rFonts w:hint="eastAsia" w:ascii="宋体" w:hAnsi="宋体" w:cs="宋体"/>
          <w:sz w:val="24"/>
          <w:szCs w:val="24"/>
        </w:rPr>
      </w:pPr>
      <w:r>
        <w:rPr>
          <w:rFonts w:hint="eastAsia" w:ascii="宋体" w:hAnsi="宋体" w:cs="宋体"/>
          <w:sz w:val="24"/>
          <w:szCs w:val="24"/>
        </w:rPr>
        <w:t>1、投标人承诺：对采购文件有任何偏离（包括正偏离及负偏离）均已汇总并填写在此表中，除偏离表列出的偏离外，承诺响应招标文件的全部要求。</w:t>
      </w:r>
    </w:p>
    <w:p w14:paraId="1C54A104">
      <w:pPr>
        <w:spacing w:line="440" w:lineRule="exact"/>
        <w:rPr>
          <w:rFonts w:hint="eastAsia" w:ascii="宋体" w:hAnsi="宋体" w:cs="宋体"/>
          <w:sz w:val="24"/>
          <w:szCs w:val="24"/>
        </w:rPr>
      </w:pPr>
      <w:r>
        <w:rPr>
          <w:rFonts w:hint="eastAsia" w:ascii="宋体" w:hAnsi="宋体" w:cs="宋体"/>
          <w:sz w:val="24"/>
          <w:szCs w:val="24"/>
        </w:rPr>
        <w:t>2、此表可在不改变格式的情况下自行制作。</w:t>
      </w:r>
    </w:p>
    <w:p w14:paraId="3BC1B50E">
      <w:pPr>
        <w:spacing w:line="440" w:lineRule="exact"/>
        <w:rPr>
          <w:rFonts w:hint="eastAsia" w:ascii="宋体" w:hAnsi="宋体" w:cs="宋体"/>
          <w:sz w:val="24"/>
          <w:szCs w:val="24"/>
        </w:rPr>
      </w:pPr>
      <w:r>
        <w:rPr>
          <w:rFonts w:hint="eastAsia" w:ascii="宋体" w:hAnsi="宋体" w:cs="宋体"/>
          <w:sz w:val="24"/>
          <w:szCs w:val="24"/>
        </w:rPr>
        <w:t>3、本偏离表的</w:t>
      </w:r>
      <w:r>
        <w:rPr>
          <w:rFonts w:hint="eastAsia" w:ascii="宋体" w:hAnsi="宋体" w:cs="宋体"/>
          <w:sz w:val="24"/>
          <w:szCs w:val="24"/>
          <w:lang w:val="en-US" w:eastAsia="zh-CN"/>
        </w:rPr>
        <w:t>正</w:t>
      </w:r>
      <w:r>
        <w:rPr>
          <w:rFonts w:hint="eastAsia" w:ascii="宋体" w:hAnsi="宋体" w:cs="宋体"/>
          <w:sz w:val="24"/>
          <w:szCs w:val="24"/>
        </w:rPr>
        <w:t>负偏离情况应与技术参数评分项一致。</w:t>
      </w:r>
    </w:p>
    <w:p w14:paraId="4F7DAE28">
      <w:pPr>
        <w:spacing w:line="440" w:lineRule="exact"/>
        <w:rPr>
          <w:rFonts w:hint="eastAsia" w:ascii="宋体" w:hAnsi="宋体" w:cs="宋体"/>
          <w:sz w:val="24"/>
          <w:szCs w:val="24"/>
        </w:rPr>
      </w:pPr>
    </w:p>
    <w:p w14:paraId="075FCFE3">
      <w:pPr>
        <w:spacing w:line="440" w:lineRule="exact"/>
        <w:jc w:val="center"/>
        <w:rPr>
          <w:rFonts w:hint="eastAsia" w:ascii="宋体" w:hAnsi="宋体" w:cs="宋体"/>
          <w:sz w:val="24"/>
          <w:szCs w:val="24"/>
        </w:rPr>
      </w:pPr>
      <w:r>
        <w:rPr>
          <w:rFonts w:hint="eastAsia" w:ascii="宋体" w:hAnsi="宋体" w:cs="宋体"/>
          <w:sz w:val="24"/>
          <w:szCs w:val="24"/>
        </w:rPr>
        <w:t xml:space="preserve">             </w:t>
      </w:r>
    </w:p>
    <w:p w14:paraId="630D51BB">
      <w:pPr>
        <w:spacing w:line="440" w:lineRule="exact"/>
        <w:jc w:val="center"/>
        <w:rPr>
          <w:rFonts w:hint="eastAsia" w:ascii="宋体" w:hAnsi="宋体" w:cs="宋体"/>
          <w:sz w:val="24"/>
          <w:szCs w:val="24"/>
        </w:rPr>
      </w:pPr>
    </w:p>
    <w:p w14:paraId="2E4EF9B5">
      <w:pPr>
        <w:spacing w:line="440" w:lineRule="exact"/>
        <w:jc w:val="center"/>
        <w:rPr>
          <w:rFonts w:hint="eastAsia" w:ascii="宋体" w:hAnsi="宋体" w:cs="宋体"/>
          <w:sz w:val="24"/>
          <w:szCs w:val="24"/>
          <w:u w:val="single"/>
        </w:rPr>
      </w:pPr>
      <w:r>
        <w:rPr>
          <w:rFonts w:hint="eastAsia" w:ascii="宋体" w:hAnsi="宋体" w:cs="宋体"/>
          <w:sz w:val="24"/>
          <w:szCs w:val="24"/>
          <w:lang w:val="en-US" w:eastAsia="zh-CN"/>
        </w:rPr>
        <w:t xml:space="preserve">               </w:t>
      </w:r>
      <w:r>
        <w:rPr>
          <w:rFonts w:hint="eastAsia" w:ascii="宋体" w:hAnsi="宋体" w:cs="宋体"/>
          <w:sz w:val="24"/>
          <w:szCs w:val="24"/>
        </w:rPr>
        <w:t xml:space="preserve"> </w:t>
      </w:r>
      <w:r>
        <w:rPr>
          <w:rFonts w:hint="eastAsia" w:ascii="宋体" w:hAnsi="宋体" w:eastAsia="宋体" w:cs="宋体"/>
          <w:color w:val="auto"/>
          <w:sz w:val="24"/>
          <w:highlight w:val="none"/>
        </w:rPr>
        <w:t>供应商全称</w:t>
      </w:r>
      <w:r>
        <w:rPr>
          <w:rFonts w:hint="eastAsia" w:ascii="宋体" w:hAnsi="宋体" w:cs="宋体"/>
          <w:sz w:val="24"/>
          <w:szCs w:val="24"/>
        </w:rPr>
        <w:t>（盖章）：</w:t>
      </w:r>
      <w:r>
        <w:rPr>
          <w:rFonts w:hint="eastAsia" w:ascii="宋体" w:hAnsi="宋体" w:cs="宋体"/>
          <w:sz w:val="24"/>
          <w:szCs w:val="24"/>
          <w:u w:val="single"/>
        </w:rPr>
        <w:t xml:space="preserve">                           </w:t>
      </w:r>
    </w:p>
    <w:p w14:paraId="611689C2">
      <w:pPr>
        <w:spacing w:line="440" w:lineRule="exact"/>
        <w:ind w:firstLine="4860"/>
        <w:rPr>
          <w:rFonts w:hint="eastAsia" w:ascii="宋体" w:hAnsi="宋体" w:cs="宋体"/>
          <w:sz w:val="24"/>
          <w:szCs w:val="24"/>
        </w:rPr>
      </w:pPr>
      <w:r>
        <w:rPr>
          <w:rFonts w:hint="eastAsia" w:ascii="宋体" w:hAnsi="宋体" w:cs="宋体"/>
          <w:sz w:val="24"/>
          <w:szCs w:val="24"/>
        </w:rPr>
        <w:t>日 期：  年  月  日</w:t>
      </w:r>
    </w:p>
    <w:p w14:paraId="4C3CBAAF">
      <w:pPr>
        <w:spacing w:line="360" w:lineRule="auto"/>
        <w:ind w:left="359" w:leftChars="171"/>
        <w:jc w:val="center"/>
        <w:rPr>
          <w:rFonts w:hint="eastAsia" w:ascii="宋体" w:hAnsi="宋体" w:cs="宋体"/>
          <w:sz w:val="24"/>
          <w:szCs w:val="24"/>
        </w:rPr>
      </w:pPr>
    </w:p>
    <w:p w14:paraId="21BED115">
      <w:pPr>
        <w:pStyle w:val="7"/>
        <w:ind w:left="0" w:leftChars="0" w:firstLine="0" w:firstLineChars="0"/>
        <w:rPr>
          <w:rFonts w:hint="eastAsia" w:ascii="宋体" w:hAnsi="宋体"/>
        </w:rPr>
      </w:pPr>
    </w:p>
    <w:p w14:paraId="6DC4BA37">
      <w:pPr>
        <w:pStyle w:val="7"/>
        <w:ind w:left="0" w:leftChars="0" w:firstLine="0" w:firstLineChars="0"/>
        <w:rPr>
          <w:rFonts w:hint="eastAsia" w:ascii="宋体" w:hAnsi="宋体"/>
        </w:rPr>
      </w:pPr>
    </w:p>
    <w:p w14:paraId="5CCC452A">
      <w:pPr>
        <w:pStyle w:val="7"/>
        <w:ind w:left="0" w:leftChars="0" w:firstLine="0" w:firstLineChars="0"/>
        <w:rPr>
          <w:rFonts w:hint="eastAsia" w:ascii="宋体" w:hAnsi="宋体"/>
        </w:rPr>
      </w:pPr>
    </w:p>
    <w:p w14:paraId="726CF104">
      <w:pPr>
        <w:pStyle w:val="7"/>
        <w:ind w:left="0" w:leftChars="0" w:firstLine="0" w:firstLineChars="0"/>
        <w:rPr>
          <w:rFonts w:hint="eastAsia" w:ascii="宋体" w:hAnsi="宋体"/>
        </w:rPr>
      </w:pPr>
    </w:p>
    <w:p w14:paraId="776E0D57">
      <w:pPr>
        <w:pStyle w:val="7"/>
        <w:ind w:left="0" w:leftChars="0" w:firstLine="0" w:firstLineChars="0"/>
        <w:rPr>
          <w:rFonts w:hint="eastAsia" w:ascii="宋体" w:hAnsi="宋体"/>
        </w:rPr>
      </w:pPr>
    </w:p>
    <w:p w14:paraId="161FADE7">
      <w:pPr>
        <w:pStyle w:val="7"/>
        <w:ind w:left="0" w:leftChars="0" w:firstLine="0" w:firstLineChars="0"/>
        <w:rPr>
          <w:rFonts w:hint="eastAsia" w:ascii="宋体" w:hAnsi="宋体"/>
        </w:rPr>
      </w:pPr>
    </w:p>
    <w:p w14:paraId="376B8401">
      <w:pPr>
        <w:pStyle w:val="7"/>
        <w:ind w:left="902" w:hanging="482"/>
        <w:rPr>
          <w:rFonts w:hint="eastAsia" w:ascii="宋体" w:hAnsi="宋体"/>
          <w:b/>
          <w:bCs/>
          <w:sz w:val="24"/>
        </w:rPr>
      </w:pPr>
    </w:p>
    <w:p w14:paraId="2D61B892">
      <w:pPr>
        <w:spacing w:after="240" w:line="276" w:lineRule="auto"/>
        <w:rPr>
          <w:rFonts w:hint="default" w:ascii="宋体" w:hAnsi="宋体" w:eastAsia="宋体" w:cs="宋体"/>
          <w:b/>
          <w:bCs/>
          <w:sz w:val="22"/>
          <w:szCs w:val="22"/>
          <w:lang w:val="en-US" w:eastAsia="zh-CN"/>
        </w:rPr>
      </w:pPr>
      <w:r>
        <w:rPr>
          <w:rFonts w:hint="eastAsia" w:ascii="宋体" w:hAnsi="宋体" w:cs="宋体"/>
          <w:b/>
          <w:bCs/>
          <w:sz w:val="22"/>
          <w:szCs w:val="22"/>
        </w:rPr>
        <w:t>附件</w:t>
      </w:r>
      <w:r>
        <w:rPr>
          <w:rFonts w:hint="eastAsia" w:ascii="宋体" w:hAnsi="宋体" w:cs="宋体"/>
          <w:b/>
          <w:bCs/>
          <w:sz w:val="22"/>
          <w:szCs w:val="22"/>
          <w:lang w:val="en-US" w:eastAsia="zh-CN"/>
        </w:rPr>
        <w:t>9</w:t>
      </w:r>
    </w:p>
    <w:p w14:paraId="7B83FE10">
      <w:pPr>
        <w:widowControl/>
        <w:spacing w:line="420" w:lineRule="atLeast"/>
        <w:jc w:val="center"/>
        <w:rPr>
          <w:rFonts w:hint="eastAsia" w:ascii="宋体" w:hAnsi="宋体" w:cs="宋体"/>
          <w:b/>
          <w:bCs/>
          <w:kern w:val="0"/>
          <w:sz w:val="30"/>
          <w:szCs w:val="30"/>
        </w:rPr>
      </w:pPr>
      <w:r>
        <w:rPr>
          <w:rFonts w:hint="eastAsia" w:ascii="宋体" w:hAnsi="宋体" w:cs="宋体"/>
          <w:b/>
          <w:bCs/>
          <w:kern w:val="0"/>
          <w:sz w:val="30"/>
          <w:szCs w:val="30"/>
        </w:rPr>
        <w:t>开标一览表</w:t>
      </w:r>
    </w:p>
    <w:p w14:paraId="60E070BB">
      <w:pPr>
        <w:spacing w:line="380" w:lineRule="exact"/>
        <w:jc w:val="center"/>
        <w:rPr>
          <w:rFonts w:hint="eastAsia" w:ascii="宋体" w:hAnsi="宋体" w:eastAsia="宋体" w:cs="Times New Roman"/>
          <w:color w:val="auto"/>
          <w:kern w:val="2"/>
          <w:sz w:val="24"/>
          <w:szCs w:val="24"/>
          <w:highlight w:val="none"/>
          <w:lang w:val="en-US" w:eastAsia="zh-CN" w:bidi="ar-SA"/>
        </w:rPr>
      </w:pPr>
    </w:p>
    <w:p w14:paraId="59D21642">
      <w:pPr>
        <w:spacing w:line="360" w:lineRule="auto"/>
        <w:jc w:val="left"/>
        <w:rPr>
          <w:rFonts w:hint="eastAsia" w:ascii="宋体" w:hAnsi="宋体" w:eastAsia="宋体" w:cs="Times New Roman"/>
          <w:color w:val="auto"/>
          <w:kern w:val="2"/>
          <w:sz w:val="24"/>
          <w:szCs w:val="24"/>
          <w:highlight w:val="none"/>
          <w:u w:val="single"/>
          <w:lang w:val="en-US" w:eastAsia="zh-CN" w:bidi="ar-SA"/>
        </w:rPr>
      </w:pPr>
      <w:r>
        <w:rPr>
          <w:rFonts w:hint="eastAsia" w:ascii="宋体" w:hAnsi="宋体" w:eastAsia="宋体" w:cs="Times New Roman"/>
          <w:color w:val="auto"/>
          <w:kern w:val="2"/>
          <w:sz w:val="24"/>
          <w:szCs w:val="24"/>
          <w:highlight w:val="none"/>
          <w:lang w:val="en-US" w:eastAsia="zh-CN" w:bidi="ar-SA"/>
        </w:rPr>
        <w:t>项目名称：</w:t>
      </w:r>
      <w:r>
        <w:rPr>
          <w:rFonts w:hint="eastAsia" w:ascii="宋体" w:hAnsi="宋体" w:eastAsia="宋体" w:cs="Times New Roman"/>
          <w:color w:val="auto"/>
          <w:kern w:val="2"/>
          <w:sz w:val="24"/>
          <w:szCs w:val="24"/>
          <w:highlight w:val="none"/>
          <w:u w:val="single"/>
          <w:lang w:val="en-US" w:eastAsia="zh-CN" w:bidi="ar-SA"/>
        </w:rPr>
        <w:t>常山县2025年度产品质量监督抽查服务采购项目</w:t>
      </w:r>
    </w:p>
    <w:p w14:paraId="5AB90D53">
      <w:pPr>
        <w:spacing w:line="360" w:lineRule="auto"/>
        <w:jc w:val="left"/>
        <w:rPr>
          <w:rFonts w:hint="eastAsia" w:ascii="宋体" w:hAnsi="宋体" w:eastAsia="宋体" w:cs="Times New Roman"/>
          <w:color w:val="auto"/>
          <w:kern w:val="2"/>
          <w:sz w:val="24"/>
          <w:szCs w:val="24"/>
          <w:highlight w:val="none"/>
          <w:u w:val="single"/>
          <w:lang w:val="en-US" w:eastAsia="zh-CN" w:bidi="ar-SA"/>
        </w:rPr>
      </w:pPr>
      <w:r>
        <w:rPr>
          <w:rFonts w:hint="eastAsia" w:ascii="宋体" w:hAnsi="宋体" w:eastAsia="宋体" w:cs="Times New Roman"/>
          <w:color w:val="auto"/>
          <w:kern w:val="2"/>
          <w:sz w:val="24"/>
          <w:szCs w:val="24"/>
          <w:highlight w:val="none"/>
          <w:lang w:val="en-US" w:eastAsia="zh-CN" w:bidi="ar-SA"/>
        </w:rPr>
        <w:t>项目编号：</w:t>
      </w:r>
      <w:r>
        <w:rPr>
          <w:rFonts w:hint="eastAsia" w:ascii="宋体" w:hAnsi="宋体" w:eastAsia="宋体" w:cs="Times New Roman"/>
          <w:color w:val="auto"/>
          <w:kern w:val="2"/>
          <w:sz w:val="24"/>
          <w:szCs w:val="24"/>
          <w:highlight w:val="none"/>
          <w:u w:val="single"/>
          <w:lang w:val="en-US" w:eastAsia="zh-CN" w:bidi="ar-SA"/>
        </w:rPr>
        <w:t xml:space="preserve">  ZJCD-GK-2025003</w:t>
      </w:r>
    </w:p>
    <w:tbl>
      <w:tblPr>
        <w:tblStyle w:val="2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2520"/>
        <w:gridCol w:w="6608"/>
      </w:tblGrid>
      <w:tr w14:paraId="43A0F4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2" w:hRule="atLeast"/>
          <w:jc w:val="center"/>
        </w:trPr>
        <w:tc>
          <w:tcPr>
            <w:tcW w:w="709" w:type="dxa"/>
            <w:tcBorders>
              <w:top w:val="single" w:color="auto" w:sz="4" w:space="0"/>
              <w:bottom w:val="single" w:color="auto" w:sz="4" w:space="0"/>
              <w:right w:val="single" w:color="auto" w:sz="4" w:space="0"/>
            </w:tcBorders>
            <w:noWrap w:val="0"/>
            <w:vAlign w:val="center"/>
          </w:tcPr>
          <w:p w14:paraId="1CBFF611">
            <w:pPr>
              <w:pStyle w:val="13"/>
              <w:spacing w:line="360" w:lineRule="auto"/>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序号</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192DEAF9">
            <w:pPr>
              <w:pStyle w:val="13"/>
              <w:spacing w:line="360" w:lineRule="auto"/>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名称</w:t>
            </w:r>
          </w:p>
        </w:tc>
        <w:tc>
          <w:tcPr>
            <w:tcW w:w="6608" w:type="dxa"/>
            <w:tcBorders>
              <w:top w:val="single" w:color="auto" w:sz="4" w:space="0"/>
              <w:left w:val="single" w:color="auto" w:sz="4" w:space="0"/>
              <w:bottom w:val="single" w:color="auto" w:sz="4" w:space="0"/>
              <w:right w:val="single" w:color="auto" w:sz="8" w:space="0"/>
            </w:tcBorders>
            <w:noWrap w:val="0"/>
            <w:vAlign w:val="center"/>
          </w:tcPr>
          <w:p w14:paraId="1FE70662">
            <w:pPr>
              <w:pStyle w:val="13"/>
              <w:spacing w:line="360" w:lineRule="auto"/>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内容</w:t>
            </w:r>
          </w:p>
        </w:tc>
      </w:tr>
      <w:tr w14:paraId="15B6CC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2" w:hRule="atLeast"/>
          <w:jc w:val="center"/>
        </w:trPr>
        <w:tc>
          <w:tcPr>
            <w:tcW w:w="709" w:type="dxa"/>
            <w:tcBorders>
              <w:right w:val="single" w:color="auto" w:sz="4" w:space="0"/>
            </w:tcBorders>
            <w:noWrap w:val="0"/>
            <w:vAlign w:val="center"/>
          </w:tcPr>
          <w:p w14:paraId="50615913">
            <w:pPr>
              <w:pStyle w:val="13"/>
              <w:spacing w:line="360" w:lineRule="auto"/>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一</w:t>
            </w:r>
          </w:p>
        </w:tc>
        <w:tc>
          <w:tcPr>
            <w:tcW w:w="2520" w:type="dxa"/>
            <w:tcBorders>
              <w:left w:val="single" w:color="auto" w:sz="4" w:space="0"/>
              <w:right w:val="single" w:color="auto" w:sz="4" w:space="0"/>
            </w:tcBorders>
            <w:noWrap w:val="0"/>
            <w:vAlign w:val="center"/>
          </w:tcPr>
          <w:p w14:paraId="60D6F004">
            <w:pPr>
              <w:pStyle w:val="13"/>
              <w:spacing w:line="360" w:lineRule="auto"/>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投标总价</w:t>
            </w:r>
          </w:p>
        </w:tc>
        <w:tc>
          <w:tcPr>
            <w:tcW w:w="6608" w:type="dxa"/>
            <w:tcBorders>
              <w:top w:val="single" w:color="auto" w:sz="4" w:space="0"/>
              <w:left w:val="single" w:color="auto" w:sz="4" w:space="0"/>
              <w:bottom w:val="single" w:color="auto" w:sz="4" w:space="0"/>
            </w:tcBorders>
            <w:noWrap w:val="0"/>
            <w:vAlign w:val="center"/>
          </w:tcPr>
          <w:p w14:paraId="6B0BCDD5">
            <w:pPr>
              <w:pStyle w:val="13"/>
              <w:spacing w:line="360" w:lineRule="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大写（人民币）：</w:t>
            </w:r>
            <w:r>
              <w:rPr>
                <w:rFonts w:hint="eastAsia" w:ascii="宋体" w:hAnsi="宋体" w:eastAsia="宋体" w:cs="Times New Roman"/>
                <w:color w:val="auto"/>
                <w:kern w:val="2"/>
                <w:sz w:val="24"/>
                <w:szCs w:val="24"/>
                <w:highlight w:val="none"/>
                <w:u w:val="single"/>
                <w:lang w:val="en-US" w:eastAsia="zh-CN" w:bidi="ar-SA"/>
              </w:rPr>
              <w:t xml:space="preserve">              </w:t>
            </w:r>
            <w:r>
              <w:rPr>
                <w:rFonts w:hint="eastAsia" w:ascii="宋体" w:hAnsi="宋体" w:eastAsia="宋体" w:cs="Times New Roman"/>
                <w:color w:val="auto"/>
                <w:kern w:val="2"/>
                <w:sz w:val="24"/>
                <w:szCs w:val="24"/>
                <w:highlight w:val="none"/>
                <w:u w:val="none"/>
                <w:lang w:val="en-US" w:eastAsia="zh-CN" w:bidi="ar-SA"/>
              </w:rPr>
              <w:t>（￥</w:t>
            </w:r>
            <w:r>
              <w:rPr>
                <w:rFonts w:hint="eastAsia" w:ascii="宋体" w:hAnsi="宋体" w:eastAsia="宋体" w:cs="Times New Roman"/>
                <w:color w:val="auto"/>
                <w:kern w:val="2"/>
                <w:sz w:val="24"/>
                <w:szCs w:val="24"/>
                <w:highlight w:val="none"/>
                <w:u w:val="single"/>
                <w:lang w:val="en-US" w:eastAsia="zh-CN" w:bidi="ar-SA"/>
              </w:rPr>
              <w:t xml:space="preserve">              </w:t>
            </w:r>
            <w:r>
              <w:rPr>
                <w:rFonts w:hint="eastAsia" w:ascii="宋体" w:hAnsi="宋体" w:eastAsia="宋体" w:cs="Times New Roman"/>
                <w:color w:val="auto"/>
                <w:kern w:val="2"/>
                <w:sz w:val="24"/>
                <w:szCs w:val="24"/>
                <w:highlight w:val="none"/>
                <w:u w:val="none"/>
                <w:lang w:val="en-US" w:eastAsia="zh-CN" w:bidi="ar-SA"/>
              </w:rPr>
              <w:t>）</w:t>
            </w:r>
          </w:p>
        </w:tc>
      </w:tr>
      <w:tr w14:paraId="6E293C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2" w:hRule="atLeast"/>
          <w:jc w:val="center"/>
        </w:trPr>
        <w:tc>
          <w:tcPr>
            <w:tcW w:w="709" w:type="dxa"/>
            <w:tcBorders>
              <w:top w:val="single" w:color="auto" w:sz="4" w:space="0"/>
              <w:bottom w:val="single" w:color="auto" w:sz="4" w:space="0"/>
              <w:right w:val="single" w:color="auto" w:sz="4" w:space="0"/>
            </w:tcBorders>
            <w:noWrap w:val="0"/>
            <w:vAlign w:val="center"/>
          </w:tcPr>
          <w:p w14:paraId="34AE1E92">
            <w:pPr>
              <w:pStyle w:val="13"/>
              <w:spacing w:line="360" w:lineRule="auto"/>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二</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7E9072ED">
            <w:pPr>
              <w:pStyle w:val="13"/>
              <w:spacing w:line="360" w:lineRule="auto"/>
              <w:jc w:val="center"/>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t>服务期限</w:t>
            </w:r>
          </w:p>
        </w:tc>
        <w:tc>
          <w:tcPr>
            <w:tcW w:w="6608" w:type="dxa"/>
            <w:tcBorders>
              <w:top w:val="single" w:color="auto" w:sz="4" w:space="0"/>
              <w:left w:val="single" w:color="auto" w:sz="4" w:space="0"/>
              <w:bottom w:val="single" w:color="auto" w:sz="4" w:space="0"/>
              <w:right w:val="single" w:color="auto" w:sz="8" w:space="0"/>
            </w:tcBorders>
            <w:noWrap w:val="0"/>
            <w:vAlign w:val="center"/>
          </w:tcPr>
          <w:p w14:paraId="57FD8B7B">
            <w:pPr>
              <w:pStyle w:val="13"/>
              <w:spacing w:line="360" w:lineRule="auto"/>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t>在202</w:t>
            </w:r>
            <w:r>
              <w:rPr>
                <w:rFonts w:hint="eastAsia" w:hAnsi="宋体" w:cs="Times New Roman"/>
                <w:color w:val="000000" w:themeColor="text1"/>
                <w:kern w:val="2"/>
                <w:sz w:val="24"/>
                <w:szCs w:val="24"/>
                <w:highlight w:val="none"/>
                <w:lang w:val="en-US" w:eastAsia="zh-CN" w:bidi="ar-SA"/>
                <w14:textFill>
                  <w14:solidFill>
                    <w14:schemeClr w14:val="tx1"/>
                  </w14:solidFill>
                </w14:textFill>
              </w:rPr>
              <w:t>5</w:t>
            </w:r>
            <w:r>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t>年11月底前完成</w:t>
            </w:r>
          </w:p>
        </w:tc>
      </w:tr>
      <w:tr w14:paraId="4419E7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7" w:hRule="atLeast"/>
          <w:jc w:val="center"/>
        </w:trPr>
        <w:tc>
          <w:tcPr>
            <w:tcW w:w="709" w:type="dxa"/>
            <w:tcBorders>
              <w:top w:val="single" w:color="auto" w:sz="4" w:space="0"/>
              <w:bottom w:val="single" w:color="auto" w:sz="4" w:space="0"/>
              <w:right w:val="single" w:color="auto" w:sz="4" w:space="0"/>
            </w:tcBorders>
            <w:shd w:val="clear" w:color="auto" w:fill="auto"/>
            <w:noWrap w:val="0"/>
            <w:vAlign w:val="center"/>
          </w:tcPr>
          <w:p w14:paraId="67DD062E">
            <w:pPr>
              <w:pStyle w:val="13"/>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三</w:t>
            </w:r>
          </w:p>
        </w:tc>
        <w:tc>
          <w:tcPr>
            <w:tcW w:w="252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AEA8F10">
            <w:pPr>
              <w:pStyle w:val="13"/>
              <w:pageBreakBefore w:val="0"/>
              <w:kinsoku/>
              <w:topLinePunct w:val="0"/>
              <w:bidi w:val="0"/>
              <w:spacing w:line="360" w:lineRule="auto"/>
              <w:jc w:val="center"/>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项目负责人</w:t>
            </w:r>
          </w:p>
        </w:tc>
        <w:tc>
          <w:tcPr>
            <w:tcW w:w="6608" w:type="dxa"/>
            <w:tcBorders>
              <w:top w:val="single" w:color="auto" w:sz="4" w:space="0"/>
              <w:left w:val="single" w:color="auto" w:sz="4" w:space="0"/>
              <w:bottom w:val="single" w:color="auto" w:sz="4" w:space="0"/>
              <w:right w:val="single" w:color="auto" w:sz="8" w:space="0"/>
            </w:tcBorders>
            <w:shd w:val="clear" w:color="auto" w:fill="auto"/>
            <w:noWrap w:val="0"/>
            <w:vAlign w:val="center"/>
          </w:tcPr>
          <w:p w14:paraId="39633777">
            <w:pPr>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 xml:space="preserve">        </w:t>
            </w:r>
          </w:p>
        </w:tc>
      </w:tr>
      <w:tr w14:paraId="336B04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8" w:hRule="atLeast"/>
          <w:jc w:val="center"/>
        </w:trPr>
        <w:tc>
          <w:tcPr>
            <w:tcW w:w="3229" w:type="dxa"/>
            <w:gridSpan w:val="2"/>
            <w:tcBorders>
              <w:top w:val="single" w:color="auto" w:sz="4" w:space="0"/>
              <w:bottom w:val="single" w:color="auto" w:sz="4" w:space="0"/>
              <w:right w:val="single" w:color="auto" w:sz="4" w:space="0"/>
            </w:tcBorders>
            <w:noWrap w:val="0"/>
            <w:vAlign w:val="center"/>
          </w:tcPr>
          <w:p w14:paraId="3EE06632">
            <w:pPr>
              <w:pStyle w:val="13"/>
              <w:spacing w:line="360" w:lineRule="auto"/>
              <w:jc w:val="center"/>
              <w:rPr>
                <w:rFonts w:hAnsi="宋体"/>
                <w:lang w:val="en-US" w:eastAsia="zh-CN"/>
              </w:rPr>
            </w:pPr>
            <w:r>
              <w:rPr>
                <w:rFonts w:hint="eastAsia" w:hAnsi="宋体"/>
                <w:lang w:val="en-US" w:eastAsia="zh-CN"/>
              </w:rPr>
              <w:t>备注</w:t>
            </w:r>
          </w:p>
        </w:tc>
        <w:tc>
          <w:tcPr>
            <w:tcW w:w="6608" w:type="dxa"/>
            <w:tcBorders>
              <w:top w:val="single" w:color="auto" w:sz="4" w:space="0"/>
              <w:left w:val="single" w:color="auto" w:sz="4" w:space="0"/>
              <w:bottom w:val="single" w:color="auto" w:sz="4" w:space="0"/>
              <w:right w:val="single" w:color="auto" w:sz="8" w:space="0"/>
            </w:tcBorders>
            <w:noWrap w:val="0"/>
            <w:vAlign w:val="center"/>
          </w:tcPr>
          <w:p w14:paraId="24B56B3B">
            <w:pPr>
              <w:pStyle w:val="6"/>
              <w:spacing w:line="500" w:lineRule="exact"/>
              <w:ind w:left="0" w:firstLine="422" w:firstLineChars="200"/>
              <w:rPr>
                <w:lang w:val="en-US" w:eastAsia="zh-CN"/>
              </w:rPr>
            </w:pPr>
            <w:r>
              <w:rPr>
                <w:rFonts w:hint="eastAsia" w:ascii="宋体" w:hAnsi="宋体" w:eastAsia="宋体" w:cs="宋体"/>
                <w:b/>
                <w:bCs/>
                <w:color w:val="auto"/>
                <w:sz w:val="21"/>
                <w:szCs w:val="21"/>
              </w:rPr>
              <w:t>投标报价应包含投项目所需全部货物、服务，不得缺漏，是履行合同的最终价格（投标报价统一为人民币计价，涉及费用包括抽样技术服务费、检验技术服务费、人工成本费、管理费、税费、规费、材料费、不可预见费、代理服务费等。其中抽样技术服务费包括抽样人员差旅费、样品的购置费、销毁样品的处置费、抽查文书和样品（含检毕样品）邮递费，检验技术服务费为样品检验费，含复检、复查检验等费用。）</w:t>
            </w:r>
          </w:p>
        </w:tc>
      </w:tr>
    </w:tbl>
    <w:p w14:paraId="59202656">
      <w:pPr>
        <w:snapToGrid w:val="0"/>
        <w:spacing w:before="50" w:after="50" w:line="360" w:lineRule="auto"/>
        <w:rPr>
          <w:rFonts w:hint="eastAsia" w:ascii="宋体" w:hAnsi="宋体" w:cs="宋体"/>
          <w:smallCaps/>
          <w:szCs w:val="21"/>
        </w:rPr>
      </w:pPr>
    </w:p>
    <w:p w14:paraId="1A22103C">
      <w:pPr>
        <w:snapToGrid w:val="0"/>
        <w:spacing w:before="120" w:beforeLines="50" w:after="50" w:line="480" w:lineRule="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注:</w:t>
      </w:r>
    </w:p>
    <w:p w14:paraId="4FF29868">
      <w:pPr>
        <w:snapToGrid w:val="0"/>
        <w:spacing w:before="120" w:beforeLines="50" w:after="50" w:line="480" w:lineRule="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1.报价一经涂改，应在涂改处加盖单位公章或者由法定代表人或授权委托人签字或盖章，否则其投标作无效标处理。</w:t>
      </w:r>
    </w:p>
    <w:p w14:paraId="4DC43903">
      <w:pPr>
        <w:spacing w:line="360" w:lineRule="auto"/>
        <w:ind w:left="523" w:leftChars="247" w:hanging="4" w:hangingChars="2"/>
        <w:rPr>
          <w:rFonts w:hint="eastAsia" w:ascii="宋体" w:hAnsi="宋体" w:cs="宋体"/>
          <w:b/>
          <w:szCs w:val="21"/>
        </w:rPr>
      </w:pPr>
    </w:p>
    <w:p w14:paraId="516C6157">
      <w:pPr>
        <w:snapToGrid w:val="0"/>
        <w:spacing w:before="120" w:beforeLines="50" w:after="50" w:line="480" w:lineRule="auto"/>
        <w:jc w:val="cente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lang w:val="en-US" w:eastAsia="zh-CN"/>
        </w:rPr>
        <w:t xml:space="preserve">                           </w:t>
      </w:r>
      <w:r>
        <w:rPr>
          <w:rFonts w:hint="eastAsia" w:ascii="宋体" w:hAnsi="宋体" w:eastAsia="宋体" w:cs="宋体"/>
          <w:color w:val="auto"/>
          <w:sz w:val="24"/>
          <w:highlight w:val="none"/>
        </w:rPr>
        <w:t>供应商全称</w:t>
      </w:r>
      <w:r>
        <w:rPr>
          <w:rFonts w:hint="eastAsia" w:ascii="宋体" w:hAnsi="宋体" w:eastAsia="宋体" w:cs="Times New Roman"/>
          <w:color w:val="auto"/>
          <w:sz w:val="24"/>
          <w:highlight w:val="none"/>
        </w:rPr>
        <w:t xml:space="preserve">（盖章）： </w:t>
      </w:r>
      <w:r>
        <w:rPr>
          <w:rFonts w:hint="eastAsia" w:ascii="宋体" w:hAnsi="宋体" w:eastAsia="宋体" w:cs="Times New Roman"/>
          <w:color w:val="auto"/>
          <w:sz w:val="24"/>
          <w:highlight w:val="none"/>
          <w:u w:val="single"/>
        </w:rPr>
        <w:t xml:space="preserve">                  </w:t>
      </w:r>
      <w:r>
        <w:rPr>
          <w:rFonts w:hint="eastAsia" w:ascii="宋体" w:hAnsi="宋体" w:eastAsia="宋体" w:cs="Times New Roman"/>
          <w:color w:val="auto"/>
          <w:sz w:val="24"/>
          <w:highlight w:val="none"/>
        </w:rPr>
        <w:t xml:space="preserve">        </w:t>
      </w:r>
    </w:p>
    <w:p w14:paraId="693D2F14">
      <w:pPr>
        <w:snapToGrid w:val="0"/>
        <w:spacing w:before="120" w:beforeLines="50" w:after="50" w:line="480" w:lineRule="auto"/>
        <w:jc w:val="right"/>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日 期：  年  月  日</w:t>
      </w:r>
    </w:p>
    <w:p w14:paraId="0C50CA46">
      <w:pPr>
        <w:snapToGrid w:val="0"/>
        <w:spacing w:before="120" w:beforeLines="50" w:after="50" w:line="480" w:lineRule="auto"/>
        <w:jc w:val="right"/>
        <w:rPr>
          <w:rFonts w:hint="eastAsia" w:ascii="宋体" w:hAnsi="宋体" w:eastAsia="宋体" w:cs="Times New Roman"/>
          <w:color w:val="auto"/>
          <w:sz w:val="24"/>
          <w:highlight w:val="none"/>
        </w:rPr>
        <w:sectPr>
          <w:pgSz w:w="11906" w:h="16838"/>
          <w:pgMar w:top="1440" w:right="1080" w:bottom="1440" w:left="1080" w:header="851" w:footer="992" w:gutter="0"/>
          <w:cols w:space="720" w:num="1"/>
          <w:docGrid w:type="lines" w:linePitch="312" w:charSpace="0"/>
        </w:sectPr>
      </w:pPr>
    </w:p>
    <w:p w14:paraId="5E038AD0">
      <w:pPr>
        <w:widowControl/>
        <w:spacing w:line="420" w:lineRule="atLeast"/>
        <w:jc w:val="left"/>
        <w:rPr>
          <w:rFonts w:hint="eastAsia" w:ascii="宋体" w:hAnsi="宋体"/>
          <w:b/>
          <w:bCs/>
          <w:color w:val="000000"/>
          <w:kern w:val="0"/>
          <w:sz w:val="30"/>
          <w:szCs w:val="30"/>
          <w:lang w:val="en-US" w:eastAsia="zh-CN"/>
        </w:rPr>
      </w:pPr>
      <w:bookmarkStart w:id="170" w:name="附件2"/>
      <w:r>
        <w:rPr>
          <w:rFonts w:hint="eastAsia" w:ascii="宋体" w:hAnsi="宋体" w:eastAsia="宋体" w:cs="宋体"/>
          <w:b/>
          <w:bCs/>
          <w:sz w:val="22"/>
          <w:szCs w:val="22"/>
          <w:lang w:val="en-US" w:eastAsia="zh-CN"/>
        </w:rPr>
        <w:t>附件</w:t>
      </w:r>
      <w:r>
        <w:rPr>
          <w:rFonts w:hint="eastAsia" w:ascii="宋体" w:hAnsi="宋体" w:cs="宋体"/>
          <w:b/>
          <w:bCs/>
          <w:sz w:val="22"/>
          <w:szCs w:val="22"/>
          <w:lang w:val="en-US" w:eastAsia="zh-CN"/>
        </w:rPr>
        <w:t>10</w:t>
      </w:r>
      <w:r>
        <w:rPr>
          <w:rFonts w:hint="eastAsia" w:ascii="宋体" w:hAnsi="宋体"/>
          <w:b/>
          <w:bCs/>
          <w:color w:val="000000"/>
          <w:kern w:val="0"/>
          <w:sz w:val="30"/>
          <w:szCs w:val="30"/>
          <w:lang w:val="en-US" w:eastAsia="zh-CN"/>
        </w:rPr>
        <w:t xml:space="preserve">                 </w:t>
      </w:r>
    </w:p>
    <w:p w14:paraId="2C1F4F11">
      <w:pPr>
        <w:widowControl/>
        <w:spacing w:line="420" w:lineRule="atLeast"/>
        <w:jc w:val="center"/>
        <w:rPr>
          <w:rFonts w:hint="eastAsia" w:ascii="宋体" w:hAnsi="宋体"/>
          <w:b/>
          <w:bCs/>
          <w:color w:val="000000"/>
          <w:kern w:val="0"/>
          <w:sz w:val="30"/>
          <w:szCs w:val="30"/>
        </w:rPr>
      </w:pPr>
      <w:r>
        <w:rPr>
          <w:rFonts w:hint="eastAsia" w:ascii="宋体" w:hAnsi="宋体"/>
          <w:b/>
          <w:bCs/>
          <w:color w:val="000000"/>
          <w:kern w:val="0"/>
          <w:sz w:val="30"/>
          <w:szCs w:val="30"/>
        </w:rPr>
        <w:t>投标报价明细表</w:t>
      </w:r>
    </w:p>
    <w:p w14:paraId="30F93B18">
      <w:pPr>
        <w:pStyle w:val="13"/>
        <w:spacing w:line="360" w:lineRule="auto"/>
        <w:rPr>
          <w:rFonts w:hint="eastAsia" w:hAnsi="宋体"/>
          <w:b w:val="0"/>
          <w:bCs w:val="0"/>
          <w:color w:val="000000"/>
          <w:sz w:val="24"/>
          <w:szCs w:val="24"/>
        </w:rPr>
      </w:pPr>
      <w:r>
        <w:rPr>
          <w:rFonts w:hint="eastAsia" w:hAnsi="宋体"/>
          <w:b w:val="0"/>
          <w:bCs w:val="0"/>
          <w:color w:val="000000"/>
          <w:sz w:val="24"/>
          <w:szCs w:val="24"/>
        </w:rPr>
        <w:t>项目名称：                                               项目编号</w:t>
      </w:r>
      <w:r>
        <w:rPr>
          <w:rFonts w:hAnsi="宋体"/>
          <w:b w:val="0"/>
          <w:bCs w:val="0"/>
          <w:color w:val="000000"/>
          <w:sz w:val="24"/>
          <w:szCs w:val="24"/>
        </w:rPr>
        <w:t>：</w:t>
      </w:r>
    </w:p>
    <w:tbl>
      <w:tblPr>
        <w:tblStyle w:val="22"/>
        <w:tblW w:w="5451" w:type="pct"/>
        <w:tblInd w:w="-8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2"/>
        <w:gridCol w:w="1554"/>
        <w:gridCol w:w="1582"/>
        <w:gridCol w:w="1187"/>
        <w:gridCol w:w="1951"/>
        <w:gridCol w:w="1131"/>
        <w:gridCol w:w="1629"/>
      </w:tblGrid>
      <w:tr w14:paraId="5BB7E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trPr>
        <w:tc>
          <w:tcPr>
            <w:tcW w:w="517" w:type="pct"/>
            <w:noWrap w:val="0"/>
            <w:vAlign w:val="center"/>
          </w:tcPr>
          <w:p w14:paraId="6C4A9A5D">
            <w:pPr>
              <w:snapToGrid w:val="0"/>
              <w:spacing w:before="120" w:beforeLines="50" w:after="50" w:line="480" w:lineRule="auto"/>
              <w:rPr>
                <w:rFonts w:hint="eastAsia" w:ascii="宋体" w:hAnsi="宋体" w:eastAsia="宋体" w:cs="Times New Roman"/>
                <w:color w:val="auto"/>
                <w:sz w:val="24"/>
                <w:highlight w:val="none"/>
              </w:rPr>
            </w:pPr>
          </w:p>
          <w:p w14:paraId="049384AB">
            <w:pPr>
              <w:snapToGrid w:val="0"/>
              <w:spacing w:before="120" w:beforeLines="50" w:after="50" w:line="480" w:lineRule="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序号</w:t>
            </w:r>
          </w:p>
        </w:tc>
        <w:tc>
          <w:tcPr>
            <w:tcW w:w="771" w:type="pct"/>
            <w:noWrap w:val="0"/>
            <w:vAlign w:val="center"/>
          </w:tcPr>
          <w:p w14:paraId="7076B59E">
            <w:pPr>
              <w:snapToGrid w:val="0"/>
              <w:spacing w:before="120" w:beforeLines="50" w:after="50" w:line="480" w:lineRule="auto"/>
              <w:rPr>
                <w:rFonts w:hint="default" w:ascii="宋体" w:hAnsi="宋体" w:eastAsia="宋体" w:cs="Times New Roman"/>
                <w:color w:val="auto"/>
                <w:sz w:val="24"/>
                <w:highlight w:val="none"/>
                <w:lang w:val="en-US" w:eastAsia="zh-CN"/>
              </w:rPr>
            </w:pPr>
          </w:p>
          <w:p w14:paraId="330B35F4">
            <w:pPr>
              <w:snapToGrid w:val="0"/>
              <w:spacing w:before="120" w:beforeLines="50" w:after="50" w:line="480" w:lineRule="auto"/>
              <w:rPr>
                <w:rFonts w:hint="default" w:ascii="宋体" w:hAnsi="宋体" w:eastAsia="宋体" w:cs="Times New Roman"/>
                <w:color w:val="auto"/>
                <w:sz w:val="24"/>
                <w:highlight w:val="none"/>
                <w:lang w:val="en-US" w:eastAsia="zh-CN"/>
              </w:rPr>
            </w:pPr>
            <w:r>
              <w:rPr>
                <w:rFonts w:hint="default" w:ascii="宋体" w:hAnsi="宋体" w:eastAsia="宋体" w:cs="Times New Roman"/>
                <w:color w:val="auto"/>
                <w:sz w:val="24"/>
                <w:highlight w:val="none"/>
                <w:lang w:val="en-US" w:eastAsia="zh-CN"/>
              </w:rPr>
              <w:t>产品类别</w:t>
            </w:r>
          </w:p>
        </w:tc>
        <w:tc>
          <w:tcPr>
            <w:tcW w:w="785" w:type="pct"/>
            <w:noWrap w:val="0"/>
            <w:vAlign w:val="top"/>
          </w:tcPr>
          <w:p w14:paraId="5A7EA5E1">
            <w:pPr>
              <w:snapToGrid w:val="0"/>
              <w:spacing w:before="120" w:beforeLines="50" w:after="50" w:line="480" w:lineRule="auto"/>
              <w:rPr>
                <w:rFonts w:hint="eastAsia" w:ascii="宋体" w:hAnsi="宋体" w:eastAsia="宋体" w:cs="Times New Roman"/>
                <w:color w:val="auto"/>
                <w:sz w:val="24"/>
                <w:highlight w:val="none"/>
                <w:lang w:val="en-US" w:eastAsia="zh-CN"/>
              </w:rPr>
            </w:pPr>
          </w:p>
          <w:p w14:paraId="38CCE818">
            <w:pPr>
              <w:snapToGrid w:val="0"/>
              <w:spacing w:before="120" w:beforeLines="50" w:after="50" w:line="480" w:lineRule="auto"/>
              <w:rPr>
                <w:rFonts w:hint="default"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产品名称</w:t>
            </w:r>
          </w:p>
        </w:tc>
        <w:tc>
          <w:tcPr>
            <w:tcW w:w="589" w:type="pct"/>
            <w:noWrap w:val="0"/>
            <w:vAlign w:val="center"/>
          </w:tcPr>
          <w:p w14:paraId="45017054">
            <w:pPr>
              <w:snapToGrid w:val="0"/>
              <w:spacing w:before="120" w:beforeLines="50" w:after="50" w:line="480" w:lineRule="auto"/>
              <w:rPr>
                <w:rFonts w:hint="eastAsia" w:ascii="宋体" w:hAnsi="宋体" w:eastAsia="宋体" w:cs="Times New Roman"/>
                <w:color w:val="auto"/>
                <w:sz w:val="24"/>
                <w:highlight w:val="none"/>
                <w:lang w:val="en-US" w:eastAsia="zh-CN"/>
              </w:rPr>
            </w:pPr>
          </w:p>
          <w:p w14:paraId="4AD2CFF7">
            <w:pPr>
              <w:snapToGrid w:val="0"/>
              <w:spacing w:before="120" w:beforeLines="50" w:after="50" w:line="480" w:lineRule="auto"/>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检测项目</w:t>
            </w:r>
          </w:p>
        </w:tc>
        <w:tc>
          <w:tcPr>
            <w:tcW w:w="968" w:type="pct"/>
            <w:noWrap w:val="0"/>
            <w:vAlign w:val="center"/>
          </w:tcPr>
          <w:p w14:paraId="29D73559">
            <w:pPr>
              <w:snapToGrid w:val="0"/>
              <w:spacing w:before="120" w:beforeLines="50" w:after="50" w:line="480" w:lineRule="auto"/>
              <w:rPr>
                <w:rFonts w:hint="default"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每批次投标单价（元）</w:t>
            </w:r>
          </w:p>
        </w:tc>
        <w:tc>
          <w:tcPr>
            <w:tcW w:w="561" w:type="pct"/>
            <w:noWrap w:val="0"/>
            <w:vAlign w:val="center"/>
          </w:tcPr>
          <w:p w14:paraId="077E7181">
            <w:pPr>
              <w:snapToGrid w:val="0"/>
              <w:spacing w:before="120" w:beforeLines="50" w:after="50" w:line="480" w:lineRule="auto"/>
              <w:rPr>
                <w:rFonts w:hint="eastAsia" w:ascii="宋体" w:hAnsi="宋体" w:eastAsia="宋体" w:cs="Times New Roman"/>
                <w:color w:val="auto"/>
                <w:sz w:val="24"/>
                <w:highlight w:val="none"/>
                <w:lang w:val="en-US" w:eastAsia="zh-CN"/>
              </w:rPr>
            </w:pPr>
          </w:p>
          <w:p w14:paraId="01D903FB">
            <w:pPr>
              <w:snapToGrid w:val="0"/>
              <w:spacing w:before="120" w:beforeLines="50" w:after="50" w:line="480" w:lineRule="auto"/>
              <w:rPr>
                <w:rFonts w:hint="default"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批次数</w:t>
            </w:r>
          </w:p>
        </w:tc>
        <w:tc>
          <w:tcPr>
            <w:tcW w:w="807" w:type="pct"/>
            <w:noWrap w:val="0"/>
            <w:vAlign w:val="center"/>
          </w:tcPr>
          <w:p w14:paraId="38AC2E6A">
            <w:pPr>
              <w:snapToGrid w:val="0"/>
              <w:spacing w:before="120" w:beforeLines="50" w:after="50" w:line="480" w:lineRule="auto"/>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投标报价（元）</w:t>
            </w:r>
          </w:p>
        </w:tc>
      </w:tr>
      <w:tr w14:paraId="61378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36" w:hRule="atLeast"/>
        </w:trPr>
        <w:tc>
          <w:tcPr>
            <w:tcW w:w="517" w:type="pct"/>
            <w:noWrap w:val="0"/>
            <w:vAlign w:val="center"/>
          </w:tcPr>
          <w:p w14:paraId="1D230B10">
            <w:pPr>
              <w:snapToGrid w:val="0"/>
              <w:spacing w:before="120" w:beforeLines="50" w:after="50" w:line="480" w:lineRule="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1</w:t>
            </w:r>
          </w:p>
        </w:tc>
        <w:tc>
          <w:tcPr>
            <w:tcW w:w="771" w:type="pct"/>
            <w:noWrap w:val="0"/>
            <w:vAlign w:val="center"/>
          </w:tcPr>
          <w:p w14:paraId="51369B93">
            <w:pPr>
              <w:snapToGrid w:val="0"/>
              <w:spacing w:before="120" w:beforeLines="50" w:after="50" w:line="480" w:lineRule="auto"/>
              <w:rPr>
                <w:rFonts w:hint="eastAsia" w:ascii="宋体" w:hAnsi="宋体" w:eastAsia="宋体" w:cs="Times New Roman"/>
                <w:color w:val="auto"/>
                <w:sz w:val="24"/>
                <w:highlight w:val="none"/>
              </w:rPr>
            </w:pPr>
          </w:p>
        </w:tc>
        <w:tc>
          <w:tcPr>
            <w:tcW w:w="785" w:type="pct"/>
            <w:noWrap w:val="0"/>
            <w:vAlign w:val="center"/>
          </w:tcPr>
          <w:p w14:paraId="4537A0E5">
            <w:pPr>
              <w:snapToGrid w:val="0"/>
              <w:spacing w:before="120" w:beforeLines="50" w:after="50" w:line="480" w:lineRule="auto"/>
              <w:rPr>
                <w:rFonts w:hint="eastAsia" w:ascii="宋体" w:hAnsi="宋体" w:eastAsia="宋体" w:cs="Times New Roman"/>
                <w:color w:val="auto"/>
                <w:sz w:val="24"/>
                <w:highlight w:val="none"/>
              </w:rPr>
            </w:pPr>
          </w:p>
        </w:tc>
        <w:tc>
          <w:tcPr>
            <w:tcW w:w="589" w:type="pct"/>
            <w:noWrap w:val="0"/>
            <w:vAlign w:val="top"/>
          </w:tcPr>
          <w:p w14:paraId="3E0C3B8C">
            <w:pPr>
              <w:snapToGrid w:val="0"/>
              <w:spacing w:before="120" w:beforeLines="50" w:after="50" w:line="480" w:lineRule="auto"/>
              <w:rPr>
                <w:rFonts w:hint="eastAsia" w:ascii="宋体" w:hAnsi="宋体" w:eastAsia="宋体" w:cs="Times New Roman"/>
                <w:color w:val="auto"/>
                <w:sz w:val="24"/>
                <w:highlight w:val="none"/>
              </w:rPr>
            </w:pPr>
          </w:p>
        </w:tc>
        <w:tc>
          <w:tcPr>
            <w:tcW w:w="968" w:type="pct"/>
            <w:noWrap w:val="0"/>
            <w:vAlign w:val="top"/>
          </w:tcPr>
          <w:p w14:paraId="5C3437E2">
            <w:pPr>
              <w:snapToGrid w:val="0"/>
              <w:spacing w:before="120" w:beforeLines="50" w:after="50" w:line="480" w:lineRule="auto"/>
              <w:rPr>
                <w:rFonts w:hint="eastAsia" w:ascii="宋体" w:hAnsi="宋体" w:eastAsia="宋体" w:cs="Times New Roman"/>
                <w:color w:val="auto"/>
                <w:sz w:val="24"/>
                <w:highlight w:val="none"/>
              </w:rPr>
            </w:pPr>
          </w:p>
        </w:tc>
        <w:tc>
          <w:tcPr>
            <w:tcW w:w="561" w:type="pct"/>
            <w:noWrap w:val="0"/>
            <w:vAlign w:val="top"/>
          </w:tcPr>
          <w:p w14:paraId="4D8702AD">
            <w:pPr>
              <w:snapToGrid w:val="0"/>
              <w:spacing w:before="120" w:beforeLines="50" w:after="50" w:line="480" w:lineRule="auto"/>
              <w:rPr>
                <w:rFonts w:hint="eastAsia" w:ascii="宋体" w:hAnsi="宋体" w:eastAsia="宋体" w:cs="Times New Roman"/>
                <w:color w:val="auto"/>
                <w:sz w:val="24"/>
                <w:highlight w:val="none"/>
              </w:rPr>
            </w:pPr>
          </w:p>
        </w:tc>
        <w:tc>
          <w:tcPr>
            <w:tcW w:w="807" w:type="pct"/>
            <w:noWrap w:val="0"/>
            <w:vAlign w:val="top"/>
          </w:tcPr>
          <w:p w14:paraId="578A274A">
            <w:pPr>
              <w:snapToGrid w:val="0"/>
              <w:spacing w:before="120" w:beforeLines="50" w:after="50" w:line="480" w:lineRule="auto"/>
              <w:rPr>
                <w:rFonts w:hint="eastAsia" w:ascii="宋体" w:hAnsi="宋体" w:eastAsia="宋体" w:cs="Times New Roman"/>
                <w:color w:val="auto"/>
                <w:sz w:val="24"/>
                <w:highlight w:val="none"/>
              </w:rPr>
            </w:pPr>
          </w:p>
        </w:tc>
      </w:tr>
      <w:tr w14:paraId="0A435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9" w:hRule="atLeast"/>
        </w:trPr>
        <w:tc>
          <w:tcPr>
            <w:tcW w:w="517" w:type="pct"/>
            <w:noWrap w:val="0"/>
            <w:vAlign w:val="center"/>
          </w:tcPr>
          <w:p w14:paraId="3BBD7A8E">
            <w:pPr>
              <w:snapToGrid w:val="0"/>
              <w:spacing w:before="120" w:beforeLines="50" w:after="50" w:line="480" w:lineRule="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2</w:t>
            </w:r>
          </w:p>
        </w:tc>
        <w:tc>
          <w:tcPr>
            <w:tcW w:w="771" w:type="pct"/>
            <w:noWrap w:val="0"/>
            <w:vAlign w:val="center"/>
          </w:tcPr>
          <w:p w14:paraId="3A1BA97D">
            <w:pPr>
              <w:snapToGrid w:val="0"/>
              <w:spacing w:before="120" w:beforeLines="50" w:after="50" w:line="480" w:lineRule="auto"/>
              <w:rPr>
                <w:rFonts w:hint="eastAsia" w:ascii="宋体" w:hAnsi="宋体" w:eastAsia="宋体" w:cs="Times New Roman"/>
                <w:color w:val="auto"/>
                <w:sz w:val="24"/>
                <w:highlight w:val="none"/>
              </w:rPr>
            </w:pPr>
          </w:p>
        </w:tc>
        <w:tc>
          <w:tcPr>
            <w:tcW w:w="785" w:type="pct"/>
            <w:noWrap w:val="0"/>
            <w:vAlign w:val="center"/>
          </w:tcPr>
          <w:p w14:paraId="01295375">
            <w:pPr>
              <w:snapToGrid w:val="0"/>
              <w:spacing w:before="120" w:beforeLines="50" w:after="50" w:line="480" w:lineRule="auto"/>
              <w:rPr>
                <w:rFonts w:hint="eastAsia" w:ascii="宋体" w:hAnsi="宋体" w:eastAsia="宋体" w:cs="Times New Roman"/>
                <w:color w:val="auto"/>
                <w:sz w:val="24"/>
                <w:highlight w:val="none"/>
              </w:rPr>
            </w:pPr>
          </w:p>
        </w:tc>
        <w:tc>
          <w:tcPr>
            <w:tcW w:w="589" w:type="pct"/>
            <w:noWrap w:val="0"/>
            <w:vAlign w:val="top"/>
          </w:tcPr>
          <w:p w14:paraId="4A52ECD4">
            <w:pPr>
              <w:snapToGrid w:val="0"/>
              <w:spacing w:before="120" w:beforeLines="50" w:after="50" w:line="480" w:lineRule="auto"/>
              <w:rPr>
                <w:rFonts w:hint="eastAsia" w:ascii="宋体" w:hAnsi="宋体" w:eastAsia="宋体" w:cs="Times New Roman"/>
                <w:color w:val="auto"/>
                <w:sz w:val="24"/>
                <w:highlight w:val="none"/>
              </w:rPr>
            </w:pPr>
          </w:p>
        </w:tc>
        <w:tc>
          <w:tcPr>
            <w:tcW w:w="968" w:type="pct"/>
            <w:noWrap w:val="0"/>
            <w:vAlign w:val="top"/>
          </w:tcPr>
          <w:p w14:paraId="748AFDBC">
            <w:pPr>
              <w:snapToGrid w:val="0"/>
              <w:spacing w:before="120" w:beforeLines="50" w:after="50" w:line="480" w:lineRule="auto"/>
              <w:rPr>
                <w:rFonts w:hint="eastAsia" w:ascii="宋体" w:hAnsi="宋体" w:eastAsia="宋体" w:cs="Times New Roman"/>
                <w:color w:val="auto"/>
                <w:sz w:val="24"/>
                <w:highlight w:val="none"/>
              </w:rPr>
            </w:pPr>
          </w:p>
        </w:tc>
        <w:tc>
          <w:tcPr>
            <w:tcW w:w="561" w:type="pct"/>
            <w:noWrap w:val="0"/>
            <w:vAlign w:val="top"/>
          </w:tcPr>
          <w:p w14:paraId="0A26217C">
            <w:pPr>
              <w:snapToGrid w:val="0"/>
              <w:spacing w:before="120" w:beforeLines="50" w:after="50" w:line="480" w:lineRule="auto"/>
              <w:rPr>
                <w:rFonts w:hint="eastAsia" w:ascii="宋体" w:hAnsi="宋体" w:eastAsia="宋体" w:cs="Times New Roman"/>
                <w:color w:val="auto"/>
                <w:sz w:val="24"/>
                <w:highlight w:val="none"/>
              </w:rPr>
            </w:pPr>
          </w:p>
        </w:tc>
        <w:tc>
          <w:tcPr>
            <w:tcW w:w="807" w:type="pct"/>
            <w:noWrap w:val="0"/>
            <w:vAlign w:val="top"/>
          </w:tcPr>
          <w:p w14:paraId="5EFC4820">
            <w:pPr>
              <w:snapToGrid w:val="0"/>
              <w:spacing w:before="120" w:beforeLines="50" w:after="50" w:line="480" w:lineRule="auto"/>
              <w:rPr>
                <w:rFonts w:hint="eastAsia" w:ascii="宋体" w:hAnsi="宋体" w:eastAsia="宋体" w:cs="Times New Roman"/>
                <w:color w:val="auto"/>
                <w:sz w:val="24"/>
                <w:highlight w:val="none"/>
              </w:rPr>
            </w:pPr>
          </w:p>
        </w:tc>
      </w:tr>
      <w:tr w14:paraId="6BE48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66" w:hRule="atLeast"/>
        </w:trPr>
        <w:tc>
          <w:tcPr>
            <w:tcW w:w="517" w:type="pct"/>
            <w:noWrap w:val="0"/>
            <w:vAlign w:val="center"/>
          </w:tcPr>
          <w:p w14:paraId="0EDCF7FB">
            <w:pPr>
              <w:snapToGrid w:val="0"/>
              <w:spacing w:before="120" w:beforeLines="50" w:after="50" w:line="480" w:lineRule="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3</w:t>
            </w:r>
          </w:p>
        </w:tc>
        <w:tc>
          <w:tcPr>
            <w:tcW w:w="771" w:type="pct"/>
            <w:noWrap w:val="0"/>
            <w:vAlign w:val="center"/>
          </w:tcPr>
          <w:p w14:paraId="5F90FEBC">
            <w:pPr>
              <w:snapToGrid w:val="0"/>
              <w:spacing w:before="120" w:beforeLines="50" w:after="50" w:line="480" w:lineRule="auto"/>
              <w:rPr>
                <w:rFonts w:hint="eastAsia" w:ascii="宋体" w:hAnsi="宋体" w:eastAsia="宋体" w:cs="Times New Roman"/>
                <w:color w:val="auto"/>
                <w:sz w:val="24"/>
                <w:highlight w:val="none"/>
              </w:rPr>
            </w:pPr>
          </w:p>
        </w:tc>
        <w:tc>
          <w:tcPr>
            <w:tcW w:w="785" w:type="pct"/>
            <w:noWrap w:val="0"/>
            <w:vAlign w:val="center"/>
          </w:tcPr>
          <w:p w14:paraId="431A019F">
            <w:pPr>
              <w:snapToGrid w:val="0"/>
              <w:spacing w:before="120" w:beforeLines="50" w:after="50" w:line="480" w:lineRule="auto"/>
              <w:rPr>
                <w:rFonts w:hint="eastAsia" w:ascii="宋体" w:hAnsi="宋体" w:eastAsia="宋体" w:cs="Times New Roman"/>
                <w:color w:val="auto"/>
                <w:sz w:val="24"/>
                <w:highlight w:val="none"/>
              </w:rPr>
            </w:pPr>
          </w:p>
        </w:tc>
        <w:tc>
          <w:tcPr>
            <w:tcW w:w="589" w:type="pct"/>
            <w:noWrap w:val="0"/>
            <w:vAlign w:val="top"/>
          </w:tcPr>
          <w:p w14:paraId="1795FE67">
            <w:pPr>
              <w:snapToGrid w:val="0"/>
              <w:spacing w:before="120" w:beforeLines="50" w:after="50" w:line="480" w:lineRule="auto"/>
              <w:rPr>
                <w:rFonts w:hint="eastAsia" w:ascii="宋体" w:hAnsi="宋体" w:eastAsia="宋体" w:cs="Times New Roman"/>
                <w:color w:val="auto"/>
                <w:sz w:val="24"/>
                <w:highlight w:val="none"/>
              </w:rPr>
            </w:pPr>
          </w:p>
        </w:tc>
        <w:tc>
          <w:tcPr>
            <w:tcW w:w="968" w:type="pct"/>
            <w:noWrap w:val="0"/>
            <w:vAlign w:val="top"/>
          </w:tcPr>
          <w:p w14:paraId="0B27533B">
            <w:pPr>
              <w:snapToGrid w:val="0"/>
              <w:spacing w:before="120" w:beforeLines="50" w:after="50" w:line="480" w:lineRule="auto"/>
              <w:rPr>
                <w:rFonts w:hint="eastAsia" w:ascii="宋体" w:hAnsi="宋体" w:eastAsia="宋体" w:cs="Times New Roman"/>
                <w:color w:val="auto"/>
                <w:sz w:val="24"/>
                <w:highlight w:val="none"/>
              </w:rPr>
            </w:pPr>
          </w:p>
        </w:tc>
        <w:tc>
          <w:tcPr>
            <w:tcW w:w="561" w:type="pct"/>
            <w:noWrap w:val="0"/>
            <w:vAlign w:val="top"/>
          </w:tcPr>
          <w:p w14:paraId="7352BB2E">
            <w:pPr>
              <w:snapToGrid w:val="0"/>
              <w:spacing w:before="120" w:beforeLines="50" w:after="50" w:line="480" w:lineRule="auto"/>
              <w:rPr>
                <w:rFonts w:hint="eastAsia" w:ascii="宋体" w:hAnsi="宋体" w:eastAsia="宋体" w:cs="Times New Roman"/>
                <w:color w:val="auto"/>
                <w:sz w:val="24"/>
                <w:highlight w:val="none"/>
              </w:rPr>
            </w:pPr>
          </w:p>
        </w:tc>
        <w:tc>
          <w:tcPr>
            <w:tcW w:w="807" w:type="pct"/>
            <w:noWrap w:val="0"/>
            <w:vAlign w:val="top"/>
          </w:tcPr>
          <w:p w14:paraId="41434CBE">
            <w:pPr>
              <w:snapToGrid w:val="0"/>
              <w:spacing w:before="120" w:beforeLines="50" w:after="50" w:line="480" w:lineRule="auto"/>
              <w:rPr>
                <w:rFonts w:hint="eastAsia" w:ascii="宋体" w:hAnsi="宋体" w:eastAsia="宋体" w:cs="Times New Roman"/>
                <w:color w:val="auto"/>
                <w:sz w:val="24"/>
                <w:highlight w:val="none"/>
              </w:rPr>
            </w:pPr>
          </w:p>
        </w:tc>
      </w:tr>
      <w:tr w14:paraId="6FBA3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66" w:hRule="atLeast"/>
        </w:trPr>
        <w:tc>
          <w:tcPr>
            <w:tcW w:w="517" w:type="pct"/>
            <w:noWrap w:val="0"/>
            <w:vAlign w:val="center"/>
          </w:tcPr>
          <w:p w14:paraId="7D18ED6C">
            <w:pPr>
              <w:snapToGrid w:val="0"/>
              <w:spacing w:before="120" w:beforeLines="50" w:after="50" w:line="480" w:lineRule="auto"/>
              <w:rPr>
                <w:rFonts w:hint="default"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w:t>
            </w:r>
          </w:p>
        </w:tc>
        <w:tc>
          <w:tcPr>
            <w:tcW w:w="771" w:type="pct"/>
            <w:noWrap w:val="0"/>
            <w:vAlign w:val="center"/>
          </w:tcPr>
          <w:p w14:paraId="51AA0D2A">
            <w:pPr>
              <w:snapToGrid w:val="0"/>
              <w:spacing w:before="120" w:beforeLines="50" w:after="50" w:line="480" w:lineRule="auto"/>
              <w:rPr>
                <w:rFonts w:hint="default" w:ascii="宋体" w:hAnsi="宋体" w:eastAsia="宋体" w:cs="Times New Roman"/>
                <w:color w:val="auto"/>
                <w:sz w:val="24"/>
                <w:highlight w:val="none"/>
                <w:lang w:val="en-US" w:eastAsia="zh-CN"/>
              </w:rPr>
            </w:pPr>
          </w:p>
        </w:tc>
        <w:tc>
          <w:tcPr>
            <w:tcW w:w="785" w:type="pct"/>
            <w:noWrap w:val="0"/>
            <w:vAlign w:val="center"/>
          </w:tcPr>
          <w:p w14:paraId="1DF0B33E">
            <w:pPr>
              <w:snapToGrid w:val="0"/>
              <w:spacing w:before="120" w:beforeLines="50" w:after="50" w:line="480" w:lineRule="auto"/>
              <w:rPr>
                <w:rFonts w:hint="eastAsia" w:ascii="宋体" w:hAnsi="宋体" w:eastAsia="宋体" w:cs="Times New Roman"/>
                <w:color w:val="auto"/>
                <w:sz w:val="24"/>
                <w:highlight w:val="none"/>
              </w:rPr>
            </w:pPr>
          </w:p>
        </w:tc>
        <w:tc>
          <w:tcPr>
            <w:tcW w:w="589" w:type="pct"/>
            <w:noWrap w:val="0"/>
            <w:vAlign w:val="top"/>
          </w:tcPr>
          <w:p w14:paraId="70DBD10A">
            <w:pPr>
              <w:snapToGrid w:val="0"/>
              <w:spacing w:before="120" w:beforeLines="50" w:after="50" w:line="480" w:lineRule="auto"/>
              <w:rPr>
                <w:rFonts w:hint="eastAsia" w:ascii="宋体" w:hAnsi="宋体" w:eastAsia="宋体" w:cs="Times New Roman"/>
                <w:color w:val="auto"/>
                <w:sz w:val="24"/>
                <w:highlight w:val="none"/>
              </w:rPr>
            </w:pPr>
          </w:p>
        </w:tc>
        <w:tc>
          <w:tcPr>
            <w:tcW w:w="968" w:type="pct"/>
            <w:noWrap w:val="0"/>
            <w:vAlign w:val="top"/>
          </w:tcPr>
          <w:p w14:paraId="58E9A26B">
            <w:pPr>
              <w:snapToGrid w:val="0"/>
              <w:spacing w:before="120" w:beforeLines="50" w:after="50" w:line="480" w:lineRule="auto"/>
              <w:rPr>
                <w:rFonts w:hint="eastAsia" w:ascii="宋体" w:hAnsi="宋体" w:eastAsia="宋体" w:cs="Times New Roman"/>
                <w:color w:val="auto"/>
                <w:sz w:val="24"/>
                <w:highlight w:val="none"/>
              </w:rPr>
            </w:pPr>
          </w:p>
        </w:tc>
        <w:tc>
          <w:tcPr>
            <w:tcW w:w="561" w:type="pct"/>
            <w:noWrap w:val="0"/>
            <w:vAlign w:val="top"/>
          </w:tcPr>
          <w:p w14:paraId="48232151">
            <w:pPr>
              <w:snapToGrid w:val="0"/>
              <w:spacing w:before="120" w:beforeLines="50" w:after="50" w:line="480" w:lineRule="auto"/>
              <w:rPr>
                <w:rFonts w:hint="eastAsia" w:ascii="宋体" w:hAnsi="宋体" w:eastAsia="宋体" w:cs="Times New Roman"/>
                <w:color w:val="auto"/>
                <w:sz w:val="24"/>
                <w:highlight w:val="none"/>
              </w:rPr>
            </w:pPr>
          </w:p>
        </w:tc>
        <w:tc>
          <w:tcPr>
            <w:tcW w:w="807" w:type="pct"/>
            <w:noWrap w:val="0"/>
            <w:vAlign w:val="top"/>
          </w:tcPr>
          <w:p w14:paraId="3A1EC3D5">
            <w:pPr>
              <w:snapToGrid w:val="0"/>
              <w:spacing w:before="120" w:beforeLines="50" w:after="50" w:line="480" w:lineRule="auto"/>
              <w:rPr>
                <w:rFonts w:hint="eastAsia" w:ascii="宋体" w:hAnsi="宋体" w:eastAsia="宋体" w:cs="Times New Roman"/>
                <w:color w:val="auto"/>
                <w:sz w:val="24"/>
                <w:highlight w:val="none"/>
              </w:rPr>
            </w:pPr>
          </w:p>
        </w:tc>
      </w:tr>
      <w:tr w14:paraId="632E1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trPr>
        <w:tc>
          <w:tcPr>
            <w:tcW w:w="2073" w:type="pct"/>
            <w:gridSpan w:val="3"/>
            <w:noWrap w:val="0"/>
            <w:vAlign w:val="center"/>
          </w:tcPr>
          <w:p w14:paraId="1F45AA75">
            <w:pPr>
              <w:snapToGrid w:val="0"/>
              <w:spacing w:before="120" w:beforeLines="50" w:after="50" w:line="480" w:lineRule="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合   计（小写）</w:t>
            </w:r>
          </w:p>
        </w:tc>
        <w:tc>
          <w:tcPr>
            <w:tcW w:w="2926" w:type="pct"/>
            <w:gridSpan w:val="4"/>
            <w:noWrap w:val="0"/>
            <w:vAlign w:val="center"/>
          </w:tcPr>
          <w:p w14:paraId="4BAFFE66">
            <w:pPr>
              <w:snapToGrid w:val="0"/>
              <w:spacing w:before="120" w:beforeLines="50" w:after="50" w:line="480" w:lineRule="auto"/>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元</w:t>
            </w:r>
          </w:p>
        </w:tc>
      </w:tr>
      <w:tr w14:paraId="1D197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2073" w:type="pct"/>
            <w:gridSpan w:val="3"/>
            <w:noWrap w:val="0"/>
            <w:vAlign w:val="center"/>
          </w:tcPr>
          <w:p w14:paraId="4340D195">
            <w:pPr>
              <w:snapToGrid w:val="0"/>
              <w:spacing w:before="120" w:beforeLines="50" w:after="50" w:line="480" w:lineRule="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总计价（大写）</w:t>
            </w:r>
          </w:p>
        </w:tc>
        <w:tc>
          <w:tcPr>
            <w:tcW w:w="2926" w:type="pct"/>
            <w:gridSpan w:val="4"/>
            <w:noWrap w:val="0"/>
            <w:vAlign w:val="center"/>
          </w:tcPr>
          <w:p w14:paraId="53E037B5">
            <w:pPr>
              <w:snapToGrid w:val="0"/>
              <w:spacing w:before="120" w:beforeLines="50" w:after="50" w:line="480" w:lineRule="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元整</w:t>
            </w:r>
          </w:p>
        </w:tc>
      </w:tr>
    </w:tbl>
    <w:p w14:paraId="57ED2C41">
      <w:pPr>
        <w:snapToGrid w:val="0"/>
        <w:spacing w:line="360" w:lineRule="auto"/>
        <w:ind w:firstLine="482" w:firstLineChars="200"/>
        <w:rPr>
          <w:rFonts w:hint="eastAsia" w:ascii="宋体" w:hAnsi="宋体" w:eastAsia="宋体" w:cs="宋体"/>
          <w:color w:val="000000"/>
          <w:kern w:val="0"/>
          <w:sz w:val="24"/>
          <w:highlight w:val="none"/>
          <w:lang w:val="zh-CN"/>
        </w:rPr>
      </w:pPr>
      <w:r>
        <w:rPr>
          <w:rFonts w:hint="eastAsia" w:ascii="宋体" w:hAnsi="宋体" w:eastAsia="宋体" w:cs="宋体"/>
          <w:b/>
          <w:color w:val="000000"/>
          <w:kern w:val="0"/>
          <w:sz w:val="24"/>
          <w:highlight w:val="none"/>
          <w:lang w:val="zh-CN"/>
        </w:rPr>
        <w:t>注：</w:t>
      </w:r>
      <w:r>
        <w:rPr>
          <w:rFonts w:hint="eastAsia" w:ascii="宋体" w:hAnsi="宋体" w:eastAsia="宋体" w:cs="宋体"/>
          <w:b w:val="0"/>
          <w:bCs/>
          <w:color w:val="000000"/>
          <w:kern w:val="0"/>
          <w:sz w:val="24"/>
          <w:highlight w:val="none"/>
          <w:lang w:val="en-US" w:eastAsia="zh-CN"/>
        </w:rPr>
        <w:t>1、</w:t>
      </w:r>
      <w:r>
        <w:rPr>
          <w:rFonts w:hint="eastAsia" w:ascii="宋体" w:hAnsi="宋体" w:eastAsia="宋体" w:cs="宋体"/>
          <w:color w:val="000000"/>
          <w:kern w:val="0"/>
          <w:sz w:val="24"/>
          <w:highlight w:val="none"/>
          <w:lang w:val="zh-CN"/>
        </w:rPr>
        <w:t>总计价应与“开标一览表”中投标报价相一致。</w:t>
      </w:r>
    </w:p>
    <w:p w14:paraId="0FA8315D">
      <w:pPr>
        <w:snapToGrid w:val="0"/>
        <w:spacing w:line="360" w:lineRule="auto"/>
        <w:ind w:firstLine="960" w:firstLineChars="400"/>
        <w:rPr>
          <w:rFonts w:hint="eastAsia"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lang w:val="en-US" w:eastAsia="zh-CN"/>
        </w:rPr>
        <w:t>2</w:t>
      </w:r>
      <w:r>
        <w:rPr>
          <w:rFonts w:hint="eastAsia" w:ascii="宋体" w:hAnsi="宋体" w:eastAsia="宋体" w:cs="宋体"/>
          <w:color w:val="000000"/>
          <w:kern w:val="0"/>
          <w:sz w:val="24"/>
          <w:highlight w:val="none"/>
          <w:lang w:val="zh-CN"/>
        </w:rPr>
        <w:t>、投标人需按本表格式填写</w:t>
      </w:r>
      <w:r>
        <w:rPr>
          <w:rFonts w:hint="eastAsia" w:ascii="宋体" w:hAnsi="宋体" w:eastAsia="宋体" w:cs="宋体"/>
          <w:color w:val="000000"/>
          <w:kern w:val="0"/>
          <w:sz w:val="24"/>
          <w:highlight w:val="none"/>
          <w:lang w:val="zh-CN" w:eastAsia="zh-CN"/>
        </w:rPr>
        <w:t>。</w:t>
      </w:r>
      <w:r>
        <w:rPr>
          <w:rFonts w:hint="eastAsia" w:ascii="宋体" w:hAnsi="宋体" w:eastAsia="宋体" w:cs="宋体"/>
          <w:b/>
          <w:bCs/>
          <w:i w:val="0"/>
          <w:iCs w:val="0"/>
          <w:color w:val="000000"/>
          <w:kern w:val="0"/>
          <w:sz w:val="24"/>
          <w:highlight w:val="none"/>
          <w:lang w:val="zh-CN"/>
        </w:rPr>
        <w:t>结算时：固定单价不变，按实结算。</w:t>
      </w:r>
    </w:p>
    <w:p w14:paraId="69697C2F">
      <w:pPr>
        <w:pStyle w:val="13"/>
        <w:spacing w:line="360" w:lineRule="auto"/>
        <w:ind w:firstLine="960" w:firstLineChars="400"/>
        <w:rPr>
          <w:rFonts w:hint="eastAsia" w:hAnsi="宋体"/>
          <w:color w:val="000000"/>
          <w:sz w:val="24"/>
        </w:rPr>
      </w:pPr>
      <w:r>
        <w:rPr>
          <w:rFonts w:hint="eastAsia" w:hAnsi="宋体" w:cs="宋体"/>
          <w:color w:val="000000"/>
          <w:kern w:val="0"/>
          <w:sz w:val="24"/>
          <w:highlight w:val="none"/>
          <w:lang w:val="en-US" w:eastAsia="zh-CN"/>
        </w:rPr>
        <w:t>3</w:t>
      </w:r>
      <w:r>
        <w:rPr>
          <w:rFonts w:hint="eastAsia" w:ascii="宋体" w:hAnsi="宋体" w:eastAsia="宋体" w:cs="宋体"/>
          <w:color w:val="000000"/>
          <w:kern w:val="0"/>
          <w:sz w:val="24"/>
          <w:highlight w:val="none"/>
          <w:lang w:val="zh-CN"/>
        </w:rPr>
        <w:t>、有关本项目实施所涉及的一切费用均计入报价。</w:t>
      </w:r>
    </w:p>
    <w:p w14:paraId="03D63BE6">
      <w:pPr>
        <w:spacing w:line="360" w:lineRule="auto"/>
        <w:jc w:val="center"/>
        <w:rPr>
          <w:rFonts w:hint="eastAsia" w:ascii="宋体" w:hAnsi="宋体" w:cs="宋体"/>
          <w:b w:val="0"/>
          <w:bCs w:val="0"/>
          <w:color w:val="000000"/>
          <w:sz w:val="24"/>
          <w:szCs w:val="24"/>
          <w:lang w:val="en-US" w:eastAsia="zh-CN"/>
        </w:rPr>
      </w:pPr>
      <w:r>
        <w:rPr>
          <w:rFonts w:hint="eastAsia" w:ascii="宋体" w:hAnsi="宋体" w:cs="宋体"/>
          <w:b w:val="0"/>
          <w:bCs w:val="0"/>
          <w:color w:val="000000"/>
          <w:sz w:val="24"/>
          <w:szCs w:val="24"/>
          <w:lang w:val="en-US" w:eastAsia="zh-CN"/>
        </w:rPr>
        <w:t xml:space="preserve">                                                </w:t>
      </w:r>
    </w:p>
    <w:p w14:paraId="1EAF2729">
      <w:pPr>
        <w:spacing w:line="360" w:lineRule="auto"/>
        <w:jc w:val="center"/>
        <w:rPr>
          <w:rFonts w:hint="eastAsia" w:ascii="宋体" w:hAnsi="宋体" w:cs="宋体"/>
          <w:b w:val="0"/>
          <w:bCs w:val="0"/>
          <w:color w:val="000000"/>
          <w:sz w:val="24"/>
          <w:szCs w:val="24"/>
        </w:rPr>
      </w:pPr>
      <w:r>
        <w:rPr>
          <w:rFonts w:hint="eastAsia" w:ascii="宋体" w:hAnsi="宋体" w:cs="宋体"/>
          <w:b w:val="0"/>
          <w:bCs w:val="0"/>
          <w:color w:val="000000"/>
          <w:sz w:val="24"/>
          <w:szCs w:val="24"/>
          <w:lang w:val="en-US" w:eastAsia="zh-CN"/>
        </w:rPr>
        <w:t xml:space="preserve">                                         </w:t>
      </w:r>
      <w:r>
        <w:rPr>
          <w:rFonts w:hint="eastAsia" w:ascii="宋体" w:hAnsi="宋体" w:eastAsia="宋体" w:cs="宋体"/>
          <w:color w:val="auto"/>
          <w:sz w:val="24"/>
          <w:highlight w:val="none"/>
        </w:rPr>
        <w:t>供应商全称</w:t>
      </w:r>
      <w:r>
        <w:rPr>
          <w:rFonts w:hint="eastAsia" w:ascii="宋体" w:hAnsi="宋体" w:cs="宋体"/>
          <w:b w:val="0"/>
          <w:bCs w:val="0"/>
          <w:color w:val="000000"/>
          <w:sz w:val="24"/>
          <w:szCs w:val="24"/>
        </w:rPr>
        <w:t>（盖章）：</w:t>
      </w:r>
    </w:p>
    <w:p w14:paraId="1C5D92BC">
      <w:pPr>
        <w:spacing w:line="360" w:lineRule="auto"/>
        <w:jc w:val="left"/>
        <w:rPr>
          <w:rFonts w:hint="eastAsia" w:ascii="宋体" w:hAnsi="宋体" w:cs="宋体"/>
          <w:b w:val="0"/>
          <w:bCs w:val="0"/>
          <w:sz w:val="24"/>
          <w:szCs w:val="24"/>
        </w:rPr>
        <w:sectPr>
          <w:pgSz w:w="11906" w:h="16838"/>
          <w:pgMar w:top="1800" w:right="1440" w:bottom="1800" w:left="1440" w:header="851" w:footer="992" w:gutter="0"/>
          <w:pgNumType w:fmt="numberInDash"/>
          <w:cols w:space="425" w:num="1"/>
          <w:docGrid w:type="lines" w:linePitch="312" w:charSpace="0"/>
        </w:sectPr>
      </w:pPr>
      <w:r>
        <w:rPr>
          <w:rFonts w:hint="eastAsia" w:ascii="宋体" w:hAnsi="宋体" w:cs="宋体"/>
          <w:b w:val="0"/>
          <w:bCs w:val="0"/>
          <w:color w:val="000000"/>
          <w:sz w:val="24"/>
          <w:szCs w:val="24"/>
          <w:lang w:val="en-US" w:eastAsia="zh-CN"/>
        </w:rPr>
        <w:t xml:space="preserve">                                                </w:t>
      </w:r>
      <w:r>
        <w:rPr>
          <w:rFonts w:hint="eastAsia" w:ascii="宋体" w:hAnsi="宋体" w:cs="宋体"/>
          <w:b w:val="0"/>
          <w:bCs w:val="0"/>
          <w:color w:val="000000"/>
          <w:sz w:val="24"/>
          <w:szCs w:val="24"/>
        </w:rPr>
        <w:t xml:space="preserve">日 期：  年  月 </w:t>
      </w:r>
      <w:r>
        <w:rPr>
          <w:rFonts w:hint="eastAsia" w:ascii="宋体" w:hAnsi="宋体" w:cs="宋体"/>
          <w:b w:val="0"/>
          <w:bCs w:val="0"/>
          <w:color w:val="000000"/>
          <w:sz w:val="24"/>
          <w:szCs w:val="24"/>
          <w:lang w:val="en-US" w:eastAsia="zh-CN"/>
        </w:rPr>
        <w:t xml:space="preserve"> 日</w:t>
      </w:r>
      <w:r>
        <w:rPr>
          <w:rFonts w:hint="eastAsia" w:ascii="宋体" w:hAnsi="宋体" w:cs="宋体"/>
          <w:b w:val="0"/>
          <w:bCs w:val="0"/>
          <w:sz w:val="24"/>
          <w:szCs w:val="24"/>
        </w:rPr>
        <w:br w:type="page"/>
      </w:r>
    </w:p>
    <w:p w14:paraId="236B5924">
      <w:pPr>
        <w:snapToGrid w:val="0"/>
        <w:spacing w:line="336" w:lineRule="auto"/>
        <w:jc w:val="left"/>
        <w:outlineLvl w:val="0"/>
        <w:rPr>
          <w:rFonts w:hint="eastAsia" w:ascii="宋体" w:hAnsi="宋体" w:eastAsia="宋体" w:cs="宋体"/>
          <w:b/>
          <w:bCs/>
          <w:sz w:val="22"/>
          <w:szCs w:val="22"/>
          <w:lang w:val="en-US" w:eastAsia="zh-CN"/>
        </w:rPr>
      </w:pPr>
      <w:r>
        <w:rPr>
          <w:rFonts w:hint="eastAsia" w:ascii="宋体" w:hAnsi="宋体" w:eastAsia="宋体" w:cs="宋体"/>
          <w:b/>
          <w:bCs/>
          <w:sz w:val="22"/>
          <w:szCs w:val="22"/>
          <w:lang w:val="en-US" w:eastAsia="zh-CN"/>
        </w:rPr>
        <w:t>附件1</w:t>
      </w:r>
      <w:r>
        <w:rPr>
          <w:rFonts w:hint="eastAsia" w:ascii="宋体" w:hAnsi="宋体" w:cs="宋体"/>
          <w:b/>
          <w:bCs/>
          <w:sz w:val="22"/>
          <w:szCs w:val="22"/>
          <w:lang w:val="en-US" w:eastAsia="zh-CN"/>
        </w:rPr>
        <w:t>1</w:t>
      </w:r>
      <w:r>
        <w:rPr>
          <w:rFonts w:hint="eastAsia" w:ascii="宋体" w:hAnsi="宋体" w:eastAsia="宋体" w:cs="宋体"/>
          <w:b/>
          <w:bCs/>
          <w:sz w:val="22"/>
          <w:szCs w:val="22"/>
          <w:lang w:val="en-US" w:eastAsia="zh-CN"/>
        </w:rPr>
        <w:t xml:space="preserve">                 </w:t>
      </w:r>
    </w:p>
    <w:p w14:paraId="5C9325DD">
      <w:pPr>
        <w:snapToGrid w:val="0"/>
        <w:spacing w:line="336" w:lineRule="auto"/>
        <w:jc w:val="center"/>
        <w:outlineLvl w:val="1"/>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分包意向协议（如有）</w:t>
      </w:r>
    </w:p>
    <w:p w14:paraId="22F61925">
      <w:pPr>
        <w:widowControl/>
        <w:spacing w:line="336" w:lineRule="auto"/>
        <w:ind w:firstLine="361" w:firstLineChars="1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[中标后以分包方式履行合同的，提供分包意向协议；采购人不同意分包或者供应商中标后不以分包方式履行合同的，则不需要提供。]</w:t>
      </w:r>
    </w:p>
    <w:p w14:paraId="5560660E">
      <w:pPr>
        <w:spacing w:line="460" w:lineRule="exact"/>
        <w:ind w:firstLine="442" w:firstLineChars="200"/>
        <w:rPr>
          <w:rFonts w:hint="eastAsia" w:ascii="宋体" w:hAnsi="宋体" w:cs="宋体"/>
          <w:b/>
          <w:bCs/>
          <w:sz w:val="22"/>
          <w:szCs w:val="22"/>
        </w:rPr>
        <w:sectPr>
          <w:pgSz w:w="11906" w:h="16838"/>
          <w:pgMar w:top="1440" w:right="1080" w:bottom="1440" w:left="1080" w:header="851" w:footer="992" w:gutter="0"/>
          <w:cols w:space="720" w:num="1"/>
          <w:docGrid w:type="lines" w:linePitch="312" w:charSpace="0"/>
        </w:sectPr>
      </w:pPr>
    </w:p>
    <w:p w14:paraId="7AE3B90D">
      <w:pPr>
        <w:snapToGrid w:val="0"/>
        <w:spacing w:line="336" w:lineRule="auto"/>
        <w:jc w:val="left"/>
        <w:outlineLvl w:val="0"/>
        <w:rPr>
          <w:rFonts w:hint="eastAsia" w:ascii="宋体" w:hAnsi="宋体" w:eastAsia="宋体" w:cs="宋体"/>
          <w:b/>
          <w:bCs/>
          <w:sz w:val="22"/>
          <w:szCs w:val="22"/>
          <w:lang w:val="en-US" w:eastAsia="zh-CN"/>
        </w:rPr>
      </w:pPr>
      <w:r>
        <w:rPr>
          <w:rFonts w:hint="eastAsia" w:ascii="宋体" w:hAnsi="宋体" w:eastAsia="宋体" w:cs="宋体"/>
          <w:b/>
          <w:bCs/>
          <w:sz w:val="22"/>
          <w:szCs w:val="22"/>
          <w:lang w:val="en-US" w:eastAsia="zh-CN"/>
        </w:rPr>
        <w:t xml:space="preserve">   </w:t>
      </w:r>
    </w:p>
    <w:p w14:paraId="13257A95">
      <w:pPr>
        <w:snapToGrid w:val="0"/>
        <w:spacing w:line="336" w:lineRule="auto"/>
        <w:jc w:val="center"/>
        <w:outlineLvl w:val="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分包意向协议</w:t>
      </w:r>
    </w:p>
    <w:p w14:paraId="29F42F69">
      <w:pPr>
        <w:widowControl/>
        <w:spacing w:line="336"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成交后以分包方式履行合同的，提供分包意向协议；采购人不同意分包或者供应商成交后不以分包方式履行合同的，则不需要提供。</w:t>
      </w:r>
      <w:r>
        <w:rPr>
          <w:rFonts w:hint="eastAsia" w:ascii="宋体" w:hAnsi="宋体" w:eastAsia="宋体" w:cs="宋体"/>
          <w:color w:val="auto"/>
          <w:sz w:val="24"/>
          <w:highlight w:val="none"/>
        </w:rPr>
        <w:t>）</w:t>
      </w:r>
    </w:p>
    <w:p w14:paraId="035F7F74">
      <w:pPr>
        <w:snapToGrid w:val="0"/>
        <w:spacing w:line="336"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（项目名称）【项目编号：（采购编号）】</w:t>
      </w:r>
      <w:r>
        <w:rPr>
          <w:rFonts w:hint="eastAsia" w:ascii="宋体" w:hAnsi="宋体" w:eastAsia="宋体" w:cs="宋体"/>
          <w:color w:val="auto"/>
          <w:kern w:val="0"/>
          <w:sz w:val="24"/>
          <w:highlight w:val="none"/>
          <w:lang w:val="zh-CN"/>
        </w:rPr>
        <w:t>的成交供应商，将依法采取分包方式履行合同。</w:t>
      </w: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16ACEBAF">
      <w:pPr>
        <w:snapToGrid w:val="0"/>
        <w:spacing w:line="336" w:lineRule="auto"/>
        <w:ind w:firstLine="576"/>
        <w:outlineLvl w:val="1"/>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68E1891D">
      <w:pPr>
        <w:snapToGrid w:val="0"/>
        <w:spacing w:line="336"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（分包供应商2名称），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74C1DE6E">
      <w:pPr>
        <w:pStyle w:val="3"/>
        <w:spacing w:line="336" w:lineRule="auto"/>
        <w:ind w:left="0" w:firstLine="229" w:firstLineChars="95"/>
        <w:outlineLvl w:val="2"/>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4E7AE736">
      <w:pPr>
        <w:spacing w:line="336" w:lineRule="auto"/>
        <w:ind w:firstLine="305"/>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w:t>
      </w:r>
    </w:p>
    <w:p w14:paraId="5DA4A927">
      <w:pPr>
        <w:snapToGrid w:val="0"/>
        <w:spacing w:line="336" w:lineRule="auto"/>
        <w:ind w:firstLine="576"/>
        <w:outlineLvl w:val="1"/>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二、分包供应商中小企业合同份额（如有）</w:t>
      </w:r>
    </w:p>
    <w:p w14:paraId="57E9D569">
      <w:pPr>
        <w:snapToGrid w:val="0"/>
        <w:spacing w:line="336"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（分包供应商X,……）提供的服务全部由小微企业承接，</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033CD506">
      <w:pPr>
        <w:spacing w:line="336"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cs="宋体"/>
          <w:b/>
          <w:bCs/>
          <w:sz w:val="24"/>
        </w:rPr>
        <w:t>要求合同分包形式参加的项目或采购包，供应商按采购文件第一部分招标公告申请人的资格要求中规定的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eastAsia="宋体" w:cs="宋体"/>
          <w:b/>
          <w:bCs/>
          <w:color w:val="auto"/>
          <w:kern w:val="0"/>
          <w:sz w:val="24"/>
          <w:highlight w:val="none"/>
          <w:lang w:val="zh-CN"/>
        </w:rPr>
        <w:t>）</w:t>
      </w:r>
    </w:p>
    <w:p w14:paraId="64FBD906">
      <w:pPr>
        <w:snapToGrid w:val="0"/>
        <w:spacing w:line="336" w:lineRule="auto"/>
        <w:ind w:firstLine="576"/>
        <w:outlineLvl w:val="1"/>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14:paraId="1C7264E1">
      <w:pPr>
        <w:snapToGrid w:val="0"/>
        <w:spacing w:line="336"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67486CB7">
      <w:pPr>
        <w:snapToGrid w:val="0"/>
        <w:spacing w:line="336" w:lineRule="auto"/>
        <w:ind w:firstLine="576"/>
        <w:outlineLvl w:val="1"/>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14:paraId="6EAE8CC8">
      <w:pPr>
        <w:snapToGrid w:val="0"/>
        <w:spacing w:line="336"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4986DCD3">
      <w:pPr>
        <w:numPr>
          <w:ilvl w:val="0"/>
          <w:numId w:val="5"/>
        </w:numPr>
        <w:snapToGrid w:val="0"/>
        <w:spacing w:line="336" w:lineRule="auto"/>
        <w:ind w:firstLine="576"/>
        <w:outlineLvl w:val="1"/>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价款或者报酬</w:t>
      </w:r>
    </w:p>
    <w:p w14:paraId="647DBD18">
      <w:pPr>
        <w:snapToGrid w:val="0"/>
        <w:spacing w:line="336"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67FC4F48">
      <w:pPr>
        <w:pStyle w:val="3"/>
        <w:numPr>
          <w:ilvl w:val="-1"/>
          <w:numId w:val="0"/>
        </w:numPr>
        <w:ind w:left="0" w:firstLine="480" w:firstLineChars="200"/>
        <w:outlineLvl w:val="1"/>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kern w:val="0"/>
          <w:sz w:val="24"/>
          <w:highlight w:val="none"/>
          <w:lang w:val="zh-CN"/>
        </w:rPr>
        <w:t>六、违约责任</w:t>
      </w:r>
    </w:p>
    <w:p w14:paraId="33BD3322">
      <w:pPr>
        <w:snapToGrid w:val="0"/>
        <w:spacing w:line="336"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478D4BA5">
      <w:pPr>
        <w:snapToGrid w:val="0"/>
        <w:spacing w:line="336" w:lineRule="auto"/>
        <w:ind w:firstLine="576"/>
        <w:outlineLvl w:val="1"/>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14:paraId="76D0CBC4">
      <w:pPr>
        <w:snapToGrid w:val="0"/>
        <w:spacing w:line="336"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170109C6">
      <w:pPr>
        <w:snapToGrid w:val="0"/>
        <w:spacing w:line="336" w:lineRule="auto"/>
        <w:ind w:firstLine="576"/>
        <w:outlineLvl w:val="1"/>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八、其他</w:t>
      </w:r>
    </w:p>
    <w:p w14:paraId="1F81F20D">
      <w:pPr>
        <w:snapToGrid w:val="0"/>
        <w:spacing w:line="336" w:lineRule="auto"/>
        <w:ind w:left="5519" w:leftChars="228" w:hanging="5040" w:hangingChars="2100"/>
        <w:jc w:val="left"/>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供应商名称(电子签名)：</w:t>
      </w:r>
    </w:p>
    <w:p w14:paraId="27C0FD78">
      <w:pPr>
        <w:snapToGrid w:val="0"/>
        <w:spacing w:line="336"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14:paraId="08624A5D">
      <w:pPr>
        <w:snapToGrid w:val="0"/>
        <w:spacing w:line="336"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4C1E49F7">
      <w:pPr>
        <w:spacing w:line="336" w:lineRule="auto"/>
        <w:jc w:val="center"/>
        <w:outlineLvl w:val="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433A3DE5">
      <w:pPr>
        <w:spacing w:line="360" w:lineRule="auto"/>
        <w:jc w:val="left"/>
        <w:rPr>
          <w:rFonts w:hint="eastAsia" w:ascii="宋体" w:hAnsi="宋体" w:cs="宋体"/>
          <w:b/>
          <w:szCs w:val="21"/>
        </w:rPr>
        <w:sectPr>
          <w:pgSz w:w="11906" w:h="16838"/>
          <w:pgMar w:top="1800" w:right="1440" w:bottom="1800" w:left="1440" w:header="851" w:footer="992" w:gutter="0"/>
          <w:pgNumType w:fmt="numberInDash"/>
          <w:cols w:space="425" w:num="1"/>
          <w:docGrid w:type="lines" w:linePitch="312" w:charSpace="0"/>
        </w:sectPr>
      </w:pPr>
    </w:p>
    <w:p w14:paraId="735F18EE">
      <w:pPr>
        <w:spacing w:line="360" w:lineRule="auto"/>
        <w:jc w:val="left"/>
        <w:rPr>
          <w:rFonts w:hint="default" w:ascii="宋体" w:hAnsi="宋体" w:eastAsia="宋体" w:cs="宋体"/>
          <w:b/>
          <w:szCs w:val="21"/>
          <w:lang w:val="en-US" w:eastAsia="zh-CN"/>
        </w:rPr>
      </w:pPr>
      <w:r>
        <w:rPr>
          <w:rFonts w:hint="eastAsia" w:ascii="宋体" w:hAnsi="宋体" w:cs="宋体"/>
          <w:b/>
          <w:szCs w:val="21"/>
        </w:rPr>
        <w:t>附件</w:t>
      </w:r>
      <w:r>
        <w:rPr>
          <w:rFonts w:hint="eastAsia" w:ascii="宋体" w:hAnsi="宋体" w:cs="宋体"/>
          <w:b/>
          <w:szCs w:val="21"/>
          <w:lang w:val="en-US" w:eastAsia="zh-CN"/>
        </w:rPr>
        <w:t>12</w:t>
      </w:r>
    </w:p>
    <w:p w14:paraId="25D37A59">
      <w:pPr>
        <w:widowControl/>
        <w:spacing w:before="100" w:beforeAutospacing="1" w:after="100" w:afterAutospacing="1" w:line="440" w:lineRule="atLeast"/>
        <w:jc w:val="center"/>
        <w:rPr>
          <w:rFonts w:hint="eastAsia" w:ascii="宋体" w:hAnsi="宋体" w:cs="宋体"/>
          <w:b/>
          <w:sz w:val="24"/>
        </w:rPr>
      </w:pPr>
      <w:r>
        <w:rPr>
          <w:rFonts w:hint="eastAsia" w:ascii="宋体" w:hAnsi="宋体" w:cs="宋体"/>
          <w:b/>
          <w:bCs/>
          <w:sz w:val="24"/>
        </w:rPr>
        <w:t>中小企业声明函（服务）</w:t>
      </w:r>
    </w:p>
    <w:p w14:paraId="6579EAF9">
      <w:pPr>
        <w:widowControl/>
        <w:tabs>
          <w:tab w:val="left" w:pos="312"/>
        </w:tabs>
        <w:spacing w:line="500" w:lineRule="atLeast"/>
        <w:ind w:firstLine="480" w:firstLineChars="200"/>
        <w:jc w:val="left"/>
        <w:rPr>
          <w:rFonts w:hint="eastAsia" w:ascii="宋体" w:hAnsi="宋体" w:cs="宋体"/>
          <w:bCs/>
          <w:sz w:val="24"/>
          <w:szCs w:val="24"/>
        </w:rPr>
      </w:pPr>
      <w:r>
        <w:rPr>
          <w:rFonts w:hint="eastAsia" w:ascii="宋体" w:hAnsi="宋体" w:cs="宋体"/>
          <w:bCs/>
          <w:sz w:val="24"/>
          <w:szCs w:val="24"/>
        </w:rPr>
        <w:t xml:space="preserve">本公司（联合体）郑重声明，根据《政府采购促进中小企业发展管理办法》（财库﹝2020﹞46 号）的规定，本公司（联合体）参加 </w:t>
      </w:r>
      <w:r>
        <w:rPr>
          <w:rFonts w:hint="eastAsia" w:ascii="宋体" w:hAnsi="宋体" w:cs="宋体"/>
          <w:bCs/>
          <w:sz w:val="24"/>
          <w:szCs w:val="24"/>
          <w:u w:val="single"/>
        </w:rPr>
        <w:t>（单位名称）</w:t>
      </w:r>
      <w:r>
        <w:rPr>
          <w:rFonts w:hint="eastAsia" w:ascii="宋体" w:hAnsi="宋体" w:cs="宋体"/>
          <w:bCs/>
          <w:sz w:val="24"/>
          <w:szCs w:val="24"/>
        </w:rPr>
        <w:t xml:space="preserve"> 的</w:t>
      </w:r>
      <w:r>
        <w:rPr>
          <w:rFonts w:hint="eastAsia" w:ascii="宋体" w:hAnsi="宋体" w:cs="宋体"/>
          <w:bCs/>
          <w:sz w:val="24"/>
          <w:szCs w:val="24"/>
          <w:u w:val="single"/>
        </w:rPr>
        <w:t xml:space="preserve"> （项目名称） </w:t>
      </w:r>
      <w:r>
        <w:rPr>
          <w:rFonts w:hint="eastAsia" w:ascii="宋体" w:hAnsi="宋体" w:cs="宋体"/>
          <w:bCs/>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4432E58A">
      <w:pPr>
        <w:widowControl/>
        <w:tabs>
          <w:tab w:val="left" w:pos="312"/>
        </w:tabs>
        <w:spacing w:line="500" w:lineRule="atLeast"/>
        <w:ind w:firstLine="480" w:firstLineChars="200"/>
        <w:jc w:val="left"/>
        <w:rPr>
          <w:rFonts w:hint="eastAsia" w:ascii="宋体" w:hAnsi="宋体" w:cs="宋体"/>
          <w:bCs/>
          <w:sz w:val="24"/>
          <w:szCs w:val="24"/>
        </w:rPr>
      </w:pPr>
      <w:r>
        <w:rPr>
          <w:rFonts w:hint="eastAsia" w:ascii="宋体" w:hAnsi="宋体" w:cs="宋体"/>
          <w:bCs/>
          <w:sz w:val="24"/>
          <w:szCs w:val="24"/>
        </w:rPr>
        <w:t xml:space="preserve">1. </w:t>
      </w:r>
      <w:r>
        <w:rPr>
          <w:rFonts w:hint="eastAsia" w:ascii="宋体" w:hAnsi="宋体" w:cs="宋体"/>
          <w:bCs/>
          <w:sz w:val="24"/>
          <w:szCs w:val="24"/>
          <w:u w:val="single"/>
        </w:rPr>
        <w:t>（标的名称）</w:t>
      </w:r>
      <w:r>
        <w:rPr>
          <w:rFonts w:hint="eastAsia" w:ascii="宋体" w:hAnsi="宋体" w:cs="宋体"/>
          <w:bCs/>
          <w:sz w:val="24"/>
          <w:szCs w:val="24"/>
        </w:rPr>
        <w:t xml:space="preserve"> ，属于</w:t>
      </w:r>
      <w:r>
        <w:rPr>
          <w:rFonts w:hint="eastAsia" w:ascii="宋体" w:hAnsi="宋体" w:cs="宋体"/>
          <w:bCs/>
          <w:sz w:val="24"/>
          <w:szCs w:val="24"/>
          <w:u w:val="single"/>
        </w:rPr>
        <w:t xml:space="preserve"> </w:t>
      </w:r>
      <w:r>
        <w:rPr>
          <w:rFonts w:hint="eastAsia" w:ascii="宋体" w:hAnsi="宋体" w:cs="宋体"/>
          <w:b/>
          <w:sz w:val="24"/>
          <w:szCs w:val="24"/>
          <w:u w:val="single"/>
        </w:rPr>
        <w:t>其他未列明行业</w:t>
      </w:r>
      <w:r>
        <w:rPr>
          <w:rFonts w:hint="eastAsia" w:ascii="宋体" w:hAnsi="宋体" w:cs="宋体"/>
          <w:bCs/>
          <w:sz w:val="24"/>
          <w:szCs w:val="24"/>
          <w:u w:val="single"/>
        </w:rPr>
        <w:t>（采购文件中明确的所属行业）</w:t>
      </w:r>
      <w:r>
        <w:rPr>
          <w:rFonts w:hint="eastAsia" w:ascii="宋体" w:hAnsi="宋体" w:cs="宋体"/>
          <w:bCs/>
          <w:sz w:val="24"/>
          <w:szCs w:val="24"/>
        </w:rPr>
        <w:t>行业 ；承建（承接）企业为</w:t>
      </w:r>
      <w:r>
        <w:rPr>
          <w:rFonts w:hint="eastAsia" w:ascii="宋体" w:hAnsi="宋体" w:cs="宋体"/>
          <w:bCs/>
          <w:sz w:val="24"/>
          <w:szCs w:val="24"/>
          <w:u w:val="single"/>
        </w:rPr>
        <w:t xml:space="preserve"> （企业名称） </w:t>
      </w:r>
      <w:r>
        <w:rPr>
          <w:rFonts w:hint="eastAsia" w:ascii="宋体" w:hAnsi="宋体" w:cs="宋体"/>
          <w:bCs/>
          <w:sz w:val="24"/>
          <w:szCs w:val="24"/>
        </w:rPr>
        <w:t>，从业人员</w:t>
      </w:r>
      <w:r>
        <w:rPr>
          <w:rFonts w:hint="eastAsia" w:ascii="宋体" w:hAnsi="宋体" w:cs="宋体"/>
          <w:bCs/>
          <w:sz w:val="24"/>
          <w:szCs w:val="24"/>
          <w:u w:val="single"/>
        </w:rPr>
        <w:t xml:space="preserve">    </w:t>
      </w:r>
      <w:r>
        <w:rPr>
          <w:rFonts w:hint="eastAsia" w:ascii="宋体" w:hAnsi="宋体" w:cs="宋体"/>
          <w:bCs/>
          <w:sz w:val="24"/>
          <w:szCs w:val="24"/>
        </w:rPr>
        <w:t>人，营业收入为</w:t>
      </w:r>
      <w:r>
        <w:rPr>
          <w:rFonts w:hint="eastAsia" w:ascii="宋体" w:hAnsi="宋体" w:cs="宋体"/>
          <w:bCs/>
          <w:sz w:val="24"/>
          <w:szCs w:val="24"/>
          <w:u w:val="single"/>
        </w:rPr>
        <w:t xml:space="preserve">     </w:t>
      </w:r>
      <w:r>
        <w:rPr>
          <w:rFonts w:hint="eastAsia" w:ascii="宋体" w:hAnsi="宋体" w:cs="宋体"/>
          <w:bCs/>
          <w:sz w:val="24"/>
          <w:szCs w:val="24"/>
        </w:rPr>
        <w:t>万元，资产总额为</w:t>
      </w:r>
      <w:r>
        <w:rPr>
          <w:rFonts w:hint="eastAsia" w:ascii="宋体" w:hAnsi="宋体" w:cs="宋体"/>
          <w:bCs/>
          <w:sz w:val="24"/>
          <w:szCs w:val="24"/>
          <w:u w:val="single"/>
        </w:rPr>
        <w:t xml:space="preserve">      </w:t>
      </w:r>
      <w:r>
        <w:rPr>
          <w:rFonts w:hint="eastAsia" w:ascii="宋体" w:hAnsi="宋体" w:cs="宋体"/>
          <w:bCs/>
          <w:sz w:val="24"/>
          <w:szCs w:val="24"/>
        </w:rPr>
        <w:t>万元</w:t>
      </w:r>
      <w:r>
        <w:rPr>
          <w:rFonts w:hint="eastAsia" w:ascii="宋体" w:hAnsi="宋体" w:cs="宋体"/>
          <w:bCs/>
          <w:sz w:val="24"/>
          <w:szCs w:val="24"/>
          <w:vertAlign w:val="superscript"/>
        </w:rPr>
        <w:t>1</w:t>
      </w:r>
      <w:r>
        <w:rPr>
          <w:rFonts w:hint="eastAsia" w:ascii="宋体" w:hAnsi="宋体" w:cs="宋体"/>
          <w:bCs/>
          <w:sz w:val="24"/>
          <w:szCs w:val="24"/>
        </w:rPr>
        <w:t>，属于</w:t>
      </w:r>
      <w:r>
        <w:rPr>
          <w:rFonts w:hint="eastAsia" w:ascii="宋体" w:hAnsi="宋体" w:cs="宋体"/>
          <w:bCs/>
          <w:sz w:val="24"/>
          <w:szCs w:val="24"/>
          <w:u w:val="single"/>
        </w:rPr>
        <w:t>（中型企业、小型企业、微型企业）</w:t>
      </w:r>
      <w:r>
        <w:rPr>
          <w:rFonts w:hint="eastAsia" w:ascii="宋体" w:hAnsi="宋体" w:cs="宋体"/>
          <w:bCs/>
          <w:sz w:val="24"/>
          <w:szCs w:val="24"/>
        </w:rPr>
        <w:t>；</w:t>
      </w:r>
    </w:p>
    <w:p w14:paraId="0C14517A">
      <w:pPr>
        <w:widowControl/>
        <w:tabs>
          <w:tab w:val="left" w:pos="312"/>
        </w:tabs>
        <w:spacing w:line="500" w:lineRule="atLeast"/>
        <w:ind w:firstLine="480" w:firstLineChars="200"/>
        <w:jc w:val="left"/>
        <w:rPr>
          <w:rFonts w:hint="eastAsia" w:ascii="宋体" w:hAnsi="宋体" w:cs="宋体"/>
          <w:bCs/>
          <w:sz w:val="24"/>
          <w:szCs w:val="24"/>
        </w:rPr>
      </w:pPr>
      <w:r>
        <w:rPr>
          <w:rFonts w:hint="eastAsia" w:ascii="宋体" w:hAnsi="宋体" w:cs="宋体"/>
          <w:bCs/>
          <w:sz w:val="24"/>
          <w:szCs w:val="24"/>
        </w:rPr>
        <w:t xml:space="preserve">2. </w:t>
      </w:r>
      <w:r>
        <w:rPr>
          <w:rFonts w:hint="eastAsia" w:ascii="宋体" w:hAnsi="宋体" w:cs="宋体"/>
          <w:bCs/>
          <w:sz w:val="24"/>
          <w:szCs w:val="24"/>
          <w:u w:val="single"/>
        </w:rPr>
        <w:t xml:space="preserve">（标的名称） </w:t>
      </w:r>
      <w:r>
        <w:rPr>
          <w:rFonts w:hint="eastAsia" w:ascii="宋体" w:hAnsi="宋体" w:cs="宋体"/>
          <w:bCs/>
          <w:sz w:val="24"/>
          <w:szCs w:val="24"/>
        </w:rPr>
        <w:t>，属于</w:t>
      </w:r>
      <w:r>
        <w:rPr>
          <w:rFonts w:hint="eastAsia" w:ascii="宋体" w:hAnsi="宋体" w:cs="宋体"/>
          <w:bCs/>
          <w:sz w:val="24"/>
          <w:szCs w:val="24"/>
          <w:u w:val="single"/>
        </w:rPr>
        <w:t xml:space="preserve"> （采购文件中明确的所属行业）</w:t>
      </w:r>
      <w:r>
        <w:rPr>
          <w:rFonts w:hint="eastAsia" w:ascii="宋体" w:hAnsi="宋体" w:cs="宋体"/>
          <w:bCs/>
          <w:sz w:val="24"/>
          <w:szCs w:val="24"/>
        </w:rPr>
        <w:t>行业 ；承建（承接）企业为</w:t>
      </w:r>
      <w:r>
        <w:rPr>
          <w:rFonts w:hint="eastAsia" w:ascii="宋体" w:hAnsi="宋体" w:cs="宋体"/>
          <w:bCs/>
          <w:sz w:val="24"/>
          <w:szCs w:val="24"/>
          <w:u w:val="single"/>
        </w:rPr>
        <w:t xml:space="preserve">（企业名称） </w:t>
      </w:r>
      <w:r>
        <w:rPr>
          <w:rFonts w:hint="eastAsia" w:ascii="宋体" w:hAnsi="宋体" w:cs="宋体"/>
          <w:bCs/>
          <w:sz w:val="24"/>
          <w:szCs w:val="24"/>
        </w:rPr>
        <w:t>，从业人员</w:t>
      </w:r>
      <w:r>
        <w:rPr>
          <w:rFonts w:hint="eastAsia" w:ascii="宋体" w:hAnsi="宋体" w:cs="宋体"/>
          <w:bCs/>
          <w:sz w:val="24"/>
          <w:szCs w:val="24"/>
          <w:u w:val="single"/>
        </w:rPr>
        <w:t xml:space="preserve">     </w:t>
      </w:r>
      <w:r>
        <w:rPr>
          <w:rFonts w:hint="eastAsia" w:ascii="宋体" w:hAnsi="宋体" w:cs="宋体"/>
          <w:bCs/>
          <w:sz w:val="24"/>
          <w:szCs w:val="24"/>
        </w:rPr>
        <w:t>人，营业收入为</w:t>
      </w:r>
      <w:r>
        <w:rPr>
          <w:rFonts w:hint="eastAsia" w:ascii="宋体" w:hAnsi="宋体" w:cs="宋体"/>
          <w:bCs/>
          <w:sz w:val="24"/>
          <w:szCs w:val="24"/>
          <w:u w:val="single"/>
        </w:rPr>
        <w:t xml:space="preserve">       </w:t>
      </w:r>
      <w:r>
        <w:rPr>
          <w:rFonts w:hint="eastAsia" w:ascii="宋体" w:hAnsi="宋体" w:cs="宋体"/>
          <w:bCs/>
          <w:sz w:val="24"/>
          <w:szCs w:val="24"/>
        </w:rPr>
        <w:t>万元，资产总额为</w:t>
      </w:r>
      <w:r>
        <w:rPr>
          <w:rFonts w:hint="eastAsia" w:ascii="宋体" w:hAnsi="宋体" w:cs="宋体"/>
          <w:bCs/>
          <w:sz w:val="24"/>
          <w:szCs w:val="24"/>
          <w:u w:val="single"/>
        </w:rPr>
        <w:t xml:space="preserve">       </w:t>
      </w:r>
      <w:r>
        <w:rPr>
          <w:rFonts w:hint="eastAsia" w:ascii="宋体" w:hAnsi="宋体" w:cs="宋体"/>
          <w:bCs/>
          <w:sz w:val="24"/>
          <w:szCs w:val="24"/>
        </w:rPr>
        <w:t>万元，属于 （中型企业、小型企业、微型企业） ；</w:t>
      </w:r>
    </w:p>
    <w:p w14:paraId="192987D5">
      <w:pPr>
        <w:widowControl/>
        <w:tabs>
          <w:tab w:val="left" w:pos="312"/>
        </w:tabs>
        <w:spacing w:line="500" w:lineRule="atLeast"/>
        <w:ind w:firstLine="480" w:firstLineChars="200"/>
        <w:jc w:val="left"/>
        <w:rPr>
          <w:rFonts w:hint="eastAsia" w:ascii="宋体" w:hAnsi="宋体" w:cs="宋体"/>
          <w:bCs/>
          <w:sz w:val="24"/>
          <w:szCs w:val="24"/>
        </w:rPr>
      </w:pPr>
      <w:r>
        <w:rPr>
          <w:rFonts w:hint="eastAsia" w:ascii="宋体" w:hAnsi="宋体" w:cs="宋体"/>
          <w:bCs/>
          <w:sz w:val="24"/>
          <w:szCs w:val="24"/>
        </w:rPr>
        <w:t>……</w:t>
      </w:r>
    </w:p>
    <w:p w14:paraId="6B913D9A">
      <w:pPr>
        <w:widowControl/>
        <w:tabs>
          <w:tab w:val="left" w:pos="312"/>
        </w:tabs>
        <w:spacing w:line="500" w:lineRule="atLeast"/>
        <w:ind w:firstLine="480" w:firstLineChars="200"/>
        <w:jc w:val="left"/>
        <w:rPr>
          <w:rFonts w:hint="eastAsia" w:ascii="宋体" w:hAnsi="宋体" w:cs="宋体"/>
          <w:bCs/>
          <w:sz w:val="24"/>
          <w:szCs w:val="24"/>
        </w:rPr>
      </w:pPr>
      <w:r>
        <w:rPr>
          <w:rFonts w:hint="eastAsia" w:ascii="宋体" w:hAnsi="宋体" w:cs="宋体"/>
          <w:bCs/>
          <w:sz w:val="24"/>
          <w:szCs w:val="24"/>
        </w:rPr>
        <w:t>以上企业，不属于大企业的分支机构，不存在控股股东为大企业的情形，也不存在与大企业的负责人为同一人的情形。</w:t>
      </w:r>
    </w:p>
    <w:p w14:paraId="02462DE9">
      <w:pPr>
        <w:widowControl/>
        <w:tabs>
          <w:tab w:val="left" w:pos="312"/>
        </w:tabs>
        <w:spacing w:line="500" w:lineRule="atLeast"/>
        <w:ind w:firstLine="480" w:firstLineChars="200"/>
        <w:jc w:val="left"/>
        <w:rPr>
          <w:rFonts w:hint="eastAsia" w:ascii="宋体" w:hAnsi="宋体" w:cs="宋体"/>
          <w:bCs/>
          <w:sz w:val="24"/>
          <w:szCs w:val="24"/>
        </w:rPr>
      </w:pPr>
      <w:r>
        <w:rPr>
          <w:rFonts w:hint="eastAsia" w:ascii="宋体" w:hAnsi="宋体" w:cs="宋体"/>
          <w:bCs/>
          <w:sz w:val="24"/>
          <w:szCs w:val="24"/>
        </w:rPr>
        <w:t>本企业对上述声明内容的真实性负责。如有虚假，将依法承担相应责任。</w:t>
      </w:r>
    </w:p>
    <w:p w14:paraId="14CAE554">
      <w:pPr>
        <w:widowControl/>
        <w:spacing w:line="500" w:lineRule="atLeast"/>
        <w:ind w:firstLine="6184" w:firstLineChars="2577"/>
        <w:jc w:val="left"/>
        <w:rPr>
          <w:rFonts w:hint="eastAsia" w:ascii="宋体" w:hAnsi="宋体" w:cs="宋体"/>
          <w:bCs/>
          <w:sz w:val="24"/>
          <w:szCs w:val="24"/>
        </w:rPr>
      </w:pPr>
      <w:r>
        <w:rPr>
          <w:rFonts w:hint="eastAsia" w:ascii="宋体" w:hAnsi="宋体" w:cs="宋体"/>
          <w:bCs/>
          <w:sz w:val="24"/>
          <w:szCs w:val="24"/>
        </w:rPr>
        <w:t>企业名称（盖章）：</w:t>
      </w:r>
    </w:p>
    <w:p w14:paraId="39899EF0">
      <w:pPr>
        <w:widowControl/>
        <w:spacing w:line="500" w:lineRule="atLeast"/>
        <w:ind w:firstLine="6184" w:firstLineChars="2577"/>
        <w:jc w:val="left"/>
        <w:rPr>
          <w:rFonts w:hint="eastAsia" w:ascii="宋体" w:hAnsi="宋体" w:cs="宋体"/>
          <w:bCs/>
          <w:sz w:val="24"/>
          <w:szCs w:val="24"/>
        </w:rPr>
      </w:pPr>
      <w:r>
        <w:rPr>
          <w:rFonts w:hint="eastAsia" w:ascii="宋体" w:hAnsi="宋体" w:cs="宋体"/>
          <w:bCs/>
          <w:sz w:val="24"/>
          <w:szCs w:val="24"/>
        </w:rPr>
        <w:t>日 期：</w:t>
      </w:r>
    </w:p>
    <w:p w14:paraId="62A95249">
      <w:pPr>
        <w:widowControl/>
        <w:tabs>
          <w:tab w:val="left" w:pos="312"/>
        </w:tabs>
        <w:spacing w:before="100" w:beforeAutospacing="1" w:after="100" w:afterAutospacing="1" w:line="440" w:lineRule="atLeast"/>
        <w:jc w:val="left"/>
        <w:rPr>
          <w:rFonts w:hint="eastAsia" w:ascii="宋体" w:hAnsi="宋体" w:cs="宋体"/>
          <w:bCs/>
          <w:sz w:val="24"/>
          <w:szCs w:val="24"/>
        </w:rPr>
      </w:pPr>
    </w:p>
    <w:p w14:paraId="1086B368">
      <w:pPr>
        <w:widowControl/>
        <w:tabs>
          <w:tab w:val="left" w:pos="312"/>
        </w:tabs>
        <w:spacing w:before="100" w:beforeAutospacing="1" w:after="100" w:afterAutospacing="1" w:line="440" w:lineRule="atLeast"/>
        <w:jc w:val="left"/>
        <w:rPr>
          <w:rFonts w:hint="eastAsia" w:ascii="宋体" w:hAnsi="宋体" w:cs="宋体"/>
          <w:bCs/>
          <w:sz w:val="18"/>
          <w:szCs w:val="18"/>
        </w:rPr>
      </w:pPr>
    </w:p>
    <w:p w14:paraId="068B0952">
      <w:pPr>
        <w:spacing w:line="440" w:lineRule="atLeast"/>
        <w:rPr>
          <w:rFonts w:hint="eastAsia" w:ascii="宋体" w:hAnsi="宋体" w:cs="宋体"/>
          <w:sz w:val="24"/>
          <w:szCs w:val="24"/>
        </w:rPr>
      </w:pPr>
      <w:r>
        <w:rPr>
          <w:rFonts w:hint="eastAsia" w:ascii="宋体" w:hAnsi="宋体" w:cs="宋体"/>
          <w:bCs/>
          <w:sz w:val="24"/>
          <w:szCs w:val="24"/>
        </w:rPr>
        <w:t>注1.从业人员、营业收入、资产总额填报上一年度数据，无上一年度数据的新成立企业可不填报。</w:t>
      </w:r>
    </w:p>
    <w:p w14:paraId="2DA6844D">
      <w:pPr>
        <w:widowControl/>
        <w:tabs>
          <w:tab w:val="left" w:pos="4860"/>
        </w:tabs>
        <w:spacing w:line="288" w:lineRule="auto"/>
        <w:ind w:firstLine="480" w:firstLineChars="200"/>
        <w:jc w:val="left"/>
        <w:rPr>
          <w:rFonts w:ascii="宋体" w:cs="宋体"/>
          <w:sz w:val="24"/>
          <w:szCs w:val="24"/>
        </w:rPr>
      </w:pPr>
      <w:r>
        <w:rPr>
          <w:rFonts w:ascii="宋体" w:cs="宋体"/>
          <w:sz w:val="24"/>
          <w:szCs w:val="24"/>
        </w:rPr>
        <w:br w:type="page"/>
      </w:r>
    </w:p>
    <w:p w14:paraId="239483B0">
      <w:pPr>
        <w:spacing w:line="360" w:lineRule="auto"/>
        <w:jc w:val="left"/>
        <w:rPr>
          <w:rFonts w:hint="default" w:ascii="宋体" w:hAnsi="宋体" w:eastAsia="宋体" w:cs="宋体"/>
          <w:b/>
          <w:szCs w:val="21"/>
          <w:lang w:val="en-US" w:eastAsia="zh-CN"/>
        </w:rPr>
      </w:pPr>
      <w:r>
        <w:rPr>
          <w:rFonts w:hint="eastAsia" w:ascii="宋体" w:hAnsi="宋体" w:cs="宋体"/>
          <w:b/>
          <w:szCs w:val="21"/>
        </w:rPr>
        <w:t>附件</w:t>
      </w:r>
      <w:r>
        <w:rPr>
          <w:rFonts w:hint="eastAsia" w:ascii="宋体" w:hAnsi="宋体" w:cs="宋体"/>
          <w:b/>
          <w:szCs w:val="21"/>
          <w:lang w:val="en-US" w:eastAsia="zh-CN"/>
        </w:rPr>
        <w:t>13</w:t>
      </w:r>
    </w:p>
    <w:p w14:paraId="6E387F8C">
      <w:pPr>
        <w:jc w:val="center"/>
        <w:rPr>
          <w:b/>
          <w:bCs/>
          <w:sz w:val="28"/>
          <w:szCs w:val="28"/>
        </w:rPr>
      </w:pPr>
      <w:r>
        <w:rPr>
          <w:rFonts w:hint="eastAsia"/>
          <w:b/>
          <w:bCs/>
          <w:sz w:val="28"/>
          <w:szCs w:val="28"/>
        </w:rPr>
        <w:t>残疾人福利性单位声明函</w:t>
      </w:r>
    </w:p>
    <w:p w14:paraId="174BD1E7">
      <w:pPr>
        <w:pStyle w:val="15"/>
        <w:spacing w:line="360" w:lineRule="auto"/>
        <w:ind w:firstLine="2400" w:firstLineChars="1000"/>
        <w:rPr>
          <w:rFonts w:ascii="宋体" w:cs="宋体"/>
          <w:sz w:val="24"/>
          <w:szCs w:val="24"/>
        </w:rPr>
      </w:pPr>
      <w:r>
        <w:rPr>
          <w:rFonts w:hint="eastAsia" w:ascii="宋体" w:cs="宋体"/>
          <w:sz w:val="24"/>
          <w:szCs w:val="24"/>
        </w:rPr>
        <w:t>【不属于残疾人福利性单位无需提供】</w:t>
      </w:r>
    </w:p>
    <w:p w14:paraId="78E8191F">
      <w:pPr>
        <w:widowControl/>
        <w:spacing w:line="360" w:lineRule="auto"/>
        <w:ind w:firstLine="480" w:firstLineChars="200"/>
        <w:jc w:val="left"/>
        <w:rPr>
          <w:rFonts w:ascii="宋体" w:cs="宋体"/>
          <w:sz w:val="24"/>
          <w:szCs w:val="24"/>
        </w:rPr>
      </w:pPr>
      <w:r>
        <w:rPr>
          <w:rFonts w:hint="eastAsia" w:ascii="宋体" w:hAnsi="宋体" w:cs="宋体"/>
          <w:sz w:val="24"/>
          <w:szCs w:val="24"/>
        </w:rPr>
        <w:t>本单位郑重声明，根据《财政部</w:t>
      </w:r>
      <w:r>
        <w:rPr>
          <w:rFonts w:ascii="宋体" w:hAnsi="宋体" w:cs="宋体"/>
          <w:sz w:val="24"/>
          <w:szCs w:val="24"/>
        </w:rPr>
        <w:t xml:space="preserve"> </w:t>
      </w:r>
      <w:r>
        <w:rPr>
          <w:rFonts w:hint="eastAsia" w:ascii="宋体" w:hAnsi="宋体" w:cs="宋体"/>
          <w:sz w:val="24"/>
          <w:szCs w:val="24"/>
        </w:rPr>
        <w:t>民政部</w:t>
      </w:r>
      <w:r>
        <w:rPr>
          <w:rFonts w:ascii="宋体" w:hAnsi="宋体" w:cs="宋体"/>
          <w:sz w:val="24"/>
          <w:szCs w:val="24"/>
        </w:rPr>
        <w:t xml:space="preserve"> </w:t>
      </w:r>
      <w:r>
        <w:rPr>
          <w:rFonts w:hint="eastAsia" w:ascii="宋体" w:hAnsi="宋体" w:cs="宋体"/>
          <w:sz w:val="24"/>
          <w:szCs w:val="24"/>
        </w:rPr>
        <w:t>中国残疾人联合会关于促进残疾人就业政府采购政策的通知》（财库〔</w:t>
      </w:r>
      <w:r>
        <w:rPr>
          <w:rFonts w:ascii="宋体" w:hAnsi="宋体" w:cs="宋体"/>
          <w:sz w:val="24"/>
          <w:szCs w:val="24"/>
        </w:rPr>
        <w:t>2017</w:t>
      </w:r>
      <w:r>
        <w:rPr>
          <w:rFonts w:hint="eastAsia" w:ascii="宋体" w:hAnsi="宋体" w:cs="宋体"/>
          <w:sz w:val="24"/>
          <w:szCs w:val="24"/>
        </w:rPr>
        <w:t>〕</w:t>
      </w:r>
      <w:r>
        <w:rPr>
          <w:rFonts w:ascii="宋体" w:hAnsi="宋体" w:cs="宋体"/>
          <w:sz w:val="24"/>
          <w:szCs w:val="24"/>
        </w:rPr>
        <w:t xml:space="preserve"> 141</w:t>
      </w:r>
      <w:r>
        <w:rPr>
          <w:rFonts w:hint="eastAsia" w:ascii="宋体" w:hAnsi="宋体" w:cs="宋体"/>
          <w:sz w:val="24"/>
          <w:szCs w:val="24"/>
        </w:rPr>
        <w:t>号）的规定，本单位为符合条件的残疾人福利性单位，且本单位参加</w:t>
      </w:r>
      <w:r>
        <w:rPr>
          <w:rFonts w:ascii="宋体" w:hAnsi="宋体" w:cs="宋体"/>
          <w:sz w:val="24"/>
          <w:szCs w:val="24"/>
        </w:rPr>
        <w:t>______</w:t>
      </w:r>
      <w:r>
        <w:rPr>
          <w:rFonts w:hint="eastAsia" w:ascii="宋体" w:hAnsi="宋体" w:cs="宋体"/>
          <w:sz w:val="24"/>
          <w:szCs w:val="24"/>
        </w:rPr>
        <w:t>单位的</w:t>
      </w:r>
      <w:r>
        <w:rPr>
          <w:rFonts w:ascii="宋体" w:hAnsi="宋体" w:cs="宋体"/>
          <w:sz w:val="24"/>
          <w:szCs w:val="24"/>
        </w:rPr>
        <w:t>______</w:t>
      </w:r>
      <w:r>
        <w:rPr>
          <w:rFonts w:hint="eastAsia" w:ascii="宋体" w:hAnsi="宋体" w:cs="宋体"/>
          <w:sz w:val="24"/>
          <w:szCs w:val="24"/>
        </w:rPr>
        <w:t>项目采购活动提供本单位制造的货物（由本单位承担工程</w:t>
      </w:r>
      <w:r>
        <w:rPr>
          <w:rFonts w:ascii="宋体" w:hAnsi="宋体" w:cs="宋体"/>
          <w:sz w:val="24"/>
          <w:szCs w:val="24"/>
        </w:rPr>
        <w:t>/</w:t>
      </w:r>
      <w:r>
        <w:rPr>
          <w:rFonts w:hint="eastAsia" w:ascii="宋体" w:hAnsi="宋体" w:cs="宋体"/>
          <w:sz w:val="24"/>
          <w:szCs w:val="24"/>
        </w:rPr>
        <w:t>提供服务），或者提供其他残疾人福利性单位制造的货物（不包括使用非残疾人福利性单位注册商标的货物）。</w:t>
      </w:r>
    </w:p>
    <w:p w14:paraId="5654B0B4">
      <w:pPr>
        <w:widowControl/>
        <w:spacing w:line="360" w:lineRule="auto"/>
        <w:ind w:firstLine="480" w:firstLineChars="200"/>
        <w:jc w:val="left"/>
        <w:rPr>
          <w:rFonts w:ascii="宋体" w:cs="宋体"/>
          <w:sz w:val="24"/>
          <w:szCs w:val="24"/>
        </w:rPr>
      </w:pPr>
      <w:r>
        <w:rPr>
          <w:rFonts w:hint="eastAsia" w:ascii="宋体" w:hAnsi="宋体" w:cs="宋体"/>
          <w:sz w:val="24"/>
          <w:szCs w:val="24"/>
        </w:rPr>
        <w:t>本单位对上述声明的真实性负责。如有虚假，将依法承担相应责任。</w:t>
      </w:r>
    </w:p>
    <w:p w14:paraId="05AC4CA9">
      <w:pPr>
        <w:spacing w:line="360" w:lineRule="auto"/>
        <w:jc w:val="left"/>
        <w:rPr>
          <w:rFonts w:ascii="宋体" w:cs="宋体"/>
          <w:sz w:val="24"/>
          <w:szCs w:val="24"/>
        </w:rPr>
      </w:pPr>
    </w:p>
    <w:p w14:paraId="30049F7A">
      <w:pPr>
        <w:spacing w:line="360" w:lineRule="auto"/>
        <w:jc w:val="left"/>
        <w:rPr>
          <w:rFonts w:ascii="宋体" w:cs="宋体"/>
          <w:sz w:val="24"/>
          <w:szCs w:val="24"/>
        </w:rPr>
      </w:pPr>
    </w:p>
    <w:p w14:paraId="63A8C69D">
      <w:pPr>
        <w:spacing w:line="360" w:lineRule="auto"/>
        <w:jc w:val="left"/>
        <w:rPr>
          <w:rFonts w:ascii="宋体" w:hAnsi="宋体" w:cs="宋体"/>
          <w:sz w:val="24"/>
          <w:szCs w:val="24"/>
          <w:u w:val="single"/>
        </w:rPr>
      </w:pPr>
      <w:r>
        <w:rPr>
          <w:rFonts w:hint="eastAsia" w:ascii="宋体" w:hAnsi="宋体" w:eastAsia="宋体" w:cs="宋体"/>
          <w:color w:val="auto"/>
          <w:sz w:val="24"/>
          <w:highlight w:val="none"/>
        </w:rPr>
        <w:t>供应商全称</w:t>
      </w:r>
      <w:r>
        <w:rPr>
          <w:rFonts w:hint="eastAsia" w:ascii="宋体" w:hAnsi="宋体" w:cs="宋体"/>
          <w:sz w:val="24"/>
          <w:szCs w:val="24"/>
        </w:rPr>
        <w:t>（盖章）：</w:t>
      </w:r>
      <w:r>
        <w:rPr>
          <w:rFonts w:ascii="宋体" w:hAnsi="宋体" w:cs="宋体"/>
          <w:sz w:val="24"/>
          <w:szCs w:val="24"/>
        </w:rPr>
        <w:t xml:space="preserve"> </w:t>
      </w:r>
      <w:r>
        <w:rPr>
          <w:rFonts w:ascii="宋体" w:hAnsi="宋体" w:cs="宋体"/>
          <w:sz w:val="24"/>
          <w:szCs w:val="24"/>
          <w:u w:val="single"/>
        </w:rPr>
        <w:t xml:space="preserve">                          </w:t>
      </w:r>
    </w:p>
    <w:p w14:paraId="21FC363A">
      <w:pPr>
        <w:spacing w:line="360" w:lineRule="auto"/>
        <w:jc w:val="left"/>
        <w:rPr>
          <w:rFonts w:ascii="宋体" w:cs="宋体"/>
          <w:sz w:val="24"/>
          <w:szCs w:val="24"/>
        </w:rPr>
      </w:pPr>
      <w:r>
        <w:rPr>
          <w:rFonts w:hint="eastAsia" w:ascii="宋体" w:hAnsi="宋体" w:cs="宋体"/>
          <w:sz w:val="24"/>
          <w:szCs w:val="24"/>
        </w:rPr>
        <w:t>日期：</w:t>
      </w:r>
      <w:r>
        <w:rPr>
          <w:rFonts w:ascii="宋体" w:hAnsi="宋体" w:cs="宋体"/>
          <w:sz w:val="24"/>
          <w:szCs w:val="24"/>
        </w:rPr>
        <w:t xml:space="preserve">      </w:t>
      </w:r>
      <w:r>
        <w:rPr>
          <w:rFonts w:hint="eastAsia" w:ascii="宋体" w:hAnsi="宋体" w:cs="宋体"/>
          <w:sz w:val="24"/>
          <w:szCs w:val="24"/>
        </w:rPr>
        <w:t>年</w:t>
      </w:r>
      <w:r>
        <w:rPr>
          <w:rFonts w:ascii="宋体" w:hAnsi="宋体" w:cs="宋体"/>
          <w:sz w:val="24"/>
          <w:szCs w:val="24"/>
        </w:rPr>
        <w:t xml:space="preserve">   </w:t>
      </w:r>
      <w:r>
        <w:rPr>
          <w:rFonts w:hint="eastAsia" w:ascii="宋体" w:hAnsi="宋体" w:cs="宋体"/>
          <w:sz w:val="24"/>
          <w:szCs w:val="24"/>
        </w:rPr>
        <w:t>月</w:t>
      </w:r>
      <w:r>
        <w:rPr>
          <w:rFonts w:ascii="宋体" w:hAnsi="宋体" w:cs="宋体"/>
          <w:sz w:val="24"/>
          <w:szCs w:val="24"/>
        </w:rPr>
        <w:t xml:space="preserve">   </w:t>
      </w:r>
      <w:r>
        <w:rPr>
          <w:rFonts w:hint="eastAsia" w:ascii="宋体" w:hAnsi="宋体" w:cs="宋体"/>
          <w:sz w:val="24"/>
          <w:szCs w:val="24"/>
        </w:rPr>
        <w:t>日</w:t>
      </w:r>
    </w:p>
    <w:p w14:paraId="20CD350D">
      <w:pPr>
        <w:rPr>
          <w:rFonts w:ascii="宋体" w:cs="宋体"/>
          <w:sz w:val="24"/>
          <w:szCs w:val="24"/>
        </w:rPr>
      </w:pPr>
    </w:p>
    <w:p w14:paraId="48BABE4B">
      <w:pPr>
        <w:widowControl/>
        <w:tabs>
          <w:tab w:val="left" w:pos="4860"/>
        </w:tabs>
        <w:ind w:right="-21" w:firstLine="420" w:firstLineChars="200"/>
        <w:jc w:val="left"/>
        <w:rPr>
          <w:rFonts w:ascii="宋体" w:cs="宋体"/>
        </w:rPr>
      </w:pPr>
    </w:p>
    <w:p w14:paraId="5E6CD9DB">
      <w:pPr>
        <w:pStyle w:val="9"/>
        <w:rPr>
          <w:rFonts w:ascii="宋体" w:cs="宋体"/>
        </w:rPr>
      </w:pPr>
    </w:p>
    <w:p w14:paraId="1A5A99F0">
      <w:pPr>
        <w:pStyle w:val="10"/>
        <w:ind w:firstLine="300"/>
        <w:rPr>
          <w:rFonts w:ascii="宋体" w:cs="宋体"/>
        </w:rPr>
      </w:pPr>
    </w:p>
    <w:p w14:paraId="1F00BEB2">
      <w:pPr>
        <w:pStyle w:val="11"/>
        <w:rPr>
          <w:rFonts w:ascii="宋体" w:cs="宋体"/>
        </w:rPr>
      </w:pPr>
    </w:p>
    <w:p w14:paraId="5128A131">
      <w:pPr>
        <w:rPr>
          <w:sz w:val="24"/>
          <w:szCs w:val="24"/>
        </w:rPr>
      </w:pPr>
    </w:p>
    <w:p w14:paraId="41ADF94B">
      <w:pPr>
        <w:widowControl/>
        <w:tabs>
          <w:tab w:val="left" w:pos="4860"/>
        </w:tabs>
        <w:ind w:right="-21" w:firstLine="482" w:firstLineChars="200"/>
        <w:jc w:val="left"/>
        <w:rPr>
          <w:rFonts w:ascii="宋体" w:cs="宋体"/>
          <w:b/>
          <w:sz w:val="24"/>
          <w:szCs w:val="24"/>
        </w:rPr>
      </w:pPr>
      <w:r>
        <w:rPr>
          <w:rFonts w:hint="eastAsia" w:ascii="宋体" w:hAnsi="宋体" w:cs="宋体"/>
          <w:b/>
          <w:sz w:val="24"/>
          <w:szCs w:val="24"/>
        </w:rPr>
        <w:t>说明：</w:t>
      </w:r>
    </w:p>
    <w:p w14:paraId="0FD93008">
      <w:pPr>
        <w:widowControl/>
        <w:tabs>
          <w:tab w:val="left" w:pos="4860"/>
        </w:tabs>
        <w:ind w:right="-21" w:firstLine="482" w:firstLineChars="200"/>
        <w:jc w:val="left"/>
        <w:rPr>
          <w:rFonts w:ascii="宋体" w:cs="宋体"/>
          <w:b/>
          <w:sz w:val="24"/>
          <w:szCs w:val="24"/>
        </w:rPr>
      </w:pPr>
      <w:r>
        <w:rPr>
          <w:rFonts w:ascii="宋体" w:hAnsi="宋体" w:cs="宋体"/>
          <w:b/>
          <w:sz w:val="24"/>
          <w:szCs w:val="24"/>
        </w:rPr>
        <w:t>1.</w:t>
      </w:r>
      <w:r>
        <w:rPr>
          <w:rFonts w:hint="eastAsia" w:ascii="宋体" w:hAnsi="宋体" w:cs="宋体"/>
          <w:b/>
          <w:sz w:val="24"/>
          <w:szCs w:val="24"/>
        </w:rPr>
        <w:t>如中标，将在中标公示中将此残疾人福利性单位声明函予以公示，接受社会监督；</w:t>
      </w:r>
    </w:p>
    <w:p w14:paraId="57517EF6">
      <w:pPr>
        <w:widowControl/>
        <w:tabs>
          <w:tab w:val="left" w:pos="4860"/>
        </w:tabs>
        <w:ind w:right="-21" w:firstLine="482" w:firstLineChars="200"/>
        <w:jc w:val="left"/>
        <w:rPr>
          <w:rFonts w:ascii="宋体" w:cs="宋体"/>
          <w:b/>
          <w:sz w:val="24"/>
          <w:szCs w:val="24"/>
        </w:rPr>
      </w:pPr>
      <w:r>
        <w:rPr>
          <w:rFonts w:ascii="宋体" w:hAnsi="宋体" w:cs="宋体"/>
          <w:b/>
          <w:sz w:val="24"/>
          <w:szCs w:val="24"/>
        </w:rPr>
        <w:t>2.</w:t>
      </w:r>
      <w:r>
        <w:rPr>
          <w:rFonts w:hint="eastAsia" w:ascii="宋体" w:hAnsi="宋体" w:cs="宋体"/>
          <w:b/>
          <w:sz w:val="24"/>
          <w:szCs w:val="24"/>
        </w:rPr>
        <w:t>投标人提供的《残疾人福利性单位声明函》与事实不符的，依照《政府采购法》第七十七条第一款的规定追究法律责任。</w:t>
      </w:r>
    </w:p>
    <w:bookmarkEnd w:id="170"/>
    <w:p w14:paraId="6DC81036">
      <w:pPr>
        <w:jc w:val="both"/>
        <w:rPr>
          <w:rFonts w:hint="eastAsia" w:hAnsi="宋体" w:cs="宋体"/>
          <w:b/>
          <w:bCs/>
          <w:sz w:val="24"/>
          <w:szCs w:val="24"/>
        </w:rPr>
      </w:pPr>
    </w:p>
    <w:p w14:paraId="27DD0167">
      <w:pPr>
        <w:jc w:val="both"/>
        <w:rPr>
          <w:rFonts w:hint="eastAsia" w:hAnsi="宋体" w:cs="宋体"/>
          <w:b/>
          <w:bCs/>
          <w:sz w:val="32"/>
          <w:szCs w:val="32"/>
        </w:rPr>
      </w:pPr>
    </w:p>
    <w:p w14:paraId="12C62C2C">
      <w:pPr>
        <w:jc w:val="both"/>
        <w:rPr>
          <w:rFonts w:hint="eastAsia" w:hAnsi="宋体" w:cs="宋体"/>
          <w:b/>
          <w:bCs/>
          <w:sz w:val="32"/>
          <w:szCs w:val="32"/>
        </w:rPr>
      </w:pPr>
    </w:p>
    <w:p w14:paraId="4CFABA52">
      <w:pPr>
        <w:jc w:val="both"/>
        <w:rPr>
          <w:rFonts w:hint="eastAsia" w:hAnsi="宋体" w:cs="宋体"/>
          <w:b/>
          <w:bCs/>
          <w:sz w:val="32"/>
          <w:szCs w:val="32"/>
        </w:rPr>
      </w:pPr>
    </w:p>
    <w:p w14:paraId="6BF394CF">
      <w:pPr>
        <w:jc w:val="both"/>
        <w:rPr>
          <w:rFonts w:hint="eastAsia" w:hAnsi="宋体" w:cs="宋体"/>
          <w:b/>
          <w:bCs/>
          <w:sz w:val="32"/>
          <w:szCs w:val="32"/>
        </w:rPr>
      </w:pPr>
    </w:p>
    <w:p w14:paraId="5947AE2F">
      <w:pPr>
        <w:ind w:firstLine="964" w:firstLineChars="300"/>
        <w:jc w:val="center"/>
        <w:rPr>
          <w:rFonts w:hint="eastAsia" w:hAnsi="宋体" w:cs="宋体"/>
          <w:b/>
          <w:bCs/>
          <w:sz w:val="32"/>
          <w:szCs w:val="32"/>
        </w:rPr>
      </w:pPr>
      <w:r>
        <w:rPr>
          <w:rFonts w:hint="eastAsia" w:hAnsi="宋体" w:cs="宋体"/>
          <w:b/>
          <w:bCs/>
          <w:sz w:val="32"/>
          <w:szCs w:val="32"/>
        </w:rPr>
        <w:t>政府采购活动现场确认声明书</w:t>
      </w:r>
    </w:p>
    <w:p w14:paraId="2F8666CF">
      <w:pPr>
        <w:pStyle w:val="42"/>
        <w:numPr>
          <w:ilvl w:val="0"/>
          <w:numId w:val="0"/>
        </w:numPr>
        <w:snapToGrid w:val="0"/>
        <w:spacing w:line="440" w:lineRule="exact"/>
        <w:ind w:left="227"/>
        <w:rPr>
          <w:rFonts w:hint="eastAsia" w:hAnsi="宋体" w:cs="宋体"/>
          <w:bCs/>
          <w:sz w:val="24"/>
          <w:szCs w:val="24"/>
        </w:rPr>
      </w:pPr>
      <w:r>
        <w:rPr>
          <w:rFonts w:hint="eastAsia" w:hAnsi="宋体" w:cs="宋体"/>
          <w:sz w:val="24"/>
          <w:szCs w:val="24"/>
          <w:lang w:eastAsia="zh-CN"/>
        </w:rPr>
        <w:t>浙江策鼎工程项目管理有限公司</w:t>
      </w:r>
      <w:r>
        <w:rPr>
          <w:rFonts w:hint="eastAsia" w:hAnsi="宋体" w:cs="宋体"/>
          <w:sz w:val="24"/>
          <w:szCs w:val="24"/>
        </w:rPr>
        <w:t>：</w:t>
      </w:r>
    </w:p>
    <w:p w14:paraId="3433D02E">
      <w:pPr>
        <w:widowControl/>
        <w:spacing w:line="360" w:lineRule="exact"/>
        <w:ind w:firstLine="504" w:firstLineChars="200"/>
        <w:jc w:val="left"/>
        <w:rPr>
          <w:rFonts w:ascii="宋体" w:hAnsi="宋体"/>
          <w:color w:val="000000"/>
          <w:kern w:val="0"/>
          <w:sz w:val="24"/>
        </w:rPr>
      </w:pPr>
      <w:r>
        <w:rPr>
          <w:rFonts w:hint="eastAsia" w:ascii="仿宋" w:hAnsi="仿宋"/>
          <w:color w:val="000000"/>
          <w:spacing w:val="6"/>
          <w:kern w:val="0"/>
          <w:sz w:val="24"/>
        </w:rPr>
        <w:t>本人经由</w:t>
      </w:r>
      <w:r>
        <w:rPr>
          <w:rFonts w:hint="eastAsia" w:ascii="仿宋" w:hAnsi="仿宋"/>
          <w:color w:val="000000"/>
          <w:spacing w:val="6"/>
          <w:kern w:val="0"/>
          <w:sz w:val="24"/>
          <w:u w:val="single"/>
        </w:rPr>
        <w:t xml:space="preserve">                   </w:t>
      </w:r>
      <w:r>
        <w:rPr>
          <w:rFonts w:ascii="仿宋" w:hAnsi="仿宋"/>
          <w:color w:val="000000"/>
          <w:spacing w:val="6"/>
          <w:kern w:val="0"/>
          <w:sz w:val="24"/>
          <w:u w:val="single"/>
        </w:rPr>
        <w:t xml:space="preserve">          </w:t>
      </w:r>
      <w:r>
        <w:rPr>
          <w:rFonts w:hint="eastAsia" w:ascii="仿宋" w:hAnsi="仿宋"/>
          <w:color w:val="000000"/>
          <w:spacing w:val="6"/>
          <w:kern w:val="0"/>
          <w:sz w:val="24"/>
        </w:rPr>
        <w:t>单位</w:t>
      </w:r>
      <w:r>
        <w:rPr>
          <w:rFonts w:hint="eastAsia" w:ascii="仿宋" w:hAnsi="仿宋"/>
          <w:color w:val="000000"/>
          <w:spacing w:val="6"/>
          <w:kern w:val="0"/>
          <w:sz w:val="24"/>
          <w:u w:val="single"/>
        </w:rPr>
        <w:t xml:space="preserve">         (法人代表)</w:t>
      </w:r>
      <w:r>
        <w:rPr>
          <w:rFonts w:hint="eastAsia" w:ascii="仿宋" w:hAnsi="仿宋"/>
          <w:color w:val="000000"/>
          <w:spacing w:val="6"/>
          <w:kern w:val="0"/>
          <w:sz w:val="24"/>
        </w:rPr>
        <w:t>合法授权参加</w:t>
      </w:r>
      <w:r>
        <w:rPr>
          <w:rFonts w:hint="eastAsia" w:ascii="宋体" w:hAnsi="宋体"/>
          <w:color w:val="000000"/>
          <w:kern w:val="0"/>
          <w:sz w:val="24"/>
          <w:u w:val="single"/>
        </w:rPr>
        <w:t xml:space="preserve"> </w:t>
      </w:r>
      <w:r>
        <w:rPr>
          <w:rFonts w:ascii="宋体" w:hAnsi="宋体"/>
          <w:color w:val="000000"/>
          <w:kern w:val="0"/>
          <w:sz w:val="24"/>
          <w:u w:val="single"/>
        </w:rPr>
        <w:t xml:space="preserve">                 </w:t>
      </w:r>
      <w:r>
        <w:rPr>
          <w:rFonts w:hint="eastAsia" w:ascii="宋体" w:hAnsi="宋体"/>
          <w:color w:val="000000"/>
          <w:kern w:val="0"/>
          <w:sz w:val="24"/>
          <w:u w:val="single"/>
        </w:rPr>
        <w:t xml:space="preserve"> </w:t>
      </w:r>
      <w:r>
        <w:rPr>
          <w:rFonts w:ascii="宋体" w:hAnsi="宋体"/>
          <w:color w:val="000000"/>
          <w:kern w:val="0"/>
          <w:sz w:val="24"/>
          <w:u w:val="single"/>
        </w:rPr>
        <w:t xml:space="preserve">   </w:t>
      </w:r>
      <w:r>
        <w:rPr>
          <w:rFonts w:hint="eastAsia" w:ascii="宋体" w:hAnsi="宋体"/>
          <w:color w:val="000000"/>
          <w:kern w:val="0"/>
          <w:sz w:val="24"/>
          <w:u w:val="single"/>
        </w:rPr>
        <w:t>采购</w:t>
      </w:r>
      <w:r>
        <w:rPr>
          <w:rFonts w:hint="eastAsia" w:ascii="仿宋" w:hAnsi="仿宋"/>
          <w:color w:val="000000"/>
          <w:spacing w:val="6"/>
          <w:kern w:val="0"/>
          <w:sz w:val="24"/>
          <w:u w:val="single"/>
        </w:rPr>
        <w:t xml:space="preserve">（编号： </w:t>
      </w:r>
      <w:r>
        <w:rPr>
          <w:rFonts w:ascii="仿宋" w:hAnsi="仿宋"/>
          <w:color w:val="000000"/>
          <w:spacing w:val="6"/>
          <w:kern w:val="0"/>
          <w:sz w:val="24"/>
          <w:u w:val="single"/>
        </w:rPr>
        <w:t xml:space="preserve">      ）</w:t>
      </w:r>
      <w:r>
        <w:rPr>
          <w:rFonts w:hint="eastAsia" w:ascii="仿宋" w:hAnsi="仿宋"/>
          <w:color w:val="000000"/>
          <w:spacing w:val="6"/>
          <w:kern w:val="0"/>
          <w:sz w:val="24"/>
        </w:rPr>
        <w:t>政府采购活动，经与本单位法人代表（负责人）联系确认，现就有关公平竞争事项郑重声明如下：</w:t>
      </w:r>
    </w:p>
    <w:p w14:paraId="71AEB0D5">
      <w:pPr>
        <w:widowControl/>
        <w:snapToGrid w:val="0"/>
        <w:spacing w:line="440" w:lineRule="exact"/>
        <w:rPr>
          <w:rFonts w:ascii="仿宋" w:eastAsia="仿宋"/>
          <w:color w:val="000000"/>
          <w:kern w:val="0"/>
          <w:sz w:val="24"/>
        </w:rPr>
      </w:pPr>
      <w:r>
        <w:rPr>
          <w:rFonts w:hint="eastAsia" w:ascii="仿宋" w:hAnsi="仿宋"/>
          <w:color w:val="000000"/>
          <w:kern w:val="0"/>
          <w:sz w:val="24"/>
        </w:rPr>
        <w:t>一、本单位与</w:t>
      </w:r>
      <w:r>
        <w:rPr>
          <w:rFonts w:hint="eastAsia" w:ascii="仿宋" w:hAnsi="仿宋"/>
          <w:color w:val="000000"/>
          <w:kern w:val="0"/>
          <w:sz w:val="24"/>
          <w:lang w:eastAsia="zh-CN"/>
        </w:rPr>
        <w:t>采购方</w:t>
      </w:r>
      <w:r>
        <w:rPr>
          <w:rFonts w:hint="eastAsia" w:ascii="仿宋" w:hAnsi="仿宋"/>
          <w:color w:val="000000"/>
          <w:kern w:val="0"/>
          <w:sz w:val="24"/>
        </w:rPr>
        <w:t>之间</w:t>
      </w:r>
    </w:p>
    <w:p w14:paraId="692BDDCD">
      <w:pPr>
        <w:widowControl/>
        <w:snapToGrid w:val="0"/>
        <w:spacing w:line="440" w:lineRule="exact"/>
        <w:ind w:left="454"/>
        <w:rPr>
          <w:rFonts w:ascii="仿宋" w:eastAsia="仿宋"/>
          <w:color w:val="000000"/>
          <w:kern w:val="0"/>
          <w:sz w:val="24"/>
        </w:rPr>
      </w:pPr>
      <w:r>
        <w:rPr>
          <w:rFonts w:hint="eastAsia" w:ascii="宋体" w:hAnsi="宋体" w:cs="宋体"/>
          <w:color w:val="000000"/>
          <w:kern w:val="0"/>
          <w:sz w:val="24"/>
        </w:rPr>
        <w:t>□</w:t>
      </w:r>
      <w:r>
        <w:rPr>
          <w:rFonts w:hint="eastAsia" w:ascii="仿宋" w:hAnsi="仿宋"/>
          <w:color w:val="000000"/>
          <w:kern w:val="0"/>
          <w:sz w:val="24"/>
        </w:rPr>
        <w:t>不存在利害关系</w:t>
      </w:r>
    </w:p>
    <w:p w14:paraId="03B32C4E">
      <w:pPr>
        <w:widowControl/>
        <w:snapToGrid w:val="0"/>
        <w:spacing w:line="440" w:lineRule="exact"/>
        <w:ind w:left="454"/>
        <w:rPr>
          <w:rFonts w:ascii="仿宋" w:eastAsia="仿宋"/>
          <w:color w:val="000000"/>
          <w:kern w:val="0"/>
          <w:sz w:val="24"/>
        </w:rPr>
      </w:pPr>
      <w:r>
        <w:rPr>
          <w:rFonts w:hint="eastAsia" w:ascii="宋体" w:hAnsi="宋体" w:cs="宋体"/>
          <w:color w:val="000000"/>
          <w:kern w:val="0"/>
          <w:sz w:val="24"/>
        </w:rPr>
        <w:t>□</w:t>
      </w:r>
      <w:r>
        <w:rPr>
          <w:rFonts w:hint="eastAsia" w:ascii="仿宋" w:hAnsi="仿宋"/>
          <w:color w:val="000000"/>
          <w:kern w:val="0"/>
          <w:sz w:val="24"/>
        </w:rPr>
        <w:t>存在下列利害关系：</w:t>
      </w:r>
    </w:p>
    <w:p w14:paraId="57F3C6CD">
      <w:pPr>
        <w:widowControl/>
        <w:snapToGrid w:val="0"/>
        <w:spacing w:line="440" w:lineRule="exact"/>
        <w:rPr>
          <w:rFonts w:ascii="仿宋" w:eastAsia="仿宋"/>
          <w:color w:val="000000"/>
          <w:kern w:val="0"/>
          <w:sz w:val="24"/>
        </w:rPr>
      </w:pPr>
      <w:r>
        <w:rPr>
          <w:rFonts w:ascii="仿宋" w:hAnsi="仿宋"/>
          <w:color w:val="000000"/>
          <w:kern w:val="0"/>
          <w:sz w:val="24"/>
        </w:rPr>
        <w:t xml:space="preserve">  A.</w:t>
      </w:r>
      <w:r>
        <w:rPr>
          <w:rFonts w:hint="eastAsia" w:ascii="仿宋" w:hAnsi="仿宋"/>
          <w:color w:val="000000"/>
          <w:kern w:val="0"/>
          <w:sz w:val="24"/>
        </w:rPr>
        <w:t>投资关系</w:t>
      </w:r>
      <w:r>
        <w:rPr>
          <w:rFonts w:ascii="仿宋" w:hAnsi="仿宋"/>
          <w:color w:val="000000"/>
          <w:kern w:val="0"/>
          <w:sz w:val="24"/>
        </w:rPr>
        <w:t xml:space="preserve">    B.</w:t>
      </w:r>
      <w:r>
        <w:rPr>
          <w:rFonts w:hint="eastAsia" w:ascii="仿宋" w:hAnsi="仿宋"/>
          <w:color w:val="000000"/>
          <w:kern w:val="0"/>
          <w:sz w:val="24"/>
        </w:rPr>
        <w:t>行政隶属关系</w:t>
      </w:r>
      <w:r>
        <w:rPr>
          <w:rFonts w:ascii="仿宋" w:hAnsi="仿宋"/>
          <w:color w:val="000000"/>
          <w:kern w:val="0"/>
          <w:sz w:val="24"/>
        </w:rPr>
        <w:t xml:space="preserve">    C.</w:t>
      </w:r>
      <w:r>
        <w:rPr>
          <w:rFonts w:hint="eastAsia" w:ascii="仿宋" w:hAnsi="仿宋"/>
          <w:color w:val="000000"/>
          <w:kern w:val="0"/>
          <w:sz w:val="24"/>
        </w:rPr>
        <w:t>业务指导关系</w:t>
      </w:r>
    </w:p>
    <w:p w14:paraId="034A9056">
      <w:pPr>
        <w:widowControl/>
        <w:snapToGrid w:val="0"/>
        <w:spacing w:line="440" w:lineRule="exact"/>
        <w:rPr>
          <w:rFonts w:ascii="仿宋" w:eastAsia="仿宋"/>
          <w:color w:val="000000"/>
          <w:kern w:val="0"/>
          <w:sz w:val="24"/>
        </w:rPr>
      </w:pPr>
      <w:r>
        <w:rPr>
          <w:rFonts w:ascii="仿宋" w:hAnsi="仿宋"/>
          <w:color w:val="000000"/>
          <w:kern w:val="0"/>
          <w:sz w:val="24"/>
        </w:rPr>
        <w:t xml:space="preserve">  D.</w:t>
      </w:r>
      <w:r>
        <w:rPr>
          <w:rFonts w:hint="eastAsia" w:ascii="仿宋" w:hAnsi="仿宋"/>
          <w:color w:val="000000"/>
          <w:kern w:val="0"/>
          <w:sz w:val="24"/>
        </w:rPr>
        <w:t>其他可能</w:t>
      </w:r>
      <w:r>
        <w:rPr>
          <w:rFonts w:hint="eastAsia" w:ascii="仿宋" w:hAnsi="仿宋"/>
          <w:color w:val="000000"/>
          <w:sz w:val="24"/>
        </w:rPr>
        <w:t>影响采购公正的</w:t>
      </w:r>
      <w:r>
        <w:rPr>
          <w:rFonts w:hint="eastAsia" w:ascii="仿宋" w:hAnsi="仿宋"/>
          <w:color w:val="000000"/>
          <w:kern w:val="0"/>
          <w:sz w:val="24"/>
        </w:rPr>
        <w:t>利害关系。</w:t>
      </w:r>
    </w:p>
    <w:p w14:paraId="3A8226DA">
      <w:pPr>
        <w:widowControl/>
        <w:snapToGrid w:val="0"/>
        <w:spacing w:line="440" w:lineRule="exact"/>
        <w:rPr>
          <w:rFonts w:ascii="仿宋" w:eastAsia="仿宋"/>
          <w:color w:val="000000"/>
          <w:kern w:val="0"/>
          <w:sz w:val="24"/>
        </w:rPr>
      </w:pPr>
      <w:r>
        <w:rPr>
          <w:rFonts w:hint="eastAsia" w:ascii="仿宋" w:hAnsi="仿宋"/>
          <w:color w:val="000000"/>
          <w:spacing w:val="6"/>
          <w:sz w:val="24"/>
        </w:rPr>
        <w:t>二、</w:t>
      </w:r>
      <w:r>
        <w:rPr>
          <w:rFonts w:hint="eastAsia" w:ascii="仿宋" w:hAnsi="仿宋"/>
          <w:color w:val="000000"/>
          <w:kern w:val="0"/>
          <w:sz w:val="24"/>
        </w:rPr>
        <w:t>现已清楚知道参加本项目采购活动的其他所有供应商名称，本单位</w:t>
      </w:r>
    </w:p>
    <w:p w14:paraId="639A90E3">
      <w:pPr>
        <w:widowControl/>
        <w:snapToGrid w:val="0"/>
        <w:spacing w:line="440" w:lineRule="exact"/>
        <w:ind w:firstLine="480" w:firstLineChars="200"/>
        <w:rPr>
          <w:rFonts w:ascii="仿宋" w:eastAsia="仿宋"/>
          <w:color w:val="000000"/>
          <w:kern w:val="0"/>
          <w:sz w:val="24"/>
        </w:rPr>
      </w:pPr>
      <w:r>
        <w:rPr>
          <w:rFonts w:hint="eastAsia" w:ascii="宋体" w:hAnsi="宋体" w:cs="宋体"/>
          <w:color w:val="000000"/>
          <w:kern w:val="0"/>
          <w:sz w:val="24"/>
        </w:rPr>
        <w:t>□与其他所有供应商之间均</w:t>
      </w:r>
      <w:r>
        <w:rPr>
          <w:rFonts w:hint="eastAsia" w:ascii="仿宋" w:hAnsi="仿宋"/>
          <w:color w:val="000000"/>
          <w:kern w:val="0"/>
          <w:sz w:val="24"/>
        </w:rPr>
        <w:t>不存在利害关系</w:t>
      </w:r>
    </w:p>
    <w:p w14:paraId="36008DCB">
      <w:pPr>
        <w:widowControl/>
        <w:snapToGrid w:val="0"/>
        <w:spacing w:line="440" w:lineRule="exact"/>
        <w:ind w:firstLine="480" w:firstLineChars="200"/>
        <w:rPr>
          <w:rFonts w:ascii="仿宋" w:eastAsia="仿宋"/>
          <w:color w:val="000000"/>
          <w:kern w:val="0"/>
          <w:sz w:val="24"/>
        </w:rPr>
      </w:pPr>
      <w:r>
        <w:rPr>
          <w:rFonts w:hint="eastAsia" w:ascii="宋体" w:hAnsi="宋体" w:cs="宋体"/>
          <w:color w:val="000000"/>
          <w:kern w:val="0"/>
          <w:sz w:val="24"/>
        </w:rPr>
        <w:t>□与之间</w:t>
      </w:r>
      <w:r>
        <w:rPr>
          <w:rFonts w:hint="eastAsia" w:ascii="仿宋" w:hAnsi="仿宋"/>
          <w:color w:val="000000"/>
          <w:kern w:val="0"/>
          <w:sz w:val="24"/>
        </w:rPr>
        <w:t>存在下列利害关系：</w:t>
      </w:r>
    </w:p>
    <w:p w14:paraId="1AAB19DC">
      <w:pPr>
        <w:snapToGrid w:val="0"/>
        <w:spacing w:line="440" w:lineRule="exact"/>
        <w:rPr>
          <w:rFonts w:ascii="仿宋" w:hAnsi="Courier New" w:eastAsia="仿宋"/>
          <w:color w:val="000000"/>
          <w:kern w:val="0"/>
          <w:sz w:val="24"/>
        </w:rPr>
      </w:pPr>
      <w:r>
        <w:rPr>
          <w:rFonts w:ascii="仿宋" w:hAnsi="仿宋"/>
          <w:color w:val="000000"/>
          <w:kern w:val="0"/>
          <w:sz w:val="24"/>
        </w:rPr>
        <w:t xml:space="preserve">  A.</w:t>
      </w:r>
      <w:r>
        <w:rPr>
          <w:rFonts w:hint="eastAsia" w:ascii="仿宋" w:hAnsi="仿宋"/>
          <w:color w:val="000000"/>
          <w:kern w:val="0"/>
          <w:sz w:val="24"/>
        </w:rPr>
        <w:t>法定代表人或负责人或实际控制人是同一人</w:t>
      </w:r>
    </w:p>
    <w:p w14:paraId="41E109B8">
      <w:pPr>
        <w:snapToGrid w:val="0"/>
        <w:spacing w:line="440" w:lineRule="exact"/>
        <w:rPr>
          <w:rFonts w:ascii="仿宋" w:hAnsi="Courier New" w:eastAsia="仿宋"/>
          <w:color w:val="000000"/>
          <w:spacing w:val="6"/>
          <w:sz w:val="24"/>
        </w:rPr>
      </w:pPr>
      <w:r>
        <w:rPr>
          <w:rFonts w:ascii="仿宋" w:hAnsi="仿宋"/>
          <w:color w:val="000000"/>
          <w:kern w:val="0"/>
          <w:sz w:val="24"/>
        </w:rPr>
        <w:t xml:space="preserve">  B.</w:t>
      </w:r>
      <w:r>
        <w:rPr>
          <w:rFonts w:hint="eastAsia" w:ascii="仿宋" w:hAnsi="仿宋"/>
          <w:color w:val="000000"/>
          <w:kern w:val="0"/>
          <w:sz w:val="24"/>
        </w:rPr>
        <w:t>法定代表人或负责人或实际控制人是夫妻关系</w:t>
      </w:r>
    </w:p>
    <w:p w14:paraId="64E654F8">
      <w:pPr>
        <w:snapToGrid w:val="0"/>
        <w:spacing w:line="440" w:lineRule="exact"/>
        <w:rPr>
          <w:rFonts w:ascii="仿宋" w:hAnsi="Courier New" w:eastAsia="仿宋"/>
          <w:color w:val="000000"/>
          <w:spacing w:val="6"/>
          <w:sz w:val="24"/>
        </w:rPr>
      </w:pPr>
      <w:r>
        <w:rPr>
          <w:rFonts w:ascii="仿宋" w:hAnsi="仿宋"/>
          <w:color w:val="000000"/>
          <w:kern w:val="0"/>
          <w:sz w:val="24"/>
        </w:rPr>
        <w:t xml:space="preserve">  C.</w:t>
      </w:r>
      <w:r>
        <w:rPr>
          <w:rFonts w:hint="eastAsia" w:ascii="仿宋" w:hAnsi="仿宋"/>
          <w:color w:val="000000"/>
          <w:kern w:val="0"/>
          <w:sz w:val="24"/>
        </w:rPr>
        <w:t>法定代表人或负责人或实际控制人是直系血亲关系</w:t>
      </w:r>
    </w:p>
    <w:p w14:paraId="70CFE604">
      <w:pPr>
        <w:snapToGrid w:val="0"/>
        <w:spacing w:line="440" w:lineRule="exact"/>
        <w:rPr>
          <w:rFonts w:ascii="仿宋" w:hAnsi="Courier New" w:eastAsia="仿宋"/>
          <w:color w:val="000000"/>
          <w:spacing w:val="6"/>
          <w:sz w:val="24"/>
        </w:rPr>
      </w:pPr>
      <w:r>
        <w:rPr>
          <w:rFonts w:ascii="仿宋" w:hAnsi="仿宋"/>
          <w:color w:val="000000"/>
          <w:kern w:val="0"/>
          <w:sz w:val="24"/>
        </w:rPr>
        <w:t xml:space="preserve">  D.</w:t>
      </w:r>
      <w:r>
        <w:rPr>
          <w:rFonts w:hint="eastAsia" w:ascii="仿宋" w:hAnsi="仿宋"/>
          <w:color w:val="000000"/>
          <w:kern w:val="0"/>
          <w:sz w:val="24"/>
        </w:rPr>
        <w:t>法定代表人或负责人或实际控制人存在三代以内旁系血亲关系</w:t>
      </w:r>
    </w:p>
    <w:p w14:paraId="0F579F27">
      <w:pPr>
        <w:snapToGrid w:val="0"/>
        <w:spacing w:line="440" w:lineRule="exact"/>
        <w:rPr>
          <w:rFonts w:ascii="仿宋" w:hAnsi="Courier New" w:eastAsia="仿宋"/>
          <w:color w:val="000000"/>
          <w:kern w:val="0"/>
          <w:sz w:val="24"/>
        </w:rPr>
      </w:pPr>
      <w:r>
        <w:rPr>
          <w:rFonts w:ascii="仿宋" w:hAnsi="仿宋"/>
          <w:color w:val="000000"/>
          <w:kern w:val="0"/>
          <w:sz w:val="24"/>
        </w:rPr>
        <w:t xml:space="preserve">  E.</w:t>
      </w:r>
      <w:r>
        <w:rPr>
          <w:rFonts w:hint="eastAsia" w:ascii="仿宋" w:hAnsi="仿宋"/>
          <w:color w:val="000000"/>
          <w:kern w:val="0"/>
          <w:sz w:val="24"/>
        </w:rPr>
        <w:t>法定代表人或负责人或实际控制人存在近姻亲关系</w:t>
      </w:r>
    </w:p>
    <w:p w14:paraId="18135ED2">
      <w:pPr>
        <w:snapToGrid w:val="0"/>
        <w:spacing w:line="440" w:lineRule="exact"/>
        <w:rPr>
          <w:rFonts w:ascii="仿宋" w:hAnsi="Courier New" w:eastAsia="仿宋"/>
          <w:color w:val="000000"/>
          <w:kern w:val="0"/>
          <w:sz w:val="24"/>
        </w:rPr>
      </w:pPr>
      <w:r>
        <w:rPr>
          <w:rFonts w:ascii="仿宋" w:hAnsi="仿宋"/>
          <w:color w:val="000000"/>
          <w:kern w:val="0"/>
          <w:sz w:val="24"/>
        </w:rPr>
        <w:t xml:space="preserve">  F.</w:t>
      </w:r>
      <w:r>
        <w:rPr>
          <w:rFonts w:hint="eastAsia" w:ascii="仿宋" w:hAnsi="仿宋"/>
          <w:color w:val="000000"/>
          <w:kern w:val="0"/>
          <w:sz w:val="24"/>
        </w:rPr>
        <w:t>法定代表人或负责人或实际控制人存在股份控制或实际控制关系</w:t>
      </w:r>
    </w:p>
    <w:p w14:paraId="44E01E99">
      <w:pPr>
        <w:rPr>
          <w:rFonts w:ascii="仿宋" w:hAnsi="Courier New" w:eastAsia="仿宋"/>
          <w:color w:val="000000"/>
          <w:kern w:val="0"/>
          <w:sz w:val="24"/>
        </w:rPr>
      </w:pPr>
      <w:r>
        <w:rPr>
          <w:rFonts w:ascii="仿宋" w:hAnsi="仿宋"/>
          <w:color w:val="000000"/>
          <w:kern w:val="0"/>
          <w:sz w:val="24"/>
        </w:rPr>
        <w:t xml:space="preserve">  G.</w:t>
      </w:r>
      <w:r>
        <w:rPr>
          <w:rFonts w:hint="eastAsia" w:ascii="仿宋" w:hAnsi="仿宋"/>
          <w:color w:val="000000"/>
          <w:kern w:val="0"/>
          <w:sz w:val="24"/>
        </w:rPr>
        <w:t>存在共同直接或间接投资设立子公司、联营企业和合营企业情况</w:t>
      </w:r>
    </w:p>
    <w:p w14:paraId="5EA73B52">
      <w:pPr>
        <w:snapToGrid w:val="0"/>
        <w:spacing w:line="440" w:lineRule="exact"/>
        <w:rPr>
          <w:rFonts w:ascii="仿宋" w:hAnsi="Courier New" w:eastAsia="仿宋"/>
          <w:color w:val="000000"/>
          <w:sz w:val="24"/>
        </w:rPr>
      </w:pPr>
      <w:r>
        <w:rPr>
          <w:rFonts w:ascii="仿宋" w:hAnsi="仿宋"/>
          <w:color w:val="000000"/>
          <w:kern w:val="0"/>
          <w:sz w:val="24"/>
        </w:rPr>
        <w:t xml:space="preserve">  H.</w:t>
      </w:r>
      <w:r>
        <w:rPr>
          <w:rFonts w:hint="eastAsia" w:ascii="仿宋" w:hAnsi="仿宋"/>
          <w:color w:val="000000"/>
          <w:kern w:val="0"/>
          <w:sz w:val="24"/>
        </w:rPr>
        <w:t>存在分级代理或代销关系、同一生产制造商关系、</w:t>
      </w:r>
      <w:r>
        <w:rPr>
          <w:rFonts w:hint="eastAsia" w:ascii="仿宋" w:hAnsi="仿宋"/>
          <w:color w:val="000000"/>
          <w:sz w:val="24"/>
        </w:rPr>
        <w:t>管理关系、重要业务（占主营业务收入</w:t>
      </w:r>
      <w:r>
        <w:rPr>
          <w:rFonts w:ascii="仿宋" w:hAnsi="仿宋"/>
          <w:color w:val="000000"/>
          <w:sz w:val="24"/>
        </w:rPr>
        <w:t>50%</w:t>
      </w:r>
      <w:r>
        <w:rPr>
          <w:rFonts w:hint="eastAsia" w:ascii="仿宋" w:hAnsi="仿宋"/>
          <w:color w:val="000000"/>
          <w:sz w:val="24"/>
        </w:rPr>
        <w:t>以上）或重要财务往来关系（如融资）等其他实质性控制关系</w:t>
      </w:r>
    </w:p>
    <w:p w14:paraId="5F9C0349">
      <w:pPr>
        <w:snapToGrid w:val="0"/>
        <w:spacing w:line="440" w:lineRule="exact"/>
        <w:rPr>
          <w:rFonts w:ascii="仿宋" w:hAnsi="Courier New" w:eastAsia="仿宋"/>
          <w:color w:val="000000"/>
          <w:spacing w:val="6"/>
          <w:sz w:val="24"/>
        </w:rPr>
      </w:pPr>
      <w:r>
        <w:rPr>
          <w:rFonts w:ascii="仿宋" w:hAnsi="仿宋"/>
          <w:color w:val="000000"/>
          <w:sz w:val="24"/>
        </w:rPr>
        <w:t>I</w:t>
      </w:r>
      <w:r>
        <w:rPr>
          <w:rFonts w:ascii="仿宋" w:hAnsi="Courier New" w:eastAsia="仿宋"/>
          <w:color w:val="000000"/>
          <w:kern w:val="0"/>
          <w:sz w:val="24"/>
        </w:rPr>
        <w:t>.</w:t>
      </w:r>
      <w:r>
        <w:rPr>
          <w:rFonts w:hint="eastAsia" w:ascii="仿宋" w:hAnsi="仿宋"/>
          <w:color w:val="000000"/>
          <w:sz w:val="24"/>
        </w:rPr>
        <w:t>其他利害关系情况</w:t>
      </w:r>
      <w:r>
        <w:rPr>
          <w:rFonts w:hint="eastAsia" w:ascii="仿宋" w:hAnsi="仿宋"/>
          <w:color w:val="000000"/>
          <w:kern w:val="0"/>
          <w:sz w:val="24"/>
        </w:rPr>
        <w:t>。</w:t>
      </w:r>
    </w:p>
    <w:p w14:paraId="4B0D8C87">
      <w:pPr>
        <w:widowControl/>
        <w:snapToGrid w:val="0"/>
        <w:spacing w:line="440" w:lineRule="exact"/>
        <w:rPr>
          <w:rFonts w:ascii="仿宋" w:eastAsia="仿宋"/>
          <w:color w:val="000000"/>
          <w:kern w:val="0"/>
          <w:sz w:val="24"/>
        </w:rPr>
      </w:pPr>
      <w:r>
        <w:rPr>
          <w:rFonts w:hint="eastAsia" w:ascii="仿宋" w:hAnsi="仿宋"/>
          <w:color w:val="000000"/>
          <w:sz w:val="24"/>
        </w:rPr>
        <w:t>三、现已清楚知道并</w:t>
      </w:r>
      <w:r>
        <w:rPr>
          <w:rFonts w:hint="eastAsia" w:ascii="仿宋" w:hAnsi="仿宋"/>
          <w:color w:val="000000"/>
          <w:kern w:val="0"/>
          <w:sz w:val="24"/>
        </w:rPr>
        <w:t>严格遵守政府采购法律法规和现场纪律。</w:t>
      </w:r>
    </w:p>
    <w:p w14:paraId="177AB2EF">
      <w:pPr>
        <w:widowControl/>
        <w:snapToGrid w:val="0"/>
        <w:spacing w:line="440" w:lineRule="exact"/>
        <w:rPr>
          <w:rFonts w:ascii="仿宋" w:hAnsi="仿宋"/>
          <w:color w:val="000000"/>
          <w:kern w:val="0"/>
          <w:sz w:val="24"/>
        </w:rPr>
      </w:pPr>
      <w:r>
        <w:rPr>
          <w:rFonts w:hint="eastAsia" w:ascii="仿宋" w:hAnsi="仿宋"/>
          <w:color w:val="000000"/>
          <w:kern w:val="0"/>
          <w:sz w:val="24"/>
        </w:rPr>
        <w:t>四、我发现供应商之间存在或可能存在上述第二条第项利害关系。</w:t>
      </w:r>
    </w:p>
    <w:p w14:paraId="1C7C1A43">
      <w:pPr>
        <w:widowControl/>
        <w:snapToGrid w:val="0"/>
        <w:spacing w:line="440" w:lineRule="exact"/>
        <w:rPr>
          <w:rFonts w:ascii="宋体" w:hAnsi="宋体"/>
          <w:color w:val="000000"/>
          <w:kern w:val="0"/>
          <w:sz w:val="24"/>
        </w:rPr>
      </w:pPr>
      <w:r>
        <w:rPr>
          <w:rFonts w:hint="eastAsia" w:ascii="宋体" w:hAnsi="宋体"/>
          <w:color w:val="000000"/>
          <w:kern w:val="0"/>
          <w:sz w:val="24"/>
        </w:rPr>
        <w:t>□不存在利害关系</w:t>
      </w:r>
    </w:p>
    <w:p w14:paraId="7A9CF3CA">
      <w:pPr>
        <w:widowControl/>
        <w:snapToGrid w:val="0"/>
        <w:spacing w:line="440" w:lineRule="exact"/>
        <w:rPr>
          <w:rFonts w:ascii="宋体" w:hAnsi="宋体"/>
          <w:color w:val="000000"/>
          <w:kern w:val="0"/>
          <w:sz w:val="24"/>
        </w:rPr>
      </w:pPr>
      <w:r>
        <w:rPr>
          <w:rFonts w:hint="eastAsia" w:ascii="宋体" w:hAnsi="宋体"/>
          <w:color w:val="000000"/>
          <w:kern w:val="0"/>
          <w:sz w:val="24"/>
        </w:rPr>
        <w:t>□存在下列利害关系</w:t>
      </w:r>
    </w:p>
    <w:p w14:paraId="11B25CA5">
      <w:pPr>
        <w:snapToGrid w:val="0"/>
        <w:spacing w:line="500" w:lineRule="exact"/>
        <w:ind w:firstLine="5783" w:firstLineChars="2400"/>
        <w:rPr>
          <w:rFonts w:ascii="仿宋" w:eastAsia="仿宋"/>
          <w:color w:val="000000"/>
          <w:sz w:val="24"/>
        </w:rPr>
      </w:pPr>
      <w:r>
        <w:rPr>
          <w:rFonts w:hint="eastAsia" w:ascii="仿宋" w:hAnsi="仿宋"/>
          <w:b/>
          <w:color w:val="000000"/>
          <w:sz w:val="24"/>
        </w:rPr>
        <w:t>供应商代表签名：</w:t>
      </w:r>
    </w:p>
    <w:p w14:paraId="234B1442">
      <w:pPr>
        <w:ind w:firstLine="5880" w:firstLineChars="2450"/>
        <w:rPr>
          <w:rFonts w:hint="eastAsia" w:ascii="仿宋" w:hAnsi="仿宋"/>
          <w:color w:val="000000"/>
          <w:sz w:val="24"/>
        </w:rPr>
      </w:pPr>
      <w:r>
        <w:rPr>
          <w:rFonts w:hint="eastAsia" w:ascii="仿宋" w:hAnsi="仿宋"/>
          <w:color w:val="000000"/>
          <w:sz w:val="24"/>
        </w:rPr>
        <w:t>年</w:t>
      </w:r>
      <w:r>
        <w:rPr>
          <w:rFonts w:ascii="仿宋" w:hAnsi="仿宋"/>
          <w:color w:val="000000"/>
          <w:sz w:val="24"/>
        </w:rPr>
        <w:t xml:space="preserve">  </w:t>
      </w:r>
      <w:r>
        <w:rPr>
          <w:rFonts w:hint="eastAsia" w:ascii="仿宋" w:hAnsi="仿宋"/>
          <w:color w:val="000000"/>
          <w:sz w:val="24"/>
        </w:rPr>
        <w:t>月</w:t>
      </w:r>
      <w:r>
        <w:rPr>
          <w:rFonts w:ascii="仿宋" w:hAnsi="仿宋"/>
          <w:color w:val="000000"/>
          <w:sz w:val="24"/>
        </w:rPr>
        <w:t xml:space="preserve">   </w:t>
      </w:r>
      <w:r>
        <w:rPr>
          <w:rFonts w:hint="eastAsia" w:ascii="仿宋" w:hAnsi="仿宋"/>
          <w:color w:val="000000"/>
          <w:sz w:val="24"/>
        </w:rPr>
        <w:t>日</w:t>
      </w:r>
    </w:p>
    <w:p w14:paraId="38CAA7DD">
      <w:pPr>
        <w:rPr>
          <w:rFonts w:hint="eastAsia" w:hAnsi="宋体" w:cs="宋体"/>
        </w:rPr>
      </w:pPr>
      <w:r>
        <w:rPr>
          <w:rFonts w:hint="eastAsia" w:hAnsi="宋体" w:cs="宋体"/>
          <w:b/>
          <w:bCs/>
          <w:sz w:val="24"/>
          <w:szCs w:val="24"/>
        </w:rPr>
        <w:t>注：待完成解密后填写本确认书再以扫描件的形式发到QQ邮箱（</w:t>
      </w:r>
      <w:r>
        <w:rPr>
          <w:rFonts w:hint="eastAsia" w:hAnsi="宋体" w:cs="宋体"/>
          <w:b/>
          <w:bCs/>
          <w:sz w:val="24"/>
          <w:szCs w:val="24"/>
          <w:lang w:eastAsia="zh-CN"/>
        </w:rPr>
        <w:t>1360921946</w:t>
      </w:r>
      <w:r>
        <w:rPr>
          <w:rFonts w:hint="eastAsia" w:hAnsi="宋体" w:cs="宋体"/>
          <w:b/>
          <w:bCs/>
          <w:sz w:val="24"/>
          <w:szCs w:val="24"/>
        </w:rPr>
        <w:t>@qq.com）内，打印时请删除此项注明。</w:t>
      </w:r>
    </w:p>
    <w:p w14:paraId="1C2653B1">
      <w:pPr>
        <w:pStyle w:val="7"/>
        <w:ind w:left="0" w:leftChars="0" w:firstLine="0" w:firstLineChars="0"/>
        <w:rPr>
          <w:rFonts w:hint="eastAsia" w:ascii="宋体" w:hAnsi="宋体" w:eastAsia="宋体" w:cs="宋体"/>
          <w:color w:val="000000"/>
          <w:sz w:val="24"/>
          <w:szCs w:val="24"/>
          <w:highlight w:val="none"/>
          <w:lang w:eastAsia="zh-CN"/>
        </w:rPr>
      </w:pPr>
      <w:r>
        <w:rPr>
          <w:rFonts w:hint="eastAsia"/>
        </w:rPr>
        <w:br w:type="page"/>
      </w:r>
      <w:r>
        <w:rPr>
          <w:rFonts w:hint="eastAsia" w:ascii="仿宋" w:hAnsi="仿宋" w:eastAsia="仿宋" w:cs="仿宋"/>
          <w:color w:val="auto"/>
        </w:rPr>
        <w:drawing>
          <wp:inline distT="0" distB="0" distL="114300" distR="114300">
            <wp:extent cx="5595620" cy="7649845"/>
            <wp:effectExtent l="0" t="0" r="5080" b="825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14"/>
                    <a:stretch>
                      <a:fillRect/>
                    </a:stretch>
                  </pic:blipFill>
                  <pic:spPr>
                    <a:xfrm>
                      <a:off x="0" y="0"/>
                      <a:ext cx="5595620" cy="7649845"/>
                    </a:xfrm>
                    <a:prstGeom prst="rect">
                      <a:avLst/>
                    </a:prstGeom>
                    <a:noFill/>
                    <a:ln>
                      <a:noFill/>
                    </a:ln>
                  </pic:spPr>
                </pic:pic>
              </a:graphicData>
            </a:graphic>
          </wp:inline>
        </w:drawing>
      </w:r>
      <w:r>
        <w:rPr>
          <w:rFonts w:hint="eastAsia" w:ascii="仿宋" w:hAnsi="仿宋" w:eastAsia="仿宋" w:cs="仿宋"/>
          <w:color w:val="auto"/>
        </w:rPr>
        <w:drawing>
          <wp:inline distT="0" distB="0" distL="114300" distR="114300">
            <wp:extent cx="5600700" cy="7705725"/>
            <wp:effectExtent l="0" t="0" r="0" b="9525"/>
            <wp:docPr id="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pic:cNvPicPr>
                      <a:picLocks noChangeAspect="1"/>
                    </pic:cNvPicPr>
                  </pic:nvPicPr>
                  <pic:blipFill>
                    <a:blip r:embed="rId15"/>
                    <a:stretch>
                      <a:fillRect/>
                    </a:stretch>
                  </pic:blipFill>
                  <pic:spPr>
                    <a:xfrm>
                      <a:off x="0" y="0"/>
                      <a:ext cx="5600700" cy="7705725"/>
                    </a:xfrm>
                    <a:prstGeom prst="rect">
                      <a:avLst/>
                    </a:prstGeom>
                    <a:noFill/>
                    <a:ln>
                      <a:noFill/>
                    </a:ln>
                  </pic:spPr>
                </pic:pic>
              </a:graphicData>
            </a:graphic>
          </wp:inline>
        </w:drawing>
      </w:r>
      <w:r>
        <w:rPr>
          <w:rFonts w:hint="eastAsia" w:ascii="仿宋" w:hAnsi="仿宋" w:eastAsia="仿宋" w:cs="仿宋"/>
          <w:color w:val="auto"/>
        </w:rPr>
        <w:drawing>
          <wp:inline distT="0" distB="0" distL="114300" distR="114300">
            <wp:extent cx="5597525" cy="7550785"/>
            <wp:effectExtent l="0" t="0" r="3175" b="12065"/>
            <wp:docPr id="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pic:cNvPicPr>
                      <a:picLocks noChangeAspect="1"/>
                    </pic:cNvPicPr>
                  </pic:nvPicPr>
                  <pic:blipFill>
                    <a:blip r:embed="rId16"/>
                    <a:stretch>
                      <a:fillRect/>
                    </a:stretch>
                  </pic:blipFill>
                  <pic:spPr>
                    <a:xfrm>
                      <a:off x="0" y="0"/>
                      <a:ext cx="5597525" cy="7550785"/>
                    </a:xfrm>
                    <a:prstGeom prst="rect">
                      <a:avLst/>
                    </a:prstGeom>
                    <a:noFill/>
                    <a:ln>
                      <a:noFill/>
                    </a:ln>
                  </pic:spPr>
                </pic:pic>
              </a:graphicData>
            </a:graphic>
          </wp:inline>
        </w:drawing>
      </w:r>
      <w:r>
        <w:rPr>
          <w:rFonts w:hint="eastAsia" w:ascii="仿宋" w:hAnsi="仿宋" w:eastAsia="仿宋" w:cs="仿宋"/>
          <w:color w:val="auto"/>
        </w:rPr>
        <w:drawing>
          <wp:inline distT="0" distB="0" distL="114300" distR="114300">
            <wp:extent cx="5595620" cy="7357110"/>
            <wp:effectExtent l="0" t="0" r="5080" b="15240"/>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17"/>
                    <a:stretch>
                      <a:fillRect/>
                    </a:stretch>
                  </pic:blipFill>
                  <pic:spPr>
                    <a:xfrm>
                      <a:off x="0" y="0"/>
                      <a:ext cx="5595620" cy="7357110"/>
                    </a:xfrm>
                    <a:prstGeom prst="rect">
                      <a:avLst/>
                    </a:prstGeom>
                    <a:noFill/>
                    <a:ln>
                      <a:noFill/>
                    </a:ln>
                  </pic:spPr>
                </pic:pic>
              </a:graphicData>
            </a:graphic>
          </wp:inline>
        </w:drawing>
      </w:r>
    </w:p>
    <w:sectPr>
      <w:pgSz w:w="11906" w:h="16838"/>
      <w:pgMar w:top="1800" w:right="1440" w:bottom="1800" w:left="144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华文楷体">
    <w:panose1 w:val="02010600040101010101"/>
    <w:charset w:val="86"/>
    <w:family w:val="auto"/>
    <w:pitch w:val="default"/>
    <w:sig w:usb0="00000287" w:usb1="080F0000" w:usb2="00000000" w:usb3="00000000" w:csb0="0004009F" w:csb1="DFD70000"/>
  </w:font>
  <w:font w:name="新宋体">
    <w:panose1 w:val="02010609030101010101"/>
    <w:charset w:val="86"/>
    <w:family w:val="modern"/>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DFBCA2">
    <w:pPr>
      <w:pStyle w:val="16"/>
      <w:tabs>
        <w:tab w:val="right" w:pos="8460"/>
        <w:tab w:val="left" w:pos="8820"/>
        <w:tab w:val="clear" w:pos="8306"/>
      </w:tabs>
      <w:ind w:leftChars="-146" w:right="-512" w:rightChars="-244" w:hanging="306" w:hangingChars="146"/>
      <w:jc w:val="both"/>
      <w:rPr>
        <w:rFonts w:hint="eastAsia" w:ascii="宋体" w:hAnsi="宋体"/>
        <w:sz w:val="21"/>
        <w:szCs w:val="21"/>
        <w:u w:val="single"/>
      </w:rPr>
    </w:pPr>
    <w:r>
      <w:rPr>
        <w:rFonts w:hint="eastAsia" w:ascii="宋体" w:hAnsi="宋体"/>
        <w:sz w:val="21"/>
        <w:szCs w:val="21"/>
        <w:u w:val="single"/>
      </w:rPr>
      <w:t xml:space="preserve">                                                                                                                     </w:t>
    </w:r>
  </w:p>
  <w:p w14:paraId="07576536">
    <w:pPr>
      <w:pStyle w:val="16"/>
      <w:tabs>
        <w:tab w:val="right" w:pos="8820"/>
        <w:tab w:val="clear" w:pos="8306"/>
      </w:tabs>
      <w:ind w:right="-512" w:rightChars="-244"/>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38ED72">
    <w:pPr>
      <w:pStyle w:val="16"/>
      <w:framePr w:wrap="around" w:vAnchor="text" w:hAnchor="margin" w:xAlign="right" w:y="1"/>
      <w:rPr>
        <w:rStyle w:val="24"/>
      </w:rPr>
    </w:pPr>
    <w:r>
      <w:fldChar w:fldCharType="begin"/>
    </w:r>
    <w:r>
      <w:rPr>
        <w:rStyle w:val="24"/>
      </w:rPr>
      <w:instrText xml:space="preserve">PAGE  </w:instrText>
    </w:r>
    <w:r>
      <w:fldChar w:fldCharType="separate"/>
    </w:r>
    <w:r>
      <w:rPr>
        <w:rStyle w:val="24"/>
      </w:rPr>
      <w:t>31</w:t>
    </w:r>
    <w:r>
      <w:fldChar w:fldCharType="end"/>
    </w:r>
  </w:p>
  <w:p w14:paraId="6B23FF41">
    <w:pPr>
      <w:pStyle w:val="1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86C91">
    <w:pPr>
      <w:pStyle w:val="16"/>
      <w:jc w:val="center"/>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180510">
    <w:pPr>
      <w:pStyle w:val="16"/>
      <w:jc w:val="center"/>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D22C82">
                          <w:pPr>
                            <w:pStyle w:val="1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0D22C82">
                    <w:pPr>
                      <w:pStyle w:val="1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E9D92B">
    <w:pPr>
      <w:pStyle w:val="16"/>
      <w:jc w:val="center"/>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DBBA1B">
                          <w:pPr>
                            <w:pStyle w:val="1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6DBBA1B">
                    <w:pPr>
                      <w:pStyle w:val="16"/>
                    </w:pPr>
                    <w:r>
                      <w:fldChar w:fldCharType="begin"/>
                    </w:r>
                    <w:r>
                      <w:instrText xml:space="preserve"> PAGE  \* MERGEFORMAT </w:instrText>
                    </w:r>
                    <w:r>
                      <w:fldChar w:fldCharType="separate"/>
                    </w:r>
                    <w:r>
                      <w:t>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CC754">
    <w:pPr>
      <w:pStyle w:val="36"/>
      <w:spacing w:line="273" w:lineRule="auto"/>
      <w:jc w:val="center"/>
      <w:rPr>
        <w:rFonts w:hint="eastAsia"/>
        <w:sz w:val="18"/>
        <w:szCs w:val="18"/>
      </w:rPr>
    </w:pPr>
    <w:r>
      <w:rPr>
        <w:sz w:val="18"/>
        <w:szCs w:val="1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170815</wp:posOffset>
              </wp:positionV>
              <wp:extent cx="5600700" cy="0"/>
              <wp:effectExtent l="0" t="4445" r="0" b="5080"/>
              <wp:wrapNone/>
              <wp:docPr id="1" name="直接连接符 1"/>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13.45pt;height:0pt;width:441pt;z-index:251659264;mso-width-relative:page;mso-height-relative:page;" filled="f" stroked="t" coordsize="21600,21600" o:gfxdata="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A+A0lNMAAAAGAQAADwAAAAAAAAABACAAAAAiAAAAZHJzL2Rvd25yZXYueG1sUEsBAhQAFAAA&#10;AAgAh07iQOdleEn0AQAA5AMAAA4AAAAAAAAAAQAgAAAAIgEAAGRycy9lMm9Eb2MueG1sUEsFBgAA&#10;AAAGAAYAWQEAAIgFAAAAAA==&#10;">
              <v:fill on="f" focussize="0,0"/>
              <v:stroke color="#000000" joinstyle="round"/>
              <v:imagedata o:title=""/>
              <o:lock v:ext="edit" aspectratio="f"/>
            </v:lin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F0CEA">
    <w:pPr>
      <w:pStyle w:val="1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1479A8">
    <w:pPr>
      <w:pStyle w:val="36"/>
      <w:pBdr>
        <w:bottom w:val="single" w:color="auto" w:sz="4" w:space="0"/>
      </w:pBdr>
      <w:spacing w:line="273" w:lineRule="auto"/>
      <w:jc w:val="center"/>
      <w:rPr>
        <w:rFonts w:hint="eastAsia"/>
        <w:sz w:val="18"/>
        <w:szCs w:val="18"/>
      </w:rPr>
    </w:pPr>
    <w:r>
      <w:rPr>
        <w:rFonts w:hint="eastAsia" w:ascii="宋体" w:hAnsi="宋体" w:cs="宋体"/>
        <w:sz w:val="18"/>
        <w:szCs w:val="18"/>
        <w:lang w:val="en-US" w:eastAsia="zh-CN"/>
      </w:rPr>
      <w:t>ZJCD</w:t>
    </w:r>
    <w:r>
      <w:rPr>
        <w:rFonts w:hint="eastAsia" w:ascii="宋体" w:hAnsi="宋体" w:cs="宋体"/>
        <w:sz w:val="18"/>
        <w:szCs w:val="18"/>
      </w:rPr>
      <w:t xml:space="preserve">     </w:t>
    </w:r>
    <w:r>
      <w:rPr>
        <w:rFonts w:hint="eastAsia" w:ascii="宋体" w:hAnsi="宋体" w:cs="宋体"/>
        <w:sz w:val="18"/>
        <w:szCs w:val="18"/>
        <w:lang w:val="en-US" w:eastAsia="zh-CN"/>
      </w:rPr>
      <w:t xml:space="preserve">      </w:t>
    </w:r>
    <w:r>
      <w:rPr>
        <w:rFonts w:hint="eastAsia" w:ascii="宋体" w:hAnsi="宋体" w:cs="宋体"/>
        <w:sz w:val="18"/>
        <w:szCs w:val="18"/>
      </w:rPr>
      <w:t xml:space="preserve">                           </w:t>
    </w:r>
    <w:r>
      <w:rPr>
        <w:rFonts w:hint="eastAsia" w:ascii="宋体" w:hAnsi="宋体" w:cs="宋体"/>
        <w:sz w:val="18"/>
        <w:szCs w:val="18"/>
        <w:lang w:val="en-US" w:eastAsia="zh-CN"/>
      </w:rPr>
      <w:t xml:space="preserve">                </w:t>
    </w:r>
    <w:r>
      <w:rPr>
        <w:rFonts w:hint="eastAsia" w:ascii="宋体" w:hAnsi="宋体" w:cs="宋体"/>
        <w:sz w:val="18"/>
        <w:szCs w:val="18"/>
      </w:rPr>
      <w:t xml:space="preserve"> </w:t>
    </w:r>
    <w:r>
      <w:rPr>
        <w:rFonts w:hint="eastAsia" w:ascii="宋体" w:hAnsi="宋体" w:cs="宋体"/>
        <w:sz w:val="18"/>
        <w:szCs w:val="18"/>
        <w:lang w:eastAsia="zh-CN"/>
      </w:rPr>
      <w:t>常山县2025年度产品质量监督抽查服务采购项目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604C7">
    <w:pPr>
      <w:pStyle w:val="17"/>
      <w:pBdr>
        <w:bottom w:val="single" w:color="auto" w:sz="4" w:space="1"/>
      </w:pBdr>
      <w:ind w:left="6300" w:hanging="6300" w:hangingChars="3500"/>
      <w:jc w:val="both"/>
      <w:rPr>
        <w:rFonts w:hint="eastAsia"/>
      </w:rPr>
    </w:pPr>
    <w:r>
      <w:rPr>
        <w:rFonts w:hint="eastAsia" w:ascii="宋体" w:hAnsi="宋体" w:cs="宋体"/>
        <w:sz w:val="18"/>
        <w:szCs w:val="18"/>
        <w:lang w:val="en-US" w:eastAsia="zh-CN"/>
      </w:rPr>
      <w:t>ZJCD</w:t>
    </w:r>
    <w:r>
      <w:rPr>
        <w:rFonts w:hint="eastAsia" w:ascii="宋体" w:hAnsi="宋体" w:cs="宋体"/>
        <w:sz w:val="18"/>
        <w:szCs w:val="18"/>
      </w:rPr>
      <w:t xml:space="preserve"> </w:t>
    </w:r>
    <w:r>
      <w:rPr>
        <w:rFonts w:hint="eastAsia" w:ascii="宋体" w:hAnsi="宋体" w:cs="宋体"/>
        <w:sz w:val="18"/>
        <w:szCs w:val="18"/>
        <w:lang w:val="en-US" w:eastAsia="zh-CN"/>
      </w:rPr>
      <w:t xml:space="preserve">                                                    </w:t>
    </w:r>
    <w:r>
      <w:rPr>
        <w:rFonts w:hint="eastAsia"/>
        <w:lang w:eastAsia="zh-CN"/>
      </w:rPr>
      <w:t>常山县2025年度产品质量监督抽查服务采购项目</w:t>
    </w:r>
  </w:p>
  <w:p w14:paraId="4973D7A8">
    <w:pPr>
      <w:pStyle w:val="17"/>
      <w:ind w:firstLine="180" w:firstLineChars="100"/>
      <w:rPr>
        <w:rFonts w:hint="eastAsia"/>
      </w:rPr>
    </w:pPr>
  </w:p>
  <w:p w14:paraId="32DABAE2">
    <w:pPr>
      <w:pStyle w:val="17"/>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338043">
    <w:pPr>
      <w:pStyle w:val="17"/>
      <w:pBdr>
        <w:bottom w:val="single" w:color="auto" w:sz="4" w:space="1"/>
      </w:pBdr>
      <w:ind w:left="6300" w:hanging="6300" w:hangingChars="3500"/>
      <w:jc w:val="both"/>
      <w:rPr>
        <w:rFonts w:hint="eastAsia"/>
      </w:rPr>
    </w:pPr>
    <w:r>
      <w:rPr>
        <w:rFonts w:hint="eastAsia" w:ascii="宋体" w:hAnsi="宋体" w:cs="宋体"/>
        <w:sz w:val="18"/>
        <w:szCs w:val="18"/>
        <w:lang w:val="en-US" w:eastAsia="zh-CN"/>
      </w:rPr>
      <w:t>ZJCD</w:t>
    </w:r>
    <w:r>
      <w:rPr>
        <w:rFonts w:hint="eastAsia" w:ascii="宋体" w:hAnsi="宋体" w:cs="宋体"/>
        <w:sz w:val="18"/>
        <w:szCs w:val="18"/>
      </w:rPr>
      <w:t xml:space="preserve"> </w:t>
    </w:r>
    <w:r>
      <w:rPr>
        <w:rFonts w:hint="eastAsia" w:ascii="宋体" w:hAnsi="宋体" w:cs="宋体"/>
        <w:sz w:val="18"/>
        <w:szCs w:val="18"/>
        <w:lang w:val="en-US" w:eastAsia="zh-CN"/>
      </w:rPr>
      <w:t xml:space="preserve">                                                    </w:t>
    </w:r>
    <w:r>
      <w:rPr>
        <w:rFonts w:hint="eastAsia"/>
        <w:lang w:eastAsia="zh-CN"/>
      </w:rPr>
      <w:t>常山县2025年度产品质量监督抽查服务采购项目</w:t>
    </w:r>
  </w:p>
  <w:p w14:paraId="1A2175E4">
    <w:pPr>
      <w:pStyle w:val="17"/>
      <w:ind w:firstLine="180" w:firstLineChars="100"/>
      <w:rPr>
        <w:rFonts w:hint="eastAsia"/>
      </w:rPr>
    </w:pPr>
  </w:p>
  <w:p w14:paraId="3D016BC2">
    <w:pPr>
      <w:pStyle w:val="1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D7A3EF0"/>
    <w:multiLevelType w:val="singleLevel"/>
    <w:tmpl w:val="ED7A3EF0"/>
    <w:lvl w:ilvl="0" w:tentative="0">
      <w:start w:val="5"/>
      <w:numFmt w:val="chineseCounting"/>
      <w:suff w:val="nothing"/>
      <w:lvlText w:val="%1、"/>
      <w:lvlJc w:val="left"/>
      <w:rPr>
        <w:rFonts w:hint="eastAsia"/>
      </w:rPr>
    </w:lvl>
  </w:abstractNum>
  <w:abstractNum w:abstractNumId="1">
    <w:nsid w:val="036C06B5"/>
    <w:multiLevelType w:val="multilevel"/>
    <w:tmpl w:val="036C06B5"/>
    <w:lvl w:ilvl="0" w:tentative="0">
      <w:start w:val="1"/>
      <w:numFmt w:val="bullet"/>
      <w:pStyle w:val="43"/>
      <w:lvlText w:val=""/>
      <w:lvlJc w:val="left"/>
      <w:pPr>
        <w:tabs>
          <w:tab w:val="left" w:pos="587"/>
        </w:tabs>
        <w:ind w:left="0" w:firstLine="227"/>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1062D68B"/>
    <w:multiLevelType w:val="singleLevel"/>
    <w:tmpl w:val="1062D68B"/>
    <w:lvl w:ilvl="0" w:tentative="0">
      <w:start w:val="3"/>
      <w:numFmt w:val="chineseCounting"/>
      <w:suff w:val="nothing"/>
      <w:lvlText w:val="%1、"/>
      <w:lvlJc w:val="left"/>
      <w:rPr>
        <w:rFonts w:hint="eastAsia"/>
      </w:rPr>
    </w:lvl>
  </w:abstractNum>
  <w:abstractNum w:abstractNumId="3">
    <w:nsid w:val="125E0AA1"/>
    <w:multiLevelType w:val="singleLevel"/>
    <w:tmpl w:val="125E0AA1"/>
    <w:lvl w:ilvl="0" w:tentative="0">
      <w:start w:val="1"/>
      <w:numFmt w:val="decimal"/>
      <w:suff w:val="nothing"/>
      <w:lvlText w:val="%1、"/>
      <w:lvlJc w:val="left"/>
    </w:lvl>
  </w:abstractNum>
  <w:abstractNum w:abstractNumId="4">
    <w:nsid w:val="33FB37E4"/>
    <w:multiLevelType w:val="singleLevel"/>
    <w:tmpl w:val="33FB37E4"/>
    <w:lvl w:ilvl="0" w:tentative="0">
      <w:start w:val="1"/>
      <w:numFmt w:val="decimal"/>
      <w:suff w:val="nothing"/>
      <w:lvlText w:val="%1）"/>
      <w:lvlJc w:val="left"/>
    </w:lvl>
  </w:abstractNum>
  <w:num w:numId="1">
    <w:abstractNumId w:val="1"/>
  </w:num>
  <w:num w:numId="2">
    <w:abstractNumId w:val="3"/>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cxY2JlNGE3YTNhNGE3YjczZTc0MjUxMmQ4YmEyZmIifQ=="/>
  </w:docVars>
  <w:rsids>
    <w:rsidRoot w:val="3E744DD5"/>
    <w:rsid w:val="015D0D5E"/>
    <w:rsid w:val="01D0356C"/>
    <w:rsid w:val="054B35C3"/>
    <w:rsid w:val="064424ED"/>
    <w:rsid w:val="08444E10"/>
    <w:rsid w:val="08576485"/>
    <w:rsid w:val="09440F5F"/>
    <w:rsid w:val="0B90617C"/>
    <w:rsid w:val="0C083256"/>
    <w:rsid w:val="0D893576"/>
    <w:rsid w:val="0F21275B"/>
    <w:rsid w:val="10CA7A92"/>
    <w:rsid w:val="11B84FE8"/>
    <w:rsid w:val="136C6825"/>
    <w:rsid w:val="13781BE9"/>
    <w:rsid w:val="16B625F2"/>
    <w:rsid w:val="1762671C"/>
    <w:rsid w:val="1A4403A9"/>
    <w:rsid w:val="1AD3391B"/>
    <w:rsid w:val="1C2D7127"/>
    <w:rsid w:val="1DC34007"/>
    <w:rsid w:val="1DD372BE"/>
    <w:rsid w:val="1EB1403F"/>
    <w:rsid w:val="1F335743"/>
    <w:rsid w:val="222D724C"/>
    <w:rsid w:val="22853819"/>
    <w:rsid w:val="22D45B7F"/>
    <w:rsid w:val="22EA303E"/>
    <w:rsid w:val="24973CD7"/>
    <w:rsid w:val="26E32673"/>
    <w:rsid w:val="27447674"/>
    <w:rsid w:val="277E739C"/>
    <w:rsid w:val="28BE5AB0"/>
    <w:rsid w:val="28E14EBB"/>
    <w:rsid w:val="297C23AD"/>
    <w:rsid w:val="2B207AC5"/>
    <w:rsid w:val="2C577121"/>
    <w:rsid w:val="313F372D"/>
    <w:rsid w:val="31A16195"/>
    <w:rsid w:val="31DA4890"/>
    <w:rsid w:val="32EF1FD1"/>
    <w:rsid w:val="330D6661"/>
    <w:rsid w:val="34AC04E2"/>
    <w:rsid w:val="34F8431E"/>
    <w:rsid w:val="36F54FB9"/>
    <w:rsid w:val="3801798E"/>
    <w:rsid w:val="382764DF"/>
    <w:rsid w:val="38B13162"/>
    <w:rsid w:val="38C70290"/>
    <w:rsid w:val="39047736"/>
    <w:rsid w:val="39BC3FED"/>
    <w:rsid w:val="3B0D4106"/>
    <w:rsid w:val="3BBC60A6"/>
    <w:rsid w:val="3C187054"/>
    <w:rsid w:val="3C6538FD"/>
    <w:rsid w:val="3C995D4C"/>
    <w:rsid w:val="3E5A53DA"/>
    <w:rsid w:val="3E744DD5"/>
    <w:rsid w:val="42135E49"/>
    <w:rsid w:val="42302ABA"/>
    <w:rsid w:val="43005D52"/>
    <w:rsid w:val="437526DD"/>
    <w:rsid w:val="45951F22"/>
    <w:rsid w:val="45CF69D6"/>
    <w:rsid w:val="47762884"/>
    <w:rsid w:val="47B4158C"/>
    <w:rsid w:val="47B844C3"/>
    <w:rsid w:val="482F5E51"/>
    <w:rsid w:val="48357040"/>
    <w:rsid w:val="494A2435"/>
    <w:rsid w:val="497F6965"/>
    <w:rsid w:val="4A3E7079"/>
    <w:rsid w:val="4B9E1324"/>
    <w:rsid w:val="4CB67A9B"/>
    <w:rsid w:val="4DB94890"/>
    <w:rsid w:val="4E230547"/>
    <w:rsid w:val="4F1C2E7C"/>
    <w:rsid w:val="50125E3D"/>
    <w:rsid w:val="50272395"/>
    <w:rsid w:val="505726EE"/>
    <w:rsid w:val="50B044AF"/>
    <w:rsid w:val="52010D70"/>
    <w:rsid w:val="539757E8"/>
    <w:rsid w:val="567E4D29"/>
    <w:rsid w:val="57632202"/>
    <w:rsid w:val="59AF787C"/>
    <w:rsid w:val="5A036A5B"/>
    <w:rsid w:val="5B8A36D3"/>
    <w:rsid w:val="5C11169E"/>
    <w:rsid w:val="5D07415C"/>
    <w:rsid w:val="5EFD5F0A"/>
    <w:rsid w:val="5F01628A"/>
    <w:rsid w:val="5FA56CCD"/>
    <w:rsid w:val="61AA55FB"/>
    <w:rsid w:val="61D41FE2"/>
    <w:rsid w:val="64D911C7"/>
    <w:rsid w:val="65AB2473"/>
    <w:rsid w:val="663502F2"/>
    <w:rsid w:val="676F1584"/>
    <w:rsid w:val="68291069"/>
    <w:rsid w:val="6864524C"/>
    <w:rsid w:val="6972741B"/>
    <w:rsid w:val="697F213B"/>
    <w:rsid w:val="69CF5820"/>
    <w:rsid w:val="6A261403"/>
    <w:rsid w:val="6A694935"/>
    <w:rsid w:val="6A987ACE"/>
    <w:rsid w:val="6B59222D"/>
    <w:rsid w:val="6B5A38ED"/>
    <w:rsid w:val="6BD128CF"/>
    <w:rsid w:val="6C971009"/>
    <w:rsid w:val="6D761C12"/>
    <w:rsid w:val="6DFC207D"/>
    <w:rsid w:val="6E3960FF"/>
    <w:rsid w:val="6F9C46CF"/>
    <w:rsid w:val="6FFF0FD2"/>
    <w:rsid w:val="734D6A0A"/>
    <w:rsid w:val="73B06A13"/>
    <w:rsid w:val="73BA2401"/>
    <w:rsid w:val="73F8393C"/>
    <w:rsid w:val="760024AD"/>
    <w:rsid w:val="76EA2671"/>
    <w:rsid w:val="7719135D"/>
    <w:rsid w:val="7779282D"/>
    <w:rsid w:val="778300FB"/>
    <w:rsid w:val="78174088"/>
    <w:rsid w:val="7A3D013C"/>
    <w:rsid w:val="7A910122"/>
    <w:rsid w:val="7E102E0C"/>
    <w:rsid w:val="7F8F3A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qFormat="1" w:uiPriority="0" w:semiHidden="0" w:name="Body Text Indent"/>
    <w:lsdException w:qFormat="1"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1"/>
    <w:qFormat/>
    <w:uiPriority w:val="0"/>
    <w:pPr>
      <w:keepNext/>
      <w:jc w:val="center"/>
      <w:outlineLvl w:val="0"/>
    </w:pPr>
    <w:rPr>
      <w:rFonts w:ascii="楷体_GB2312" w:hAnsi="楷体_GB2312"/>
      <w:b/>
      <w:bCs/>
      <w:kern w:val="0"/>
      <w:sz w:val="44"/>
      <w:szCs w:val="20"/>
    </w:rPr>
  </w:style>
  <w:style w:type="paragraph" w:styleId="3">
    <w:name w:val="heading 2"/>
    <w:basedOn w:val="1"/>
    <w:next w:val="1"/>
    <w:qFormat/>
    <w:uiPriority w:val="0"/>
    <w:pPr>
      <w:keepNext/>
      <w:keepLines/>
      <w:spacing w:before="260" w:after="260" w:line="415" w:lineRule="auto"/>
      <w:outlineLvl w:val="1"/>
    </w:pPr>
    <w:rPr>
      <w:rFonts w:ascii="Arial" w:hAnsi="Arial"/>
      <w:b/>
      <w:bCs/>
      <w:sz w:val="32"/>
      <w:szCs w:val="32"/>
    </w:rPr>
  </w:style>
  <w:style w:type="paragraph" w:styleId="4">
    <w:name w:val="heading 3"/>
    <w:basedOn w:val="1"/>
    <w:next w:val="1"/>
    <w:qFormat/>
    <w:uiPriority w:val="0"/>
    <w:pPr>
      <w:keepNext/>
      <w:keepLines/>
      <w:spacing w:before="260" w:after="260" w:line="415" w:lineRule="auto"/>
      <w:outlineLvl w:val="2"/>
    </w:pPr>
    <w:rPr>
      <w:b/>
      <w:bCs/>
      <w:sz w:val="32"/>
      <w:szCs w:val="32"/>
    </w:rPr>
  </w:style>
  <w:style w:type="character" w:default="1" w:styleId="23">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styleId="5">
    <w:name w:val="Normal Indent"/>
    <w:basedOn w:val="1"/>
    <w:next w:val="6"/>
    <w:unhideWhenUsed/>
    <w:qFormat/>
    <w:uiPriority w:val="0"/>
    <w:pPr>
      <w:adjustRightInd w:val="0"/>
      <w:spacing w:line="312" w:lineRule="atLeast"/>
      <w:ind w:firstLine="420"/>
    </w:pPr>
    <w:rPr>
      <w:rFonts w:ascii="Calibri" w:hAnsi="Calibri"/>
      <w:szCs w:val="22"/>
    </w:rPr>
  </w:style>
  <w:style w:type="paragraph" w:styleId="6">
    <w:name w:val="Body Text Indent"/>
    <w:basedOn w:val="1"/>
    <w:next w:val="7"/>
    <w:unhideWhenUsed/>
    <w:qFormat/>
    <w:uiPriority w:val="0"/>
    <w:pPr>
      <w:ind w:left="480" w:hanging="480" w:hangingChars="200"/>
    </w:pPr>
    <w:rPr>
      <w:sz w:val="24"/>
    </w:rPr>
  </w:style>
  <w:style w:type="paragraph" w:styleId="7">
    <w:name w:val="Body Text First Indent 2"/>
    <w:basedOn w:val="6"/>
    <w:unhideWhenUsed/>
    <w:qFormat/>
    <w:uiPriority w:val="99"/>
    <w:pPr>
      <w:spacing w:after="120" w:line="240" w:lineRule="auto"/>
      <w:ind w:left="420" w:leftChars="200" w:firstLine="420"/>
    </w:pPr>
    <w:rPr>
      <w:rFonts w:cs="宋体"/>
      <w:sz w:val="21"/>
      <w:szCs w:val="21"/>
    </w:rPr>
  </w:style>
  <w:style w:type="paragraph" w:styleId="8">
    <w:name w:val="toa heading"/>
    <w:basedOn w:val="1"/>
    <w:next w:val="1"/>
    <w:unhideWhenUsed/>
    <w:qFormat/>
    <w:uiPriority w:val="99"/>
    <w:pPr>
      <w:spacing w:before="120"/>
    </w:pPr>
    <w:rPr>
      <w:rFonts w:ascii="Arial" w:hAnsi="Arial" w:eastAsia="仿宋_GB2312" w:cs="Arial"/>
      <w:b/>
      <w:bCs/>
      <w:color w:val="000000"/>
      <w:kern w:val="0"/>
      <w:sz w:val="24"/>
      <w:szCs w:val="21"/>
    </w:rPr>
  </w:style>
  <w:style w:type="paragraph" w:styleId="9">
    <w:name w:val="Body Text"/>
    <w:basedOn w:val="1"/>
    <w:next w:val="10"/>
    <w:unhideWhenUsed/>
    <w:qFormat/>
    <w:uiPriority w:val="0"/>
    <w:pPr>
      <w:spacing w:after="120"/>
    </w:pPr>
  </w:style>
  <w:style w:type="paragraph" w:styleId="10">
    <w:name w:val="Body Text First Indent"/>
    <w:basedOn w:val="9"/>
    <w:next w:val="11"/>
    <w:unhideWhenUsed/>
    <w:qFormat/>
    <w:uiPriority w:val="0"/>
    <w:pPr>
      <w:ind w:firstLine="420" w:firstLineChars="100"/>
    </w:pPr>
    <w:rPr>
      <w:rFonts w:ascii="仿宋_GB2312" w:eastAsia="仿宋_GB2312"/>
      <w:bCs/>
      <w:sz w:val="30"/>
      <w:lang w:val="en-US" w:eastAsia="zh-CN"/>
    </w:rPr>
  </w:style>
  <w:style w:type="paragraph" w:styleId="11">
    <w:name w:val="toc 6"/>
    <w:basedOn w:val="1"/>
    <w:next w:val="1"/>
    <w:qFormat/>
    <w:uiPriority w:val="99"/>
    <w:pPr>
      <w:ind w:left="2100" w:leftChars="1000"/>
    </w:pPr>
    <w:rPr>
      <w:rFonts w:ascii="Calibri" w:hAnsi="Calibri"/>
      <w:szCs w:val="22"/>
    </w:rPr>
  </w:style>
  <w:style w:type="paragraph" w:styleId="12">
    <w:name w:val="List Continue"/>
    <w:basedOn w:val="1"/>
    <w:qFormat/>
    <w:uiPriority w:val="0"/>
    <w:pPr>
      <w:spacing w:after="120"/>
      <w:ind w:left="420"/>
    </w:pPr>
  </w:style>
  <w:style w:type="paragraph" w:styleId="13">
    <w:name w:val="Plain Text"/>
    <w:basedOn w:val="1"/>
    <w:unhideWhenUsed/>
    <w:qFormat/>
    <w:uiPriority w:val="0"/>
    <w:pPr>
      <w:widowControl/>
      <w:overflowPunct w:val="0"/>
      <w:autoSpaceDE w:val="0"/>
      <w:autoSpaceDN w:val="0"/>
      <w:adjustRightInd w:val="0"/>
      <w:jc w:val="left"/>
    </w:pPr>
    <w:rPr>
      <w:rFonts w:ascii="宋体" w:hAnsi="Courier New"/>
      <w:szCs w:val="21"/>
    </w:rPr>
  </w:style>
  <w:style w:type="paragraph" w:styleId="14">
    <w:name w:val="Date"/>
    <w:basedOn w:val="1"/>
    <w:next w:val="1"/>
    <w:qFormat/>
    <w:uiPriority w:val="0"/>
    <w:pPr>
      <w:ind w:left="100" w:leftChars="2500"/>
    </w:pPr>
    <w:rPr>
      <w:sz w:val="24"/>
    </w:rPr>
  </w:style>
  <w:style w:type="paragraph" w:styleId="15">
    <w:name w:val="Balloon Text"/>
    <w:basedOn w:val="1"/>
    <w:qFormat/>
    <w:uiPriority w:val="0"/>
    <w:rPr>
      <w:sz w:val="18"/>
      <w:szCs w:val="18"/>
    </w:rPr>
  </w:style>
  <w:style w:type="paragraph" w:styleId="16">
    <w:name w:val="footer"/>
    <w:basedOn w:val="1"/>
    <w:qFormat/>
    <w:uiPriority w:val="99"/>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Subtitle"/>
    <w:basedOn w:val="1"/>
    <w:next w:val="1"/>
    <w:qFormat/>
    <w:uiPriority w:val="0"/>
    <w:pPr>
      <w:spacing w:before="240" w:after="60" w:line="312" w:lineRule="auto"/>
      <w:jc w:val="center"/>
      <w:outlineLvl w:val="1"/>
    </w:pPr>
    <w:rPr>
      <w:rFonts w:ascii="Cambria" w:hAnsi="Cambria" w:eastAsia="Times New Roman"/>
      <w:b/>
      <w:bCs/>
      <w:kern w:val="28"/>
      <w:sz w:val="32"/>
      <w:szCs w:val="32"/>
    </w:rPr>
  </w:style>
  <w:style w:type="paragraph" w:styleId="19">
    <w:name w:val="toc 2"/>
    <w:basedOn w:val="1"/>
    <w:next w:val="1"/>
    <w:unhideWhenUsed/>
    <w:qFormat/>
    <w:uiPriority w:val="39"/>
    <w:pPr>
      <w:ind w:left="420" w:leftChars="200"/>
    </w:pPr>
  </w:style>
  <w:style w:type="paragraph" w:styleId="20">
    <w:name w:val="Normal (Web)"/>
    <w:basedOn w:val="1"/>
    <w:next w:val="19"/>
    <w:unhideWhenUsed/>
    <w:qFormat/>
    <w:uiPriority w:val="0"/>
    <w:pPr>
      <w:widowControl/>
      <w:spacing w:before="100" w:beforeLines="0" w:beforeAutospacing="1" w:after="100" w:afterLines="0" w:afterAutospacing="1"/>
      <w:jc w:val="left"/>
    </w:pPr>
    <w:rPr>
      <w:rFonts w:ascii="宋体" w:hAnsi="宋体"/>
      <w:kern w:val="0"/>
      <w:sz w:val="24"/>
    </w:rPr>
  </w:style>
  <w:style w:type="paragraph" w:styleId="21">
    <w:name w:val="Title"/>
    <w:basedOn w:val="1"/>
    <w:next w:val="1"/>
    <w:qFormat/>
    <w:uiPriority w:val="99"/>
    <w:pPr>
      <w:jc w:val="center"/>
    </w:pPr>
    <w:rPr>
      <w:rFonts w:ascii="Arial" w:hAnsi="Arial"/>
      <w:b/>
      <w:kern w:val="0"/>
      <w:sz w:val="36"/>
      <w:szCs w:val="20"/>
      <w:lang w:eastAsia="en-US"/>
    </w:rPr>
  </w:style>
  <w:style w:type="character" w:styleId="24">
    <w:name w:val="page number"/>
    <w:unhideWhenUsed/>
    <w:qFormat/>
    <w:uiPriority w:val="0"/>
  </w:style>
  <w:style w:type="character" w:styleId="25">
    <w:name w:val="FollowedHyperlink"/>
    <w:unhideWhenUsed/>
    <w:qFormat/>
    <w:uiPriority w:val="0"/>
    <w:rPr>
      <w:color w:val="000000"/>
      <w:u w:val="none"/>
    </w:rPr>
  </w:style>
  <w:style w:type="character" w:styleId="26">
    <w:name w:val="Hyperlink"/>
    <w:unhideWhenUsed/>
    <w:qFormat/>
    <w:uiPriority w:val="99"/>
    <w:rPr>
      <w:color w:val="000000"/>
      <w:sz w:val="20"/>
      <w:szCs w:val="20"/>
      <w:u w:val="none"/>
    </w:rPr>
  </w:style>
  <w:style w:type="paragraph" w:customStyle="1" w:styleId="27">
    <w:name w:val="Default"/>
    <w:next w:val="1"/>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29">
    <w:name w:val="正文文字"/>
    <w:basedOn w:val="1"/>
    <w:qFormat/>
    <w:uiPriority w:val="0"/>
    <w:pPr>
      <w:spacing w:after="119" w:afterLines="0" w:line="351" w:lineRule="atLeast"/>
      <w:ind w:firstLine="419"/>
    </w:pPr>
  </w:style>
  <w:style w:type="paragraph" w:customStyle="1" w:styleId="30">
    <w:name w:val="WPSOffice手动目录 1"/>
    <w:qFormat/>
    <w:uiPriority w:val="0"/>
    <w:rPr>
      <w:rFonts w:ascii="Times New Roman" w:hAnsi="Times New Roman" w:eastAsia="宋体" w:cs="Times New Roman"/>
      <w:lang w:val="en-US" w:eastAsia="zh-CN" w:bidi="ar-SA"/>
    </w:rPr>
  </w:style>
  <w:style w:type="character" w:customStyle="1" w:styleId="31">
    <w:name w:val="标题 1 Char1"/>
    <w:link w:val="2"/>
    <w:qFormat/>
    <w:uiPriority w:val="0"/>
    <w:rPr>
      <w:rFonts w:ascii="楷体_GB2312" w:hAnsi="楷体_GB2312"/>
      <w:b/>
      <w:bCs/>
      <w:kern w:val="0"/>
      <w:sz w:val="44"/>
      <w:szCs w:val="20"/>
    </w:rPr>
  </w:style>
  <w:style w:type="character" w:customStyle="1" w:styleId="32">
    <w:name w:val="NormalCharacter"/>
    <w:qFormat/>
    <w:uiPriority w:val="0"/>
  </w:style>
  <w:style w:type="paragraph" w:customStyle="1" w:styleId="33">
    <w:name w:val="样式1"/>
    <w:basedOn w:val="17"/>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4">
    <w:name w:val="Fließtext"/>
    <w:basedOn w:val="1"/>
    <w:qFormat/>
    <w:uiPriority w:val="0"/>
    <w:pPr>
      <w:overflowPunct w:val="0"/>
      <w:autoSpaceDE w:val="0"/>
      <w:autoSpaceDN w:val="0"/>
      <w:adjustRightInd w:val="0"/>
      <w:textAlignment w:val="baseline"/>
    </w:pPr>
    <w:rPr>
      <w:kern w:val="28"/>
      <w:szCs w:val="20"/>
    </w:rPr>
  </w:style>
  <w:style w:type="paragraph" w:customStyle="1" w:styleId="35">
    <w:name w:val="首行缩进"/>
    <w:basedOn w:val="1"/>
    <w:next w:val="12"/>
    <w:qFormat/>
    <w:uiPriority w:val="0"/>
    <w:pPr>
      <w:spacing w:line="360" w:lineRule="auto"/>
      <w:ind w:firstLine="480" w:firstLineChars="200"/>
    </w:pPr>
    <w:rPr>
      <w:sz w:val="24"/>
      <w:lang w:val="zh-CN"/>
    </w:rPr>
  </w:style>
  <w:style w:type="paragraph" w:customStyle="1" w:styleId="36">
    <w:name w:val="p0"/>
    <w:basedOn w:val="1"/>
    <w:qFormat/>
    <w:uiPriority w:val="0"/>
    <w:pPr>
      <w:widowControl/>
    </w:pPr>
    <w:rPr>
      <w:kern w:val="0"/>
      <w:szCs w:val="21"/>
    </w:rPr>
  </w:style>
  <w:style w:type="paragraph" w:customStyle="1" w:styleId="37">
    <w:name w:val="样式 宋体 行距: 固定值 20 磅 首行缩进:  2 字符"/>
    <w:basedOn w:val="1"/>
    <w:qFormat/>
    <w:uiPriority w:val="0"/>
    <w:pPr>
      <w:spacing w:line="400" w:lineRule="exact"/>
      <w:ind w:firstLine="435" w:firstLineChars="207"/>
    </w:pPr>
    <w:rPr>
      <w:rFonts w:ascii="宋体" w:hAnsi="宋体" w:cs="宋体"/>
      <w:szCs w:val="20"/>
    </w:rPr>
  </w:style>
  <w:style w:type="character" w:customStyle="1" w:styleId="38">
    <w:name w:val="font61"/>
    <w:basedOn w:val="23"/>
    <w:qFormat/>
    <w:uiPriority w:val="0"/>
    <w:rPr>
      <w:rFonts w:hint="eastAsia" w:ascii="宋体" w:hAnsi="宋体" w:eastAsia="宋体"/>
      <w:b/>
      <w:bCs/>
      <w:color w:val="000000"/>
      <w:sz w:val="21"/>
      <w:szCs w:val="21"/>
      <w:u w:val="none"/>
    </w:rPr>
  </w:style>
  <w:style w:type="paragraph" w:customStyle="1" w:styleId="39">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40">
    <w:name w:val="表格文字"/>
    <w:basedOn w:val="1"/>
    <w:next w:val="9"/>
    <w:qFormat/>
    <w:uiPriority w:val="0"/>
    <w:pPr>
      <w:adjustRightInd w:val="0"/>
      <w:spacing w:line="420" w:lineRule="atLeast"/>
      <w:textAlignment w:val="baseline"/>
    </w:pPr>
  </w:style>
  <w:style w:type="paragraph" w:customStyle="1" w:styleId="41">
    <w:name w:val="Table Paragraph"/>
    <w:basedOn w:val="1"/>
    <w:qFormat/>
    <w:uiPriority w:val="1"/>
    <w:rPr>
      <w:rFonts w:ascii="宋体" w:hAnsi="宋体" w:eastAsia="宋体" w:cs="宋体"/>
      <w:lang w:val="zh-CN" w:eastAsia="zh-CN" w:bidi="zh-CN"/>
    </w:rPr>
  </w:style>
  <w:style w:type="paragraph" w:customStyle="1" w:styleId="42">
    <w:name w:val="纯文本1"/>
    <w:basedOn w:val="43"/>
    <w:qFormat/>
    <w:uiPriority w:val="0"/>
    <w:pPr>
      <w:tabs>
        <w:tab w:val="left" w:pos="587"/>
      </w:tabs>
      <w:adjustRightInd/>
    </w:pPr>
    <w:rPr>
      <w:rFonts w:ascii="宋体" w:hAnsi="Courier New"/>
      <w:kern w:val="0"/>
      <w:sz w:val="20"/>
      <w:szCs w:val="20"/>
    </w:rPr>
  </w:style>
  <w:style w:type="paragraph" w:customStyle="1" w:styleId="43">
    <w:name w:val="正文1"/>
    <w:basedOn w:val="1"/>
    <w:next w:val="1"/>
    <w:qFormat/>
    <w:uiPriority w:val="0"/>
    <w:pPr>
      <w:numPr>
        <w:ilvl w:val="0"/>
        <w:numId w:val="1"/>
      </w:numPr>
      <w:spacing w:line="500" w:lineRule="exact"/>
    </w:pPr>
    <w:rPr>
      <w:rFonts w:ascii="黑体" w:hAnsi="宋体"/>
    </w:rPr>
  </w:style>
  <w:style w:type="paragraph" w:customStyle="1" w:styleId="44">
    <w:name w:val="[Normal]"/>
    <w:qFormat/>
    <w:uiPriority w:val="0"/>
    <w:rPr>
      <w:rFonts w:ascii="宋体" w:hAnsi="宋体" w:eastAsia="宋体" w:cs="Times New Roman"/>
      <w:sz w:val="24"/>
      <w:lang w:val="zh-CN" w:eastAsia="zh-CN" w:bidi="ar-SA"/>
    </w:rPr>
  </w:style>
  <w:style w:type="character" w:customStyle="1" w:styleId="45">
    <w:name w:val="font21"/>
    <w:basedOn w:val="23"/>
    <w:qFormat/>
    <w:uiPriority w:val="0"/>
    <w:rPr>
      <w:rFonts w:hint="eastAsia" w:ascii="宋体" w:hAnsi="宋体" w:eastAsia="宋体" w:cs="宋体"/>
      <w:color w:val="000000"/>
      <w:sz w:val="22"/>
      <w:szCs w:val="22"/>
      <w:u w:val="none"/>
    </w:rPr>
  </w:style>
  <w:style w:type="character" w:customStyle="1" w:styleId="46">
    <w:name w:val="font101"/>
    <w:basedOn w:val="23"/>
    <w:qFormat/>
    <w:uiPriority w:val="0"/>
    <w:rPr>
      <w:rFonts w:ascii="仿宋" w:hAnsi="仿宋" w:eastAsia="仿宋" w:cs="仿宋"/>
      <w:color w:val="000000"/>
      <w:sz w:val="20"/>
      <w:szCs w:val="20"/>
      <w:u w:val="none"/>
    </w:rPr>
  </w:style>
  <w:style w:type="character" w:customStyle="1" w:styleId="47">
    <w:name w:val="font31"/>
    <w:basedOn w:val="23"/>
    <w:qFormat/>
    <w:uiPriority w:val="0"/>
    <w:rPr>
      <w:rFonts w:hint="eastAsia" w:ascii="宋体" w:hAnsi="宋体" w:eastAsia="宋体" w:cs="宋体"/>
      <w:color w:val="000000"/>
      <w:sz w:val="21"/>
      <w:szCs w:val="21"/>
      <w:u w:val="none"/>
    </w:rPr>
  </w:style>
  <w:style w:type="character" w:customStyle="1" w:styleId="48">
    <w:name w:val="font121"/>
    <w:basedOn w:val="23"/>
    <w:qFormat/>
    <w:uiPriority w:val="0"/>
    <w:rPr>
      <w:rFonts w:hint="eastAsia" w:ascii="仿宋" w:hAnsi="仿宋" w:eastAsia="仿宋" w:cs="仿宋"/>
      <w:color w:val="FF0000"/>
      <w:sz w:val="20"/>
      <w:szCs w:val="20"/>
      <w:u w:val="none"/>
    </w:rPr>
  </w:style>
  <w:style w:type="paragraph" w:customStyle="1" w:styleId="49">
    <w:name w:val="正文缩进1"/>
    <w:basedOn w:val="1"/>
    <w:next w:val="6"/>
    <w:qFormat/>
    <w:uiPriority w:val="0"/>
    <w:pPr>
      <w:autoSpaceDE w:val="0"/>
      <w:autoSpaceDN w:val="0"/>
      <w:snapToGrid w:val="0"/>
      <w:spacing w:line="360" w:lineRule="auto"/>
      <w:ind w:left="420" w:leftChars="200" w:firstLine="480" w:firstLineChars="200"/>
    </w:pPr>
    <w:rPr>
      <w:sz w:val="24"/>
      <w:szCs w:val="21"/>
    </w:rPr>
  </w:style>
  <w:style w:type="paragraph" w:customStyle="1" w:styleId="5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4.png"/><Relationship Id="rId16" Type="http://schemas.openxmlformats.org/officeDocument/2006/relationships/image" Target="media/image3.png"/><Relationship Id="rId15" Type="http://schemas.openxmlformats.org/officeDocument/2006/relationships/image" Target="media/image2.png"/><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102</Pages>
  <Words>20283</Words>
  <Characters>22322</Characters>
  <Lines>0</Lines>
  <Paragraphs>0</Paragraphs>
  <TotalTime>57</TotalTime>
  <ScaleCrop>false</ScaleCrop>
  <LinksUpToDate>false</LinksUpToDate>
  <CharactersWithSpaces>22629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2025-02-13T08:11:00Z</dcterms:created>
  <dc:creator>Administrator</dc:creator>
  <cp:lastModifiedBy>Administrator</cp:lastModifiedBy>
  <cp:lastPrinted>2025-03-27T08:29:00Z</cp:lastPrinted>
  <dcterms:modified xsi:type="dcterms:W3CDTF">2025-04-11T02:14:34Z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AD41F65865D24FFCABF3A2FD7D6E044F_11</vt:lpwstr>
  </property>
  <property fmtid="{D5CDD505-2E9C-101B-9397-08002B2CF9AE}" pid="4" name="KSOTemplateDocerSaveRecord">
    <vt:lpwstr>eyJoZGlkIjoiY2Q0YjY3NmQ5NTA1MzdhZmZmYWMzMGM1ZWUwYzUyNTciLCJ1c2VySWQiOiIyMjgzMDMyMzIifQ==</vt:lpwstr>
  </property>
</Properties>
</file>