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ascii="宋体" w:hAnsi="宋体"/>
          <w:sz w:val="72"/>
        </w:rPr>
      </w:pPr>
      <w:bookmarkStart w:id="0" w:name="_Toc20726"/>
      <w:bookmarkStart w:id="1" w:name="_Toc23205"/>
      <w:bookmarkStart w:id="2" w:name="_Toc18186"/>
      <w:bookmarkStart w:id="3" w:name="_Toc29835"/>
      <w:bookmarkStart w:id="4" w:name="_Toc13491"/>
      <w:bookmarkStart w:id="5" w:name="_Toc7645"/>
      <w:bookmarkStart w:id="6" w:name="_Toc28745"/>
      <w:bookmarkStart w:id="7" w:name="_Toc1820"/>
      <w:r>
        <w:rPr>
          <w:rFonts w:hint="eastAsia" w:ascii="宋体" w:hAnsi="宋体"/>
          <w:b/>
          <w:sz w:val="84"/>
        </w:rPr>
        <w:t>招标文件</w:t>
      </w:r>
      <w:bookmarkEnd w:id="0"/>
      <w:bookmarkEnd w:id="1"/>
      <w:bookmarkEnd w:id="2"/>
      <w:bookmarkEnd w:id="3"/>
      <w:bookmarkEnd w:id="4"/>
      <w:bookmarkEnd w:id="5"/>
      <w:bookmarkEnd w:id="6"/>
      <w:bookmarkEnd w:id="7"/>
    </w:p>
    <w:tbl>
      <w:tblPr>
        <w:tblStyle w:val="22"/>
        <w:tblpPr w:leftFromText="180" w:rightFromText="180" w:vertAnchor="text" w:horzAnchor="page" w:tblpX="1877" w:tblpY="771"/>
        <w:tblOverlap w:val="never"/>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1890" w:type="dxa"/>
            <w:tcBorders>
              <w:top w:val="nil"/>
              <w:left w:val="nil"/>
              <w:bottom w:val="nil"/>
              <w:right w:val="nil"/>
            </w:tcBorders>
            <w:noWrap/>
            <w:vAlign w:val="center"/>
          </w:tcPr>
          <w:p>
            <w:pPr>
              <w:autoSpaceDE w:val="0"/>
              <w:autoSpaceDN w:val="0"/>
              <w:spacing w:line="360" w:lineRule="auto"/>
              <w:textAlignment w:val="bottom"/>
              <w:outlineLvl w:val="0"/>
              <w:rPr>
                <w:rFonts w:ascii="宋体" w:hAnsi="宋体"/>
                <w:b/>
                <w:sz w:val="36"/>
                <w:szCs w:val="36"/>
              </w:rPr>
            </w:pPr>
            <w:bookmarkStart w:id="8" w:name="_Toc9730"/>
            <w:bookmarkStart w:id="9" w:name="_Toc3870"/>
            <w:bookmarkStart w:id="10" w:name="_Toc16974"/>
            <w:bookmarkStart w:id="11" w:name="_Toc20547"/>
            <w:bookmarkStart w:id="12" w:name="_Toc26913"/>
            <w:bookmarkStart w:id="13" w:name="_Toc3425"/>
            <w:bookmarkStart w:id="14" w:name="_Toc21553"/>
            <w:bookmarkStart w:id="15" w:name="_Toc1832"/>
            <w:bookmarkStart w:id="16" w:name="_Toc8018"/>
            <w:bookmarkStart w:id="17" w:name="_Toc31385"/>
            <w:bookmarkStart w:id="18" w:name="_Toc12430"/>
            <w:r>
              <w:rPr>
                <w:rFonts w:hint="eastAsia" w:ascii="宋体" w:hAnsi="宋体"/>
                <w:b/>
                <w:sz w:val="36"/>
                <w:szCs w:val="36"/>
              </w:rPr>
              <w:t>采购编号：</w:t>
            </w:r>
            <w:bookmarkEnd w:id="8"/>
            <w:bookmarkEnd w:id="9"/>
            <w:bookmarkEnd w:id="10"/>
            <w:bookmarkEnd w:id="11"/>
            <w:bookmarkEnd w:id="12"/>
            <w:bookmarkEnd w:id="13"/>
            <w:bookmarkEnd w:id="14"/>
            <w:bookmarkEnd w:id="15"/>
            <w:bookmarkEnd w:id="16"/>
            <w:bookmarkEnd w:id="17"/>
            <w:bookmarkEnd w:id="18"/>
          </w:p>
        </w:tc>
        <w:tc>
          <w:tcPr>
            <w:tcW w:w="7275" w:type="dxa"/>
            <w:tcBorders>
              <w:top w:val="nil"/>
              <w:left w:val="nil"/>
              <w:bottom w:val="nil"/>
              <w:right w:val="nil"/>
            </w:tcBorders>
            <w:noWrap/>
            <w:vAlign w:val="center"/>
          </w:tcPr>
          <w:p>
            <w:pPr>
              <w:spacing w:line="360" w:lineRule="auto"/>
              <w:rPr>
                <w:rFonts w:ascii="宋体" w:hAnsi="宋体" w:cs="仿宋"/>
                <w:b/>
                <w:sz w:val="36"/>
                <w:szCs w:val="36"/>
              </w:rPr>
            </w:pPr>
            <w:r>
              <w:rPr>
                <w:rFonts w:hint="eastAsia" w:ascii="宋体" w:hAnsi="宋体"/>
                <w:b/>
                <w:sz w:val="36"/>
                <w:szCs w:val="36"/>
              </w:rPr>
              <w:t>卓正丽招2024-1</w:t>
            </w:r>
            <w:r>
              <w:rPr>
                <w:rFonts w:hint="eastAsia" w:ascii="宋体" w:hAnsi="宋体"/>
                <w:b/>
                <w:sz w:val="36"/>
                <w:szCs w:val="36"/>
                <w:lang w:val="en-US" w:eastAsia="zh-CN"/>
              </w:rPr>
              <w:t>150</w:t>
            </w:r>
            <w:r>
              <w:rPr>
                <w:rFonts w:hint="eastAsia" w:ascii="宋体" w:hAnsi="宋体"/>
                <w:b/>
                <w:sz w:val="36"/>
                <w:szCs w:val="36"/>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890" w:type="dxa"/>
            <w:tcBorders>
              <w:top w:val="nil"/>
              <w:left w:val="nil"/>
              <w:bottom w:val="nil"/>
              <w:right w:val="nil"/>
            </w:tcBorders>
            <w:noWrap/>
            <w:vAlign w:val="center"/>
          </w:tcPr>
          <w:p>
            <w:pPr>
              <w:autoSpaceDE w:val="0"/>
              <w:autoSpaceDN w:val="0"/>
              <w:spacing w:line="360" w:lineRule="auto"/>
              <w:textAlignment w:val="bottom"/>
              <w:outlineLvl w:val="0"/>
              <w:rPr>
                <w:rFonts w:ascii="宋体" w:hAnsi="宋体"/>
                <w:b/>
                <w:sz w:val="36"/>
                <w:szCs w:val="36"/>
              </w:rPr>
            </w:pPr>
            <w:bookmarkStart w:id="19" w:name="_Toc31039"/>
            <w:bookmarkStart w:id="20" w:name="_Toc26819"/>
            <w:bookmarkStart w:id="21" w:name="_Toc21623"/>
            <w:bookmarkStart w:id="22" w:name="_Toc25183"/>
            <w:bookmarkStart w:id="23" w:name="_Toc30401"/>
            <w:bookmarkStart w:id="24" w:name="_Toc31546"/>
            <w:bookmarkStart w:id="25" w:name="_Toc29616"/>
            <w:bookmarkStart w:id="26" w:name="_Toc8714"/>
            <w:bookmarkStart w:id="27" w:name="_Toc4025"/>
            <w:bookmarkStart w:id="28" w:name="_Toc5880"/>
            <w:bookmarkStart w:id="29" w:name="_Toc23534"/>
            <w:r>
              <w:rPr>
                <w:rFonts w:hint="eastAsia" w:ascii="宋体" w:hAnsi="宋体"/>
                <w:b/>
                <w:sz w:val="36"/>
                <w:szCs w:val="36"/>
              </w:rPr>
              <w:t>项目名称：</w:t>
            </w:r>
            <w:bookmarkEnd w:id="19"/>
            <w:bookmarkEnd w:id="20"/>
            <w:bookmarkEnd w:id="21"/>
            <w:bookmarkEnd w:id="22"/>
            <w:bookmarkEnd w:id="23"/>
            <w:bookmarkEnd w:id="24"/>
            <w:bookmarkEnd w:id="25"/>
            <w:bookmarkEnd w:id="26"/>
            <w:bookmarkEnd w:id="27"/>
            <w:bookmarkEnd w:id="28"/>
            <w:bookmarkEnd w:id="29"/>
          </w:p>
        </w:tc>
        <w:tc>
          <w:tcPr>
            <w:tcW w:w="7275" w:type="dxa"/>
            <w:tcBorders>
              <w:top w:val="nil"/>
              <w:left w:val="nil"/>
              <w:bottom w:val="nil"/>
              <w:right w:val="nil"/>
            </w:tcBorders>
            <w:noWrap/>
            <w:vAlign w:val="center"/>
          </w:tcPr>
          <w:p>
            <w:pPr>
              <w:spacing w:line="360" w:lineRule="auto"/>
              <w:jc w:val="left"/>
              <w:rPr>
                <w:rFonts w:hint="eastAsia" w:ascii="宋体" w:hAnsi="宋体" w:eastAsia="宋体"/>
                <w:b/>
                <w:sz w:val="36"/>
                <w:szCs w:val="36"/>
                <w:lang w:eastAsia="zh-CN"/>
              </w:rPr>
            </w:pPr>
            <w:r>
              <w:rPr>
                <w:rFonts w:hint="eastAsia" w:ascii="宋体" w:hAnsi="宋体"/>
                <w:b/>
                <w:sz w:val="36"/>
                <w:szCs w:val="36"/>
                <w:lang w:eastAsia="zh-CN"/>
              </w:rPr>
              <w:t>丽水职业技术学院数字化仿真基地项目（智能制造数维方向）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890" w:type="dxa"/>
            <w:tcBorders>
              <w:top w:val="nil"/>
              <w:left w:val="nil"/>
              <w:bottom w:val="nil"/>
              <w:right w:val="nil"/>
            </w:tcBorders>
            <w:noWrap/>
            <w:vAlign w:val="center"/>
          </w:tcPr>
          <w:p>
            <w:pPr>
              <w:autoSpaceDE w:val="0"/>
              <w:autoSpaceDN w:val="0"/>
              <w:spacing w:line="360" w:lineRule="auto"/>
              <w:textAlignment w:val="bottom"/>
              <w:outlineLvl w:val="0"/>
              <w:rPr>
                <w:rFonts w:ascii="宋体" w:hAnsi="宋体"/>
                <w:b/>
                <w:sz w:val="36"/>
                <w:szCs w:val="36"/>
              </w:rPr>
            </w:pPr>
            <w:bookmarkStart w:id="30" w:name="_Toc7697"/>
            <w:bookmarkStart w:id="31" w:name="_Toc17823"/>
            <w:bookmarkStart w:id="32" w:name="_Toc31506"/>
            <w:bookmarkStart w:id="33" w:name="_Toc16489"/>
            <w:bookmarkStart w:id="34" w:name="_Toc26350"/>
            <w:bookmarkStart w:id="35" w:name="_Toc10826"/>
            <w:bookmarkStart w:id="36" w:name="_Toc4605"/>
            <w:bookmarkStart w:id="37" w:name="_Toc11243"/>
            <w:bookmarkStart w:id="38" w:name="_Toc32005"/>
            <w:bookmarkStart w:id="39" w:name="_Toc13976"/>
            <w:bookmarkStart w:id="40" w:name="_Toc11029"/>
            <w:r>
              <w:rPr>
                <w:rFonts w:hint="eastAsia" w:ascii="宋体" w:hAnsi="宋体"/>
                <w:b/>
                <w:sz w:val="36"/>
                <w:szCs w:val="36"/>
              </w:rPr>
              <w:t>招标人：</w:t>
            </w:r>
            <w:bookmarkEnd w:id="30"/>
            <w:bookmarkEnd w:id="31"/>
            <w:bookmarkEnd w:id="32"/>
            <w:bookmarkEnd w:id="33"/>
            <w:bookmarkEnd w:id="34"/>
            <w:bookmarkEnd w:id="35"/>
            <w:bookmarkEnd w:id="36"/>
            <w:bookmarkEnd w:id="37"/>
            <w:bookmarkEnd w:id="38"/>
            <w:bookmarkEnd w:id="39"/>
            <w:bookmarkEnd w:id="40"/>
          </w:p>
        </w:tc>
        <w:tc>
          <w:tcPr>
            <w:tcW w:w="7275" w:type="dxa"/>
            <w:tcBorders>
              <w:top w:val="nil"/>
              <w:left w:val="nil"/>
              <w:bottom w:val="nil"/>
              <w:right w:val="nil"/>
            </w:tcBorders>
            <w:noWrap/>
            <w:vAlign w:val="center"/>
          </w:tcPr>
          <w:p>
            <w:pPr>
              <w:autoSpaceDE w:val="0"/>
              <w:autoSpaceDN w:val="0"/>
              <w:spacing w:line="360" w:lineRule="auto"/>
              <w:textAlignment w:val="bottom"/>
              <w:outlineLvl w:val="0"/>
              <w:rPr>
                <w:rFonts w:ascii="宋体" w:hAnsi="宋体"/>
                <w:b/>
                <w:sz w:val="36"/>
                <w:szCs w:val="36"/>
              </w:rPr>
            </w:pPr>
            <w:bookmarkStart w:id="41" w:name="_Toc18686"/>
            <w:bookmarkStart w:id="42" w:name="_Toc2948"/>
            <w:bookmarkStart w:id="43" w:name="_Toc18171"/>
            <w:bookmarkStart w:id="44" w:name="_Toc15841"/>
            <w:bookmarkStart w:id="45" w:name="_Toc12116"/>
            <w:bookmarkStart w:id="46" w:name="_Toc1997"/>
            <w:r>
              <w:rPr>
                <w:rFonts w:hint="eastAsia" w:ascii="宋体" w:hAnsi="宋体"/>
                <w:b/>
                <w:sz w:val="36"/>
                <w:szCs w:val="36"/>
              </w:rPr>
              <w:t>丽水职业技术学院</w:t>
            </w:r>
            <w:bookmarkEnd w:id="41"/>
            <w:bookmarkEnd w:id="42"/>
            <w:bookmarkEnd w:id="43"/>
            <w:bookmarkEnd w:id="44"/>
            <w:bookmarkEnd w:id="45"/>
            <w:bookmarkEnd w:id="46"/>
          </w:p>
        </w:tc>
      </w:tr>
    </w:tbl>
    <w:p>
      <w:pPr>
        <w:autoSpaceDE w:val="0"/>
        <w:autoSpaceDN w:val="0"/>
        <w:spacing w:line="360" w:lineRule="auto"/>
        <w:ind w:firstLine="1446" w:firstLineChars="400"/>
        <w:jc w:val="center"/>
        <w:textAlignment w:val="bottom"/>
        <w:outlineLvl w:val="0"/>
        <w:rPr>
          <w:rFonts w:ascii="宋体" w:hAnsi="宋体"/>
          <w:b/>
          <w:sz w:val="36"/>
          <w:szCs w:val="36"/>
        </w:rPr>
      </w:pPr>
    </w:p>
    <w:p>
      <w:pPr>
        <w:autoSpaceDE w:val="0"/>
        <w:autoSpaceDN w:val="0"/>
        <w:spacing w:line="360" w:lineRule="auto"/>
        <w:ind w:firstLine="1446" w:firstLineChars="400"/>
        <w:jc w:val="center"/>
        <w:textAlignment w:val="bottom"/>
        <w:outlineLvl w:val="0"/>
        <w:rPr>
          <w:rFonts w:ascii="宋体" w:hAnsi="宋体"/>
          <w:b/>
          <w:sz w:val="36"/>
          <w:szCs w:val="36"/>
        </w:rPr>
      </w:pPr>
    </w:p>
    <w:p>
      <w:pPr>
        <w:spacing w:line="360" w:lineRule="auto"/>
        <w:rPr>
          <w:rFonts w:ascii="宋体" w:hAnsi="宋体"/>
          <w:b/>
          <w:sz w:val="36"/>
          <w:szCs w:val="36"/>
        </w:rPr>
      </w:pPr>
    </w:p>
    <w:p>
      <w:pPr>
        <w:pStyle w:val="5"/>
        <w:spacing w:line="360" w:lineRule="auto"/>
        <w:rPr>
          <w:rFonts w:ascii="宋体" w:hAnsi="宋体"/>
          <w:b/>
          <w:sz w:val="36"/>
          <w:szCs w:val="36"/>
        </w:rPr>
      </w:pPr>
    </w:p>
    <w:p>
      <w:pPr>
        <w:pStyle w:val="5"/>
        <w:spacing w:line="360" w:lineRule="auto"/>
        <w:rPr>
          <w:rFonts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招标代理机构:卓正招标咨询（丽水）有限公司</w:t>
      </w:r>
    </w:p>
    <w:p>
      <w:pPr>
        <w:spacing w:line="360" w:lineRule="auto"/>
        <w:jc w:val="center"/>
        <w:rPr>
          <w:rFonts w:ascii="宋体" w:hAnsi="宋体"/>
          <w:b/>
          <w:sz w:val="36"/>
          <w:szCs w:val="36"/>
        </w:rPr>
      </w:pPr>
    </w:p>
    <w:p>
      <w:pPr>
        <w:spacing w:line="360" w:lineRule="auto"/>
        <w:jc w:val="center"/>
        <w:rPr>
          <w:rFonts w:ascii="宋体" w:hAnsi="宋体"/>
          <w:b/>
          <w:sz w:val="36"/>
          <w:szCs w:val="36"/>
        </w:rPr>
      </w:pPr>
      <w:r>
        <w:rPr>
          <w:rFonts w:ascii="宋体" w:hAnsi="宋体"/>
          <w:b/>
          <w:sz w:val="36"/>
          <w:szCs w:val="36"/>
        </w:rPr>
        <w:t>二</w:t>
      </w:r>
      <w:r>
        <w:rPr>
          <w:rFonts w:hint="eastAsia" w:ascii="宋体" w:hAnsi="宋体"/>
          <w:b/>
          <w:sz w:val="36"/>
          <w:szCs w:val="36"/>
        </w:rPr>
        <w:t>〇</w:t>
      </w:r>
      <w:r>
        <w:rPr>
          <w:rFonts w:ascii="宋体" w:hAnsi="宋体"/>
          <w:b/>
          <w:sz w:val="36"/>
          <w:szCs w:val="36"/>
        </w:rPr>
        <w:t>二</w:t>
      </w:r>
      <w:r>
        <w:rPr>
          <w:rFonts w:hint="eastAsia" w:ascii="宋体" w:hAnsi="宋体"/>
          <w:b/>
          <w:sz w:val="36"/>
          <w:szCs w:val="36"/>
        </w:rPr>
        <w:t>四</w:t>
      </w:r>
      <w:r>
        <w:rPr>
          <w:rFonts w:ascii="宋体" w:hAnsi="宋体"/>
          <w:b/>
          <w:sz w:val="36"/>
          <w:szCs w:val="36"/>
        </w:rPr>
        <w:t>年</w:t>
      </w:r>
      <w:r>
        <w:rPr>
          <w:rFonts w:hint="eastAsia" w:ascii="宋体" w:hAnsi="宋体"/>
          <w:b/>
          <w:sz w:val="36"/>
          <w:szCs w:val="36"/>
          <w:lang w:val="en-US" w:eastAsia="zh-CN"/>
        </w:rPr>
        <w:t>九</w:t>
      </w:r>
      <w:r>
        <w:rPr>
          <w:rFonts w:ascii="宋体" w:hAnsi="宋体"/>
          <w:b/>
          <w:sz w:val="36"/>
          <w:szCs w:val="36"/>
        </w:rPr>
        <w:t>月</w:t>
      </w:r>
    </w:p>
    <w:p>
      <w:pPr>
        <w:spacing w:line="360" w:lineRule="auto"/>
        <w:jc w:val="center"/>
        <w:rPr>
          <w:rFonts w:ascii="宋体" w:hAnsi="宋体"/>
          <w:b/>
          <w:szCs w:val="28"/>
        </w:rPr>
      </w:pPr>
    </w:p>
    <w:p>
      <w:pPr>
        <w:pStyle w:val="18"/>
        <w:tabs>
          <w:tab w:val="right" w:leader="dot" w:pos="9184"/>
        </w:tabs>
        <w:spacing w:line="360" w:lineRule="auto"/>
        <w:jc w:val="center"/>
        <w:rPr>
          <w:rFonts w:ascii="宋体" w:hAnsi="宋体" w:cs="宋体"/>
          <w:b/>
          <w:sz w:val="28"/>
          <w:szCs w:val="28"/>
        </w:rPr>
        <w:sectPr>
          <w:headerReference r:id="rId5" w:type="first"/>
          <w:headerReference r:id="rId3" w:type="default"/>
          <w:headerReference r:id="rId4" w:type="even"/>
          <w:footerReference r:id="rId6" w:type="even"/>
          <w:pgSz w:w="11906" w:h="16838"/>
          <w:pgMar w:top="1588" w:right="1304" w:bottom="1361" w:left="1418" w:header="851" w:footer="992" w:gutter="0"/>
          <w:cols w:space="720" w:num="1"/>
          <w:titlePg/>
          <w:docGrid w:linePitch="312" w:charSpace="0"/>
        </w:sectPr>
      </w:pPr>
    </w:p>
    <w:p>
      <w:pPr>
        <w:spacing w:line="360" w:lineRule="auto"/>
        <w:jc w:val="center"/>
        <w:rPr>
          <w:rFonts w:ascii="宋体" w:hAnsi="宋体" w:cs="宋体"/>
          <w:b/>
          <w:sz w:val="36"/>
          <w:szCs w:val="36"/>
        </w:rPr>
      </w:pPr>
      <w:r>
        <w:rPr>
          <w:rFonts w:hint="eastAsia" w:ascii="宋体" w:hAnsi="宋体" w:cs="宋体"/>
          <w:b/>
          <w:sz w:val="36"/>
          <w:szCs w:val="36"/>
        </w:rPr>
        <w:t>目 录</w:t>
      </w:r>
    </w:p>
    <w:p>
      <w:pPr>
        <w:pStyle w:val="18"/>
        <w:tabs>
          <w:tab w:val="right" w:leader="dot" w:pos="9184"/>
        </w:tabs>
      </w:pPr>
      <w:bookmarkStart w:id="47" w:name="_Toc9691"/>
      <w:bookmarkStart w:id="48" w:name="_Toc83312426"/>
      <w:bookmarkStart w:id="49" w:name="_Toc5389"/>
      <w:bookmarkStart w:id="50" w:name="_Toc22677"/>
      <w:bookmarkStart w:id="51" w:name="_Toc10401"/>
      <w:r>
        <w:rPr>
          <w:rFonts w:ascii="宋体" w:hAnsi="宋体"/>
        </w:rPr>
        <w:fldChar w:fldCharType="begin"/>
      </w:r>
      <w:r>
        <w:rPr>
          <w:rFonts w:ascii="宋体" w:hAnsi="宋体"/>
        </w:rPr>
        <w:instrText xml:space="preserve">TOC \o "1-3" \h \u </w:instrText>
      </w:r>
      <w:r>
        <w:rPr>
          <w:rFonts w:ascii="宋体" w:hAnsi="宋体"/>
        </w:rPr>
        <w:fldChar w:fldCharType="separate"/>
      </w:r>
    </w:p>
    <w:p>
      <w:pPr>
        <w:pStyle w:val="19"/>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_Toc21362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第一章</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公开招标公告</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_Toc21362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8"/>
        <w:keepNext w:val="0"/>
        <w:keepLines w:val="0"/>
        <w:pageBreakBefore w:val="0"/>
        <w:widowControl w:val="0"/>
        <w:tabs>
          <w:tab w:val="right" w:leader="dot" w:pos="9184"/>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_Toc6703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第二章</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投标人须知</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_Toc6703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7</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_Toc29511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前列表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_Toc29511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7</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_Toc1586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一</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总则</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_Toc1586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9</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_Toc26611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二</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 招标文件说明</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_Toc26611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10</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_Toc14673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三</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投标文件的编写</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_Toc14673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11</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_Toc17544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四  履约保证金</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_Toc17544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_Toc15195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 xml:space="preserve">五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投标文件的加密、提交、修改和撤回</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_Toc15195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_Toc2605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 xml:space="preserve">六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开标和评审</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_Toc2605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_Toc19913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七  投标无效的情形</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_Toc19913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16</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_Toc21742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八  法律责任</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_Toc21742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17</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_Toc25352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九  澄清、修改发布媒体</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_Toc25352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19</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_Toc16846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十  质疑</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_Toc16846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19</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_Toc28460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十一  投诉</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_Toc28460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20</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_Toc6955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十二  授予合同</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_Toc6955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20</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_Toc1879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十三  验收</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_Toc1879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21</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_Toc3341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十四  政府采购政策</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_Toc3341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21</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_Toc3370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十五  其他事项</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_Toc3370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21</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8"/>
        <w:keepNext w:val="0"/>
        <w:keepLines w:val="0"/>
        <w:pageBreakBefore w:val="0"/>
        <w:widowControl w:val="0"/>
        <w:tabs>
          <w:tab w:val="right" w:leader="dot" w:pos="9184"/>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_Toc18760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 xml:space="preserve">第三章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采购需求</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_Toc18760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24</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_Toc20222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lang w:val="en-US" w:eastAsia="zh-CN"/>
        </w:rPr>
        <w:t>一、</w:t>
      </w:r>
      <w:r>
        <w:rPr>
          <w:rFonts w:hint="eastAsia" w:asciiTheme="minorEastAsia" w:hAnsiTheme="minorEastAsia" w:eastAsiaTheme="minorEastAsia" w:cstheme="minorEastAsia"/>
          <w:b w:val="0"/>
          <w:bCs w:val="0"/>
          <w:sz w:val="24"/>
          <w:szCs w:val="24"/>
        </w:rPr>
        <w:t>设备清单</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_Toc20222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24</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_Toc345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lang w:val="en-US" w:eastAsia="zh-CN"/>
        </w:rPr>
        <w:t>二、技术参数</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_Toc345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24</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_Toc2751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lang w:val="en-US" w:eastAsia="zh-CN"/>
        </w:rPr>
        <w:t>三</w:t>
      </w:r>
      <w:r>
        <w:rPr>
          <w:rFonts w:hint="eastAsia" w:asciiTheme="minorEastAsia" w:hAnsiTheme="minorEastAsia" w:eastAsiaTheme="minorEastAsia" w:cstheme="minorEastAsia"/>
          <w:b w:val="0"/>
          <w:bCs w:val="0"/>
          <w:sz w:val="24"/>
          <w:szCs w:val="24"/>
        </w:rPr>
        <w:t>、工期及供货地点要求</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_Toc2751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44</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_Toc3163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lang w:val="en-US" w:eastAsia="zh-CN"/>
        </w:rPr>
        <w:t>四</w:t>
      </w:r>
      <w:r>
        <w:rPr>
          <w:rFonts w:hint="eastAsia" w:asciiTheme="minorEastAsia" w:hAnsiTheme="minorEastAsia" w:eastAsiaTheme="minorEastAsia" w:cstheme="minorEastAsia"/>
          <w:b w:val="0"/>
          <w:bCs w:val="0"/>
          <w:sz w:val="24"/>
          <w:szCs w:val="24"/>
        </w:rPr>
        <w:t>、维保期及售后技术服务要求</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_Toc3163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44</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_Toc28814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lang w:val="en-US" w:eastAsia="zh-CN"/>
        </w:rPr>
        <w:t>五</w:t>
      </w:r>
      <w:r>
        <w:rPr>
          <w:rFonts w:hint="eastAsia" w:asciiTheme="minorEastAsia" w:hAnsiTheme="minorEastAsia" w:eastAsiaTheme="minorEastAsia" w:cstheme="minorEastAsia"/>
          <w:b w:val="0"/>
          <w:bCs w:val="0"/>
          <w:sz w:val="24"/>
          <w:szCs w:val="24"/>
        </w:rPr>
        <w:t>、验收要求</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_Toc28814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45</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_Toc402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lang w:val="en-US" w:eastAsia="zh-CN"/>
        </w:rPr>
        <w:t>六</w:t>
      </w:r>
      <w:r>
        <w:rPr>
          <w:rFonts w:hint="eastAsia" w:asciiTheme="minorEastAsia" w:hAnsiTheme="minorEastAsia" w:eastAsiaTheme="minorEastAsia" w:cstheme="minorEastAsia"/>
          <w:b w:val="0"/>
          <w:bCs w:val="0"/>
          <w:sz w:val="24"/>
          <w:szCs w:val="24"/>
        </w:rPr>
        <w:t>、付款方式</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_Toc402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45</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8"/>
        <w:keepNext w:val="0"/>
        <w:keepLines w:val="0"/>
        <w:pageBreakBefore w:val="0"/>
        <w:widowControl w:val="0"/>
        <w:tabs>
          <w:tab w:val="right" w:leader="dot" w:pos="9184"/>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_Toc27552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第四章</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政府采购合同</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_Toc27552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46</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8"/>
        <w:keepNext w:val="0"/>
        <w:keepLines w:val="0"/>
        <w:pageBreakBefore w:val="0"/>
        <w:widowControl w:val="0"/>
        <w:tabs>
          <w:tab w:val="right" w:leader="dot" w:pos="9184"/>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_Toc27381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第五章　投标相关文件格式</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_Toc27381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53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_Toc9336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一  资格审查文件格式</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_Toc9336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53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_Toc28888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二  资信商务及技术文件格式</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_Toc28888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63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_Toc20012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三  报价文件格式</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_Toc20012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74</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_Toc10055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四</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中标人公告内容</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_Toc10055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77</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9"/>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_Toc24420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第六章</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评标办法和细则</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_Toc24420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83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_Toc26803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一  总则</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_Toc26803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83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_Toc1029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二  评审委员会</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_Toc1029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83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_Toc26558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三  评标程序</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_Toc26558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84</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_Toc18742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四  评标一般规定</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_Toc18742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85</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_Toc13787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五</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评标办法和细则</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_Toc13787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85</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9184"/>
          <w:tab w:val="clear" w:pos="9060"/>
        </w:tabs>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_Toc22516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六  评审纪律和要求</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_Toc22516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92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spacing w:line="360" w:lineRule="auto"/>
        <w:rPr>
          <w:rFonts w:ascii="宋体" w:hAnsi="宋体"/>
        </w:rPr>
        <w:sectPr>
          <w:headerReference r:id="rId8" w:type="first"/>
          <w:headerReference r:id="rId7" w:type="default"/>
          <w:pgSz w:w="11906" w:h="16838"/>
          <w:pgMar w:top="1588" w:right="1304" w:bottom="1361" w:left="1418" w:header="851" w:footer="992" w:gutter="0"/>
          <w:pgNumType w:fmt="decimal" w:start="1"/>
          <w:cols w:space="720" w:num="1"/>
          <w:titlePg/>
          <w:docGrid w:linePitch="312" w:charSpace="0"/>
        </w:sectPr>
      </w:pPr>
      <w:r>
        <w:rPr>
          <w:rFonts w:ascii="宋体" w:hAnsi="宋体"/>
        </w:rPr>
        <w:fldChar w:fldCharType="end"/>
      </w:r>
    </w:p>
    <w:p>
      <w:pPr>
        <w:pStyle w:val="2"/>
        <w:spacing w:line="360" w:lineRule="auto"/>
        <w:jc w:val="center"/>
        <w:rPr>
          <w:rFonts w:ascii="宋体" w:hAnsi="宋体"/>
        </w:rPr>
      </w:pPr>
      <w:bookmarkStart w:id="52" w:name="_Toc21362"/>
      <w:bookmarkStart w:id="53" w:name="_Toc4455"/>
      <w:r>
        <w:rPr>
          <w:rFonts w:hint="eastAsia" w:ascii="宋体" w:hAnsi="宋体"/>
        </w:rPr>
        <w:t>第一章公开招标公告</w:t>
      </w:r>
      <w:bookmarkEnd w:id="47"/>
      <w:bookmarkEnd w:id="48"/>
      <w:bookmarkEnd w:id="49"/>
      <w:bookmarkEnd w:id="50"/>
      <w:bookmarkEnd w:id="51"/>
      <w:bookmarkEnd w:id="52"/>
      <w:bookmarkEnd w:id="53"/>
    </w:p>
    <w:p>
      <w:pPr>
        <w:pBdr>
          <w:top w:val="single" w:color="auto" w:sz="4" w:space="1"/>
          <w:left w:val="single" w:color="auto" w:sz="4" w:space="4"/>
          <w:bottom w:val="single" w:color="auto" w:sz="4" w:space="1"/>
          <w:right w:val="single" w:color="auto" w:sz="4" w:space="2"/>
        </w:pBdr>
        <w:spacing w:line="360" w:lineRule="auto"/>
        <w:rPr>
          <w:rFonts w:ascii="宋体" w:hAnsi="宋体" w:cs="仿宋_GB2312"/>
          <w:sz w:val="24"/>
        </w:rPr>
      </w:pPr>
      <w:bookmarkStart w:id="54" w:name="_Toc35393621"/>
      <w:bookmarkStart w:id="55" w:name="_Toc35393790"/>
      <w:bookmarkStart w:id="56" w:name="_Toc28359079"/>
      <w:bookmarkStart w:id="57" w:name="_Toc28359002"/>
      <w:bookmarkStart w:id="58" w:name="_Hlk24379207"/>
      <w:bookmarkStart w:id="59" w:name="EBf1e27c6183244f4a8f3fc355defd653e"/>
      <w:r>
        <w:rPr>
          <w:rFonts w:hint="eastAsia" w:ascii="宋体" w:hAnsi="宋体" w:cs="仿宋_GB2312"/>
          <w:sz w:val="24"/>
        </w:rPr>
        <w:t>项目概况：</w:t>
      </w:r>
    </w:p>
    <w:p>
      <w:pPr>
        <w:pBdr>
          <w:top w:val="single" w:color="auto" w:sz="4" w:space="1"/>
          <w:left w:val="single" w:color="auto" w:sz="4" w:space="4"/>
          <w:bottom w:val="single" w:color="auto" w:sz="4" w:space="1"/>
          <w:right w:val="single" w:color="auto" w:sz="4" w:space="2"/>
        </w:pBdr>
        <w:spacing w:line="360" w:lineRule="auto"/>
        <w:ind w:firstLine="482" w:firstLineChars="200"/>
        <w:rPr>
          <w:rFonts w:ascii="宋体" w:hAnsi="宋体" w:cs="仿宋_GB2312"/>
          <w:sz w:val="24"/>
        </w:rPr>
      </w:pPr>
      <w:r>
        <w:rPr>
          <w:rFonts w:hint="eastAsia" w:ascii="宋体" w:hAnsi="宋体"/>
          <w:b/>
          <w:sz w:val="24"/>
          <w:u w:val="single"/>
          <w:lang w:eastAsia="zh-CN"/>
        </w:rPr>
        <w:t>丽水职业技术学院数字化仿真基地项目（智能制造数维方向）</w:t>
      </w:r>
      <w:r>
        <w:rPr>
          <w:rFonts w:hint="eastAsia" w:ascii="宋体" w:hAnsi="宋体" w:cs="仿宋_GB2312"/>
          <w:sz w:val="24"/>
        </w:rPr>
        <w:t>的潜在投标人应在浙江政府采购网（</w:t>
      </w:r>
      <w:r>
        <w:rPr>
          <w:rFonts w:ascii="宋体" w:hAnsi="宋体"/>
          <w:sz w:val="24"/>
        </w:rPr>
        <w:t>http://</w:t>
      </w:r>
      <w:r>
        <w:rPr>
          <w:rFonts w:hint="eastAsia" w:ascii="宋体" w:hAnsi="宋体"/>
          <w:sz w:val="24"/>
        </w:rPr>
        <w:t>zfcg.czt.zj.gov.cn</w:t>
      </w:r>
      <w:r>
        <w:rPr>
          <w:rFonts w:hint="eastAsia" w:ascii="宋体" w:hAnsi="宋体" w:cs="仿宋_GB2312"/>
          <w:sz w:val="24"/>
        </w:rPr>
        <w:t>）、丽水市公共资源交易网（http://lssggzy.lishui.gov.cn/lsweb/）采购</w:t>
      </w:r>
      <w:r>
        <w:rPr>
          <w:rFonts w:ascii="宋体" w:hAnsi="宋体" w:cs="仿宋_GB2312"/>
          <w:sz w:val="24"/>
        </w:rPr>
        <w:t>公告附件中</w:t>
      </w:r>
      <w:r>
        <w:rPr>
          <w:rFonts w:hint="eastAsia" w:ascii="宋体" w:hAnsi="宋体" w:cs="仿宋_GB2312"/>
          <w:sz w:val="24"/>
        </w:rPr>
        <w:t>自行获取采购文件，并于</w:t>
      </w:r>
      <w:r>
        <w:rPr>
          <w:rFonts w:ascii="宋体" w:hAnsi="宋体"/>
          <w:b/>
          <w:bCs/>
          <w:snapToGrid w:val="0"/>
          <w:sz w:val="24"/>
          <w:u w:val="single"/>
        </w:rPr>
        <w:t>202</w:t>
      </w:r>
      <w:r>
        <w:rPr>
          <w:rFonts w:hint="eastAsia" w:ascii="宋体" w:hAnsi="宋体"/>
          <w:b/>
          <w:bCs/>
          <w:snapToGrid w:val="0"/>
          <w:sz w:val="24"/>
          <w:u w:val="single"/>
        </w:rPr>
        <w:t>4</w:t>
      </w:r>
      <w:r>
        <w:rPr>
          <w:rFonts w:hint="eastAsia" w:ascii="宋体" w:hAnsi="宋体" w:cs="仿宋_GB2312"/>
          <w:b/>
          <w:bCs/>
          <w:sz w:val="24"/>
        </w:rPr>
        <w:t>年</w:t>
      </w:r>
      <w:r>
        <w:rPr>
          <w:rFonts w:hint="eastAsia" w:ascii="宋体" w:hAnsi="宋体" w:cs="仿宋_GB2312"/>
          <w:b/>
          <w:bCs/>
          <w:sz w:val="24"/>
          <w:u w:val="single"/>
          <w:lang w:val="en-US" w:eastAsia="zh-CN"/>
        </w:rPr>
        <w:t>10</w:t>
      </w:r>
      <w:r>
        <w:rPr>
          <w:rFonts w:hint="eastAsia" w:ascii="宋体" w:hAnsi="宋体" w:cs="仿宋_GB2312"/>
          <w:b/>
          <w:bCs/>
          <w:sz w:val="24"/>
        </w:rPr>
        <w:t>月</w:t>
      </w:r>
      <w:r>
        <w:rPr>
          <w:rFonts w:hint="eastAsia" w:ascii="宋体" w:hAnsi="宋体" w:cs="仿宋_GB2312"/>
          <w:b/>
          <w:bCs/>
          <w:sz w:val="24"/>
          <w:u w:val="single"/>
          <w:lang w:val="en-US" w:eastAsia="zh-CN"/>
        </w:rPr>
        <w:t>24</w:t>
      </w:r>
      <w:r>
        <w:rPr>
          <w:rFonts w:hint="eastAsia" w:ascii="宋体" w:hAnsi="宋体" w:cs="仿宋_GB2312"/>
          <w:b/>
          <w:bCs/>
          <w:sz w:val="24"/>
        </w:rPr>
        <w:t>日</w:t>
      </w:r>
      <w:r>
        <w:rPr>
          <w:rFonts w:hint="eastAsia" w:ascii="宋体" w:hAnsi="宋体" w:cs="仿宋_GB2312"/>
          <w:b/>
          <w:bCs/>
          <w:sz w:val="24"/>
          <w:u w:val="single"/>
          <w:lang w:val="en-US" w:eastAsia="zh-CN"/>
        </w:rPr>
        <w:t>10</w:t>
      </w:r>
      <w:r>
        <w:rPr>
          <w:rFonts w:hint="eastAsia" w:ascii="宋体" w:hAnsi="宋体"/>
          <w:b/>
          <w:bCs/>
          <w:snapToGrid w:val="0"/>
          <w:sz w:val="24"/>
          <w:u w:val="single"/>
        </w:rPr>
        <w:t>:0</w:t>
      </w:r>
      <w:r>
        <w:rPr>
          <w:rFonts w:ascii="宋体" w:hAnsi="宋体"/>
          <w:b/>
          <w:bCs/>
          <w:snapToGrid w:val="0"/>
          <w:sz w:val="24"/>
          <w:u w:val="single"/>
        </w:rPr>
        <w:t>0</w:t>
      </w:r>
      <w:r>
        <w:rPr>
          <w:rFonts w:hint="eastAsia" w:ascii="宋体" w:hAnsi="宋体" w:cs="仿宋_GB2312"/>
          <w:bCs/>
          <w:sz w:val="24"/>
        </w:rPr>
        <w:t>（北京时间）前提交（上传）</w:t>
      </w:r>
      <w:r>
        <w:rPr>
          <w:rFonts w:ascii="宋体" w:hAnsi="宋体" w:cs="仿宋_GB2312"/>
          <w:bCs/>
          <w:sz w:val="24"/>
        </w:rPr>
        <w:t>响应</w:t>
      </w:r>
      <w:r>
        <w:rPr>
          <w:rFonts w:hint="eastAsia" w:ascii="宋体" w:hAnsi="宋体" w:cs="仿宋_GB2312"/>
          <w:bCs/>
          <w:sz w:val="24"/>
        </w:rPr>
        <w:t>文件。</w:t>
      </w:r>
    </w:p>
    <w:p>
      <w:pPr>
        <w:spacing w:line="360" w:lineRule="auto"/>
        <w:jc w:val="left"/>
        <w:rPr>
          <w:rFonts w:ascii="宋体" w:hAnsi="宋体" w:cs="仿宋_GB2312"/>
          <w:b/>
          <w:sz w:val="24"/>
        </w:rPr>
      </w:pPr>
      <w:r>
        <w:rPr>
          <w:rFonts w:hint="eastAsia" w:ascii="宋体" w:hAnsi="宋体" w:cs="仿宋_GB2312"/>
          <w:b/>
          <w:sz w:val="24"/>
        </w:rPr>
        <w:t>一、项目基本情况</w:t>
      </w:r>
      <w:bookmarkEnd w:id="54"/>
      <w:bookmarkEnd w:id="55"/>
      <w:bookmarkEnd w:id="56"/>
      <w:bookmarkEnd w:id="57"/>
    </w:p>
    <w:bookmarkEnd w:id="58"/>
    <w:p>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项目编号：</w:t>
      </w:r>
      <w:r>
        <w:rPr>
          <w:rFonts w:hint="eastAsia" w:ascii="宋体" w:hAnsi="宋体" w:cs="仿宋_GB2312"/>
          <w:sz w:val="24"/>
          <w:lang w:eastAsia="zh-CN"/>
        </w:rPr>
        <w:t>卓正丽招2024-1150号</w:t>
      </w:r>
    </w:p>
    <w:p>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项目名称：</w:t>
      </w:r>
      <w:r>
        <w:rPr>
          <w:rFonts w:hint="eastAsia" w:ascii="宋体" w:hAnsi="宋体" w:cs="仿宋_GB2312"/>
          <w:sz w:val="24"/>
          <w:lang w:eastAsia="zh-CN"/>
        </w:rPr>
        <w:t>丽水职业技术学院数字化仿真基地项目（智能制造数维方向）</w:t>
      </w:r>
    </w:p>
    <w:p>
      <w:pPr>
        <w:spacing w:line="360" w:lineRule="auto"/>
        <w:ind w:firstLine="480" w:firstLineChars="200"/>
        <w:rPr>
          <w:rFonts w:ascii="宋体" w:hAnsi="宋体" w:cs="仿宋_GB2312"/>
          <w:sz w:val="24"/>
        </w:rPr>
      </w:pPr>
      <w:r>
        <w:rPr>
          <w:rFonts w:hint="eastAsia" w:ascii="宋体" w:hAnsi="宋体" w:cs="仿宋_GB2312"/>
          <w:sz w:val="24"/>
        </w:rPr>
        <w:t>采购方式：公开招标</w:t>
      </w:r>
    </w:p>
    <w:p>
      <w:pPr>
        <w:spacing w:line="360" w:lineRule="auto"/>
        <w:ind w:firstLine="480" w:firstLineChars="200"/>
        <w:rPr>
          <w:rFonts w:ascii="宋体" w:hAnsi="宋体"/>
          <w:sz w:val="24"/>
        </w:rPr>
      </w:pPr>
      <w:r>
        <w:rPr>
          <w:rFonts w:hint="eastAsia" w:ascii="宋体" w:hAnsi="宋体"/>
          <w:sz w:val="24"/>
        </w:rPr>
        <w:t>组织形式：分散采购</w:t>
      </w:r>
    </w:p>
    <w:p>
      <w:pPr>
        <w:spacing w:line="360" w:lineRule="auto"/>
        <w:ind w:firstLine="480" w:firstLineChars="200"/>
        <w:rPr>
          <w:rFonts w:ascii="宋体" w:hAnsi="宋体" w:cs="仿宋_GB2312"/>
          <w:sz w:val="24"/>
        </w:rPr>
      </w:pPr>
      <w:r>
        <w:rPr>
          <w:rFonts w:ascii="宋体" w:hAnsi="宋体" w:cs="仿宋_GB2312"/>
          <w:sz w:val="24"/>
        </w:rPr>
        <w:t>采购</w:t>
      </w:r>
      <w:r>
        <w:rPr>
          <w:rFonts w:hint="eastAsia" w:ascii="宋体" w:hAnsi="宋体" w:cs="仿宋_GB2312"/>
          <w:sz w:val="24"/>
        </w:rPr>
        <w:t>内容</w:t>
      </w:r>
      <w:r>
        <w:rPr>
          <w:rFonts w:ascii="宋体" w:hAnsi="宋体" w:cs="仿宋_GB2312"/>
          <w:sz w:val="24"/>
        </w:rPr>
        <w:t>：</w:t>
      </w:r>
    </w:p>
    <w:tbl>
      <w:tblPr>
        <w:tblStyle w:val="22"/>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544"/>
        <w:gridCol w:w="750"/>
        <w:gridCol w:w="765"/>
        <w:gridCol w:w="2160"/>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55" w:type="dxa"/>
            <w:noWrap/>
            <w:vAlign w:val="center"/>
          </w:tcPr>
          <w:p>
            <w:pPr>
              <w:snapToGrid w:val="0"/>
              <w:spacing w:line="360" w:lineRule="auto"/>
              <w:jc w:val="center"/>
              <w:rPr>
                <w:rFonts w:ascii="宋体" w:hAnsi="宋体" w:cs="仿宋"/>
                <w:b/>
                <w:bCs/>
                <w:sz w:val="24"/>
                <w:szCs w:val="21"/>
              </w:rPr>
            </w:pPr>
            <w:r>
              <w:rPr>
                <w:rFonts w:hint="eastAsia" w:ascii="宋体" w:hAnsi="宋体" w:cs="仿宋"/>
                <w:b/>
                <w:bCs/>
                <w:sz w:val="24"/>
                <w:szCs w:val="21"/>
              </w:rPr>
              <w:t>序号</w:t>
            </w:r>
          </w:p>
        </w:tc>
        <w:tc>
          <w:tcPr>
            <w:tcW w:w="2544" w:type="dxa"/>
            <w:noWrap/>
            <w:vAlign w:val="center"/>
          </w:tcPr>
          <w:p>
            <w:pPr>
              <w:snapToGrid w:val="0"/>
              <w:spacing w:line="360" w:lineRule="auto"/>
              <w:jc w:val="center"/>
              <w:rPr>
                <w:rFonts w:ascii="宋体" w:hAnsi="宋体" w:cs="仿宋"/>
                <w:b/>
                <w:bCs/>
                <w:sz w:val="24"/>
                <w:szCs w:val="21"/>
              </w:rPr>
            </w:pPr>
            <w:r>
              <w:rPr>
                <w:rFonts w:hint="eastAsia" w:ascii="宋体" w:hAnsi="宋体" w:cs="仿宋"/>
                <w:b/>
                <w:bCs/>
                <w:sz w:val="24"/>
                <w:szCs w:val="21"/>
              </w:rPr>
              <w:t>采购内容</w:t>
            </w:r>
          </w:p>
        </w:tc>
        <w:tc>
          <w:tcPr>
            <w:tcW w:w="750" w:type="dxa"/>
            <w:noWrap/>
            <w:vAlign w:val="center"/>
          </w:tcPr>
          <w:p>
            <w:pPr>
              <w:snapToGrid w:val="0"/>
              <w:spacing w:line="360" w:lineRule="auto"/>
              <w:jc w:val="center"/>
              <w:rPr>
                <w:rFonts w:ascii="宋体" w:hAnsi="宋体" w:cs="仿宋"/>
                <w:b/>
                <w:bCs/>
                <w:sz w:val="24"/>
                <w:szCs w:val="21"/>
              </w:rPr>
            </w:pPr>
            <w:r>
              <w:rPr>
                <w:rFonts w:hint="eastAsia" w:ascii="宋体" w:hAnsi="宋体" w:cs="仿宋"/>
                <w:b/>
                <w:bCs/>
                <w:sz w:val="24"/>
                <w:szCs w:val="21"/>
              </w:rPr>
              <w:t>数量</w:t>
            </w:r>
          </w:p>
        </w:tc>
        <w:tc>
          <w:tcPr>
            <w:tcW w:w="765" w:type="dxa"/>
            <w:noWrap/>
            <w:vAlign w:val="center"/>
          </w:tcPr>
          <w:p>
            <w:pPr>
              <w:snapToGrid w:val="0"/>
              <w:spacing w:line="360" w:lineRule="auto"/>
              <w:jc w:val="center"/>
              <w:rPr>
                <w:rFonts w:ascii="宋体" w:hAnsi="宋体" w:cs="仿宋"/>
                <w:b/>
                <w:bCs/>
                <w:sz w:val="24"/>
                <w:szCs w:val="21"/>
              </w:rPr>
            </w:pPr>
            <w:r>
              <w:rPr>
                <w:rFonts w:hint="eastAsia" w:ascii="宋体" w:hAnsi="宋体" w:cs="仿宋"/>
                <w:b/>
                <w:bCs/>
                <w:sz w:val="24"/>
                <w:szCs w:val="21"/>
              </w:rPr>
              <w:t>单位</w:t>
            </w:r>
          </w:p>
        </w:tc>
        <w:tc>
          <w:tcPr>
            <w:tcW w:w="2160" w:type="dxa"/>
            <w:noWrap/>
            <w:vAlign w:val="center"/>
          </w:tcPr>
          <w:p>
            <w:pPr>
              <w:snapToGrid w:val="0"/>
              <w:spacing w:line="360" w:lineRule="auto"/>
              <w:jc w:val="center"/>
              <w:rPr>
                <w:rFonts w:ascii="宋体" w:hAnsi="宋体" w:cs="仿宋"/>
                <w:b/>
                <w:bCs/>
                <w:sz w:val="24"/>
                <w:szCs w:val="21"/>
              </w:rPr>
            </w:pPr>
            <w:r>
              <w:rPr>
                <w:rFonts w:hint="eastAsia" w:ascii="宋体" w:hAnsi="宋体" w:cs="仿宋"/>
                <w:b/>
                <w:bCs/>
                <w:sz w:val="24"/>
                <w:szCs w:val="21"/>
              </w:rPr>
              <w:t>简要规格描述</w:t>
            </w:r>
          </w:p>
        </w:tc>
        <w:tc>
          <w:tcPr>
            <w:tcW w:w="2137" w:type="dxa"/>
            <w:noWrap/>
            <w:vAlign w:val="center"/>
          </w:tcPr>
          <w:p>
            <w:pPr>
              <w:snapToGrid w:val="0"/>
              <w:spacing w:line="360" w:lineRule="auto"/>
              <w:jc w:val="center"/>
              <w:rPr>
                <w:rFonts w:ascii="宋体" w:hAnsi="宋体" w:cs="仿宋"/>
                <w:b/>
                <w:bCs/>
                <w:sz w:val="24"/>
                <w:szCs w:val="21"/>
              </w:rPr>
            </w:pPr>
            <w:r>
              <w:rPr>
                <w:rFonts w:hint="eastAsia" w:ascii="宋体" w:hAnsi="宋体" w:cs="仿宋"/>
                <w:b/>
                <w:bCs/>
                <w:sz w:val="24"/>
                <w:szCs w:val="21"/>
              </w:rPr>
              <w:t>▲预算金额</w:t>
            </w:r>
          </w:p>
          <w:p>
            <w:pPr>
              <w:snapToGrid w:val="0"/>
              <w:spacing w:line="360" w:lineRule="auto"/>
              <w:jc w:val="center"/>
              <w:rPr>
                <w:rFonts w:ascii="宋体" w:hAnsi="宋体" w:cs="仿宋"/>
                <w:b/>
                <w:bCs/>
                <w:sz w:val="24"/>
                <w:szCs w:val="21"/>
              </w:rPr>
            </w:pPr>
            <w:r>
              <w:rPr>
                <w:rFonts w:hint="eastAsia" w:ascii="宋体" w:hAnsi="宋体" w:cs="仿宋"/>
                <w:b/>
                <w:bCs/>
                <w:sz w:val="24"/>
                <w:szCs w:val="21"/>
              </w:rPr>
              <w:t>（最高限价）</w:t>
            </w:r>
          </w:p>
          <w:p>
            <w:pPr>
              <w:snapToGrid w:val="0"/>
              <w:spacing w:line="360" w:lineRule="auto"/>
              <w:jc w:val="center"/>
              <w:rPr>
                <w:rFonts w:ascii="宋体" w:hAnsi="宋体"/>
              </w:rPr>
            </w:pPr>
            <w:r>
              <w:rPr>
                <w:rFonts w:hint="eastAsia" w:ascii="宋体" w:hAnsi="宋体" w:cs="仿宋"/>
                <w:sz w:val="24"/>
                <w:szCs w:val="21"/>
              </w:rPr>
              <w:t>单位：人民币万元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5" w:type="dxa"/>
            <w:noWrap/>
            <w:vAlign w:val="center"/>
          </w:tcPr>
          <w:p>
            <w:pPr>
              <w:snapToGrid w:val="0"/>
              <w:spacing w:line="360" w:lineRule="auto"/>
              <w:jc w:val="center"/>
              <w:rPr>
                <w:rFonts w:ascii="宋体" w:hAnsi="宋体" w:cs="仿宋"/>
                <w:sz w:val="24"/>
              </w:rPr>
            </w:pPr>
            <w:r>
              <w:rPr>
                <w:rFonts w:hint="eastAsia" w:ascii="宋体" w:hAnsi="宋体" w:cs="仿宋_GB2312"/>
                <w:sz w:val="24"/>
              </w:rPr>
              <w:t>1</w:t>
            </w:r>
          </w:p>
        </w:tc>
        <w:tc>
          <w:tcPr>
            <w:tcW w:w="2544" w:type="dxa"/>
            <w:noWrap/>
            <w:vAlign w:val="center"/>
          </w:tcPr>
          <w:p>
            <w:pPr>
              <w:snapToGrid w:val="0"/>
              <w:spacing w:line="360" w:lineRule="auto"/>
              <w:jc w:val="center"/>
              <w:rPr>
                <w:rFonts w:hint="eastAsia" w:ascii="宋体" w:hAnsi="宋体" w:eastAsia="宋体" w:cs="仿宋_GB2312"/>
                <w:sz w:val="24"/>
                <w:lang w:eastAsia="zh-CN"/>
              </w:rPr>
            </w:pPr>
            <w:r>
              <w:rPr>
                <w:rFonts w:hint="eastAsia" w:ascii="宋体" w:hAnsi="宋体" w:cs="仿宋_GB2312"/>
                <w:sz w:val="24"/>
                <w:lang w:eastAsia="zh-CN"/>
              </w:rPr>
              <w:t>丽水职业技术学院数字化仿真基地项目（智能制造数维方向）</w:t>
            </w:r>
          </w:p>
        </w:tc>
        <w:tc>
          <w:tcPr>
            <w:tcW w:w="750" w:type="dxa"/>
            <w:noWrap/>
            <w:vAlign w:val="center"/>
          </w:tcPr>
          <w:p>
            <w:pPr>
              <w:snapToGrid w:val="0"/>
              <w:spacing w:line="360" w:lineRule="auto"/>
              <w:jc w:val="center"/>
              <w:rPr>
                <w:rFonts w:ascii="宋体" w:hAnsi="宋体" w:cs="仿宋"/>
                <w:sz w:val="24"/>
              </w:rPr>
            </w:pPr>
            <w:r>
              <w:rPr>
                <w:rFonts w:hint="eastAsia" w:ascii="宋体" w:hAnsi="宋体" w:cs="仿宋"/>
                <w:sz w:val="24"/>
              </w:rPr>
              <w:t>1</w:t>
            </w:r>
          </w:p>
        </w:tc>
        <w:tc>
          <w:tcPr>
            <w:tcW w:w="765" w:type="dxa"/>
            <w:noWrap/>
            <w:vAlign w:val="center"/>
          </w:tcPr>
          <w:p>
            <w:pPr>
              <w:snapToGrid w:val="0"/>
              <w:spacing w:line="360" w:lineRule="auto"/>
              <w:jc w:val="center"/>
              <w:rPr>
                <w:rFonts w:ascii="宋体" w:hAnsi="宋体" w:cs="仿宋"/>
                <w:sz w:val="24"/>
              </w:rPr>
            </w:pPr>
            <w:r>
              <w:rPr>
                <w:rFonts w:hint="eastAsia" w:ascii="宋体" w:hAnsi="宋体" w:cs="仿宋"/>
                <w:sz w:val="24"/>
              </w:rPr>
              <w:t>项</w:t>
            </w:r>
          </w:p>
        </w:tc>
        <w:tc>
          <w:tcPr>
            <w:tcW w:w="2160" w:type="dxa"/>
            <w:noWrap/>
            <w:vAlign w:val="center"/>
          </w:tcPr>
          <w:p>
            <w:pPr>
              <w:snapToGrid w:val="0"/>
              <w:spacing w:line="360" w:lineRule="auto"/>
              <w:jc w:val="center"/>
              <w:rPr>
                <w:rFonts w:ascii="宋体" w:hAnsi="宋体" w:cs="仿宋_GB2312"/>
                <w:sz w:val="24"/>
              </w:rPr>
            </w:pPr>
            <w:r>
              <w:rPr>
                <w:rFonts w:hint="eastAsia" w:ascii="宋体" w:hAnsi="宋体" w:cs="仿宋_GB2312"/>
                <w:sz w:val="24"/>
              </w:rPr>
              <w:t>见招标</w:t>
            </w:r>
            <w:r>
              <w:rPr>
                <w:rFonts w:ascii="宋体" w:hAnsi="宋体" w:cs="仿宋_GB2312"/>
                <w:sz w:val="24"/>
              </w:rPr>
              <w:t>文件</w:t>
            </w:r>
          </w:p>
          <w:p>
            <w:pPr>
              <w:snapToGrid w:val="0"/>
              <w:spacing w:line="360" w:lineRule="auto"/>
              <w:jc w:val="center"/>
              <w:rPr>
                <w:rFonts w:ascii="宋体" w:hAnsi="宋体" w:cs="仿宋"/>
                <w:sz w:val="24"/>
              </w:rPr>
            </w:pPr>
            <w:r>
              <w:rPr>
                <w:rFonts w:ascii="宋体" w:hAnsi="宋体" w:cs="仿宋_GB2312"/>
                <w:sz w:val="24"/>
              </w:rPr>
              <w:t>第</w:t>
            </w:r>
            <w:r>
              <w:rPr>
                <w:rFonts w:hint="eastAsia" w:ascii="宋体" w:hAnsi="宋体" w:cs="仿宋_GB2312"/>
                <w:sz w:val="24"/>
              </w:rPr>
              <w:t>三</w:t>
            </w:r>
            <w:r>
              <w:rPr>
                <w:rFonts w:ascii="宋体" w:hAnsi="宋体" w:cs="仿宋_GB2312"/>
                <w:sz w:val="24"/>
              </w:rPr>
              <w:t>章</w:t>
            </w:r>
            <w:r>
              <w:rPr>
                <w:rFonts w:hint="eastAsia" w:ascii="宋体" w:hAnsi="宋体" w:cs="仿宋_GB2312"/>
                <w:sz w:val="24"/>
              </w:rPr>
              <w:t xml:space="preserve"> 采购需求</w:t>
            </w:r>
          </w:p>
        </w:tc>
        <w:tc>
          <w:tcPr>
            <w:tcW w:w="2137" w:type="dxa"/>
            <w:noWrap/>
            <w:vAlign w:val="center"/>
          </w:tcPr>
          <w:p>
            <w:pPr>
              <w:pStyle w:val="26"/>
              <w:spacing w:line="360" w:lineRule="auto"/>
              <w:ind w:firstLine="0" w:firstLineChars="0"/>
              <w:jc w:val="center"/>
              <w:rPr>
                <w:rFonts w:hint="default" w:ascii="宋体" w:hAnsi="宋体" w:cs="仿宋"/>
                <w:lang w:val="en-US"/>
              </w:rPr>
            </w:pPr>
            <w:r>
              <w:rPr>
                <w:rFonts w:hint="eastAsia" w:ascii="宋体" w:hAnsi="宋体" w:cs="仿宋"/>
                <w:lang w:val="en-US" w:eastAsia="zh-CN"/>
              </w:rPr>
              <w:t>149.992</w:t>
            </w:r>
          </w:p>
        </w:tc>
      </w:tr>
    </w:tbl>
    <w:p>
      <w:pPr>
        <w:pStyle w:val="5"/>
        <w:spacing w:line="360" w:lineRule="auto"/>
        <w:rPr>
          <w:rFonts w:ascii="宋体" w:hAnsi="宋体"/>
        </w:rPr>
      </w:pPr>
    </w:p>
    <w:p>
      <w:pPr>
        <w:pStyle w:val="13"/>
        <w:spacing w:line="360" w:lineRule="auto"/>
        <w:ind w:firstLine="480" w:firstLineChars="200"/>
        <w:jc w:val="left"/>
        <w:outlineLvl w:val="0"/>
        <w:rPr>
          <w:rFonts w:hAnsi="宋体" w:cs="仿宋_GB2312"/>
          <w:sz w:val="24"/>
        </w:rPr>
      </w:pPr>
      <w:bookmarkStart w:id="60" w:name="_Toc17465"/>
      <w:bookmarkStart w:id="61" w:name="_Toc24142"/>
      <w:bookmarkStart w:id="62" w:name="_Toc22750"/>
      <w:bookmarkStart w:id="63" w:name="_Toc31619"/>
      <w:bookmarkStart w:id="64" w:name="_Toc13605"/>
      <w:bookmarkStart w:id="65" w:name="_Toc19996"/>
      <w:bookmarkStart w:id="66" w:name="_Toc24589"/>
      <w:r>
        <w:rPr>
          <w:rFonts w:hint="eastAsia" w:hAnsi="宋体" w:cs="宋体"/>
          <w:sz w:val="24"/>
        </w:rPr>
        <w:t>▲</w:t>
      </w:r>
      <w:bookmarkEnd w:id="60"/>
      <w:bookmarkEnd w:id="61"/>
      <w:bookmarkEnd w:id="62"/>
      <w:bookmarkEnd w:id="63"/>
      <w:r>
        <w:rPr>
          <w:rFonts w:hint="eastAsia" w:hAnsi="宋体" w:cs="仿宋_GB2312"/>
          <w:sz w:val="24"/>
        </w:rPr>
        <w:t>本项目以总价包干形式完成所有的服务内容。实施过程中除非招标人书面调整服务范围或数量外，合同总价按中标价不作调整，投标人自行考虑并承担风险费用，报价包括完成招标范围内全部工作所需的一切费用，应包含人工费、服务费、税金以及实施本项目所需的一切费用。</w:t>
      </w:r>
      <w:bookmarkEnd w:id="64"/>
      <w:bookmarkEnd w:id="65"/>
      <w:bookmarkEnd w:id="66"/>
    </w:p>
    <w:p>
      <w:pPr>
        <w:spacing w:line="360" w:lineRule="auto"/>
        <w:ind w:firstLine="480" w:firstLineChars="200"/>
        <w:rPr>
          <w:rFonts w:ascii="宋体" w:hAnsi="宋体" w:cs="仿宋_GB2312"/>
          <w:sz w:val="24"/>
        </w:rPr>
      </w:pPr>
      <w:r>
        <w:rPr>
          <w:rFonts w:hint="eastAsia" w:ascii="宋体" w:hAnsi="宋体" w:cs="仿宋_GB2312"/>
          <w:sz w:val="24"/>
        </w:rPr>
        <w:t>合同履行期限：见招标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pPr>
        <w:spacing w:line="360" w:lineRule="auto"/>
        <w:ind w:firstLine="480" w:firstLineChars="200"/>
        <w:rPr>
          <w:rFonts w:ascii="宋体" w:hAnsi="宋体" w:cs="仿宋_GB2312"/>
          <w:sz w:val="24"/>
        </w:rPr>
      </w:pPr>
      <w:r>
        <w:rPr>
          <w:rFonts w:hint="eastAsia" w:ascii="宋体" w:hAnsi="宋体" w:cs="仿宋_GB2312"/>
          <w:sz w:val="24"/>
        </w:rPr>
        <w:t>联合体投标：</w:t>
      </w:r>
      <w:r>
        <w:rPr>
          <w:rFonts w:ascii="宋体" w:hAnsi="宋体" w:cs="仿宋_GB2312"/>
          <w:sz w:val="24"/>
        </w:rPr>
        <w:fldChar w:fldCharType="begin"/>
      </w:r>
      <w:r>
        <w:rPr>
          <w:rFonts w:hint="eastAsia" w:ascii="宋体" w:hAnsi="宋体" w:cs="仿宋_GB2312"/>
          <w:sz w:val="24"/>
        </w:rPr>
        <w:instrText xml:space="preserve">eq \o\ac(□</w:instrText>
      </w:r>
      <w:r>
        <w:rPr>
          <w:rFonts w:hint="eastAsia" w:ascii="宋体" w:hAnsi="宋体" w:cs="仿宋_GB2312"/>
          <w:sz w:val="24"/>
          <w:lang w:eastAsia="zh-CN"/>
        </w:rPr>
        <w:instrText xml:space="preserve">,√</w:instrText>
      </w:r>
      <w:r>
        <w:rPr>
          <w:rFonts w:hint="eastAsia" w:ascii="宋体" w:hAnsi="宋体" w:cs="仿宋_GB2312"/>
          <w:sz w:val="24"/>
        </w:rPr>
        <w:instrText xml:space="preserve">)</w:instrText>
      </w:r>
      <w:r>
        <w:rPr>
          <w:rFonts w:ascii="宋体" w:hAnsi="宋体" w:cs="仿宋_GB2312"/>
          <w:sz w:val="24"/>
        </w:rPr>
        <w:fldChar w:fldCharType="end"/>
      </w:r>
      <w:r>
        <w:rPr>
          <w:rFonts w:hint="eastAsia" w:ascii="宋体" w:hAnsi="宋体" w:cs="仿宋_GB2312"/>
          <w:sz w:val="24"/>
        </w:rPr>
        <w:t xml:space="preserve">接受   </w:t>
      </w:r>
      <w:r>
        <w:rPr>
          <w:rFonts w:ascii="宋体" w:hAnsi="宋体" w:cs="仿宋_GB2312"/>
          <w:sz w:val="24"/>
        </w:rPr>
        <w:fldChar w:fldCharType="begin"/>
      </w:r>
      <w:r>
        <w:rPr>
          <w:rFonts w:hint="eastAsia" w:ascii="宋体" w:hAnsi="宋体" w:cs="仿宋_GB2312"/>
          <w:sz w:val="24"/>
        </w:rPr>
        <w:instrText xml:space="preserve">eq \o\ac(□,</w:instrText>
      </w:r>
      <w:r>
        <w:rPr>
          <w:rFonts w:hint="eastAsia" w:ascii="宋体" w:hAnsi="宋体" w:cs="仿宋_GB2312"/>
          <w:position w:val="2"/>
          <w:sz w:val="16"/>
        </w:rPr>
        <w:instrText xml:space="preserve">×</w:instrText>
      </w:r>
      <w:r>
        <w:rPr>
          <w:rFonts w:hint="eastAsia" w:ascii="宋体" w:hAnsi="宋体" w:cs="仿宋_GB2312"/>
          <w:sz w:val="24"/>
        </w:rPr>
        <w:instrText xml:space="preserve">)</w:instrText>
      </w:r>
      <w:r>
        <w:rPr>
          <w:rFonts w:ascii="宋体" w:hAnsi="宋体" w:cs="仿宋_GB2312"/>
          <w:sz w:val="24"/>
        </w:rPr>
        <w:fldChar w:fldCharType="end"/>
      </w:r>
      <w:r>
        <w:rPr>
          <w:rFonts w:hint="eastAsia" w:ascii="宋体" w:hAnsi="宋体" w:cs="仿宋_GB2312"/>
          <w:sz w:val="24"/>
        </w:rPr>
        <w:t>不接受</w:t>
      </w:r>
    </w:p>
    <w:p>
      <w:pPr>
        <w:spacing w:line="360" w:lineRule="auto"/>
        <w:jc w:val="left"/>
        <w:rPr>
          <w:rFonts w:ascii="宋体" w:hAnsi="宋体" w:cs="仿宋_GB2312"/>
          <w:b/>
          <w:sz w:val="24"/>
        </w:rPr>
      </w:pPr>
      <w:bookmarkStart w:id="67" w:name="_Toc28359080"/>
      <w:bookmarkStart w:id="68" w:name="_Toc35393791"/>
      <w:bookmarkStart w:id="69" w:name="_Toc28359003"/>
      <w:bookmarkStart w:id="70" w:name="_Toc35393622"/>
      <w:r>
        <w:rPr>
          <w:rFonts w:hint="eastAsia" w:ascii="宋体" w:hAnsi="宋体" w:cs="仿宋_GB2312"/>
          <w:b/>
          <w:sz w:val="24"/>
        </w:rPr>
        <w:t>二、申请人的资格要求</w:t>
      </w:r>
      <w:bookmarkEnd w:id="67"/>
      <w:bookmarkEnd w:id="68"/>
      <w:bookmarkEnd w:id="69"/>
      <w:bookmarkEnd w:id="70"/>
    </w:p>
    <w:p>
      <w:pPr>
        <w:spacing w:line="360" w:lineRule="auto"/>
        <w:ind w:firstLine="480" w:firstLineChars="200"/>
        <w:rPr>
          <w:rFonts w:ascii="宋体" w:hAnsi="宋体" w:cs="仿宋_GB2312"/>
          <w:sz w:val="24"/>
        </w:rPr>
      </w:pPr>
      <w:bookmarkStart w:id="71" w:name="_Toc35393792"/>
      <w:bookmarkStart w:id="72" w:name="_Toc28359004"/>
      <w:bookmarkStart w:id="73" w:name="_Toc35393623"/>
      <w:bookmarkStart w:id="74" w:name="_Toc28359081"/>
      <w:r>
        <w:rPr>
          <w:rFonts w:hint="eastAsia" w:ascii="宋体" w:hAnsi="宋体" w:cs="仿宋_GB2312"/>
          <w:sz w:val="24"/>
        </w:rPr>
        <w:t>1.满足《中华人民共和国政府采购法》第二十二条规定；</w:t>
      </w:r>
    </w:p>
    <w:p>
      <w:pPr>
        <w:spacing w:line="360" w:lineRule="auto"/>
        <w:ind w:firstLine="480" w:firstLineChars="200"/>
        <w:rPr>
          <w:rFonts w:ascii="宋体" w:hAnsi="宋体"/>
          <w:sz w:val="24"/>
        </w:rPr>
      </w:pPr>
      <w:r>
        <w:rPr>
          <w:rFonts w:hint="eastAsia" w:ascii="宋体" w:hAnsi="宋体" w:cs="仿宋_GB2312"/>
          <w:sz w:val="24"/>
        </w:rPr>
        <w:t>2.未被“信用中国”网站（</w:t>
      </w:r>
      <w:r>
        <w:rPr>
          <w:rFonts w:hint="eastAsia" w:ascii="宋体" w:hAnsi="宋体"/>
          <w:sz w:val="24"/>
          <w:u w:val="single"/>
        </w:rPr>
        <w:t>www.creditchina.gov.cn</w:t>
      </w:r>
      <w:r>
        <w:rPr>
          <w:rFonts w:hint="eastAsia" w:ascii="宋体" w:hAnsi="宋体" w:cs="仿宋_GB2312"/>
          <w:sz w:val="24"/>
        </w:rPr>
        <w:t>）、中国政府采购网（</w:t>
      </w:r>
      <w:r>
        <w:rPr>
          <w:rFonts w:hint="eastAsia" w:ascii="宋体" w:hAnsi="宋体"/>
          <w:sz w:val="24"/>
          <w:u w:val="single"/>
        </w:rPr>
        <w:t>www.ccgp.gov.cn</w:t>
      </w:r>
      <w:r>
        <w:rPr>
          <w:rFonts w:hint="eastAsia" w:ascii="宋体" w:hAnsi="宋体" w:cs="仿宋_GB2312"/>
          <w:sz w:val="24"/>
        </w:rPr>
        <w:t>）列入失信被执行人、税收违法黑名单、政府采购严重违法失信行为记录名单</w:t>
      </w:r>
      <w:r>
        <w:rPr>
          <w:rFonts w:hint="eastAsia" w:ascii="宋体" w:hAnsi="宋体"/>
          <w:b/>
          <w:sz w:val="24"/>
        </w:rPr>
        <w:t>（注：本项内容由代理机构在资格审查现场完成查询）</w:t>
      </w:r>
      <w:r>
        <w:rPr>
          <w:rFonts w:hint="eastAsia" w:ascii="宋体" w:hAnsi="宋体"/>
          <w:sz w:val="24"/>
        </w:rPr>
        <w:t>。</w:t>
      </w:r>
    </w:p>
    <w:p>
      <w:pPr>
        <w:spacing w:line="360" w:lineRule="auto"/>
        <w:ind w:firstLine="480" w:firstLineChars="200"/>
        <w:rPr>
          <w:rFonts w:hint="eastAsia" w:ascii="宋体" w:hAnsi="宋体" w:cs="仿宋_GB2312"/>
          <w:b/>
          <w:sz w:val="24"/>
          <w:lang w:val="en-US" w:eastAsia="zh-CN"/>
        </w:rPr>
      </w:pPr>
      <w:r>
        <w:rPr>
          <w:rFonts w:hint="eastAsia" w:ascii="宋体" w:hAnsi="宋体" w:cs="仿宋_GB2312"/>
          <w:sz w:val="24"/>
        </w:rPr>
        <w:t>3</w:t>
      </w:r>
      <w:r>
        <w:rPr>
          <w:rFonts w:ascii="宋体" w:hAnsi="宋体" w:cs="仿宋_GB2312"/>
          <w:sz w:val="24"/>
        </w:rPr>
        <w:t>.落实政府采购政策需满足的资格要求：</w:t>
      </w:r>
      <w:r>
        <w:rPr>
          <w:rFonts w:hint="eastAsia" w:ascii="宋体" w:hAnsi="宋体" w:cs="仿宋_GB2312"/>
          <w:b/>
          <w:sz w:val="24"/>
          <w:lang w:val="en-US" w:eastAsia="zh-CN"/>
        </w:rPr>
        <w:t>无</w:t>
      </w:r>
    </w:p>
    <w:p>
      <w:pPr>
        <w:spacing w:line="360" w:lineRule="auto"/>
        <w:ind w:firstLine="480" w:firstLineChars="200"/>
        <w:rPr>
          <w:rFonts w:ascii="宋体" w:hAnsi="宋体"/>
          <w:sz w:val="24"/>
        </w:rPr>
      </w:pPr>
      <w:r>
        <w:rPr>
          <w:rFonts w:hint="eastAsia" w:ascii="宋体" w:hAnsi="宋体" w:cs="仿宋_GB2312"/>
          <w:sz w:val="24"/>
        </w:rPr>
        <w:t>4</w:t>
      </w:r>
      <w:r>
        <w:rPr>
          <w:rFonts w:ascii="宋体" w:hAnsi="宋体" w:cs="仿宋_GB2312"/>
          <w:sz w:val="24"/>
        </w:rPr>
        <w:t>.本项目的特定资格要求：</w:t>
      </w:r>
      <w:r>
        <w:rPr>
          <w:rFonts w:hint="eastAsia" w:ascii="宋体" w:hAnsi="宋体" w:cs="仿宋_GB2312"/>
          <w:sz w:val="24"/>
        </w:rPr>
        <w:t>无</w:t>
      </w:r>
    </w:p>
    <w:bookmarkEnd w:id="71"/>
    <w:bookmarkEnd w:id="72"/>
    <w:bookmarkEnd w:id="73"/>
    <w:bookmarkEnd w:id="74"/>
    <w:p>
      <w:pPr>
        <w:spacing w:line="360" w:lineRule="auto"/>
        <w:jc w:val="left"/>
        <w:rPr>
          <w:rFonts w:ascii="宋体" w:hAnsi="宋体" w:cs="仿宋_GB2312"/>
          <w:b/>
          <w:sz w:val="24"/>
        </w:rPr>
      </w:pPr>
      <w:r>
        <w:rPr>
          <w:rFonts w:hint="eastAsia" w:ascii="宋体" w:hAnsi="宋体" w:cs="仿宋_GB2312"/>
          <w:b/>
          <w:sz w:val="24"/>
        </w:rPr>
        <w:t>三、获取招标文件</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sz w:val="24"/>
        </w:rPr>
        <w:t xml:space="preserve"> 时间：发布</w:t>
      </w:r>
      <w:r>
        <w:rPr>
          <w:rFonts w:ascii="宋体" w:hAnsi="宋体" w:cs="仿宋_GB2312"/>
          <w:sz w:val="24"/>
        </w:rPr>
        <w:t>公告</w:t>
      </w:r>
      <w:r>
        <w:rPr>
          <w:rFonts w:hint="eastAsia" w:ascii="宋体" w:hAnsi="宋体" w:cs="仿宋_GB2312"/>
          <w:sz w:val="24"/>
        </w:rPr>
        <w:t>之日至</w:t>
      </w:r>
      <w:r>
        <w:rPr>
          <w:rFonts w:ascii="宋体" w:hAnsi="宋体"/>
          <w:bCs/>
          <w:snapToGrid w:val="0"/>
          <w:sz w:val="24"/>
          <w:u w:val="single"/>
        </w:rPr>
        <w:t>202</w:t>
      </w:r>
      <w:r>
        <w:rPr>
          <w:rFonts w:hint="eastAsia" w:ascii="宋体" w:hAnsi="宋体"/>
          <w:bCs/>
          <w:snapToGrid w:val="0"/>
          <w:sz w:val="24"/>
          <w:u w:val="single"/>
        </w:rPr>
        <w:t>4</w:t>
      </w:r>
      <w:r>
        <w:rPr>
          <w:rFonts w:hint="eastAsia" w:ascii="宋体" w:hAnsi="宋体" w:cs="仿宋_GB2312"/>
          <w:bCs/>
          <w:sz w:val="24"/>
        </w:rPr>
        <w:t>年</w:t>
      </w:r>
      <w:r>
        <w:rPr>
          <w:rFonts w:hint="eastAsia" w:ascii="宋体" w:hAnsi="宋体" w:cs="仿宋_GB2312"/>
          <w:bCs/>
          <w:sz w:val="24"/>
          <w:u w:val="single"/>
          <w:lang w:val="en-US" w:eastAsia="zh-CN"/>
        </w:rPr>
        <w:t>10</w:t>
      </w:r>
      <w:r>
        <w:rPr>
          <w:rFonts w:hint="eastAsia" w:ascii="宋体" w:hAnsi="宋体" w:cs="仿宋_GB2312"/>
          <w:bCs/>
          <w:sz w:val="24"/>
        </w:rPr>
        <w:t>月</w:t>
      </w:r>
      <w:r>
        <w:rPr>
          <w:rFonts w:hint="eastAsia" w:ascii="宋体" w:hAnsi="宋体" w:cs="仿宋_GB2312"/>
          <w:bCs/>
          <w:sz w:val="24"/>
          <w:u w:val="single"/>
          <w:lang w:val="en-US" w:eastAsia="zh-CN"/>
        </w:rPr>
        <w:t>24</w:t>
      </w:r>
      <w:r>
        <w:rPr>
          <w:rFonts w:hint="eastAsia" w:ascii="宋体" w:hAnsi="宋体" w:cs="仿宋_GB2312"/>
          <w:bCs/>
          <w:sz w:val="24"/>
        </w:rPr>
        <w:t>日</w:t>
      </w:r>
      <w:r>
        <w:rPr>
          <w:rFonts w:hint="eastAsia" w:ascii="宋体" w:hAnsi="宋体" w:cs="仿宋_GB2312"/>
          <w:bCs/>
          <w:sz w:val="24"/>
          <w:u w:val="single"/>
          <w:lang w:val="en-US" w:eastAsia="zh-CN"/>
        </w:rPr>
        <w:t>10</w:t>
      </w:r>
      <w:r>
        <w:rPr>
          <w:rFonts w:hint="eastAsia" w:ascii="宋体" w:hAnsi="宋体"/>
          <w:bCs/>
          <w:snapToGrid w:val="0"/>
          <w:sz w:val="24"/>
          <w:u w:val="single"/>
        </w:rPr>
        <w:t>:00</w:t>
      </w:r>
      <w:r>
        <w:rPr>
          <w:rFonts w:hint="eastAsia" w:ascii="宋体" w:hAnsi="宋体" w:cs="仿宋_GB2312"/>
          <w:sz w:val="24"/>
        </w:rPr>
        <w:t>，每天上午00:00至12:00，下午12:00至23:59（北京时间，线上获取法定节假日均可，线下获取文件法定节假日除外）；</w:t>
      </w:r>
    </w:p>
    <w:p>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 xml:space="preserve"> 地点（网址）：浙江政府采购网（</w:t>
      </w:r>
      <w:r>
        <w:rPr>
          <w:rFonts w:ascii="宋体" w:hAnsi="宋体"/>
          <w:sz w:val="24"/>
          <w:u w:val="single"/>
        </w:rPr>
        <w:t>http://</w:t>
      </w:r>
      <w:r>
        <w:rPr>
          <w:rFonts w:hint="eastAsia" w:ascii="宋体" w:hAnsi="宋体"/>
          <w:sz w:val="24"/>
          <w:u w:val="single"/>
        </w:rPr>
        <w:t>zfcg.czt.zj.gov.cn</w:t>
      </w:r>
      <w:r>
        <w:rPr>
          <w:rFonts w:hint="eastAsia" w:ascii="宋体" w:hAnsi="宋体" w:cs="仿宋_GB2312"/>
          <w:sz w:val="24"/>
        </w:rPr>
        <w:t>），丽水市公共资源交易网（http://lssggzy.lishui.gov.cn/lsweb/）公告附件；</w:t>
      </w:r>
    </w:p>
    <w:p>
      <w:pPr>
        <w:spacing w:line="360" w:lineRule="auto"/>
        <w:ind w:firstLine="480" w:firstLineChars="200"/>
        <w:rPr>
          <w:rFonts w:ascii="宋体" w:hAnsi="宋体" w:cs="仿宋_GB2312"/>
          <w:bCs/>
          <w:sz w:val="24"/>
        </w:rPr>
      </w:pPr>
      <w:r>
        <w:rPr>
          <w:rFonts w:hint="eastAsia" w:ascii="宋体" w:hAnsi="宋体" w:cs="仿宋_GB2312"/>
          <w:bCs/>
          <w:sz w:val="24"/>
        </w:rPr>
        <w:t>3.方式：线上获取；</w:t>
      </w:r>
    </w:p>
    <w:p>
      <w:pPr>
        <w:spacing w:line="360" w:lineRule="auto"/>
        <w:ind w:firstLine="480" w:firstLineChars="200"/>
        <w:rPr>
          <w:rFonts w:ascii="宋体" w:hAnsi="宋体" w:cs="仿宋_GB2312"/>
          <w:bCs/>
          <w:sz w:val="24"/>
        </w:rPr>
      </w:pPr>
      <w:r>
        <w:rPr>
          <w:rFonts w:hint="eastAsia" w:ascii="宋体" w:hAnsi="宋体" w:cs="仿宋_GB2312"/>
          <w:bCs/>
          <w:sz w:val="24"/>
        </w:rPr>
        <w:t>（1）潜在投标人完成“政府采购云平台”账号注册后，通过浙江政府采购网公告下方“潜在投标人获取采购文件”跳转登陆或直接登陆“政府采购云平台”（账号或短信验证码或CA方式登录），依次进入「项目采购」-「获取采购文件」-「申请获取采购文件」后在线登记、获取采购文件；</w:t>
      </w:r>
    </w:p>
    <w:p>
      <w:pPr>
        <w:spacing w:line="360" w:lineRule="auto"/>
        <w:ind w:firstLine="480" w:firstLineChars="200"/>
        <w:rPr>
          <w:rFonts w:ascii="宋体" w:hAnsi="宋体" w:cs="仿宋_GB2312"/>
          <w:sz w:val="24"/>
        </w:rPr>
      </w:pPr>
      <w:r>
        <w:rPr>
          <w:rFonts w:hint="eastAsia" w:ascii="宋体" w:hAnsi="宋体" w:cs="仿宋_GB2312"/>
          <w:bCs/>
          <w:sz w:val="24"/>
        </w:rPr>
        <w:t>（2）浙江政府采购网采购公告下方“游客浏览采购文件”内公告的采购文件仅供社会公众查阅使用，</w:t>
      </w:r>
      <w:r>
        <w:rPr>
          <w:rFonts w:hint="eastAsia" w:ascii="宋体" w:hAnsi="宋体" w:cs="仿宋_GB2312"/>
          <w:b/>
          <w:bCs/>
          <w:sz w:val="24"/>
        </w:rPr>
        <w:t>潜在投标人只有通过“政府采购云平台”在线登记并获取了采购文件后才被视作“获取采购文件”</w:t>
      </w:r>
      <w:r>
        <w:rPr>
          <w:rFonts w:hint="eastAsia" w:ascii="宋体" w:hAnsi="宋体" w:cs="仿宋_GB2312"/>
          <w:bCs/>
          <w:sz w:val="24"/>
        </w:rPr>
        <w:t>。法律法规所指的投标人获取采购文件时间以投标人通过“政府采购云平台”在线下载获取采购文件的时间为准。</w:t>
      </w:r>
      <w:r>
        <w:rPr>
          <w:rFonts w:hint="eastAsia" w:ascii="宋体" w:hAnsi="宋体" w:cs="仿宋_GB2312"/>
          <w:b/>
          <w:bCs/>
          <w:sz w:val="24"/>
        </w:rPr>
        <w:t>未按规定获取采购文件的投标人，对采购文件提起的质疑、投诉将不予受理。</w:t>
      </w:r>
    </w:p>
    <w:p>
      <w:pPr>
        <w:spacing w:line="360" w:lineRule="auto"/>
        <w:ind w:firstLine="480" w:firstLineChars="200"/>
        <w:rPr>
          <w:rFonts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sz w:val="24"/>
        </w:rPr>
        <w:t xml:space="preserve"> 售价：0元</w:t>
      </w:r>
    </w:p>
    <w:p>
      <w:pPr>
        <w:spacing w:line="360" w:lineRule="auto"/>
        <w:rPr>
          <w:rFonts w:ascii="宋体" w:hAnsi="宋体" w:cs="仿宋_GB2312"/>
          <w:b/>
          <w:sz w:val="24"/>
        </w:rPr>
      </w:pPr>
      <w:bookmarkStart w:id="75" w:name="_Toc28359084"/>
      <w:bookmarkStart w:id="76" w:name="_Toc35393625"/>
      <w:bookmarkStart w:id="77" w:name="_Toc28359007"/>
      <w:bookmarkStart w:id="78" w:name="_Toc35393794"/>
      <w:r>
        <w:rPr>
          <w:rFonts w:hint="eastAsia" w:ascii="宋体" w:hAnsi="宋体" w:cs="仿宋_GB2312"/>
          <w:b/>
          <w:sz w:val="24"/>
        </w:rPr>
        <w:t>四、提交投标文件截止时间、开标时间和地点</w:t>
      </w:r>
    </w:p>
    <w:p>
      <w:pPr>
        <w:spacing w:line="360" w:lineRule="auto"/>
        <w:ind w:firstLine="482" w:firstLineChars="200"/>
        <w:rPr>
          <w:rFonts w:ascii="宋体" w:hAnsi="宋体" w:cs="仿宋_GB2312"/>
          <w:b/>
          <w:bCs/>
          <w:sz w:val="24"/>
          <w:u w:val="single"/>
        </w:rPr>
      </w:pPr>
      <w:r>
        <w:rPr>
          <w:rFonts w:hint="eastAsia" w:ascii="宋体" w:hAnsi="宋体" w:cs="仿宋_GB2312"/>
          <w:b/>
          <w:bCs/>
          <w:sz w:val="24"/>
        </w:rPr>
        <w:t>1</w:t>
      </w:r>
      <w:r>
        <w:rPr>
          <w:rFonts w:hint="eastAsia" w:ascii="宋体" w:hAnsi="宋体"/>
          <w:b/>
          <w:sz w:val="24"/>
        </w:rPr>
        <w:t>.</w:t>
      </w:r>
      <w:r>
        <w:rPr>
          <w:rFonts w:hint="eastAsia" w:ascii="宋体" w:hAnsi="宋体" w:cs="仿宋_GB2312"/>
          <w:b/>
          <w:bCs/>
          <w:sz w:val="24"/>
        </w:rPr>
        <w:t>提交投标文件截止时间：</w:t>
      </w:r>
      <w:r>
        <w:rPr>
          <w:rFonts w:ascii="宋体" w:hAnsi="宋体"/>
          <w:b/>
          <w:bCs/>
          <w:snapToGrid w:val="0"/>
          <w:sz w:val="24"/>
          <w:u w:val="single"/>
        </w:rPr>
        <w:t>202</w:t>
      </w:r>
      <w:r>
        <w:rPr>
          <w:rFonts w:hint="eastAsia" w:ascii="宋体" w:hAnsi="宋体"/>
          <w:b/>
          <w:bCs/>
          <w:snapToGrid w:val="0"/>
          <w:sz w:val="24"/>
          <w:u w:val="single"/>
        </w:rPr>
        <w:t>4</w:t>
      </w:r>
      <w:r>
        <w:rPr>
          <w:rFonts w:hint="eastAsia" w:ascii="宋体" w:hAnsi="宋体" w:cs="仿宋_GB2312"/>
          <w:b/>
          <w:bCs/>
          <w:sz w:val="24"/>
        </w:rPr>
        <w:t>年</w:t>
      </w:r>
      <w:r>
        <w:rPr>
          <w:rFonts w:hint="eastAsia" w:ascii="宋体" w:hAnsi="宋体" w:cs="仿宋_GB2312"/>
          <w:b/>
          <w:bCs/>
          <w:sz w:val="24"/>
          <w:u w:val="single"/>
          <w:lang w:val="en-US" w:eastAsia="zh-CN"/>
        </w:rPr>
        <w:t>10</w:t>
      </w:r>
      <w:r>
        <w:rPr>
          <w:rFonts w:hint="eastAsia" w:ascii="宋体" w:hAnsi="宋体" w:cs="仿宋_GB2312"/>
          <w:b/>
          <w:bCs/>
          <w:sz w:val="24"/>
        </w:rPr>
        <w:t>月</w:t>
      </w:r>
      <w:r>
        <w:rPr>
          <w:rFonts w:hint="eastAsia" w:ascii="宋体" w:hAnsi="宋体" w:cs="仿宋_GB2312"/>
          <w:b/>
          <w:bCs/>
          <w:sz w:val="24"/>
          <w:u w:val="single"/>
          <w:lang w:val="en-US" w:eastAsia="zh-CN"/>
        </w:rPr>
        <w:t>24</w:t>
      </w:r>
      <w:r>
        <w:rPr>
          <w:rFonts w:hint="eastAsia" w:ascii="宋体" w:hAnsi="宋体" w:cs="仿宋_GB2312"/>
          <w:b/>
          <w:bCs/>
          <w:sz w:val="24"/>
        </w:rPr>
        <w:t>日</w:t>
      </w:r>
      <w:r>
        <w:rPr>
          <w:rFonts w:hint="eastAsia" w:ascii="宋体" w:hAnsi="宋体" w:cs="仿宋_GB2312"/>
          <w:b/>
          <w:bCs/>
          <w:sz w:val="24"/>
          <w:u w:val="single"/>
          <w:lang w:val="en-US" w:eastAsia="zh-CN"/>
        </w:rPr>
        <w:t>10</w:t>
      </w:r>
      <w:r>
        <w:rPr>
          <w:rFonts w:hint="eastAsia" w:ascii="宋体" w:hAnsi="宋体" w:cs="仿宋_GB2312"/>
          <w:b/>
          <w:bCs/>
          <w:sz w:val="24"/>
          <w:u w:val="single"/>
        </w:rPr>
        <w:t>:0</w:t>
      </w:r>
      <w:r>
        <w:rPr>
          <w:rFonts w:ascii="宋体" w:hAnsi="宋体"/>
          <w:b/>
          <w:bCs/>
          <w:snapToGrid w:val="0"/>
          <w:sz w:val="24"/>
          <w:u w:val="single"/>
        </w:rPr>
        <w:t>0</w:t>
      </w:r>
      <w:r>
        <w:rPr>
          <w:rFonts w:hint="eastAsia" w:ascii="宋体" w:hAnsi="宋体" w:cs="仿宋_GB2312"/>
          <w:b/>
          <w:bCs/>
          <w:sz w:val="24"/>
        </w:rPr>
        <w:t>（北京时间）</w:t>
      </w:r>
    </w:p>
    <w:p>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ascii="宋体" w:hAnsi="宋体"/>
          <w:sz w:val="24"/>
        </w:rPr>
        <w:t xml:space="preserve"> 投标</w:t>
      </w:r>
      <w:r>
        <w:rPr>
          <w:rFonts w:hint="eastAsia" w:ascii="宋体" w:hAnsi="宋体" w:cs="仿宋_GB2312"/>
          <w:sz w:val="24"/>
        </w:rPr>
        <w:t>地点（网址）：</w:t>
      </w:r>
    </w:p>
    <w:p>
      <w:pPr>
        <w:spacing w:line="360" w:lineRule="auto"/>
        <w:ind w:firstLine="480" w:firstLineChars="200"/>
        <w:rPr>
          <w:rFonts w:ascii="宋体" w:hAnsi="宋体" w:cs="仿宋_GB2312"/>
          <w:sz w:val="24"/>
        </w:rPr>
      </w:pP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 xml:space="preserve"> 电子加密投标文件：在“政府采购云平台”上传提交，“电子加密投标文件”成功上传提交后，投标人自行打印投标文件接收回执；</w:t>
      </w:r>
    </w:p>
    <w:p>
      <w:pPr>
        <w:pStyle w:val="13"/>
        <w:adjustRightInd w:val="0"/>
        <w:snapToGrid w:val="0"/>
        <w:spacing w:line="360" w:lineRule="auto"/>
        <w:ind w:firstLine="480" w:firstLineChars="200"/>
        <w:rPr>
          <w:rFonts w:hAnsi="宋体" w:cs="仿宋_GB2312"/>
          <w:sz w:val="24"/>
          <w:szCs w:val="24"/>
        </w:rPr>
      </w:pPr>
      <w:r>
        <w:rPr>
          <w:rFonts w:hint="eastAsia" w:hAnsi="宋体" w:cs="仿宋_GB2312"/>
          <w:sz w:val="24"/>
          <w:szCs w:val="24"/>
        </w:rPr>
        <w:fldChar w:fldCharType="begin"/>
      </w:r>
      <w:r>
        <w:rPr>
          <w:rFonts w:hint="eastAsia" w:hAnsi="宋体" w:cs="仿宋_GB2312"/>
          <w:sz w:val="24"/>
          <w:szCs w:val="24"/>
        </w:rPr>
        <w:instrText xml:space="preserve"> = 2 \* GB2 </w:instrText>
      </w:r>
      <w:r>
        <w:rPr>
          <w:rFonts w:hint="eastAsia" w:hAnsi="宋体" w:cs="仿宋_GB2312"/>
          <w:sz w:val="24"/>
          <w:szCs w:val="24"/>
        </w:rPr>
        <w:fldChar w:fldCharType="separate"/>
      </w:r>
      <w:r>
        <w:rPr>
          <w:rFonts w:hint="eastAsia" w:hAnsi="宋体" w:cs="仿宋_GB2312"/>
          <w:sz w:val="24"/>
          <w:szCs w:val="24"/>
        </w:rPr>
        <w:t>⑵</w:t>
      </w:r>
      <w:r>
        <w:rPr>
          <w:rFonts w:hint="eastAsia" w:hAnsi="宋体" w:cs="仿宋_GB2312"/>
          <w:sz w:val="24"/>
          <w:szCs w:val="24"/>
        </w:rPr>
        <w:fldChar w:fldCharType="end"/>
      </w:r>
      <w:r>
        <w:rPr>
          <w:rFonts w:hint="eastAsia" w:hAnsi="宋体" w:cs="仿宋_GB2312"/>
          <w:sz w:val="24"/>
          <w:szCs w:val="24"/>
        </w:rPr>
        <w:t xml:space="preserve"> 备份投标文件：</w:t>
      </w:r>
    </w:p>
    <w:p>
      <w:pPr>
        <w:pStyle w:val="13"/>
        <w:adjustRightInd w:val="0"/>
        <w:snapToGrid w:val="0"/>
        <w:spacing w:line="360" w:lineRule="auto"/>
        <w:ind w:firstLine="480" w:firstLineChars="200"/>
        <w:rPr>
          <w:rFonts w:hAnsi="宋体"/>
          <w:bCs/>
          <w:sz w:val="24"/>
          <w:szCs w:val="24"/>
        </w:rPr>
      </w:pPr>
      <w:r>
        <w:rPr>
          <w:rFonts w:hint="eastAsia" w:hAnsi="宋体"/>
          <w:bCs/>
          <w:sz w:val="24"/>
        </w:rPr>
        <w:t>备份投标文件是否提交由投标人自行决定，如不提交的，当电子投标文件无法解密时，将导致无备份投标文件而失去投标资格。</w:t>
      </w:r>
    </w:p>
    <w:p>
      <w:pPr>
        <w:pStyle w:val="13"/>
        <w:adjustRightInd w:val="0"/>
        <w:snapToGrid w:val="0"/>
        <w:spacing w:line="360" w:lineRule="auto"/>
        <w:ind w:firstLine="480" w:firstLineChars="200"/>
        <w:rPr>
          <w:rFonts w:hAnsi="宋体"/>
          <w:bCs/>
          <w:sz w:val="24"/>
          <w:szCs w:val="24"/>
        </w:rPr>
      </w:pPr>
      <w:r>
        <w:rPr>
          <w:rFonts w:hint="eastAsia" w:hAnsi="宋体"/>
          <w:bCs/>
          <w:sz w:val="24"/>
          <w:szCs w:val="24"/>
        </w:rPr>
        <w:t>如提交备份</w:t>
      </w:r>
      <w:r>
        <w:rPr>
          <w:rFonts w:hint="eastAsia" w:hAnsi="宋体"/>
          <w:bCs/>
          <w:sz w:val="24"/>
        </w:rPr>
        <w:t>投标</w:t>
      </w:r>
      <w:r>
        <w:rPr>
          <w:rFonts w:hint="eastAsia" w:hAnsi="宋体"/>
          <w:bCs/>
          <w:sz w:val="24"/>
          <w:szCs w:val="24"/>
        </w:rPr>
        <w:t>文件的，应在</w:t>
      </w:r>
      <w:r>
        <w:rPr>
          <w:rFonts w:hint="eastAsia" w:hAnsi="宋体"/>
          <w:bCs/>
          <w:sz w:val="24"/>
        </w:rPr>
        <w:t>投标</w:t>
      </w:r>
      <w:r>
        <w:rPr>
          <w:rFonts w:hint="eastAsia" w:hAnsi="宋体"/>
          <w:bCs/>
          <w:sz w:val="24"/>
          <w:szCs w:val="24"/>
        </w:rPr>
        <w:t>截止时间前将最后生成的具有电子签章的备份</w:t>
      </w:r>
      <w:r>
        <w:rPr>
          <w:rFonts w:hint="eastAsia" w:hAnsi="宋体"/>
          <w:bCs/>
          <w:sz w:val="24"/>
        </w:rPr>
        <w:t>投标</w:t>
      </w:r>
      <w:r>
        <w:rPr>
          <w:rFonts w:hint="eastAsia" w:hAnsi="宋体"/>
          <w:bCs/>
          <w:sz w:val="24"/>
          <w:szCs w:val="24"/>
        </w:rPr>
        <w:t>文件通过电子邮件方式传送至代理机构邮箱</w:t>
      </w:r>
      <w:r>
        <w:rPr>
          <w:rFonts w:hint="eastAsia" w:hAnsi="宋体"/>
          <w:b/>
          <w:bCs/>
          <w:sz w:val="24"/>
          <w:szCs w:val="24"/>
        </w:rPr>
        <w:t>（lszzzbzx@126.com）</w:t>
      </w:r>
      <w:r>
        <w:rPr>
          <w:rFonts w:hint="eastAsia" w:hAnsi="宋体"/>
          <w:bCs/>
          <w:sz w:val="24"/>
          <w:szCs w:val="24"/>
        </w:rPr>
        <w:t>，传送的备份</w:t>
      </w:r>
      <w:r>
        <w:rPr>
          <w:rFonts w:hint="eastAsia" w:hAnsi="宋体"/>
          <w:bCs/>
          <w:sz w:val="24"/>
        </w:rPr>
        <w:t>投标</w:t>
      </w:r>
      <w:r>
        <w:rPr>
          <w:rFonts w:hint="eastAsia" w:hAnsi="宋体"/>
          <w:bCs/>
          <w:sz w:val="24"/>
          <w:szCs w:val="24"/>
        </w:rPr>
        <w:t>文件须打包压缩并加密，</w:t>
      </w:r>
      <w:r>
        <w:rPr>
          <w:rFonts w:hint="eastAsia" w:hAnsi="宋体"/>
          <w:sz w:val="24"/>
          <w:szCs w:val="24"/>
        </w:rPr>
        <w:t>密码由投标人自行保管，</w:t>
      </w:r>
      <w:r>
        <w:rPr>
          <w:rFonts w:hint="eastAsia" w:hAnsi="宋体"/>
          <w:b/>
          <w:sz w:val="24"/>
          <w:szCs w:val="24"/>
        </w:rPr>
        <w:t>压缩包命名为“备份</w:t>
      </w:r>
      <w:r>
        <w:rPr>
          <w:rFonts w:hint="eastAsia" w:hAnsi="宋体"/>
          <w:b/>
          <w:sz w:val="24"/>
        </w:rPr>
        <w:t>投标</w:t>
      </w:r>
      <w:r>
        <w:rPr>
          <w:rFonts w:hint="eastAsia" w:hAnsi="宋体"/>
          <w:b/>
          <w:sz w:val="24"/>
          <w:szCs w:val="24"/>
        </w:rPr>
        <w:t>文件”</w:t>
      </w:r>
      <w:r>
        <w:rPr>
          <w:rFonts w:hint="eastAsia" w:hAnsi="宋体"/>
          <w:sz w:val="24"/>
          <w:szCs w:val="24"/>
        </w:rPr>
        <w:t>，并在邮件中注明项目名称及投标人名称。</w:t>
      </w:r>
    </w:p>
    <w:p>
      <w:pPr>
        <w:spacing w:line="360" w:lineRule="auto"/>
        <w:ind w:firstLine="482" w:firstLineChars="200"/>
        <w:rPr>
          <w:rFonts w:ascii="宋体" w:hAnsi="宋体" w:cs="仿宋_GB2312"/>
          <w:b/>
          <w:bCs/>
          <w:sz w:val="24"/>
        </w:rPr>
      </w:pPr>
      <w:r>
        <w:rPr>
          <w:rFonts w:hint="eastAsia" w:ascii="宋体" w:hAnsi="宋体" w:cs="仿宋_GB2312"/>
          <w:b/>
          <w:sz w:val="24"/>
        </w:rPr>
        <w:t>3. 开标</w:t>
      </w:r>
      <w:r>
        <w:rPr>
          <w:rFonts w:ascii="宋体" w:hAnsi="宋体" w:cs="仿宋_GB2312"/>
          <w:b/>
          <w:sz w:val="24"/>
        </w:rPr>
        <w:t>时间：</w:t>
      </w:r>
      <w:r>
        <w:rPr>
          <w:rFonts w:ascii="宋体" w:hAnsi="宋体"/>
          <w:b/>
          <w:bCs/>
          <w:snapToGrid w:val="0"/>
          <w:sz w:val="24"/>
          <w:u w:val="single"/>
        </w:rPr>
        <w:t>202</w:t>
      </w:r>
      <w:r>
        <w:rPr>
          <w:rFonts w:hint="eastAsia" w:ascii="宋体" w:hAnsi="宋体"/>
          <w:b/>
          <w:bCs/>
          <w:snapToGrid w:val="0"/>
          <w:sz w:val="24"/>
          <w:u w:val="single"/>
        </w:rPr>
        <w:t>4</w:t>
      </w:r>
      <w:r>
        <w:rPr>
          <w:rFonts w:hint="eastAsia" w:ascii="宋体" w:hAnsi="宋体" w:cs="仿宋_GB2312"/>
          <w:b/>
          <w:bCs/>
          <w:sz w:val="24"/>
        </w:rPr>
        <w:t>年</w:t>
      </w:r>
      <w:r>
        <w:rPr>
          <w:rFonts w:hint="eastAsia" w:ascii="宋体" w:hAnsi="宋体" w:cs="仿宋_GB2312"/>
          <w:b/>
          <w:bCs/>
          <w:sz w:val="24"/>
          <w:u w:val="single"/>
          <w:lang w:val="en-US" w:eastAsia="zh-CN"/>
        </w:rPr>
        <w:t>10</w:t>
      </w:r>
      <w:r>
        <w:rPr>
          <w:rFonts w:hint="eastAsia" w:ascii="宋体" w:hAnsi="宋体" w:cs="仿宋_GB2312"/>
          <w:b/>
          <w:bCs/>
          <w:sz w:val="24"/>
        </w:rPr>
        <w:t>月</w:t>
      </w:r>
      <w:r>
        <w:rPr>
          <w:rFonts w:hint="eastAsia" w:ascii="宋体" w:hAnsi="宋体" w:cs="仿宋_GB2312"/>
          <w:b/>
          <w:bCs/>
          <w:sz w:val="24"/>
          <w:u w:val="single"/>
          <w:lang w:val="en-US" w:eastAsia="zh-CN"/>
        </w:rPr>
        <w:t>24</w:t>
      </w:r>
      <w:r>
        <w:rPr>
          <w:rFonts w:hint="eastAsia" w:ascii="宋体" w:hAnsi="宋体" w:cs="仿宋_GB2312"/>
          <w:b/>
          <w:bCs/>
          <w:sz w:val="24"/>
        </w:rPr>
        <w:t>日</w:t>
      </w:r>
      <w:r>
        <w:rPr>
          <w:rFonts w:hint="eastAsia" w:ascii="宋体" w:hAnsi="宋体" w:cs="仿宋_GB2312"/>
          <w:b/>
          <w:bCs/>
          <w:sz w:val="24"/>
          <w:u w:val="single"/>
          <w:lang w:val="en-US" w:eastAsia="zh-CN"/>
        </w:rPr>
        <w:t>24</w:t>
      </w:r>
      <w:r>
        <w:rPr>
          <w:rFonts w:hint="eastAsia" w:ascii="宋体" w:hAnsi="宋体" w:cs="仿宋_GB2312"/>
          <w:b/>
          <w:bCs/>
          <w:sz w:val="24"/>
          <w:u w:val="single"/>
        </w:rPr>
        <w:t>:0</w:t>
      </w:r>
      <w:r>
        <w:rPr>
          <w:rFonts w:ascii="宋体" w:hAnsi="宋体"/>
          <w:b/>
          <w:bCs/>
          <w:snapToGrid w:val="0"/>
          <w:sz w:val="24"/>
          <w:u w:val="single"/>
        </w:rPr>
        <w:t>0</w:t>
      </w:r>
      <w:r>
        <w:rPr>
          <w:rFonts w:hint="eastAsia" w:ascii="宋体" w:hAnsi="宋体" w:cs="仿宋_GB2312"/>
          <w:b/>
          <w:bCs/>
          <w:sz w:val="24"/>
        </w:rPr>
        <w:t>（北京时间）</w:t>
      </w:r>
    </w:p>
    <w:p>
      <w:pPr>
        <w:spacing w:line="360" w:lineRule="auto"/>
        <w:ind w:firstLine="480" w:firstLineChars="200"/>
        <w:rPr>
          <w:rFonts w:ascii="宋体" w:hAnsi="宋体" w:cs="仿宋_GB2312"/>
          <w:bCs/>
          <w:sz w:val="24"/>
        </w:rPr>
      </w:pPr>
      <w:r>
        <w:rPr>
          <w:rFonts w:hint="eastAsia" w:ascii="宋体" w:hAnsi="宋体" w:cs="仿宋_GB2312"/>
          <w:bCs/>
          <w:sz w:val="24"/>
        </w:rPr>
        <w:t>4. 开标</w:t>
      </w:r>
      <w:r>
        <w:rPr>
          <w:rFonts w:ascii="宋体" w:hAnsi="宋体" w:cs="仿宋_GB2312"/>
          <w:bCs/>
          <w:sz w:val="24"/>
        </w:rPr>
        <w:t>地点</w:t>
      </w:r>
      <w:r>
        <w:rPr>
          <w:rFonts w:hint="eastAsia" w:ascii="宋体" w:hAnsi="宋体" w:cs="仿宋_GB2312"/>
          <w:bCs/>
          <w:sz w:val="24"/>
        </w:rPr>
        <w:t>（网址）</w:t>
      </w:r>
      <w:r>
        <w:rPr>
          <w:rFonts w:ascii="宋体" w:hAnsi="宋体" w:cs="仿宋_GB2312"/>
          <w:bCs/>
          <w:sz w:val="24"/>
        </w:rPr>
        <w:t>：</w:t>
      </w:r>
      <w:r>
        <w:rPr>
          <w:rFonts w:hint="eastAsia" w:ascii="宋体" w:hAnsi="宋体" w:cs="仿宋_GB2312"/>
          <w:bCs/>
          <w:sz w:val="24"/>
        </w:rPr>
        <w:t>浙江政府采购网→用户入驻/登录→用户登录→项目采购→开标评标→进入开标大厅</w:t>
      </w:r>
    </w:p>
    <w:p>
      <w:pPr>
        <w:tabs>
          <w:tab w:val="left" w:pos="540"/>
        </w:tabs>
        <w:snapToGrid w:val="0"/>
        <w:spacing w:line="360" w:lineRule="auto"/>
        <w:ind w:firstLine="480" w:firstLineChars="200"/>
        <w:outlineLvl w:val="1"/>
        <w:rPr>
          <w:rFonts w:ascii="宋体" w:hAnsi="宋体"/>
        </w:rPr>
      </w:pPr>
      <w:bookmarkStart w:id="79" w:name="_Toc10864"/>
      <w:bookmarkStart w:id="80" w:name="_Toc9305"/>
      <w:bookmarkStart w:id="81" w:name="_Toc17799"/>
      <w:bookmarkStart w:id="82" w:name="_Toc30957"/>
      <w:bookmarkStart w:id="83" w:name="_Toc3737"/>
      <w:bookmarkStart w:id="84" w:name="_Toc12843"/>
      <w:bookmarkStart w:id="85" w:name="_Toc31999"/>
      <w:bookmarkStart w:id="86" w:name="_Toc17412"/>
      <w:r>
        <w:rPr>
          <w:rFonts w:hint="eastAsia" w:ascii="宋体" w:hAnsi="宋体" w:cs="仿宋_GB2312"/>
          <w:sz w:val="24"/>
        </w:rPr>
        <w:t>5.</w:t>
      </w:r>
      <w:r>
        <w:rPr>
          <w:rFonts w:hint="eastAsia" w:ascii="宋体" w:hAnsi="宋体" w:cs="仿宋_GB2312"/>
          <w:kern w:val="0"/>
          <w:sz w:val="24"/>
        </w:rPr>
        <w:t>现场开标地点：</w:t>
      </w:r>
      <w:bookmarkEnd w:id="79"/>
      <w:bookmarkEnd w:id="80"/>
      <w:bookmarkEnd w:id="81"/>
      <w:bookmarkEnd w:id="82"/>
      <w:bookmarkEnd w:id="83"/>
      <w:r>
        <w:rPr>
          <w:rFonts w:hint="eastAsia" w:ascii="宋体" w:hAnsi="宋体" w:cs="宋体"/>
          <w:sz w:val="24"/>
        </w:rPr>
        <w:t>丽水市公共资源交易中心（丽水市人民街615号商会大厦5楼）</w:t>
      </w:r>
      <w:bookmarkEnd w:id="84"/>
      <w:bookmarkEnd w:id="85"/>
      <w:bookmarkEnd w:id="86"/>
    </w:p>
    <w:p>
      <w:pPr>
        <w:spacing w:line="360" w:lineRule="auto"/>
        <w:jc w:val="left"/>
        <w:rPr>
          <w:rFonts w:ascii="宋体" w:hAnsi="宋体" w:cs="仿宋_GB2312"/>
          <w:b/>
          <w:sz w:val="24"/>
        </w:rPr>
      </w:pPr>
      <w:r>
        <w:rPr>
          <w:rFonts w:hint="eastAsia" w:ascii="宋体" w:hAnsi="宋体" w:cs="仿宋_GB2312"/>
          <w:b/>
          <w:sz w:val="24"/>
        </w:rPr>
        <w:t>五、公告期限</w:t>
      </w:r>
      <w:bookmarkEnd w:id="75"/>
      <w:bookmarkEnd w:id="76"/>
      <w:bookmarkEnd w:id="77"/>
      <w:bookmarkEnd w:id="78"/>
    </w:p>
    <w:p>
      <w:pPr>
        <w:spacing w:line="360" w:lineRule="auto"/>
        <w:ind w:firstLine="480" w:firstLineChars="200"/>
        <w:rPr>
          <w:rFonts w:ascii="宋体" w:hAnsi="宋体" w:cs="仿宋_GB2312"/>
          <w:kern w:val="0"/>
          <w:sz w:val="24"/>
        </w:rPr>
      </w:pPr>
      <w:r>
        <w:rPr>
          <w:rFonts w:hint="eastAsia" w:ascii="宋体" w:hAnsi="宋体" w:cs="仿宋_GB2312"/>
          <w:kern w:val="0"/>
          <w:sz w:val="24"/>
        </w:rPr>
        <w:t>自本公告发布之日起5个工作日。</w:t>
      </w:r>
    </w:p>
    <w:p>
      <w:pPr>
        <w:spacing w:line="360" w:lineRule="auto"/>
        <w:jc w:val="left"/>
        <w:rPr>
          <w:rFonts w:ascii="宋体" w:hAnsi="宋体" w:cs="仿宋_GB2312"/>
          <w:b/>
          <w:sz w:val="24"/>
        </w:rPr>
      </w:pPr>
      <w:bookmarkStart w:id="87" w:name="_Toc35393626"/>
      <w:bookmarkStart w:id="88" w:name="_Toc35393795"/>
      <w:r>
        <w:rPr>
          <w:rFonts w:hint="eastAsia" w:ascii="宋体" w:hAnsi="宋体" w:cs="仿宋_GB2312"/>
          <w:b/>
          <w:sz w:val="24"/>
        </w:rPr>
        <w:t>六、其他补充事宜</w:t>
      </w:r>
      <w:bookmarkEnd w:id="87"/>
      <w:bookmarkEnd w:id="88"/>
    </w:p>
    <w:p>
      <w:pPr>
        <w:wordWrap w:val="0"/>
        <w:snapToGrid w:val="0"/>
        <w:spacing w:line="360" w:lineRule="auto"/>
        <w:ind w:firstLine="510"/>
        <w:rPr>
          <w:rFonts w:ascii="宋体" w:hAnsi="宋体"/>
          <w:sz w:val="24"/>
        </w:rPr>
      </w:pPr>
      <w:r>
        <w:rPr>
          <w:rFonts w:hint="eastAsia" w:ascii="宋体" w:hAnsi="宋体" w:cs="仿宋_GB2312"/>
          <w:kern w:val="0"/>
          <w:sz w:val="24"/>
        </w:rPr>
        <w:t>1</w:t>
      </w:r>
      <w:r>
        <w:rPr>
          <w:rFonts w:ascii="宋体" w:hAnsi="宋体" w:cs="仿宋_GB2312"/>
          <w:kern w:val="0"/>
          <w:sz w:val="24"/>
        </w:rPr>
        <w:t>.</w:t>
      </w:r>
      <w:r>
        <w:rPr>
          <w:rFonts w:hint="eastAsia" w:ascii="宋体" w:hAnsi="宋体"/>
          <w:sz w:val="24"/>
        </w:rPr>
        <w:t>《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ordWrap w:val="0"/>
        <w:snapToGrid w:val="0"/>
        <w:spacing w:line="360" w:lineRule="auto"/>
        <w:ind w:firstLine="510"/>
        <w:rPr>
          <w:rFonts w:ascii="宋体" w:hAnsi="宋体"/>
          <w:sz w:val="24"/>
        </w:rPr>
      </w:pPr>
      <w:r>
        <w:rPr>
          <w:rFonts w:hint="eastAsia" w:ascii="宋体" w:hAnsi="宋体"/>
          <w:sz w:val="24"/>
        </w:rPr>
        <w:t>2. 根据《浙江省财政厅关于进一步促进政府采购公平竞争打造最优营商环境的通知》（浙财采监（2021）22号）文件关于“健全行政裁决机制”要求，鼓励</w:t>
      </w:r>
      <w:r>
        <w:rPr>
          <w:rFonts w:hint="eastAsia" w:ascii="宋体" w:hAnsi="宋体"/>
          <w:sz w:val="24"/>
          <w:lang w:eastAsia="zh-CN"/>
        </w:rPr>
        <w:t>投标人</w:t>
      </w:r>
      <w:r>
        <w:rPr>
          <w:rFonts w:hint="eastAsia" w:ascii="宋体" w:hAnsi="宋体"/>
          <w:sz w:val="24"/>
        </w:rPr>
        <w:t>在线提起询问，路径为：政采云-项目采购-询问质疑投诉-询问列表:鼓励</w:t>
      </w:r>
      <w:r>
        <w:rPr>
          <w:rFonts w:hint="eastAsia" w:ascii="宋体" w:hAnsi="宋体"/>
          <w:sz w:val="24"/>
          <w:lang w:eastAsia="zh-CN"/>
        </w:rPr>
        <w:t>投标人</w:t>
      </w:r>
      <w:r>
        <w:rPr>
          <w:rFonts w:hint="eastAsia" w:ascii="宋体" w:hAnsi="宋体"/>
          <w:sz w:val="24"/>
        </w:rPr>
        <w:t>在线提起质疑，路径为：政采云-项目采购-询问质疑投诉-质疑列表。质疑</w:t>
      </w:r>
      <w:r>
        <w:rPr>
          <w:rFonts w:hint="eastAsia" w:ascii="宋体" w:hAnsi="宋体"/>
          <w:sz w:val="24"/>
          <w:lang w:eastAsia="zh-CN"/>
        </w:rPr>
        <w:t>投标人</w:t>
      </w:r>
      <w:r>
        <w:rPr>
          <w:rFonts w:hint="eastAsia" w:ascii="宋体" w:hAnsi="宋体"/>
          <w:sz w:val="24"/>
        </w:rPr>
        <w:t>对在线质疑答复不满意的，可在线提起投诉，路径为：浙江政府服务网-政府采购投诉处理-在线办理。</w:t>
      </w:r>
    </w:p>
    <w:p>
      <w:pPr>
        <w:spacing w:line="360" w:lineRule="auto"/>
        <w:ind w:firstLine="480" w:firstLineChars="200"/>
        <w:rPr>
          <w:rFonts w:ascii="宋体" w:hAnsi="宋体" w:cs="仿宋_GB2312"/>
          <w:kern w:val="0"/>
          <w:sz w:val="24"/>
        </w:rPr>
      </w:pPr>
      <w:r>
        <w:rPr>
          <w:rFonts w:ascii="宋体" w:hAnsi="宋体"/>
          <w:sz w:val="24"/>
        </w:rPr>
        <w:t>3</w:t>
      </w:r>
      <w:r>
        <w:rPr>
          <w:rFonts w:hint="eastAsia" w:ascii="宋体" w:hAnsi="宋体"/>
          <w:sz w:val="24"/>
        </w:rPr>
        <w:t>.投标人</w:t>
      </w:r>
      <w:r>
        <w:rPr>
          <w:rFonts w:ascii="宋体" w:hAnsi="宋体"/>
          <w:sz w:val="24"/>
        </w:rPr>
        <w:t>认为</w:t>
      </w:r>
      <w:r>
        <w:rPr>
          <w:rFonts w:hint="eastAsia" w:ascii="宋体" w:hAnsi="宋体"/>
          <w:sz w:val="24"/>
        </w:rPr>
        <w:t>采购</w:t>
      </w:r>
      <w:r>
        <w:rPr>
          <w:rFonts w:ascii="宋体" w:hAnsi="宋体"/>
          <w:sz w:val="24"/>
        </w:rPr>
        <w:t>文件使自己的权益受到损害的，可以自获取采购文件之日或者采购文件公告期限届满之日（公告期限届满后获取采购文件的，以公告期限届满之日为准）起7个工作日内，对采购文件需求的以书面形式</w:t>
      </w:r>
      <w:r>
        <w:rPr>
          <w:rFonts w:hint="eastAsia" w:ascii="宋体" w:hAnsi="宋体"/>
          <w:sz w:val="24"/>
        </w:rPr>
        <w:t>一次性</w:t>
      </w:r>
      <w:r>
        <w:rPr>
          <w:rFonts w:ascii="宋体" w:hAnsi="宋体"/>
          <w:sz w:val="24"/>
        </w:rPr>
        <w:t>向</w:t>
      </w:r>
      <w:r>
        <w:rPr>
          <w:rFonts w:hint="eastAsia" w:ascii="宋体" w:hAnsi="宋体"/>
          <w:sz w:val="24"/>
        </w:rPr>
        <w:t>招标人、招标代理机构</w:t>
      </w:r>
      <w:r>
        <w:rPr>
          <w:rFonts w:ascii="宋体" w:hAnsi="宋体"/>
          <w:sz w:val="24"/>
        </w:rPr>
        <w:t>提出质疑</w:t>
      </w:r>
      <w:r>
        <w:rPr>
          <w:rFonts w:hint="eastAsia" w:ascii="宋体" w:hAnsi="宋体"/>
          <w:sz w:val="24"/>
        </w:rPr>
        <w:t>（未按规定获取采购文件的</w:t>
      </w:r>
      <w:r>
        <w:rPr>
          <w:rFonts w:hint="eastAsia" w:ascii="宋体" w:hAnsi="宋体"/>
          <w:sz w:val="24"/>
          <w:lang w:eastAsia="zh-CN"/>
        </w:rPr>
        <w:t>投标人</w:t>
      </w:r>
      <w:r>
        <w:rPr>
          <w:rFonts w:hint="eastAsia" w:ascii="宋体" w:hAnsi="宋体"/>
          <w:sz w:val="24"/>
        </w:rPr>
        <w:t>对采购文件提起的质疑将不予受理）</w:t>
      </w:r>
      <w:r>
        <w:rPr>
          <w:rFonts w:ascii="宋体" w:hAnsi="宋体"/>
          <w:sz w:val="24"/>
        </w:rPr>
        <w:t>。质疑</w:t>
      </w:r>
      <w:r>
        <w:rPr>
          <w:rFonts w:hint="eastAsia" w:ascii="宋体" w:hAnsi="宋体"/>
          <w:sz w:val="24"/>
          <w:lang w:eastAsia="zh-CN"/>
        </w:rPr>
        <w:t>投标人</w:t>
      </w:r>
      <w:r>
        <w:rPr>
          <w:rFonts w:ascii="宋体" w:hAnsi="宋体"/>
          <w:sz w:val="24"/>
        </w:rPr>
        <w:t>对</w:t>
      </w:r>
      <w:r>
        <w:rPr>
          <w:rFonts w:hint="eastAsia" w:ascii="宋体" w:hAnsi="宋体"/>
          <w:sz w:val="24"/>
        </w:rPr>
        <w:t>招标人</w:t>
      </w:r>
      <w:r>
        <w:rPr>
          <w:rFonts w:ascii="宋体" w:hAnsi="宋体"/>
          <w:sz w:val="24"/>
        </w:rPr>
        <w:t>、</w:t>
      </w:r>
      <w:r>
        <w:rPr>
          <w:rFonts w:hint="eastAsia" w:ascii="宋体" w:hAnsi="宋体"/>
          <w:sz w:val="24"/>
        </w:rPr>
        <w:t>招标代理机构</w:t>
      </w:r>
      <w:r>
        <w:rPr>
          <w:rFonts w:ascii="宋体" w:hAnsi="宋体"/>
          <w:sz w:val="24"/>
        </w:rPr>
        <w:t>的答复不满意或者</w:t>
      </w:r>
      <w:r>
        <w:rPr>
          <w:rFonts w:hint="eastAsia" w:ascii="宋体" w:hAnsi="宋体"/>
          <w:sz w:val="24"/>
        </w:rPr>
        <w:t>招标人</w:t>
      </w:r>
      <w:r>
        <w:rPr>
          <w:rFonts w:ascii="宋体" w:hAnsi="宋体"/>
          <w:sz w:val="24"/>
        </w:rPr>
        <w:t>、</w:t>
      </w:r>
      <w:r>
        <w:rPr>
          <w:rFonts w:hint="eastAsia" w:ascii="宋体" w:hAnsi="宋体"/>
          <w:sz w:val="24"/>
        </w:rPr>
        <w:t>招标代理机构</w:t>
      </w:r>
      <w:r>
        <w:rPr>
          <w:rFonts w:ascii="宋体" w:hAnsi="宋体"/>
          <w:sz w:val="24"/>
        </w:rPr>
        <w:t>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宋体" w:hAnsi="宋体" w:cs="仿宋_GB2312"/>
          <w:b/>
          <w:kern w:val="0"/>
          <w:sz w:val="24"/>
        </w:rPr>
      </w:pPr>
      <w:r>
        <w:rPr>
          <w:rFonts w:hint="eastAsia" w:ascii="宋体" w:hAnsi="宋体" w:cs="仿宋_GB2312"/>
          <w:b/>
          <w:kern w:val="0"/>
          <w:sz w:val="24"/>
        </w:rPr>
        <w:t>4.其他注意事项：</w:t>
      </w:r>
    </w:p>
    <w:p>
      <w:pPr>
        <w:spacing w:line="360" w:lineRule="auto"/>
        <w:ind w:firstLine="482" w:firstLineChars="200"/>
        <w:jc w:val="left"/>
        <w:rPr>
          <w:rFonts w:ascii="宋体" w:hAnsi="宋体"/>
          <w:b/>
          <w:sz w:val="24"/>
        </w:rPr>
      </w:pPr>
      <w:bookmarkStart w:id="89" w:name="_Toc35393796"/>
      <w:bookmarkStart w:id="90" w:name="_Toc28359008"/>
      <w:bookmarkStart w:id="91" w:name="_Toc35393627"/>
      <w:bookmarkStart w:id="92" w:name="_Toc28359085"/>
      <w:r>
        <w:rPr>
          <w:rFonts w:hint="eastAsia" w:ascii="宋体" w:hAnsi="宋体"/>
          <w:b/>
          <w:sz w:val="24"/>
        </w:rPr>
        <w:t>(1)本项目采用电子招标，相关的操作规程务必关注《政府采购项目电子交易管理操作指南-</w:t>
      </w:r>
      <w:r>
        <w:rPr>
          <w:rFonts w:hint="eastAsia" w:ascii="宋体" w:hAnsi="宋体"/>
          <w:b/>
          <w:sz w:val="24"/>
          <w:lang w:eastAsia="zh-CN"/>
        </w:rPr>
        <w:t>投标人</w:t>
      </w:r>
      <w:r>
        <w:rPr>
          <w:rFonts w:hint="eastAsia" w:ascii="宋体" w:hAnsi="宋体"/>
          <w:b/>
          <w:sz w:val="24"/>
        </w:rPr>
        <w:t>》（网址：https://service.zcygov.cn/#/knowledges/CW1EtGwBFdiHxlNd6I3m/6IMVAG0BFdiHxlNdQ8Na），投标人自行决定是否安排人员赴现场参与开标。</w:t>
      </w:r>
    </w:p>
    <w:p>
      <w:pPr>
        <w:spacing w:line="360" w:lineRule="auto"/>
        <w:ind w:firstLine="472" w:firstLineChars="196"/>
        <w:rPr>
          <w:rFonts w:ascii="宋体" w:hAnsi="宋体"/>
          <w:b/>
          <w:sz w:val="24"/>
        </w:rPr>
      </w:pPr>
      <w:r>
        <w:rPr>
          <w:rFonts w:hint="eastAsia" w:ascii="宋体" w:hAnsi="宋体"/>
          <w:b/>
          <w:sz w:val="24"/>
        </w:rPr>
        <w:t>(2)政采云平台注册注意事项：</w:t>
      </w:r>
    </w:p>
    <w:p>
      <w:pPr>
        <w:spacing w:line="360" w:lineRule="auto"/>
        <w:ind w:firstLine="480" w:firstLineChars="200"/>
        <w:rPr>
          <w:rFonts w:ascii="宋体" w:hAnsi="宋体"/>
          <w:sz w:val="24"/>
        </w:rPr>
      </w:pPr>
      <w:r>
        <w:rPr>
          <w:rFonts w:hint="eastAsia" w:ascii="宋体" w:hAnsi="宋体"/>
          <w:sz w:val="24"/>
        </w:rPr>
        <w:t>1)投标人未在浙江政府采购网（http://zfcg.czt.zj.gov.cn/）注册成为正式供应商，需前往注册；</w:t>
      </w:r>
    </w:p>
    <w:p>
      <w:pPr>
        <w:spacing w:line="360" w:lineRule="auto"/>
        <w:ind w:firstLine="480" w:firstLineChars="200"/>
        <w:rPr>
          <w:rFonts w:ascii="宋体" w:hAnsi="宋体"/>
          <w:sz w:val="24"/>
        </w:rPr>
      </w:pPr>
      <w:r>
        <w:rPr>
          <w:rFonts w:hint="eastAsia" w:ascii="宋体" w:hAnsi="宋体"/>
          <w:sz w:val="24"/>
        </w:rPr>
        <w:t xml:space="preserve">2)本项目中标人未注册成为浙江政府采购网“正式供应商”的，将无法实现该项目合同备案及付款，由此造成的不利影响由供应商自行承担； </w:t>
      </w:r>
    </w:p>
    <w:p>
      <w:pPr>
        <w:spacing w:line="360" w:lineRule="auto"/>
        <w:ind w:firstLine="480" w:firstLineChars="200"/>
        <w:jc w:val="left"/>
        <w:rPr>
          <w:rFonts w:ascii="宋体" w:hAnsi="宋体"/>
          <w:sz w:val="24"/>
        </w:rPr>
      </w:pPr>
      <w:r>
        <w:rPr>
          <w:rFonts w:hint="eastAsia" w:ascii="宋体" w:hAnsi="宋体"/>
          <w:sz w:val="24"/>
        </w:rPr>
        <w:t>3)营业执照注册地为浙江省内的供应商请咨询注册地公共资源交易中心（或采购中心），营业执照注册地为浙江省外的供应商请咨询浙江省政府采购中心。</w:t>
      </w:r>
    </w:p>
    <w:p>
      <w:pPr>
        <w:spacing w:line="360" w:lineRule="auto"/>
        <w:ind w:firstLine="482" w:firstLineChars="200"/>
        <w:jc w:val="left"/>
        <w:rPr>
          <w:rFonts w:ascii="宋体" w:hAnsi="宋体" w:cs="仿宋_GB2312"/>
          <w:b/>
          <w:sz w:val="24"/>
        </w:rPr>
      </w:pPr>
      <w:r>
        <w:rPr>
          <w:rFonts w:hint="eastAsia" w:ascii="宋体" w:hAnsi="宋体" w:cs="仿宋_GB2312"/>
          <w:b/>
          <w:sz w:val="24"/>
        </w:rPr>
        <w:t>七、</w:t>
      </w:r>
      <w:bookmarkEnd w:id="89"/>
      <w:bookmarkEnd w:id="90"/>
      <w:bookmarkEnd w:id="91"/>
      <w:bookmarkEnd w:id="92"/>
      <w:r>
        <w:rPr>
          <w:rFonts w:hint="eastAsia" w:ascii="宋体" w:hAnsi="宋体" w:cs="仿宋_GB2312"/>
          <w:b/>
          <w:bCs/>
          <w:sz w:val="24"/>
        </w:rPr>
        <w:t>凡对本次招标提出询问、质疑、投诉，请按以下方式联系</w:t>
      </w:r>
    </w:p>
    <w:p>
      <w:pPr>
        <w:spacing w:line="360" w:lineRule="auto"/>
        <w:ind w:firstLine="480" w:firstLineChars="200"/>
        <w:rPr>
          <w:rFonts w:ascii="宋体" w:hAnsi="宋体"/>
          <w:sz w:val="24"/>
        </w:rPr>
      </w:pPr>
      <w:r>
        <w:rPr>
          <w:rFonts w:ascii="宋体" w:hAnsi="宋体"/>
          <w:bCs/>
          <w:sz w:val="24"/>
          <w:szCs w:val="20"/>
        </w:rPr>
        <w:t xml:space="preserve">1. </w:t>
      </w:r>
      <w:r>
        <w:rPr>
          <w:rFonts w:hint="eastAsia" w:ascii="宋体" w:hAnsi="宋体"/>
          <w:bCs/>
          <w:sz w:val="24"/>
          <w:szCs w:val="20"/>
        </w:rPr>
        <w:t>招标人名</w:t>
      </w:r>
      <w:r>
        <w:rPr>
          <w:rFonts w:hint="eastAsia" w:ascii="宋体" w:hAnsi="宋体"/>
          <w:sz w:val="24"/>
        </w:rPr>
        <w:t>称：丽水职业技术学院</w:t>
      </w:r>
    </w:p>
    <w:p>
      <w:pPr>
        <w:spacing w:line="360" w:lineRule="auto"/>
        <w:ind w:firstLine="840" w:firstLineChars="350"/>
        <w:rPr>
          <w:rFonts w:hint="eastAsia" w:ascii="宋体" w:hAnsi="宋体"/>
          <w:sz w:val="24"/>
          <w:lang w:val="en-US" w:eastAsia="zh-CN"/>
        </w:rPr>
      </w:pPr>
      <w:r>
        <w:rPr>
          <w:rFonts w:hint="eastAsia" w:ascii="宋体" w:hAnsi="宋体"/>
          <w:sz w:val="24"/>
        </w:rPr>
        <w:t>项目联系人：</w:t>
      </w:r>
      <w:r>
        <w:rPr>
          <w:rFonts w:hint="eastAsia" w:ascii="宋体" w:hAnsi="宋体"/>
          <w:sz w:val="24"/>
          <w:lang w:val="en-US" w:eastAsia="zh-CN"/>
        </w:rPr>
        <w:t>周老师</w:t>
      </w:r>
      <w:r>
        <w:rPr>
          <w:rFonts w:hint="eastAsia" w:ascii="宋体" w:hAnsi="宋体"/>
          <w:sz w:val="24"/>
        </w:rPr>
        <w:t xml:space="preserve">        联系电话：15157806610</w:t>
      </w:r>
      <w:r>
        <w:rPr>
          <w:rFonts w:hint="eastAsia" w:ascii="宋体" w:hAnsi="宋体"/>
          <w:sz w:val="24"/>
          <w:lang w:val="en-US" w:eastAsia="zh-CN"/>
        </w:rPr>
        <w:t xml:space="preserve"> </w:t>
      </w:r>
    </w:p>
    <w:p>
      <w:pPr>
        <w:spacing w:line="360" w:lineRule="auto"/>
        <w:ind w:firstLine="840" w:firstLineChars="350"/>
        <w:rPr>
          <w:rFonts w:ascii="宋体" w:hAnsi="宋体"/>
          <w:sz w:val="24"/>
        </w:rPr>
      </w:pPr>
      <w:r>
        <w:rPr>
          <w:rFonts w:hint="eastAsia" w:ascii="宋体" w:hAnsi="宋体"/>
          <w:sz w:val="24"/>
        </w:rPr>
        <w:t>质疑联系人：钭老师     联系电话：</w:t>
      </w:r>
      <w:r>
        <w:rPr>
          <w:rFonts w:hint="eastAsia" w:ascii="宋体" w:hAnsi="宋体" w:cs="宋体"/>
          <w:sz w:val="24"/>
        </w:rPr>
        <w:t>0578-2296463</w:t>
      </w:r>
    </w:p>
    <w:p>
      <w:pPr>
        <w:spacing w:line="360" w:lineRule="auto"/>
        <w:ind w:firstLine="840" w:firstLineChars="350"/>
        <w:rPr>
          <w:rFonts w:ascii="宋体" w:hAnsi="宋体"/>
          <w:sz w:val="24"/>
        </w:rPr>
      </w:pPr>
      <w:r>
        <w:rPr>
          <w:rFonts w:hint="eastAsia" w:ascii="宋体" w:hAnsi="宋体"/>
          <w:sz w:val="24"/>
        </w:rPr>
        <w:t>地址：丽水市莲都区中山街北357号</w:t>
      </w:r>
    </w:p>
    <w:p>
      <w:pPr>
        <w:pStyle w:val="13"/>
        <w:adjustRightInd w:val="0"/>
        <w:snapToGrid w:val="0"/>
        <w:spacing w:line="360" w:lineRule="auto"/>
        <w:ind w:firstLine="480" w:firstLineChars="200"/>
        <w:rPr>
          <w:rFonts w:hAnsi="宋体"/>
          <w:sz w:val="24"/>
        </w:rPr>
      </w:pPr>
      <w:r>
        <w:rPr>
          <w:rFonts w:hAnsi="宋体"/>
          <w:bCs/>
          <w:sz w:val="24"/>
        </w:rPr>
        <w:t xml:space="preserve">2. </w:t>
      </w:r>
      <w:r>
        <w:rPr>
          <w:rFonts w:hint="eastAsia" w:hAnsi="宋体"/>
          <w:sz w:val="24"/>
        </w:rPr>
        <w:t>招标代理机构名称：</w:t>
      </w:r>
      <w:r>
        <w:rPr>
          <w:rFonts w:hint="eastAsia" w:hAnsi="宋体" w:cs="仿宋_GB2312"/>
          <w:kern w:val="0"/>
          <w:sz w:val="24"/>
        </w:rPr>
        <w:t>卓正招标咨询（丽水）有限公司</w:t>
      </w:r>
    </w:p>
    <w:p>
      <w:pPr>
        <w:spacing w:line="360" w:lineRule="auto"/>
        <w:ind w:firstLine="840" w:firstLineChars="350"/>
        <w:rPr>
          <w:rFonts w:ascii="宋体" w:hAnsi="宋体"/>
          <w:sz w:val="24"/>
        </w:rPr>
      </w:pPr>
      <w:r>
        <w:rPr>
          <w:rFonts w:hint="eastAsia" w:ascii="宋体" w:hAnsi="宋体"/>
          <w:sz w:val="24"/>
        </w:rPr>
        <w:t>项目负责人：</w:t>
      </w:r>
      <w:r>
        <w:rPr>
          <w:rFonts w:hint="eastAsia" w:ascii="宋体" w:hAnsi="宋体" w:cs="仿宋"/>
          <w:sz w:val="24"/>
        </w:rPr>
        <w:t xml:space="preserve">刘培珍 </w:t>
      </w:r>
      <w:r>
        <w:rPr>
          <w:rFonts w:hint="eastAsia" w:ascii="宋体" w:hAnsi="宋体"/>
          <w:sz w:val="24"/>
        </w:rPr>
        <w:t xml:space="preserve">   联系电话：0578-2062916   传真：0578-2062917</w:t>
      </w:r>
    </w:p>
    <w:p>
      <w:pPr>
        <w:spacing w:line="360" w:lineRule="auto"/>
        <w:ind w:firstLine="840" w:firstLineChars="350"/>
        <w:rPr>
          <w:rFonts w:ascii="宋体" w:hAnsi="宋体"/>
          <w:sz w:val="24"/>
        </w:rPr>
      </w:pPr>
      <w:r>
        <w:rPr>
          <w:rFonts w:hint="eastAsia" w:ascii="宋体" w:hAnsi="宋体"/>
          <w:sz w:val="24"/>
        </w:rPr>
        <w:t>质疑联系人：</w:t>
      </w:r>
      <w:r>
        <w:rPr>
          <w:rFonts w:hint="eastAsia" w:ascii="宋体" w:hAnsi="宋体"/>
          <w:sz w:val="24"/>
          <w:lang w:val="en-US" w:eastAsia="zh-CN"/>
        </w:rPr>
        <w:t xml:space="preserve">钟爱媚 </w:t>
      </w:r>
      <w:r>
        <w:rPr>
          <w:rFonts w:hint="eastAsia" w:ascii="宋体" w:hAnsi="宋体"/>
          <w:sz w:val="24"/>
        </w:rPr>
        <w:t xml:space="preserve">   联系电话：0578-2062913   传真：0578-2062917</w:t>
      </w:r>
    </w:p>
    <w:p>
      <w:pPr>
        <w:spacing w:line="360" w:lineRule="auto"/>
        <w:ind w:firstLine="840" w:firstLineChars="350"/>
        <w:rPr>
          <w:rFonts w:ascii="宋体" w:hAnsi="宋体"/>
          <w:sz w:val="24"/>
        </w:rPr>
      </w:pPr>
      <w:r>
        <w:rPr>
          <w:rFonts w:hint="eastAsia" w:ascii="宋体" w:hAnsi="宋体"/>
          <w:sz w:val="24"/>
        </w:rPr>
        <w:t>地址：丽水市和平路78号艾莱依工业园区2号楼7楼</w:t>
      </w:r>
    </w:p>
    <w:p>
      <w:pPr>
        <w:spacing w:line="360" w:lineRule="auto"/>
        <w:ind w:firstLine="480" w:firstLineChars="200"/>
        <w:rPr>
          <w:rFonts w:ascii="宋体" w:hAnsi="宋体"/>
          <w:bCs/>
          <w:sz w:val="24"/>
          <w:szCs w:val="20"/>
        </w:rPr>
      </w:pPr>
      <w:r>
        <w:rPr>
          <w:rFonts w:hint="eastAsia" w:ascii="宋体" w:hAnsi="宋体"/>
          <w:bCs/>
          <w:sz w:val="24"/>
          <w:szCs w:val="20"/>
        </w:rPr>
        <w:t>3. 同级政府采购监督管理部门</w:t>
      </w:r>
    </w:p>
    <w:p>
      <w:pPr>
        <w:spacing w:line="360" w:lineRule="auto"/>
        <w:ind w:firstLine="840" w:firstLineChars="350"/>
        <w:rPr>
          <w:rFonts w:ascii="宋体" w:hAnsi="宋体"/>
          <w:sz w:val="24"/>
        </w:rPr>
      </w:pPr>
      <w:r>
        <w:rPr>
          <w:rFonts w:hint="eastAsia" w:ascii="宋体" w:hAnsi="宋体"/>
          <w:sz w:val="24"/>
        </w:rPr>
        <w:t>名称：丽水市财政局政府采购监管处</w:t>
      </w:r>
    </w:p>
    <w:p>
      <w:pPr>
        <w:spacing w:line="360" w:lineRule="auto"/>
        <w:ind w:firstLine="840" w:firstLineChars="350"/>
        <w:rPr>
          <w:rFonts w:ascii="宋体" w:hAnsi="宋体"/>
          <w:sz w:val="24"/>
        </w:rPr>
      </w:pPr>
      <w:r>
        <w:rPr>
          <w:rFonts w:hint="eastAsia" w:ascii="宋体" w:hAnsi="宋体"/>
          <w:sz w:val="24"/>
        </w:rPr>
        <w:t>联系人：吴先生、叶先生</w:t>
      </w:r>
    </w:p>
    <w:p>
      <w:pPr>
        <w:spacing w:line="360" w:lineRule="auto"/>
        <w:ind w:firstLine="840" w:firstLineChars="350"/>
        <w:rPr>
          <w:rFonts w:ascii="宋体" w:hAnsi="宋体"/>
          <w:sz w:val="24"/>
        </w:rPr>
      </w:pPr>
      <w:r>
        <w:rPr>
          <w:rFonts w:hint="eastAsia" w:ascii="宋体" w:hAnsi="宋体"/>
          <w:sz w:val="24"/>
        </w:rPr>
        <w:t>监督投诉电话：0578-2669165   传真：0578-2669165</w:t>
      </w:r>
    </w:p>
    <w:p>
      <w:pPr>
        <w:spacing w:line="360" w:lineRule="auto"/>
        <w:ind w:firstLine="840" w:firstLineChars="350"/>
        <w:rPr>
          <w:rFonts w:ascii="宋体" w:hAnsi="宋体"/>
          <w:sz w:val="24"/>
        </w:rPr>
      </w:pPr>
      <w:r>
        <w:rPr>
          <w:rFonts w:hint="eastAsia" w:ascii="宋体" w:hAnsi="宋体"/>
          <w:sz w:val="24"/>
        </w:rPr>
        <w:t>地 址：丽水市北苑路190号</w:t>
      </w:r>
    </w:p>
    <w:bookmarkEnd w:id="59"/>
    <w:p>
      <w:pPr>
        <w:snapToGrid w:val="0"/>
        <w:spacing w:line="360" w:lineRule="auto"/>
        <w:ind w:firstLine="480" w:firstLineChars="200"/>
        <w:rPr>
          <w:rFonts w:ascii="宋体" w:hAnsi="宋体"/>
          <w:sz w:val="24"/>
        </w:rPr>
      </w:pPr>
      <w:r>
        <w:rPr>
          <w:rFonts w:hint="eastAsia" w:ascii="宋体" w:hAnsi="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2" w:firstLineChars="200"/>
        <w:rPr>
          <w:rFonts w:ascii="宋体" w:hAnsi="宋体"/>
          <w:sz w:val="24"/>
        </w:rPr>
      </w:pPr>
      <w:r>
        <w:rPr>
          <w:rFonts w:hint="eastAsia" w:ascii="宋体" w:hAnsi="宋体"/>
          <w:b/>
          <w:sz w:val="24"/>
        </w:rPr>
        <w:t>CA问题联系电话（人工）：汇信CA 400-888-4636；天谷CA 400-087-8198。</w:t>
      </w:r>
    </w:p>
    <w:p>
      <w:pPr>
        <w:spacing w:line="360" w:lineRule="auto"/>
        <w:ind w:firstLine="482" w:firstLineChars="200"/>
        <w:rPr>
          <w:rFonts w:ascii="宋体" w:hAnsi="宋体"/>
          <w:b/>
          <w:sz w:val="24"/>
        </w:rPr>
      </w:pPr>
    </w:p>
    <w:p>
      <w:pPr>
        <w:spacing w:line="360" w:lineRule="auto"/>
        <w:rPr>
          <w:rFonts w:ascii="宋体" w:hAnsi="宋体"/>
          <w:sz w:val="24"/>
        </w:rPr>
      </w:pPr>
    </w:p>
    <w:p>
      <w:pPr>
        <w:spacing w:line="360" w:lineRule="auto"/>
        <w:ind w:firstLine="470" w:firstLineChars="196"/>
        <w:jc w:val="right"/>
        <w:rPr>
          <w:rFonts w:ascii="宋体" w:hAnsi="宋体"/>
          <w:sz w:val="24"/>
        </w:rPr>
      </w:pPr>
      <w:r>
        <w:rPr>
          <w:rFonts w:hint="eastAsia" w:ascii="宋体" w:hAnsi="宋体"/>
          <w:sz w:val="24"/>
        </w:rPr>
        <w:t>招标人：丽水职业技术学院</w:t>
      </w:r>
    </w:p>
    <w:p>
      <w:pPr>
        <w:spacing w:line="360" w:lineRule="auto"/>
        <w:ind w:firstLine="470" w:firstLineChars="196"/>
        <w:jc w:val="right"/>
        <w:rPr>
          <w:rFonts w:ascii="宋体" w:hAnsi="宋体"/>
          <w:sz w:val="24"/>
        </w:rPr>
      </w:pPr>
      <w:r>
        <w:rPr>
          <w:rFonts w:hint="eastAsia" w:ascii="宋体" w:hAnsi="宋体"/>
          <w:sz w:val="24"/>
        </w:rPr>
        <w:t>招标代理机构：卓正招标咨询（丽水）有限公司</w:t>
      </w:r>
    </w:p>
    <w:p>
      <w:pPr>
        <w:spacing w:line="360" w:lineRule="auto"/>
        <w:ind w:firstLine="480" w:firstLineChars="200"/>
        <w:jc w:val="right"/>
        <w:rPr>
          <w:rFonts w:ascii="宋体" w:hAnsi="宋体"/>
          <w:sz w:val="24"/>
        </w:rPr>
      </w:pPr>
      <w:r>
        <w:rPr>
          <w:rFonts w:hint="eastAsia" w:ascii="宋体" w:hAnsi="宋体"/>
          <w:sz w:val="24"/>
        </w:rPr>
        <w:t xml:space="preserve">                                          日期：2024年</w:t>
      </w:r>
      <w:r>
        <w:rPr>
          <w:rFonts w:hint="eastAsia" w:ascii="宋体" w:hAnsi="宋体"/>
          <w:sz w:val="24"/>
          <w:lang w:val="en-US" w:eastAsia="zh-CN"/>
        </w:rPr>
        <w:t>09</w:t>
      </w:r>
      <w:r>
        <w:rPr>
          <w:rFonts w:ascii="宋体" w:hAnsi="宋体"/>
          <w:sz w:val="24"/>
        </w:rPr>
        <w:t>月</w:t>
      </w:r>
      <w:r>
        <w:rPr>
          <w:rFonts w:hint="eastAsia" w:ascii="宋体" w:hAnsi="宋体"/>
          <w:sz w:val="24"/>
          <w:lang w:val="en-US" w:eastAsia="zh-CN"/>
        </w:rPr>
        <w:t>29</w:t>
      </w:r>
      <w:r>
        <w:rPr>
          <w:rFonts w:hint="eastAsia" w:ascii="宋体" w:hAnsi="宋体"/>
          <w:sz w:val="24"/>
        </w:rPr>
        <w:t>日</w:t>
      </w:r>
    </w:p>
    <w:p>
      <w:pPr>
        <w:wordWrap w:val="0"/>
        <w:spacing w:line="360" w:lineRule="auto"/>
        <w:jc w:val="right"/>
        <w:rPr>
          <w:rFonts w:ascii="宋体" w:hAnsi="宋体"/>
          <w:sz w:val="24"/>
        </w:rPr>
      </w:pPr>
    </w:p>
    <w:p>
      <w:pPr>
        <w:rPr>
          <w:rFonts w:hint="eastAsia" w:ascii="宋体" w:hAnsi="宋体"/>
          <w:sz w:val="32"/>
        </w:rPr>
      </w:pPr>
      <w:bookmarkStart w:id="93" w:name="_Toc2717"/>
      <w:bookmarkStart w:id="94" w:name="_Toc32203"/>
      <w:bookmarkStart w:id="95" w:name="_Toc83312427"/>
      <w:bookmarkStart w:id="96" w:name="_Toc6703"/>
      <w:bookmarkStart w:id="97" w:name="_Toc16553"/>
      <w:bookmarkStart w:id="98" w:name="_Toc5924"/>
      <w:bookmarkStart w:id="99" w:name="_Toc27532"/>
      <w:bookmarkStart w:id="100" w:name="_Toc41577864"/>
      <w:r>
        <w:rPr>
          <w:rFonts w:hint="eastAsia" w:ascii="宋体" w:hAnsi="宋体"/>
          <w:sz w:val="32"/>
        </w:rPr>
        <w:br w:type="page"/>
      </w:r>
    </w:p>
    <w:p>
      <w:pPr>
        <w:pStyle w:val="3"/>
        <w:spacing w:line="360" w:lineRule="auto"/>
        <w:jc w:val="center"/>
        <w:rPr>
          <w:rFonts w:ascii="宋体" w:hAnsi="宋体"/>
        </w:rPr>
      </w:pPr>
      <w:r>
        <w:rPr>
          <w:rFonts w:hint="eastAsia" w:ascii="宋体" w:hAnsi="宋体"/>
          <w:sz w:val="32"/>
        </w:rPr>
        <w:t>第二章投标人须知</w:t>
      </w:r>
      <w:bookmarkEnd w:id="93"/>
      <w:bookmarkEnd w:id="94"/>
      <w:bookmarkEnd w:id="95"/>
      <w:bookmarkEnd w:id="96"/>
      <w:bookmarkEnd w:id="97"/>
      <w:bookmarkEnd w:id="98"/>
      <w:bookmarkEnd w:id="99"/>
      <w:bookmarkEnd w:id="100"/>
    </w:p>
    <w:p>
      <w:pPr>
        <w:pStyle w:val="4"/>
        <w:spacing w:before="240" w:after="240" w:line="360" w:lineRule="auto"/>
        <w:ind w:left="0" w:leftChars="0" w:firstLine="0" w:firstLineChars="0"/>
        <w:jc w:val="center"/>
        <w:rPr>
          <w:rFonts w:ascii="宋体" w:hAnsi="宋体"/>
        </w:rPr>
      </w:pPr>
      <w:bookmarkStart w:id="101" w:name="_Toc83312428"/>
      <w:bookmarkStart w:id="102" w:name="_Toc3623"/>
      <w:bookmarkStart w:id="103" w:name="_Toc29625"/>
      <w:bookmarkStart w:id="104" w:name="_Toc41577865"/>
      <w:bookmarkStart w:id="105" w:name="_Toc8562"/>
      <w:bookmarkStart w:id="106" w:name="_Toc29511"/>
      <w:bookmarkStart w:id="107" w:name="_Toc1074"/>
      <w:bookmarkStart w:id="108" w:name="_Toc12907"/>
      <w:r>
        <w:rPr>
          <w:rFonts w:hint="eastAsia" w:ascii="宋体" w:hAnsi="宋体"/>
        </w:rPr>
        <w:t>前列表</w:t>
      </w:r>
      <w:bookmarkEnd w:id="101"/>
      <w:bookmarkEnd w:id="102"/>
      <w:bookmarkEnd w:id="103"/>
      <w:bookmarkEnd w:id="104"/>
      <w:bookmarkEnd w:id="105"/>
      <w:bookmarkEnd w:id="106"/>
      <w:bookmarkEnd w:id="107"/>
      <w:bookmarkEnd w:id="108"/>
    </w:p>
    <w:tbl>
      <w:tblPr>
        <w:tblStyle w:val="22"/>
        <w:tblW w:w="99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699"/>
        <w:gridCol w:w="2544"/>
        <w:gridCol w:w="1262"/>
        <w:gridCol w:w="3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552" w:type="dxa"/>
            <w:tcBorders>
              <w:top w:val="double" w:color="auto" w:sz="4" w:space="0"/>
              <w:left w:val="double" w:color="auto" w:sz="4" w:space="0"/>
              <w:bottom w:val="single" w:color="auto" w:sz="4" w:space="0"/>
              <w:right w:val="single" w:color="auto" w:sz="4" w:space="0"/>
            </w:tcBorders>
            <w:noWrap/>
            <w:vAlign w:val="center"/>
          </w:tcPr>
          <w:p>
            <w:pPr>
              <w:spacing w:line="360" w:lineRule="auto"/>
              <w:jc w:val="center"/>
              <w:rPr>
                <w:rFonts w:ascii="宋体" w:hAnsi="宋体"/>
                <w:b/>
                <w:bCs/>
                <w:snapToGrid w:val="0"/>
                <w:sz w:val="24"/>
              </w:rPr>
            </w:pPr>
            <w:r>
              <w:rPr>
                <w:rFonts w:hint="eastAsia" w:ascii="宋体" w:hAnsi="宋体"/>
                <w:b/>
                <w:bCs/>
                <w:snapToGrid w:val="0"/>
                <w:sz w:val="24"/>
              </w:rPr>
              <w:t>序号</w:t>
            </w:r>
          </w:p>
        </w:tc>
        <w:tc>
          <w:tcPr>
            <w:tcW w:w="1699" w:type="dxa"/>
            <w:tcBorders>
              <w:top w:val="double" w:color="auto" w:sz="4" w:space="0"/>
              <w:left w:val="single" w:color="auto" w:sz="4" w:space="0"/>
              <w:bottom w:val="single" w:color="auto" w:sz="4" w:space="0"/>
            </w:tcBorders>
            <w:noWrap/>
            <w:vAlign w:val="center"/>
          </w:tcPr>
          <w:p>
            <w:pPr>
              <w:spacing w:line="360" w:lineRule="auto"/>
              <w:jc w:val="center"/>
              <w:rPr>
                <w:rFonts w:ascii="宋体" w:hAnsi="宋体"/>
                <w:b/>
                <w:bCs/>
                <w:sz w:val="24"/>
              </w:rPr>
            </w:pPr>
            <w:r>
              <w:rPr>
                <w:rFonts w:hint="eastAsia" w:ascii="宋体" w:hAnsi="宋体"/>
                <w:b/>
                <w:bCs/>
                <w:sz w:val="24"/>
              </w:rPr>
              <w:t>须知项目</w:t>
            </w:r>
          </w:p>
        </w:tc>
        <w:tc>
          <w:tcPr>
            <w:tcW w:w="7727" w:type="dxa"/>
            <w:gridSpan w:val="3"/>
            <w:tcBorders>
              <w:top w:val="double" w:color="auto" w:sz="4" w:space="0"/>
              <w:bottom w:val="single" w:color="auto" w:sz="4" w:space="0"/>
              <w:right w:val="double" w:color="auto" w:sz="4" w:space="0"/>
            </w:tcBorders>
            <w:noWrap/>
            <w:vAlign w:val="center"/>
          </w:tcPr>
          <w:p>
            <w:pPr>
              <w:spacing w:line="360" w:lineRule="auto"/>
              <w:jc w:val="center"/>
              <w:rPr>
                <w:rFonts w:ascii="宋体" w:hAnsi="宋体"/>
                <w:b/>
                <w:bCs/>
                <w:sz w:val="24"/>
              </w:rPr>
            </w:pPr>
            <w:r>
              <w:rPr>
                <w:rFonts w:hint="eastAsia" w:ascii="宋体" w:hAnsi="宋体"/>
                <w:b/>
                <w:bCs/>
                <w:sz w:val="24"/>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552" w:type="dxa"/>
            <w:tcBorders>
              <w:top w:val="single" w:color="auto" w:sz="4" w:space="0"/>
              <w:left w:val="double" w:color="auto" w:sz="4" w:space="0"/>
              <w:right w:val="single" w:color="auto" w:sz="4" w:space="0"/>
            </w:tcBorders>
            <w:noWrap/>
            <w:vAlign w:val="center"/>
          </w:tcPr>
          <w:p>
            <w:pPr>
              <w:spacing w:line="360" w:lineRule="auto"/>
              <w:jc w:val="center"/>
              <w:rPr>
                <w:rFonts w:ascii="宋体" w:hAnsi="宋体"/>
                <w:bCs/>
                <w:snapToGrid w:val="0"/>
                <w:sz w:val="24"/>
              </w:rPr>
            </w:pPr>
            <w:r>
              <w:rPr>
                <w:rFonts w:hint="eastAsia" w:ascii="宋体" w:hAnsi="宋体"/>
                <w:bCs/>
                <w:snapToGrid w:val="0"/>
                <w:sz w:val="24"/>
              </w:rPr>
              <w:t>1</w:t>
            </w:r>
          </w:p>
        </w:tc>
        <w:tc>
          <w:tcPr>
            <w:tcW w:w="1699" w:type="dxa"/>
            <w:tcBorders>
              <w:top w:val="single" w:color="auto" w:sz="4" w:space="0"/>
              <w:left w:val="single" w:color="auto" w:sz="4" w:space="0"/>
            </w:tcBorders>
            <w:noWrap/>
            <w:vAlign w:val="center"/>
          </w:tcPr>
          <w:p>
            <w:pPr>
              <w:spacing w:line="360" w:lineRule="auto"/>
              <w:jc w:val="left"/>
              <w:rPr>
                <w:rFonts w:ascii="宋体" w:hAnsi="宋体"/>
                <w:bCs/>
                <w:snapToGrid w:val="0"/>
                <w:sz w:val="24"/>
              </w:rPr>
            </w:pPr>
            <w:r>
              <w:rPr>
                <w:rFonts w:hint="eastAsia" w:ascii="宋体" w:hAnsi="宋体"/>
                <w:bCs/>
                <w:snapToGrid w:val="0"/>
                <w:sz w:val="24"/>
              </w:rPr>
              <w:t>项目名称</w:t>
            </w:r>
          </w:p>
        </w:tc>
        <w:tc>
          <w:tcPr>
            <w:tcW w:w="7727" w:type="dxa"/>
            <w:gridSpan w:val="3"/>
            <w:tcBorders>
              <w:top w:val="single" w:color="auto" w:sz="4" w:space="0"/>
              <w:right w:val="double" w:color="auto" w:sz="4" w:space="0"/>
            </w:tcBorders>
            <w:noWrap/>
            <w:vAlign w:val="center"/>
          </w:tcPr>
          <w:p>
            <w:pPr>
              <w:spacing w:line="360" w:lineRule="auto"/>
              <w:rPr>
                <w:rFonts w:hint="eastAsia" w:ascii="宋体" w:hAnsi="宋体" w:eastAsia="宋体"/>
                <w:sz w:val="24"/>
                <w:lang w:eastAsia="zh-CN"/>
              </w:rPr>
            </w:pPr>
            <w:r>
              <w:rPr>
                <w:rFonts w:hint="eastAsia" w:ascii="宋体" w:hAnsi="宋体"/>
                <w:sz w:val="24"/>
                <w:lang w:eastAsia="zh-CN"/>
              </w:rPr>
              <w:t>丽水职业技术学院数字化仿真基地项目（智能制造数维方向）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5" w:hRule="exact"/>
          <w:jc w:val="center"/>
        </w:trPr>
        <w:tc>
          <w:tcPr>
            <w:tcW w:w="552" w:type="dxa"/>
            <w:tcBorders>
              <w:left w:val="double" w:color="auto" w:sz="4" w:space="0"/>
              <w:right w:val="single" w:color="auto" w:sz="4" w:space="0"/>
            </w:tcBorders>
            <w:noWrap/>
            <w:vAlign w:val="center"/>
          </w:tcPr>
          <w:p>
            <w:pPr>
              <w:spacing w:line="360" w:lineRule="auto"/>
              <w:jc w:val="center"/>
              <w:rPr>
                <w:rFonts w:ascii="宋体" w:hAnsi="宋体"/>
                <w:bCs/>
                <w:snapToGrid w:val="0"/>
                <w:sz w:val="24"/>
              </w:rPr>
            </w:pPr>
            <w:r>
              <w:rPr>
                <w:rFonts w:hint="eastAsia" w:ascii="宋体" w:hAnsi="宋体"/>
                <w:bCs/>
                <w:snapToGrid w:val="0"/>
                <w:sz w:val="24"/>
              </w:rPr>
              <w:t>2</w:t>
            </w:r>
          </w:p>
        </w:tc>
        <w:tc>
          <w:tcPr>
            <w:tcW w:w="1699" w:type="dxa"/>
            <w:tcBorders>
              <w:left w:val="single" w:color="auto" w:sz="4" w:space="0"/>
            </w:tcBorders>
            <w:noWrap/>
            <w:vAlign w:val="center"/>
          </w:tcPr>
          <w:p>
            <w:pPr>
              <w:spacing w:line="360" w:lineRule="auto"/>
              <w:jc w:val="left"/>
              <w:rPr>
                <w:rFonts w:ascii="宋体" w:hAnsi="宋体"/>
                <w:bCs/>
                <w:snapToGrid w:val="0"/>
                <w:sz w:val="24"/>
              </w:rPr>
            </w:pPr>
            <w:r>
              <w:rPr>
                <w:rFonts w:hint="eastAsia" w:ascii="宋体" w:hAnsi="宋体"/>
                <w:bCs/>
                <w:snapToGrid w:val="0"/>
                <w:sz w:val="24"/>
              </w:rPr>
              <w:t>招标人</w:t>
            </w:r>
          </w:p>
        </w:tc>
        <w:tc>
          <w:tcPr>
            <w:tcW w:w="7727" w:type="dxa"/>
            <w:gridSpan w:val="3"/>
            <w:tcBorders>
              <w:right w:val="double" w:color="auto" w:sz="4" w:space="0"/>
            </w:tcBorders>
            <w:noWrap/>
            <w:vAlign w:val="center"/>
          </w:tcPr>
          <w:p>
            <w:pPr>
              <w:spacing w:line="360" w:lineRule="auto"/>
              <w:rPr>
                <w:rFonts w:ascii="宋体" w:hAnsi="宋体"/>
                <w:bCs/>
                <w:sz w:val="24"/>
              </w:rPr>
            </w:pPr>
            <w:r>
              <w:rPr>
                <w:rFonts w:hint="eastAsia" w:ascii="宋体" w:hAnsi="宋体"/>
                <w:sz w:val="24"/>
              </w:rPr>
              <w:t>丽水职业技术学院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552" w:type="dxa"/>
            <w:tcBorders>
              <w:left w:val="double" w:color="auto" w:sz="4" w:space="0"/>
              <w:right w:val="single" w:color="auto" w:sz="4" w:space="0"/>
            </w:tcBorders>
            <w:noWrap/>
            <w:vAlign w:val="center"/>
          </w:tcPr>
          <w:p>
            <w:pPr>
              <w:spacing w:line="360" w:lineRule="auto"/>
              <w:jc w:val="center"/>
              <w:rPr>
                <w:rFonts w:ascii="宋体" w:hAnsi="宋体"/>
                <w:bCs/>
                <w:snapToGrid w:val="0"/>
                <w:sz w:val="24"/>
              </w:rPr>
            </w:pPr>
            <w:r>
              <w:rPr>
                <w:rFonts w:hint="eastAsia" w:ascii="宋体" w:hAnsi="宋体"/>
                <w:bCs/>
                <w:snapToGrid w:val="0"/>
                <w:sz w:val="24"/>
              </w:rPr>
              <w:t>3</w:t>
            </w:r>
          </w:p>
        </w:tc>
        <w:tc>
          <w:tcPr>
            <w:tcW w:w="1699" w:type="dxa"/>
            <w:tcBorders>
              <w:left w:val="single" w:color="auto" w:sz="4" w:space="0"/>
            </w:tcBorders>
            <w:noWrap/>
            <w:vAlign w:val="center"/>
          </w:tcPr>
          <w:p>
            <w:pPr>
              <w:spacing w:line="360" w:lineRule="auto"/>
              <w:jc w:val="left"/>
              <w:rPr>
                <w:rFonts w:ascii="宋体" w:hAnsi="宋体"/>
                <w:bCs/>
                <w:snapToGrid w:val="0"/>
                <w:sz w:val="24"/>
              </w:rPr>
            </w:pPr>
            <w:r>
              <w:rPr>
                <w:rFonts w:hint="eastAsia" w:ascii="宋体" w:hAnsi="宋体"/>
                <w:bCs/>
                <w:snapToGrid w:val="0"/>
                <w:sz w:val="24"/>
              </w:rPr>
              <w:t>招标代理机构</w:t>
            </w:r>
          </w:p>
        </w:tc>
        <w:tc>
          <w:tcPr>
            <w:tcW w:w="7727" w:type="dxa"/>
            <w:gridSpan w:val="3"/>
            <w:tcBorders>
              <w:right w:val="double" w:color="auto" w:sz="4" w:space="0"/>
            </w:tcBorders>
            <w:noWrap/>
            <w:vAlign w:val="center"/>
          </w:tcPr>
          <w:p>
            <w:pPr>
              <w:spacing w:line="360" w:lineRule="auto"/>
              <w:rPr>
                <w:rFonts w:ascii="宋体" w:hAnsi="宋体"/>
                <w:bCs/>
                <w:sz w:val="24"/>
              </w:rPr>
            </w:pPr>
            <w:r>
              <w:rPr>
                <w:rFonts w:hint="eastAsia" w:ascii="宋体" w:hAnsi="宋体"/>
                <w:sz w:val="24"/>
              </w:rPr>
              <w:t>卓正招标咨询（丽水）有限公司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6" w:hRule="exact"/>
          <w:jc w:val="center"/>
        </w:trPr>
        <w:tc>
          <w:tcPr>
            <w:tcW w:w="552" w:type="dxa"/>
            <w:tcBorders>
              <w:left w:val="double" w:color="auto" w:sz="4" w:space="0"/>
              <w:right w:val="single" w:color="auto" w:sz="4" w:space="0"/>
            </w:tcBorders>
            <w:noWrap/>
            <w:vAlign w:val="center"/>
          </w:tcPr>
          <w:p>
            <w:pPr>
              <w:spacing w:line="360" w:lineRule="auto"/>
              <w:jc w:val="center"/>
              <w:rPr>
                <w:rFonts w:ascii="宋体" w:hAnsi="宋体"/>
                <w:bCs/>
                <w:snapToGrid w:val="0"/>
                <w:sz w:val="24"/>
              </w:rPr>
            </w:pPr>
            <w:r>
              <w:rPr>
                <w:rFonts w:hint="eastAsia" w:ascii="宋体" w:hAnsi="宋体"/>
                <w:bCs/>
                <w:snapToGrid w:val="0"/>
                <w:sz w:val="24"/>
              </w:rPr>
              <w:t>4</w:t>
            </w:r>
          </w:p>
        </w:tc>
        <w:tc>
          <w:tcPr>
            <w:tcW w:w="1699" w:type="dxa"/>
            <w:tcBorders>
              <w:left w:val="single" w:color="auto" w:sz="4" w:space="0"/>
            </w:tcBorders>
            <w:noWrap/>
            <w:vAlign w:val="center"/>
          </w:tcPr>
          <w:p>
            <w:pPr>
              <w:spacing w:line="360" w:lineRule="auto"/>
              <w:jc w:val="left"/>
              <w:rPr>
                <w:rFonts w:ascii="宋体" w:hAnsi="宋体"/>
                <w:bCs/>
                <w:snapToGrid w:val="0"/>
                <w:sz w:val="24"/>
              </w:rPr>
            </w:pPr>
            <w:r>
              <w:rPr>
                <w:rFonts w:hint="eastAsia" w:ascii="宋体" w:hAnsi="宋体"/>
                <w:bCs/>
                <w:snapToGrid w:val="0"/>
                <w:sz w:val="24"/>
              </w:rPr>
              <w:t>采购方式</w:t>
            </w:r>
          </w:p>
        </w:tc>
        <w:tc>
          <w:tcPr>
            <w:tcW w:w="2544" w:type="dxa"/>
            <w:noWrap/>
            <w:vAlign w:val="center"/>
          </w:tcPr>
          <w:p>
            <w:pPr>
              <w:spacing w:line="360" w:lineRule="auto"/>
              <w:rPr>
                <w:rFonts w:ascii="宋体" w:hAnsi="宋体"/>
                <w:bCs/>
                <w:sz w:val="24"/>
              </w:rPr>
            </w:pPr>
            <w:r>
              <w:rPr>
                <w:rFonts w:hint="eastAsia" w:ascii="宋体" w:hAnsi="宋体"/>
                <w:bCs/>
                <w:sz w:val="24"/>
              </w:rPr>
              <w:t>公开招标</w:t>
            </w:r>
          </w:p>
        </w:tc>
        <w:tc>
          <w:tcPr>
            <w:tcW w:w="1262" w:type="dxa"/>
            <w:noWrap/>
            <w:vAlign w:val="center"/>
          </w:tcPr>
          <w:p>
            <w:pPr>
              <w:spacing w:line="360" w:lineRule="auto"/>
              <w:rPr>
                <w:rFonts w:ascii="宋体" w:hAnsi="宋体"/>
                <w:bCs/>
                <w:sz w:val="24"/>
              </w:rPr>
            </w:pPr>
            <w:r>
              <w:rPr>
                <w:rFonts w:hint="eastAsia" w:ascii="宋体" w:hAnsi="宋体"/>
                <w:bCs/>
                <w:sz w:val="24"/>
              </w:rPr>
              <w:t>组织方式</w:t>
            </w:r>
          </w:p>
        </w:tc>
        <w:tc>
          <w:tcPr>
            <w:tcW w:w="3921" w:type="dxa"/>
            <w:tcBorders>
              <w:right w:val="double" w:color="auto" w:sz="4" w:space="0"/>
            </w:tcBorders>
            <w:noWrap/>
            <w:vAlign w:val="center"/>
          </w:tcPr>
          <w:p>
            <w:pPr>
              <w:spacing w:line="360" w:lineRule="auto"/>
              <w:rPr>
                <w:rFonts w:ascii="宋体" w:hAnsi="宋体"/>
                <w:bCs/>
                <w:sz w:val="24"/>
              </w:rPr>
            </w:pPr>
            <w:r>
              <w:rPr>
                <w:rFonts w:hint="eastAsia" w:ascii="宋体" w:hAnsi="宋体"/>
                <w:bCs/>
                <w:sz w:val="24"/>
              </w:rPr>
              <w:t>分散采购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2" w:hRule="exact"/>
          <w:jc w:val="center"/>
        </w:trPr>
        <w:tc>
          <w:tcPr>
            <w:tcW w:w="552" w:type="dxa"/>
            <w:tcBorders>
              <w:left w:val="double" w:color="auto" w:sz="4" w:space="0"/>
              <w:right w:val="single" w:color="auto" w:sz="4" w:space="0"/>
            </w:tcBorders>
            <w:noWrap/>
            <w:vAlign w:val="center"/>
          </w:tcPr>
          <w:p>
            <w:pPr>
              <w:spacing w:line="360" w:lineRule="auto"/>
              <w:jc w:val="center"/>
              <w:rPr>
                <w:rFonts w:ascii="宋体" w:hAnsi="宋体"/>
                <w:bCs/>
                <w:snapToGrid w:val="0"/>
                <w:sz w:val="24"/>
              </w:rPr>
            </w:pPr>
            <w:r>
              <w:rPr>
                <w:rFonts w:hint="eastAsia" w:ascii="宋体" w:hAnsi="宋体"/>
                <w:bCs/>
                <w:snapToGrid w:val="0"/>
                <w:sz w:val="24"/>
              </w:rPr>
              <w:t>5</w:t>
            </w:r>
          </w:p>
        </w:tc>
        <w:tc>
          <w:tcPr>
            <w:tcW w:w="1699" w:type="dxa"/>
            <w:tcBorders>
              <w:left w:val="single" w:color="auto" w:sz="4" w:space="0"/>
            </w:tcBorders>
            <w:noWrap/>
            <w:vAlign w:val="center"/>
          </w:tcPr>
          <w:p>
            <w:pPr>
              <w:spacing w:line="360" w:lineRule="auto"/>
              <w:jc w:val="left"/>
              <w:rPr>
                <w:rFonts w:ascii="宋体" w:hAnsi="宋体"/>
                <w:bCs/>
                <w:snapToGrid w:val="0"/>
                <w:sz w:val="24"/>
              </w:rPr>
            </w:pPr>
            <w:r>
              <w:rPr>
                <w:rFonts w:hint="eastAsia" w:ascii="宋体" w:hAnsi="宋体"/>
                <w:bCs/>
                <w:snapToGrid w:val="0"/>
                <w:sz w:val="24"/>
              </w:rPr>
              <w:t>资格审查方式</w:t>
            </w:r>
          </w:p>
        </w:tc>
        <w:tc>
          <w:tcPr>
            <w:tcW w:w="7727" w:type="dxa"/>
            <w:gridSpan w:val="3"/>
            <w:tcBorders>
              <w:right w:val="double" w:color="auto" w:sz="4" w:space="0"/>
            </w:tcBorders>
            <w:noWrap/>
            <w:vAlign w:val="center"/>
          </w:tcPr>
          <w:p>
            <w:pPr>
              <w:spacing w:line="360" w:lineRule="auto"/>
              <w:rPr>
                <w:rFonts w:ascii="宋体" w:hAnsi="宋体"/>
                <w:bCs/>
                <w:snapToGrid w:val="0"/>
                <w:sz w:val="24"/>
              </w:rPr>
            </w:pPr>
            <w:r>
              <w:rPr>
                <w:rFonts w:hint="eastAsia" w:ascii="宋体" w:hAnsi="宋体"/>
                <w:bCs/>
                <w:snapToGrid w:val="0"/>
                <w:sz w:val="24"/>
              </w:rPr>
              <w:t>采用资格后审。</w:t>
            </w:r>
            <w:r>
              <w:rPr>
                <w:rFonts w:hint="eastAsia" w:ascii="宋体" w:hAnsi="宋体"/>
                <w:sz w:val="24"/>
              </w:rPr>
              <w:t>投标人获取招标文件或提交投标文件不表明已获取投标资格。开标会上通过资格审查的投标人才具有投标资格。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52" w:type="dxa"/>
            <w:tcBorders>
              <w:left w:val="double" w:color="auto" w:sz="4" w:space="0"/>
              <w:right w:val="single" w:color="auto" w:sz="4" w:space="0"/>
            </w:tcBorders>
            <w:noWrap/>
            <w:vAlign w:val="center"/>
          </w:tcPr>
          <w:p>
            <w:pPr>
              <w:spacing w:line="360" w:lineRule="auto"/>
              <w:jc w:val="center"/>
              <w:rPr>
                <w:rFonts w:ascii="宋体" w:hAnsi="宋体"/>
                <w:bCs/>
                <w:snapToGrid w:val="0"/>
                <w:sz w:val="24"/>
              </w:rPr>
            </w:pPr>
            <w:r>
              <w:rPr>
                <w:rFonts w:hint="eastAsia" w:ascii="宋体" w:hAnsi="宋体"/>
                <w:bCs/>
                <w:snapToGrid w:val="0"/>
                <w:sz w:val="24"/>
              </w:rPr>
              <w:t>6</w:t>
            </w:r>
          </w:p>
        </w:tc>
        <w:tc>
          <w:tcPr>
            <w:tcW w:w="1699" w:type="dxa"/>
            <w:tcBorders>
              <w:left w:val="single" w:color="auto" w:sz="4" w:space="0"/>
            </w:tcBorders>
            <w:noWrap/>
            <w:vAlign w:val="center"/>
          </w:tcPr>
          <w:p>
            <w:pPr>
              <w:spacing w:line="360" w:lineRule="auto"/>
              <w:jc w:val="left"/>
              <w:rPr>
                <w:rFonts w:ascii="宋体" w:hAnsi="宋体"/>
                <w:bCs/>
                <w:snapToGrid w:val="0"/>
                <w:sz w:val="24"/>
              </w:rPr>
            </w:pPr>
            <w:r>
              <w:rPr>
                <w:rFonts w:hint="eastAsia" w:ascii="宋体" w:hAnsi="宋体"/>
                <w:bCs/>
                <w:snapToGrid w:val="0"/>
                <w:sz w:val="24"/>
              </w:rPr>
              <w:t>投标有效期</w:t>
            </w:r>
          </w:p>
        </w:tc>
        <w:tc>
          <w:tcPr>
            <w:tcW w:w="7727" w:type="dxa"/>
            <w:gridSpan w:val="3"/>
            <w:tcBorders>
              <w:right w:val="double" w:color="auto" w:sz="4" w:space="0"/>
            </w:tcBorders>
            <w:noWrap/>
            <w:vAlign w:val="center"/>
          </w:tcPr>
          <w:p>
            <w:pPr>
              <w:spacing w:line="360" w:lineRule="auto"/>
              <w:rPr>
                <w:rFonts w:ascii="宋体" w:hAnsi="宋体"/>
                <w:bCs/>
                <w:snapToGrid w:val="0"/>
                <w:sz w:val="24"/>
              </w:rPr>
            </w:pPr>
            <w:r>
              <w:rPr>
                <w:rFonts w:hint="eastAsia" w:ascii="宋体" w:hAnsi="宋体"/>
                <w:bCs/>
                <w:snapToGrid w:val="0"/>
                <w:sz w:val="24"/>
              </w:rPr>
              <w:t>提交投标文件的截止之日起90天内有效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10" w:hRule="exact"/>
          <w:jc w:val="center"/>
        </w:trPr>
        <w:tc>
          <w:tcPr>
            <w:tcW w:w="552" w:type="dxa"/>
            <w:tcBorders>
              <w:left w:val="double" w:color="auto" w:sz="4" w:space="0"/>
              <w:right w:val="single" w:color="auto" w:sz="4" w:space="0"/>
            </w:tcBorders>
            <w:noWrap/>
            <w:vAlign w:val="center"/>
          </w:tcPr>
          <w:p>
            <w:pPr>
              <w:spacing w:line="360" w:lineRule="auto"/>
              <w:jc w:val="center"/>
              <w:rPr>
                <w:rFonts w:ascii="宋体" w:hAnsi="宋体"/>
                <w:bCs/>
                <w:snapToGrid w:val="0"/>
                <w:sz w:val="24"/>
              </w:rPr>
            </w:pPr>
            <w:r>
              <w:rPr>
                <w:rFonts w:hint="eastAsia" w:ascii="宋体" w:hAnsi="宋体"/>
                <w:bCs/>
                <w:snapToGrid w:val="0"/>
                <w:sz w:val="24"/>
              </w:rPr>
              <w:t>7</w:t>
            </w:r>
          </w:p>
        </w:tc>
        <w:tc>
          <w:tcPr>
            <w:tcW w:w="1699" w:type="dxa"/>
            <w:tcBorders>
              <w:left w:val="single" w:color="auto" w:sz="4" w:space="0"/>
            </w:tcBorders>
            <w:noWrap/>
            <w:vAlign w:val="center"/>
          </w:tcPr>
          <w:p>
            <w:pPr>
              <w:spacing w:line="360" w:lineRule="auto"/>
              <w:rPr>
                <w:rFonts w:ascii="宋体" w:hAnsi="宋体"/>
                <w:bCs/>
                <w:sz w:val="24"/>
              </w:rPr>
            </w:pPr>
            <w:r>
              <w:rPr>
                <w:rFonts w:hint="eastAsia" w:ascii="宋体" w:hAnsi="宋体"/>
                <w:bCs/>
                <w:sz w:val="24"/>
              </w:rPr>
              <w:t>招标文件质疑</w:t>
            </w:r>
          </w:p>
        </w:tc>
        <w:tc>
          <w:tcPr>
            <w:tcW w:w="7727" w:type="dxa"/>
            <w:gridSpan w:val="3"/>
            <w:tcBorders>
              <w:right w:val="double" w:color="auto" w:sz="4" w:space="0"/>
            </w:tcBorders>
            <w:noWrap/>
            <w:vAlign w:val="center"/>
          </w:tcPr>
          <w:p>
            <w:pPr>
              <w:spacing w:line="360" w:lineRule="auto"/>
              <w:rPr>
                <w:rFonts w:ascii="宋体" w:hAnsi="宋体"/>
                <w:bCs/>
                <w:sz w:val="24"/>
                <w:highlight w:val="none"/>
              </w:rPr>
            </w:pPr>
            <w:r>
              <w:rPr>
                <w:rFonts w:ascii="宋体" w:hAnsi="宋体" w:cs="仿宋_GB2312"/>
                <w:kern w:val="0"/>
                <w:sz w:val="24"/>
                <w:highlight w:val="none"/>
              </w:rPr>
              <w:t>投标人认为采购文件使自己的权益受到损害的，可以自获取采购文件之日或者采购文件公告期限届满之日（公告期限届满后获取采购文件的，以公告期限届满之日为准）起7个工作日内，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sz w:val="24"/>
                <w:highlight w:val="none"/>
              </w:rPr>
              <w:t>以书面形式向采购人或采购代理机构一次性提出质疑。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2" w:hRule="exact"/>
          <w:jc w:val="center"/>
        </w:trPr>
        <w:tc>
          <w:tcPr>
            <w:tcW w:w="552" w:type="dxa"/>
            <w:tcBorders>
              <w:left w:val="double" w:color="auto" w:sz="4" w:space="0"/>
              <w:right w:val="single" w:color="auto" w:sz="4" w:space="0"/>
            </w:tcBorders>
            <w:noWrap/>
            <w:vAlign w:val="center"/>
          </w:tcPr>
          <w:p>
            <w:pPr>
              <w:spacing w:line="360" w:lineRule="auto"/>
              <w:jc w:val="center"/>
              <w:rPr>
                <w:rFonts w:ascii="宋体" w:hAnsi="宋体"/>
                <w:bCs/>
                <w:snapToGrid w:val="0"/>
                <w:sz w:val="24"/>
              </w:rPr>
            </w:pPr>
            <w:r>
              <w:rPr>
                <w:rFonts w:hint="eastAsia" w:ascii="宋体" w:hAnsi="宋体"/>
                <w:bCs/>
                <w:snapToGrid w:val="0"/>
                <w:sz w:val="24"/>
              </w:rPr>
              <w:t>8</w:t>
            </w:r>
          </w:p>
        </w:tc>
        <w:tc>
          <w:tcPr>
            <w:tcW w:w="1699" w:type="dxa"/>
            <w:tcBorders>
              <w:left w:val="single" w:color="auto" w:sz="4" w:space="0"/>
            </w:tcBorders>
            <w:noWrap/>
            <w:vAlign w:val="center"/>
          </w:tcPr>
          <w:p>
            <w:pPr>
              <w:spacing w:line="360" w:lineRule="auto"/>
              <w:jc w:val="left"/>
              <w:rPr>
                <w:rFonts w:ascii="宋体" w:hAnsi="宋体"/>
                <w:bCs/>
                <w:snapToGrid w:val="0"/>
                <w:sz w:val="24"/>
              </w:rPr>
            </w:pPr>
            <w:r>
              <w:rPr>
                <w:rFonts w:hint="eastAsia" w:ascii="宋体" w:hAnsi="宋体"/>
                <w:sz w:val="24"/>
              </w:rPr>
              <w:t>招标文件澄清或修改时间</w:t>
            </w:r>
          </w:p>
        </w:tc>
        <w:tc>
          <w:tcPr>
            <w:tcW w:w="7727" w:type="dxa"/>
            <w:gridSpan w:val="3"/>
            <w:tcBorders>
              <w:right w:val="double" w:color="auto" w:sz="4" w:space="0"/>
            </w:tcBorders>
            <w:noWrap/>
            <w:vAlign w:val="center"/>
          </w:tcPr>
          <w:p>
            <w:pPr>
              <w:spacing w:line="360" w:lineRule="auto"/>
              <w:rPr>
                <w:rFonts w:ascii="宋体" w:hAnsi="宋体"/>
                <w:bCs/>
                <w:snapToGrid w:val="0"/>
                <w:sz w:val="24"/>
              </w:rPr>
            </w:pPr>
            <w:r>
              <w:rPr>
                <w:rFonts w:hint="eastAsia" w:ascii="宋体" w:hAnsi="宋体"/>
                <w:sz w:val="24"/>
              </w:rPr>
              <w:t>投标截止时间15天前，发布网址同招标公告发布网址。不足15日的，招标代理机构有权顺延提交投标响应文件的截止时间。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69" w:hRule="atLeast"/>
          <w:jc w:val="center"/>
        </w:trPr>
        <w:tc>
          <w:tcPr>
            <w:tcW w:w="552" w:type="dxa"/>
            <w:tcBorders>
              <w:left w:val="double" w:color="auto" w:sz="4" w:space="0"/>
              <w:right w:val="single" w:color="auto" w:sz="4" w:space="0"/>
            </w:tcBorders>
            <w:noWrap/>
            <w:vAlign w:val="center"/>
          </w:tcPr>
          <w:p>
            <w:pPr>
              <w:spacing w:line="360" w:lineRule="auto"/>
              <w:jc w:val="center"/>
              <w:rPr>
                <w:rFonts w:ascii="宋体" w:hAnsi="宋体"/>
                <w:bCs/>
                <w:snapToGrid w:val="0"/>
                <w:sz w:val="24"/>
              </w:rPr>
            </w:pPr>
            <w:r>
              <w:rPr>
                <w:rFonts w:hint="eastAsia" w:ascii="宋体" w:hAnsi="宋体"/>
                <w:bCs/>
                <w:snapToGrid w:val="0"/>
                <w:sz w:val="24"/>
              </w:rPr>
              <w:t>9</w:t>
            </w:r>
          </w:p>
        </w:tc>
        <w:tc>
          <w:tcPr>
            <w:tcW w:w="1699" w:type="dxa"/>
            <w:tcBorders>
              <w:left w:val="single" w:color="auto" w:sz="4" w:space="0"/>
            </w:tcBorders>
            <w:noWrap/>
            <w:vAlign w:val="center"/>
          </w:tcPr>
          <w:p>
            <w:pPr>
              <w:spacing w:line="360" w:lineRule="auto"/>
              <w:jc w:val="left"/>
              <w:rPr>
                <w:rFonts w:ascii="宋体" w:hAnsi="宋体"/>
                <w:b/>
                <w:bCs/>
                <w:snapToGrid w:val="0"/>
                <w:szCs w:val="21"/>
              </w:rPr>
            </w:pPr>
            <w:r>
              <w:rPr>
                <w:rFonts w:hint="eastAsia" w:ascii="宋体" w:hAnsi="宋体"/>
                <w:bCs/>
                <w:snapToGrid w:val="0"/>
                <w:sz w:val="24"/>
              </w:rPr>
              <w:t>投标文件提交</w:t>
            </w:r>
          </w:p>
        </w:tc>
        <w:tc>
          <w:tcPr>
            <w:tcW w:w="7727" w:type="dxa"/>
            <w:gridSpan w:val="3"/>
            <w:tcBorders>
              <w:right w:val="double" w:color="auto" w:sz="4" w:space="0"/>
            </w:tcBorders>
            <w:noWrap/>
            <w:vAlign w:val="center"/>
          </w:tcPr>
          <w:p>
            <w:pPr>
              <w:tabs>
                <w:tab w:val="left" w:pos="0"/>
                <w:tab w:val="left" w:pos="1134"/>
              </w:tabs>
              <w:adjustRightInd w:val="0"/>
              <w:snapToGrid w:val="0"/>
              <w:spacing w:line="360" w:lineRule="auto"/>
              <w:rPr>
                <w:rFonts w:ascii="宋体" w:hAnsi="宋体"/>
                <w:bCs/>
                <w:sz w:val="24"/>
              </w:rPr>
            </w:pPr>
            <w:r>
              <w:rPr>
                <w:rFonts w:hint="eastAsia" w:ascii="宋体" w:hAnsi="宋体"/>
                <w:bCs/>
                <w:sz w:val="24"/>
              </w:rPr>
              <w:t>接收人：卓正招标咨询（丽水）有限公司</w:t>
            </w:r>
          </w:p>
          <w:p>
            <w:pPr>
              <w:spacing w:line="360" w:lineRule="auto"/>
              <w:ind w:left="118" w:hanging="117" w:hangingChars="49"/>
              <w:rPr>
                <w:rFonts w:ascii="宋体" w:hAnsi="宋体"/>
                <w:sz w:val="24"/>
              </w:rPr>
            </w:pPr>
            <w:r>
              <w:rPr>
                <w:rFonts w:hint="eastAsia" w:ascii="宋体" w:hAnsi="宋体" w:cs="仿宋_GB2312"/>
                <w:sz w:val="24"/>
              </w:rPr>
              <w:t>提交投标文件截止时间（即投标截止时间）</w:t>
            </w:r>
            <w:r>
              <w:rPr>
                <w:rFonts w:hint="eastAsia" w:ascii="宋体" w:hAnsi="宋体"/>
                <w:sz w:val="24"/>
              </w:rPr>
              <w:t>：</w:t>
            </w:r>
            <w:r>
              <w:rPr>
                <w:rFonts w:ascii="宋体" w:hAnsi="宋体"/>
                <w:b/>
                <w:sz w:val="24"/>
                <w:u w:val="single"/>
              </w:rPr>
              <w:t>202</w:t>
            </w:r>
            <w:r>
              <w:rPr>
                <w:rFonts w:hint="eastAsia" w:ascii="宋体" w:hAnsi="宋体"/>
                <w:b/>
                <w:sz w:val="24"/>
                <w:u w:val="single"/>
              </w:rPr>
              <w:t>4年</w:t>
            </w:r>
            <w:r>
              <w:rPr>
                <w:rFonts w:hint="eastAsia" w:ascii="宋体" w:hAnsi="宋体"/>
                <w:b/>
                <w:sz w:val="24"/>
                <w:u w:val="single"/>
                <w:lang w:val="en-US" w:eastAsia="zh-CN"/>
              </w:rPr>
              <w:t>10</w:t>
            </w:r>
            <w:r>
              <w:rPr>
                <w:rFonts w:hint="eastAsia" w:ascii="宋体" w:hAnsi="宋体"/>
                <w:b/>
                <w:sz w:val="24"/>
                <w:u w:val="single"/>
              </w:rPr>
              <w:t>月</w:t>
            </w:r>
            <w:r>
              <w:rPr>
                <w:rFonts w:hint="eastAsia" w:ascii="宋体" w:hAnsi="宋体"/>
                <w:b/>
                <w:sz w:val="24"/>
                <w:u w:val="single"/>
                <w:lang w:val="en-US" w:eastAsia="zh-CN"/>
              </w:rPr>
              <w:t>24</w:t>
            </w:r>
            <w:r>
              <w:rPr>
                <w:rFonts w:hint="eastAsia" w:ascii="宋体" w:hAnsi="宋体"/>
                <w:b/>
                <w:sz w:val="24"/>
                <w:u w:val="single"/>
              </w:rPr>
              <w:t>日</w:t>
            </w:r>
            <w:r>
              <w:rPr>
                <w:rFonts w:hint="eastAsia" w:ascii="宋体" w:hAnsi="宋体"/>
                <w:b/>
                <w:sz w:val="24"/>
                <w:u w:val="single"/>
                <w:lang w:val="en-US" w:eastAsia="zh-CN"/>
              </w:rPr>
              <w:t>10</w:t>
            </w:r>
            <w:r>
              <w:rPr>
                <w:rFonts w:hint="eastAsia" w:ascii="宋体" w:hAnsi="宋体"/>
                <w:b/>
                <w:sz w:val="24"/>
                <w:u w:val="single"/>
              </w:rPr>
              <w:t>时00分</w:t>
            </w:r>
          </w:p>
          <w:p>
            <w:pPr>
              <w:tabs>
                <w:tab w:val="left" w:pos="0"/>
                <w:tab w:val="left" w:pos="1134"/>
              </w:tabs>
              <w:adjustRightInd w:val="0"/>
              <w:snapToGrid w:val="0"/>
              <w:spacing w:line="360" w:lineRule="auto"/>
              <w:rPr>
                <w:rFonts w:ascii="宋体" w:hAnsi="宋体"/>
                <w:bCs/>
                <w:sz w:val="24"/>
              </w:rPr>
            </w:pPr>
            <w:r>
              <w:rPr>
                <w:rFonts w:hint="eastAsia" w:ascii="宋体" w:hAnsi="宋体"/>
                <w:bCs/>
                <w:sz w:val="24"/>
              </w:rPr>
              <w:t>提交投标文件地点：</w:t>
            </w:r>
          </w:p>
          <w:p>
            <w:pPr>
              <w:adjustRightInd w:val="0"/>
              <w:snapToGrid w:val="0"/>
              <w:spacing w:line="360" w:lineRule="auto"/>
              <w:ind w:firstLine="480" w:firstLineChars="200"/>
              <w:rPr>
                <w:rFonts w:ascii="宋体" w:hAnsi="宋体"/>
                <w:sz w:val="24"/>
              </w:rPr>
            </w:pPr>
            <w:r>
              <w:rPr>
                <w:rFonts w:hint="eastAsia" w:ascii="宋体" w:hAnsi="宋体"/>
                <w:sz w:val="24"/>
              </w:rPr>
              <w:t>（1）电子</w:t>
            </w:r>
            <w:r>
              <w:rPr>
                <w:rFonts w:ascii="宋体" w:hAnsi="宋体"/>
                <w:sz w:val="24"/>
              </w:rPr>
              <w:t>投标文件</w:t>
            </w:r>
            <w:r>
              <w:rPr>
                <w:rFonts w:hint="eastAsia" w:ascii="宋体" w:hAnsi="宋体"/>
                <w:sz w:val="24"/>
              </w:rPr>
              <w:t>：投标截止时间前在</w:t>
            </w:r>
            <w:r>
              <w:rPr>
                <w:rFonts w:ascii="宋体" w:hAnsi="宋体"/>
                <w:sz w:val="24"/>
              </w:rPr>
              <w:t>政采云平台</w:t>
            </w:r>
            <w:r>
              <w:rPr>
                <w:rFonts w:hint="eastAsia" w:ascii="宋体" w:hAnsi="宋体"/>
                <w:sz w:val="24"/>
              </w:rPr>
              <w:t>完成电子投标文件的传输提交；</w:t>
            </w:r>
          </w:p>
          <w:p>
            <w:pPr>
              <w:adjustRightInd w:val="0"/>
              <w:snapToGrid w:val="0"/>
              <w:spacing w:line="360" w:lineRule="auto"/>
              <w:ind w:firstLine="480" w:firstLineChars="200"/>
              <w:rPr>
                <w:rFonts w:ascii="宋体" w:hAnsi="宋体"/>
                <w:sz w:val="24"/>
              </w:rPr>
            </w:pPr>
            <w:r>
              <w:rPr>
                <w:rFonts w:hint="eastAsia" w:ascii="宋体" w:hAnsi="宋体"/>
                <w:sz w:val="24"/>
              </w:rPr>
              <w:t>（2）备份投标文件：</w:t>
            </w:r>
          </w:p>
          <w:p>
            <w:pPr>
              <w:adjustRightInd w:val="0"/>
              <w:snapToGrid w:val="0"/>
              <w:spacing w:line="360" w:lineRule="auto"/>
              <w:ind w:firstLine="480" w:firstLineChars="200"/>
              <w:rPr>
                <w:rFonts w:ascii="宋体" w:hAnsi="宋体"/>
                <w:sz w:val="24"/>
              </w:rPr>
            </w:pPr>
            <w:r>
              <w:rPr>
                <w:rFonts w:hint="eastAsia" w:ascii="宋体" w:hAnsi="宋体"/>
                <w:bCs/>
                <w:sz w:val="24"/>
              </w:rPr>
              <w:t>如提交备份投标文件的，应在投标截止时间前将系统最后生成的具有电子签章的备份投标文件通过电子邮件方式传送至代理机构邮箱</w:t>
            </w:r>
            <w:r>
              <w:rPr>
                <w:rFonts w:hint="eastAsia" w:ascii="宋体" w:hAnsi="宋体"/>
                <w:b/>
                <w:bCs/>
                <w:sz w:val="24"/>
              </w:rPr>
              <w:t>（lszzzbzx@126.com）</w:t>
            </w:r>
            <w:r>
              <w:rPr>
                <w:rFonts w:hint="eastAsia" w:ascii="宋体" w:hAnsi="宋体"/>
                <w:bCs/>
                <w:sz w:val="24"/>
              </w:rPr>
              <w:t>，</w:t>
            </w:r>
            <w:r>
              <w:rPr>
                <w:rFonts w:hint="eastAsia" w:ascii="宋体" w:hAnsi="宋体"/>
                <w:sz w:val="24"/>
              </w:rPr>
              <w:t xml:space="preserve">并在邮件中注明项目名称及投标人名称。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4" w:hRule="exact"/>
          <w:jc w:val="center"/>
        </w:trPr>
        <w:tc>
          <w:tcPr>
            <w:tcW w:w="552" w:type="dxa"/>
            <w:tcBorders>
              <w:left w:val="double" w:color="auto" w:sz="4" w:space="0"/>
              <w:right w:val="single" w:color="auto" w:sz="4" w:space="0"/>
            </w:tcBorders>
            <w:noWrap/>
            <w:vAlign w:val="center"/>
          </w:tcPr>
          <w:p>
            <w:pPr>
              <w:spacing w:line="360" w:lineRule="auto"/>
              <w:jc w:val="center"/>
              <w:rPr>
                <w:rFonts w:ascii="宋体" w:hAnsi="宋体"/>
                <w:bCs/>
                <w:snapToGrid w:val="0"/>
                <w:sz w:val="24"/>
              </w:rPr>
            </w:pPr>
            <w:r>
              <w:rPr>
                <w:rFonts w:hint="eastAsia" w:ascii="宋体" w:hAnsi="宋体"/>
                <w:bCs/>
                <w:snapToGrid w:val="0"/>
                <w:sz w:val="24"/>
              </w:rPr>
              <w:t>10</w:t>
            </w:r>
          </w:p>
        </w:tc>
        <w:tc>
          <w:tcPr>
            <w:tcW w:w="1699" w:type="dxa"/>
            <w:tcBorders>
              <w:left w:val="single" w:color="auto" w:sz="4" w:space="0"/>
            </w:tcBorders>
            <w:noWrap/>
            <w:vAlign w:val="center"/>
          </w:tcPr>
          <w:p>
            <w:pPr>
              <w:spacing w:line="360" w:lineRule="auto"/>
              <w:jc w:val="center"/>
              <w:rPr>
                <w:rFonts w:ascii="宋体" w:hAnsi="宋体"/>
                <w:bCs/>
                <w:snapToGrid w:val="0"/>
                <w:sz w:val="24"/>
              </w:rPr>
            </w:pPr>
            <w:r>
              <w:rPr>
                <w:rFonts w:hint="eastAsia" w:ascii="宋体" w:hAnsi="宋体"/>
                <w:bCs/>
                <w:snapToGrid w:val="0"/>
                <w:sz w:val="24"/>
              </w:rPr>
              <w:t>履约保证金</w:t>
            </w:r>
          </w:p>
        </w:tc>
        <w:tc>
          <w:tcPr>
            <w:tcW w:w="7727" w:type="dxa"/>
            <w:gridSpan w:val="3"/>
            <w:tcBorders>
              <w:right w:val="double" w:color="auto" w:sz="4" w:space="0"/>
            </w:tcBorders>
            <w:noWrap/>
            <w:vAlign w:val="center"/>
          </w:tcPr>
          <w:p>
            <w:pPr>
              <w:pStyle w:val="28"/>
              <w:spacing w:line="360" w:lineRule="auto"/>
              <w:jc w:val="left"/>
              <w:rPr>
                <w:rFonts w:ascii="宋体" w:hAnsi="宋体"/>
                <w:sz w:val="24"/>
              </w:rPr>
            </w:pPr>
            <w:r>
              <w:rPr>
                <w:rFonts w:hint="eastAsia" w:ascii="宋体" w:hAnsi="宋体"/>
                <w:bCs/>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7" w:hRule="exact"/>
          <w:jc w:val="center"/>
        </w:trPr>
        <w:tc>
          <w:tcPr>
            <w:tcW w:w="552" w:type="dxa"/>
            <w:tcBorders>
              <w:left w:val="double" w:color="auto" w:sz="4" w:space="0"/>
              <w:right w:val="single" w:color="auto" w:sz="4" w:space="0"/>
            </w:tcBorders>
            <w:noWrap/>
            <w:vAlign w:val="center"/>
          </w:tcPr>
          <w:p>
            <w:pPr>
              <w:spacing w:line="360" w:lineRule="auto"/>
              <w:jc w:val="center"/>
              <w:rPr>
                <w:rFonts w:ascii="宋体" w:hAnsi="宋体"/>
                <w:bCs/>
                <w:snapToGrid w:val="0"/>
                <w:sz w:val="24"/>
              </w:rPr>
            </w:pPr>
            <w:r>
              <w:rPr>
                <w:rFonts w:hint="eastAsia" w:ascii="宋体" w:hAnsi="宋体"/>
                <w:bCs/>
                <w:snapToGrid w:val="0"/>
                <w:sz w:val="24"/>
              </w:rPr>
              <w:t>11</w:t>
            </w:r>
          </w:p>
        </w:tc>
        <w:tc>
          <w:tcPr>
            <w:tcW w:w="1699" w:type="dxa"/>
            <w:tcBorders>
              <w:left w:val="single" w:color="auto" w:sz="4" w:space="0"/>
            </w:tcBorders>
            <w:noWrap/>
            <w:vAlign w:val="center"/>
          </w:tcPr>
          <w:p>
            <w:pPr>
              <w:spacing w:line="360" w:lineRule="auto"/>
              <w:jc w:val="left"/>
              <w:rPr>
                <w:rFonts w:ascii="宋体" w:hAnsi="宋体"/>
                <w:bCs/>
                <w:snapToGrid w:val="0"/>
                <w:sz w:val="24"/>
              </w:rPr>
            </w:pPr>
            <w:r>
              <w:rPr>
                <w:rFonts w:hint="eastAsia" w:ascii="宋体" w:hAnsi="宋体"/>
                <w:bCs/>
                <w:snapToGrid w:val="0"/>
                <w:sz w:val="24"/>
              </w:rPr>
              <w:t>开标时间及地点</w:t>
            </w:r>
          </w:p>
        </w:tc>
        <w:tc>
          <w:tcPr>
            <w:tcW w:w="7727" w:type="dxa"/>
            <w:gridSpan w:val="3"/>
            <w:tcBorders>
              <w:right w:val="double" w:color="auto" w:sz="4" w:space="0"/>
            </w:tcBorders>
            <w:noWrap/>
            <w:vAlign w:val="center"/>
          </w:tcPr>
          <w:p>
            <w:pPr>
              <w:spacing w:line="360" w:lineRule="auto"/>
              <w:rPr>
                <w:rFonts w:ascii="宋体" w:hAnsi="宋体"/>
                <w:b/>
                <w:sz w:val="24"/>
                <w:u w:val="single"/>
              </w:rPr>
            </w:pPr>
            <w:r>
              <w:rPr>
                <w:rFonts w:hint="eastAsia" w:ascii="宋体" w:hAnsi="宋体"/>
                <w:b/>
                <w:sz w:val="24"/>
                <w:u w:val="single"/>
              </w:rPr>
              <w:t>开标时间：</w:t>
            </w:r>
            <w:r>
              <w:rPr>
                <w:rFonts w:ascii="宋体" w:hAnsi="宋体"/>
                <w:b/>
                <w:sz w:val="24"/>
                <w:u w:val="single"/>
              </w:rPr>
              <w:t>202</w:t>
            </w:r>
            <w:r>
              <w:rPr>
                <w:rFonts w:hint="eastAsia" w:ascii="宋体" w:hAnsi="宋体"/>
                <w:b/>
                <w:sz w:val="24"/>
                <w:u w:val="single"/>
              </w:rPr>
              <w:t>4年</w:t>
            </w:r>
            <w:r>
              <w:rPr>
                <w:rFonts w:hint="eastAsia" w:ascii="宋体" w:hAnsi="宋体"/>
                <w:b/>
                <w:sz w:val="24"/>
                <w:u w:val="single"/>
                <w:lang w:val="en-US" w:eastAsia="zh-CN"/>
              </w:rPr>
              <w:t>10</w:t>
            </w:r>
            <w:r>
              <w:rPr>
                <w:rFonts w:hint="eastAsia" w:ascii="宋体" w:hAnsi="宋体"/>
                <w:b/>
                <w:sz w:val="24"/>
                <w:u w:val="single"/>
              </w:rPr>
              <w:t>月</w:t>
            </w:r>
            <w:r>
              <w:rPr>
                <w:rFonts w:hint="eastAsia" w:ascii="宋体" w:hAnsi="宋体"/>
                <w:b/>
                <w:sz w:val="24"/>
                <w:u w:val="single"/>
                <w:lang w:val="en-US" w:eastAsia="zh-CN"/>
              </w:rPr>
              <w:t>24</w:t>
            </w:r>
            <w:r>
              <w:rPr>
                <w:rFonts w:hint="eastAsia" w:ascii="宋体" w:hAnsi="宋体"/>
                <w:b/>
                <w:sz w:val="24"/>
                <w:u w:val="single"/>
              </w:rPr>
              <w:t>日</w:t>
            </w:r>
            <w:r>
              <w:rPr>
                <w:rFonts w:hint="eastAsia" w:ascii="宋体" w:hAnsi="宋体"/>
                <w:b/>
                <w:sz w:val="24"/>
                <w:u w:val="single"/>
                <w:lang w:val="en-US" w:eastAsia="zh-CN"/>
              </w:rPr>
              <w:t>10</w:t>
            </w:r>
            <w:r>
              <w:rPr>
                <w:rFonts w:hint="eastAsia" w:ascii="宋体" w:hAnsi="宋体"/>
                <w:b/>
                <w:sz w:val="24"/>
                <w:u w:val="single"/>
              </w:rPr>
              <w:t>时00分</w:t>
            </w:r>
          </w:p>
          <w:p>
            <w:pPr>
              <w:tabs>
                <w:tab w:val="left" w:pos="540"/>
              </w:tabs>
              <w:snapToGrid w:val="0"/>
              <w:spacing w:line="360" w:lineRule="auto"/>
              <w:outlineLvl w:val="1"/>
              <w:rPr>
                <w:rFonts w:ascii="宋体" w:hAnsi="宋体"/>
              </w:rPr>
            </w:pPr>
            <w:bookmarkStart w:id="109" w:name="_Toc11398"/>
            <w:bookmarkStart w:id="110" w:name="_Toc26986"/>
            <w:bookmarkStart w:id="111" w:name="_Toc27580"/>
            <w:bookmarkStart w:id="112" w:name="_Toc15934"/>
            <w:r>
              <w:rPr>
                <w:rFonts w:hint="eastAsia" w:ascii="宋体" w:hAnsi="宋体"/>
                <w:bCs/>
                <w:sz w:val="24"/>
              </w:rPr>
              <w:t>评审地点：</w:t>
            </w:r>
            <w:bookmarkEnd w:id="109"/>
            <w:r>
              <w:rPr>
                <w:rFonts w:hint="eastAsia" w:ascii="宋体" w:hAnsi="宋体" w:cs="宋体"/>
                <w:sz w:val="24"/>
              </w:rPr>
              <w:t>丽水市公共资源交易中心（丽水市人民街615号商会大厦5楼）</w:t>
            </w:r>
            <w:bookmarkEnd w:id="110"/>
            <w:bookmarkEnd w:id="111"/>
            <w:bookmarkEnd w:id="112"/>
          </w:p>
          <w:p>
            <w:pPr>
              <w:spacing w:line="360" w:lineRule="auto"/>
              <w:rPr>
                <w:rFonts w:ascii="宋体" w:hAnsi="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63" w:hRule="exact"/>
          <w:jc w:val="center"/>
        </w:trPr>
        <w:tc>
          <w:tcPr>
            <w:tcW w:w="552" w:type="dxa"/>
            <w:tcBorders>
              <w:left w:val="double" w:color="auto" w:sz="4" w:space="0"/>
              <w:right w:val="single" w:color="auto" w:sz="4" w:space="0"/>
            </w:tcBorders>
            <w:noWrap/>
            <w:vAlign w:val="center"/>
          </w:tcPr>
          <w:p>
            <w:pPr>
              <w:spacing w:line="360" w:lineRule="auto"/>
              <w:jc w:val="center"/>
              <w:rPr>
                <w:rFonts w:ascii="宋体" w:hAnsi="宋体"/>
                <w:bCs/>
                <w:snapToGrid w:val="0"/>
                <w:sz w:val="24"/>
              </w:rPr>
            </w:pPr>
            <w:r>
              <w:rPr>
                <w:rFonts w:hint="eastAsia" w:ascii="宋体" w:hAnsi="宋体"/>
                <w:bCs/>
                <w:snapToGrid w:val="0"/>
                <w:sz w:val="24"/>
              </w:rPr>
              <w:t>11</w:t>
            </w:r>
          </w:p>
        </w:tc>
        <w:tc>
          <w:tcPr>
            <w:tcW w:w="1699" w:type="dxa"/>
            <w:tcBorders>
              <w:left w:val="single" w:color="auto" w:sz="4" w:space="0"/>
            </w:tcBorders>
            <w:noWrap/>
            <w:vAlign w:val="center"/>
          </w:tcPr>
          <w:p>
            <w:pPr>
              <w:spacing w:line="360" w:lineRule="auto"/>
              <w:rPr>
                <w:rFonts w:ascii="宋体" w:hAnsi="宋体"/>
                <w:bCs/>
                <w:sz w:val="24"/>
              </w:rPr>
            </w:pPr>
            <w:r>
              <w:rPr>
                <w:rFonts w:hint="eastAsia" w:ascii="宋体" w:hAnsi="宋体"/>
                <w:bCs/>
                <w:sz w:val="24"/>
              </w:rPr>
              <w:t>中标结果公告及中标通知书</w:t>
            </w:r>
          </w:p>
        </w:tc>
        <w:tc>
          <w:tcPr>
            <w:tcW w:w="7727" w:type="dxa"/>
            <w:gridSpan w:val="3"/>
            <w:tcBorders>
              <w:right w:val="double" w:color="auto" w:sz="4" w:space="0"/>
            </w:tcBorders>
            <w:noWrap/>
            <w:vAlign w:val="center"/>
          </w:tcPr>
          <w:p>
            <w:pPr>
              <w:snapToGrid w:val="0"/>
              <w:spacing w:line="360" w:lineRule="auto"/>
              <w:rPr>
                <w:rFonts w:ascii="宋体" w:hAnsi="宋体"/>
                <w:bCs/>
                <w:sz w:val="24"/>
              </w:rPr>
            </w:pPr>
            <w:r>
              <w:rPr>
                <w:rFonts w:hint="eastAsia" w:ascii="宋体" w:hAnsi="宋体"/>
                <w:bCs/>
                <w:kern w:val="0"/>
                <w:sz w:val="24"/>
              </w:rPr>
              <w:t>评标报告经招标人确认后2个工作日内，中标公告在</w:t>
            </w:r>
            <w:r>
              <w:rPr>
                <w:rFonts w:hint="eastAsia" w:ascii="宋体" w:hAnsi="宋体"/>
                <w:sz w:val="24"/>
              </w:rPr>
              <w:t>浙江政府采购网</w:t>
            </w:r>
            <w:r>
              <w:fldChar w:fldCharType="begin"/>
            </w:r>
            <w:r>
              <w:instrText xml:space="preserve"> HYPERLINK "http://60.190.126.3:8080/wcm/WCMV6/editor/editor/招标文件（新版）.doc" </w:instrText>
            </w:r>
            <w:r>
              <w:fldChar w:fldCharType="separate"/>
            </w:r>
            <w:r>
              <w:rPr>
                <w:rStyle w:val="29"/>
                <w:rFonts w:hint="default"/>
                <w:color w:val="auto"/>
              </w:rPr>
              <w:t>http://zfcg.czt.zj.gov.cn/</w:t>
            </w:r>
            <w:r>
              <w:rPr>
                <w:rStyle w:val="29"/>
                <w:rFonts w:hint="default"/>
                <w:color w:val="auto"/>
              </w:rPr>
              <w:fldChar w:fldCharType="end"/>
            </w:r>
            <w:r>
              <w:rPr>
                <w:rFonts w:hint="eastAsia" w:ascii="宋体" w:hAnsi="宋体"/>
              </w:rPr>
              <w:t>、</w:t>
            </w:r>
            <w:r>
              <w:rPr>
                <w:rFonts w:hint="eastAsia" w:ascii="宋体" w:hAnsi="宋体" w:cs="仿宋_GB2312"/>
                <w:sz w:val="24"/>
              </w:rPr>
              <w:t>丽水市公共资源交易网（http://lssggzy.lishui.gov.cn/lsweb/）</w:t>
            </w:r>
            <w:r>
              <w:rPr>
                <w:rFonts w:hint="eastAsia" w:ascii="宋体" w:hAnsi="宋体"/>
                <w:sz w:val="24"/>
              </w:rPr>
              <w:t>媒</w:t>
            </w:r>
            <w:r>
              <w:rPr>
                <w:rFonts w:hint="eastAsia" w:ascii="宋体" w:hAnsi="宋体"/>
                <w:bCs/>
                <w:kern w:val="0"/>
                <w:sz w:val="24"/>
              </w:rPr>
              <w:t>体上发布，并同时发出中标通知书。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5" w:hRule="exact"/>
          <w:jc w:val="center"/>
        </w:trPr>
        <w:tc>
          <w:tcPr>
            <w:tcW w:w="552" w:type="dxa"/>
            <w:tcBorders>
              <w:left w:val="double" w:color="auto" w:sz="4" w:space="0"/>
              <w:right w:val="single" w:color="auto" w:sz="4" w:space="0"/>
            </w:tcBorders>
            <w:noWrap/>
            <w:vAlign w:val="center"/>
          </w:tcPr>
          <w:p>
            <w:pPr>
              <w:spacing w:line="360" w:lineRule="auto"/>
              <w:jc w:val="center"/>
              <w:rPr>
                <w:rFonts w:ascii="宋体" w:hAnsi="宋体"/>
                <w:bCs/>
                <w:snapToGrid w:val="0"/>
                <w:sz w:val="24"/>
              </w:rPr>
            </w:pPr>
            <w:r>
              <w:rPr>
                <w:rFonts w:hint="eastAsia" w:ascii="宋体" w:hAnsi="宋体"/>
                <w:bCs/>
                <w:snapToGrid w:val="0"/>
                <w:sz w:val="24"/>
              </w:rPr>
              <w:t>12</w:t>
            </w:r>
          </w:p>
        </w:tc>
        <w:tc>
          <w:tcPr>
            <w:tcW w:w="1699" w:type="dxa"/>
            <w:tcBorders>
              <w:left w:val="single" w:color="auto" w:sz="4" w:space="0"/>
            </w:tcBorders>
            <w:noWrap/>
            <w:vAlign w:val="center"/>
          </w:tcPr>
          <w:p>
            <w:pPr>
              <w:spacing w:line="360" w:lineRule="auto"/>
              <w:rPr>
                <w:rFonts w:ascii="宋体" w:hAnsi="宋体"/>
                <w:bCs/>
                <w:snapToGrid w:val="0"/>
                <w:sz w:val="24"/>
              </w:rPr>
            </w:pPr>
            <w:r>
              <w:rPr>
                <w:rFonts w:hint="eastAsia" w:ascii="宋体" w:hAnsi="宋体"/>
                <w:bCs/>
                <w:snapToGrid w:val="0"/>
                <w:sz w:val="24"/>
              </w:rPr>
              <w:t>评标办法和细则</w:t>
            </w:r>
          </w:p>
        </w:tc>
        <w:tc>
          <w:tcPr>
            <w:tcW w:w="7727" w:type="dxa"/>
            <w:gridSpan w:val="3"/>
            <w:tcBorders>
              <w:right w:val="double" w:color="auto" w:sz="4" w:space="0"/>
            </w:tcBorders>
            <w:noWrap/>
            <w:vAlign w:val="center"/>
          </w:tcPr>
          <w:p>
            <w:pPr>
              <w:spacing w:line="360" w:lineRule="auto"/>
              <w:rPr>
                <w:rFonts w:ascii="宋体" w:hAnsi="宋体"/>
                <w:bCs/>
                <w:sz w:val="24"/>
              </w:rPr>
            </w:pPr>
            <w:r>
              <w:rPr>
                <w:rFonts w:hint="eastAsia" w:ascii="宋体" w:hAnsi="宋体"/>
                <w:bCs/>
                <w:sz w:val="24"/>
              </w:rPr>
              <w:t>详见本招标文件第六章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2" w:hRule="exact"/>
          <w:jc w:val="center"/>
        </w:trPr>
        <w:tc>
          <w:tcPr>
            <w:tcW w:w="552" w:type="dxa"/>
            <w:tcBorders>
              <w:left w:val="double" w:color="auto" w:sz="4" w:space="0"/>
              <w:right w:val="single" w:color="auto" w:sz="4" w:space="0"/>
            </w:tcBorders>
            <w:noWrap/>
            <w:vAlign w:val="center"/>
          </w:tcPr>
          <w:p>
            <w:pPr>
              <w:spacing w:line="360" w:lineRule="auto"/>
              <w:jc w:val="center"/>
              <w:rPr>
                <w:rFonts w:ascii="宋体" w:hAnsi="宋体"/>
                <w:bCs/>
                <w:snapToGrid w:val="0"/>
                <w:sz w:val="24"/>
              </w:rPr>
            </w:pPr>
            <w:r>
              <w:rPr>
                <w:rFonts w:hint="eastAsia" w:ascii="宋体" w:hAnsi="宋体"/>
                <w:bCs/>
                <w:snapToGrid w:val="0"/>
                <w:sz w:val="24"/>
              </w:rPr>
              <w:t>13</w:t>
            </w:r>
          </w:p>
        </w:tc>
        <w:tc>
          <w:tcPr>
            <w:tcW w:w="1699" w:type="dxa"/>
            <w:tcBorders>
              <w:left w:val="single" w:color="auto" w:sz="4" w:space="0"/>
            </w:tcBorders>
            <w:noWrap/>
            <w:vAlign w:val="center"/>
          </w:tcPr>
          <w:p>
            <w:pPr>
              <w:spacing w:line="360" w:lineRule="auto"/>
              <w:rPr>
                <w:rFonts w:ascii="宋体" w:hAnsi="宋体"/>
                <w:bCs/>
                <w:sz w:val="24"/>
              </w:rPr>
            </w:pPr>
            <w:r>
              <w:rPr>
                <w:rFonts w:hint="eastAsia" w:ascii="宋体" w:hAnsi="宋体"/>
                <w:bCs/>
                <w:sz w:val="24"/>
              </w:rPr>
              <w:t>签订合同</w:t>
            </w:r>
          </w:p>
        </w:tc>
        <w:tc>
          <w:tcPr>
            <w:tcW w:w="7727" w:type="dxa"/>
            <w:gridSpan w:val="3"/>
            <w:tcBorders>
              <w:right w:val="double" w:color="auto" w:sz="4" w:space="0"/>
            </w:tcBorders>
            <w:noWrap/>
            <w:vAlign w:val="center"/>
          </w:tcPr>
          <w:p>
            <w:pPr>
              <w:pStyle w:val="28"/>
              <w:spacing w:line="360" w:lineRule="auto"/>
              <w:rPr>
                <w:rFonts w:ascii="宋体" w:hAnsi="宋体"/>
                <w:bCs/>
                <w:sz w:val="24"/>
                <w:szCs w:val="24"/>
              </w:rPr>
            </w:pPr>
            <w:r>
              <w:rPr>
                <w:rFonts w:hint="eastAsia" w:ascii="宋体" w:hAnsi="宋体"/>
                <w:sz w:val="24"/>
                <w:szCs w:val="24"/>
              </w:rPr>
              <w:t>中标通知书发出之日起30日内，按照采购文件确定的事项签订政府采购合同。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1" w:hRule="exact"/>
          <w:jc w:val="center"/>
        </w:trPr>
        <w:tc>
          <w:tcPr>
            <w:tcW w:w="552" w:type="dxa"/>
            <w:tcBorders>
              <w:left w:val="double" w:color="auto" w:sz="4" w:space="0"/>
              <w:right w:val="single" w:color="auto" w:sz="4" w:space="0"/>
            </w:tcBorders>
            <w:noWrap/>
            <w:vAlign w:val="center"/>
          </w:tcPr>
          <w:p>
            <w:pPr>
              <w:spacing w:line="360" w:lineRule="auto"/>
              <w:rPr>
                <w:rFonts w:ascii="宋体" w:hAnsi="宋体"/>
                <w:bCs/>
                <w:snapToGrid w:val="0"/>
                <w:sz w:val="24"/>
              </w:rPr>
            </w:pPr>
            <w:r>
              <w:rPr>
                <w:rFonts w:hint="eastAsia" w:ascii="宋体" w:hAnsi="宋体"/>
                <w:bCs/>
                <w:snapToGrid w:val="0"/>
                <w:sz w:val="24"/>
              </w:rPr>
              <w:t>14</w:t>
            </w:r>
          </w:p>
        </w:tc>
        <w:tc>
          <w:tcPr>
            <w:tcW w:w="1699" w:type="dxa"/>
            <w:tcBorders>
              <w:left w:val="single" w:color="auto" w:sz="4" w:space="0"/>
            </w:tcBorders>
            <w:noWrap/>
            <w:vAlign w:val="center"/>
          </w:tcPr>
          <w:p>
            <w:pPr>
              <w:spacing w:line="360" w:lineRule="auto"/>
              <w:jc w:val="center"/>
              <w:rPr>
                <w:rFonts w:ascii="宋体" w:hAnsi="宋体"/>
                <w:bCs/>
                <w:sz w:val="24"/>
              </w:rPr>
            </w:pPr>
            <w:r>
              <w:rPr>
                <w:rFonts w:hint="eastAsia" w:ascii="宋体" w:hAnsi="宋体"/>
                <w:bCs/>
                <w:sz w:val="24"/>
              </w:rPr>
              <w:t>是否专门面向</w:t>
            </w:r>
          </w:p>
          <w:p>
            <w:pPr>
              <w:spacing w:line="360" w:lineRule="auto"/>
              <w:jc w:val="center"/>
              <w:rPr>
                <w:rFonts w:ascii="宋体" w:hAnsi="宋体"/>
                <w:bCs/>
                <w:sz w:val="24"/>
              </w:rPr>
            </w:pPr>
            <w:r>
              <w:rPr>
                <w:rFonts w:hint="eastAsia" w:ascii="宋体" w:hAnsi="宋体"/>
                <w:bCs/>
                <w:sz w:val="24"/>
              </w:rPr>
              <w:t>中小企业采购</w:t>
            </w:r>
          </w:p>
        </w:tc>
        <w:tc>
          <w:tcPr>
            <w:tcW w:w="7727" w:type="dxa"/>
            <w:gridSpan w:val="3"/>
            <w:tcBorders>
              <w:right w:val="double" w:color="auto" w:sz="4" w:space="0"/>
            </w:tcBorders>
            <w:noWrap/>
            <w:vAlign w:val="center"/>
          </w:tcPr>
          <w:p>
            <w:pPr>
              <w:spacing w:line="360" w:lineRule="auto"/>
              <w:jc w:val="left"/>
              <w:rPr>
                <w:rFonts w:hint="eastAsia" w:ascii="宋体" w:hAnsi="宋体" w:eastAsia="宋体"/>
                <w:bCs/>
                <w:sz w:val="24"/>
                <w:lang w:eastAsia="zh-CN"/>
              </w:rPr>
            </w:pPr>
            <w:r>
              <w:rPr>
                <w:rFonts w:hint="eastAsia" w:ascii="宋体" w:hAnsi="宋体"/>
                <w:bCs/>
                <w:sz w:val="24"/>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2" w:hRule="exact"/>
          <w:jc w:val="center"/>
        </w:trPr>
        <w:tc>
          <w:tcPr>
            <w:tcW w:w="552" w:type="dxa"/>
            <w:tcBorders>
              <w:left w:val="double" w:color="auto" w:sz="4" w:space="0"/>
              <w:right w:val="single" w:color="auto" w:sz="4" w:space="0"/>
            </w:tcBorders>
            <w:noWrap/>
            <w:vAlign w:val="center"/>
          </w:tcPr>
          <w:p>
            <w:pPr>
              <w:spacing w:line="360" w:lineRule="auto"/>
              <w:rPr>
                <w:rFonts w:ascii="宋体" w:hAnsi="宋体"/>
                <w:bCs/>
                <w:snapToGrid w:val="0"/>
                <w:sz w:val="24"/>
              </w:rPr>
            </w:pPr>
            <w:r>
              <w:rPr>
                <w:rFonts w:hint="eastAsia" w:ascii="宋体" w:hAnsi="宋体"/>
                <w:bCs/>
                <w:snapToGrid w:val="0"/>
                <w:sz w:val="24"/>
              </w:rPr>
              <w:t>15</w:t>
            </w:r>
          </w:p>
        </w:tc>
        <w:tc>
          <w:tcPr>
            <w:tcW w:w="1699" w:type="dxa"/>
            <w:tcBorders>
              <w:left w:val="single" w:color="auto" w:sz="4" w:space="0"/>
            </w:tcBorders>
            <w:noWrap/>
            <w:vAlign w:val="center"/>
          </w:tcPr>
          <w:p>
            <w:pPr>
              <w:spacing w:line="360" w:lineRule="auto"/>
              <w:jc w:val="center"/>
              <w:rPr>
                <w:rFonts w:ascii="宋体" w:hAnsi="宋体"/>
                <w:bCs/>
                <w:sz w:val="24"/>
              </w:rPr>
            </w:pPr>
            <w:r>
              <w:rPr>
                <w:rFonts w:hint="eastAsia" w:ascii="宋体" w:hAnsi="宋体"/>
                <w:bCs/>
                <w:sz w:val="24"/>
              </w:rPr>
              <w:t>本项目所属行业</w:t>
            </w:r>
          </w:p>
        </w:tc>
        <w:tc>
          <w:tcPr>
            <w:tcW w:w="7727" w:type="dxa"/>
            <w:gridSpan w:val="3"/>
            <w:tcBorders>
              <w:right w:val="double" w:color="auto" w:sz="4" w:space="0"/>
            </w:tcBorders>
            <w:noWrap/>
            <w:vAlign w:val="center"/>
          </w:tcPr>
          <w:p>
            <w:pPr>
              <w:spacing w:line="360" w:lineRule="auto"/>
              <w:jc w:val="left"/>
              <w:rPr>
                <w:rFonts w:hint="eastAsia" w:ascii="宋体" w:hAnsi="宋体" w:eastAsia="宋体"/>
                <w:bCs/>
                <w:sz w:val="24"/>
                <w:lang w:eastAsia="zh-CN"/>
              </w:rPr>
            </w:pPr>
            <w:r>
              <w:rPr>
                <w:rFonts w:hint="eastAsia" w:ascii="宋体" w:hAnsi="宋体"/>
                <w:bCs/>
                <w:sz w:val="24"/>
                <w:lang w:val="en-US" w:eastAsia="zh-CN"/>
              </w:rPr>
              <w:t>工业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6" w:hRule="exact"/>
          <w:jc w:val="center"/>
        </w:trPr>
        <w:tc>
          <w:tcPr>
            <w:tcW w:w="552" w:type="dxa"/>
            <w:tcBorders>
              <w:left w:val="double" w:color="auto" w:sz="4" w:space="0"/>
              <w:right w:val="single" w:color="auto" w:sz="4" w:space="0"/>
            </w:tcBorders>
            <w:noWrap/>
            <w:vAlign w:val="center"/>
          </w:tcPr>
          <w:p>
            <w:pPr>
              <w:spacing w:line="360" w:lineRule="auto"/>
              <w:rPr>
                <w:rFonts w:ascii="宋体" w:hAnsi="宋体"/>
                <w:bCs/>
                <w:snapToGrid w:val="0"/>
                <w:sz w:val="24"/>
              </w:rPr>
            </w:pPr>
            <w:r>
              <w:rPr>
                <w:rFonts w:hint="eastAsia" w:ascii="宋体" w:hAnsi="宋体"/>
                <w:bCs/>
                <w:snapToGrid w:val="0"/>
                <w:sz w:val="24"/>
              </w:rPr>
              <w:t>16</w:t>
            </w:r>
          </w:p>
        </w:tc>
        <w:tc>
          <w:tcPr>
            <w:tcW w:w="1699" w:type="dxa"/>
            <w:tcBorders>
              <w:left w:val="single" w:color="auto" w:sz="4" w:space="0"/>
            </w:tcBorders>
            <w:noWrap/>
            <w:vAlign w:val="center"/>
          </w:tcPr>
          <w:p>
            <w:pPr>
              <w:spacing w:line="360" w:lineRule="auto"/>
              <w:jc w:val="center"/>
              <w:rPr>
                <w:rFonts w:ascii="宋体" w:hAnsi="宋体"/>
                <w:bCs/>
                <w:sz w:val="24"/>
              </w:rPr>
            </w:pPr>
            <w:r>
              <w:rPr>
                <w:rFonts w:hint="eastAsia" w:ascii="宋体" w:hAnsi="宋体"/>
                <w:bCs/>
                <w:sz w:val="24"/>
              </w:rPr>
              <w:t>供应商信用信息查询、存档与使用</w:t>
            </w:r>
          </w:p>
        </w:tc>
        <w:tc>
          <w:tcPr>
            <w:tcW w:w="7727" w:type="dxa"/>
            <w:gridSpan w:val="3"/>
            <w:tcBorders>
              <w:right w:val="double" w:color="auto" w:sz="4" w:space="0"/>
            </w:tcBorders>
            <w:noWrap/>
            <w:vAlign w:val="center"/>
          </w:tcPr>
          <w:p>
            <w:pPr>
              <w:spacing w:line="360" w:lineRule="auto"/>
              <w:jc w:val="left"/>
              <w:rPr>
                <w:rFonts w:ascii="宋体" w:hAnsi="宋体"/>
                <w:bCs/>
                <w:sz w:val="24"/>
              </w:rPr>
            </w:pPr>
            <w:r>
              <w:rPr>
                <w:rFonts w:hint="eastAsia" w:ascii="宋体" w:hAnsi="宋体"/>
                <w:bCs/>
                <w:sz w:val="24"/>
              </w:rPr>
              <w:t xml:space="preserve">信用记录：根据财库[2016]125号《关于在政府采购活动中查询及使用信用记录有关问题的通知》要求，招标代理机构会对供应商信用记录进行查询并甄别。 </w:t>
            </w:r>
          </w:p>
          <w:p>
            <w:pPr>
              <w:spacing w:line="360" w:lineRule="auto"/>
              <w:jc w:val="left"/>
              <w:rPr>
                <w:rFonts w:ascii="宋体" w:hAnsi="宋体"/>
                <w:bCs/>
                <w:sz w:val="24"/>
              </w:rPr>
            </w:pPr>
            <w:r>
              <w:rPr>
                <w:rFonts w:hint="eastAsia" w:ascii="宋体" w:hAnsi="宋体"/>
                <w:bCs/>
                <w:sz w:val="24"/>
              </w:rPr>
              <w:t xml:space="preserve">（1）信用信息查询的截止时点：从本项目投标截止日往前追溯三年，期间被列入失信被执行人名单、税收违法黑名单、政府采购严重违法失信行为记录名单等供应商信用信息均将用于本项目； </w:t>
            </w:r>
          </w:p>
          <w:p>
            <w:pPr>
              <w:spacing w:line="360" w:lineRule="auto"/>
              <w:jc w:val="left"/>
              <w:rPr>
                <w:rFonts w:ascii="宋体" w:hAnsi="宋体"/>
                <w:bCs/>
                <w:sz w:val="24"/>
              </w:rPr>
            </w:pPr>
            <w:r>
              <w:rPr>
                <w:rFonts w:hint="eastAsia" w:ascii="宋体" w:hAnsi="宋体"/>
                <w:bCs/>
                <w:sz w:val="24"/>
              </w:rPr>
              <w:t xml:space="preserve">（2）查询渠道：“信用中国”（www.creditchina.gov.cn）、“中国政府采购网”； </w:t>
            </w:r>
          </w:p>
          <w:p>
            <w:pPr>
              <w:spacing w:line="360" w:lineRule="auto"/>
              <w:jc w:val="left"/>
              <w:rPr>
                <w:rFonts w:ascii="宋体" w:hAnsi="宋体"/>
                <w:bCs/>
                <w:sz w:val="24"/>
              </w:rPr>
            </w:pPr>
            <w:r>
              <w:rPr>
                <w:rFonts w:hint="eastAsia" w:ascii="宋体" w:hAnsi="宋体"/>
                <w:bCs/>
                <w:sz w:val="24"/>
              </w:rPr>
              <w:t>（3）信用信息查询记录和证据留存具体方式：以网页截图等方式留存；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8" w:hRule="exact"/>
          <w:jc w:val="center"/>
        </w:trPr>
        <w:tc>
          <w:tcPr>
            <w:tcW w:w="552" w:type="dxa"/>
            <w:tcBorders>
              <w:left w:val="double" w:color="auto" w:sz="4" w:space="0"/>
              <w:right w:val="single" w:color="auto" w:sz="4" w:space="0"/>
            </w:tcBorders>
            <w:noWrap/>
            <w:vAlign w:val="center"/>
          </w:tcPr>
          <w:p>
            <w:pPr>
              <w:spacing w:line="360" w:lineRule="auto"/>
              <w:jc w:val="center"/>
              <w:rPr>
                <w:rFonts w:ascii="宋体" w:hAnsi="宋体"/>
                <w:bCs/>
                <w:snapToGrid w:val="0"/>
                <w:sz w:val="24"/>
              </w:rPr>
            </w:pPr>
            <w:r>
              <w:rPr>
                <w:rFonts w:hint="eastAsia" w:ascii="宋体" w:hAnsi="宋体"/>
                <w:bCs/>
                <w:snapToGrid w:val="0"/>
                <w:sz w:val="24"/>
              </w:rPr>
              <w:t>17</w:t>
            </w:r>
          </w:p>
        </w:tc>
        <w:tc>
          <w:tcPr>
            <w:tcW w:w="1699" w:type="dxa"/>
            <w:tcBorders>
              <w:left w:val="single" w:color="auto" w:sz="4" w:space="0"/>
            </w:tcBorders>
            <w:noWrap/>
            <w:vAlign w:val="center"/>
          </w:tcPr>
          <w:p>
            <w:pPr>
              <w:spacing w:line="360" w:lineRule="auto"/>
              <w:rPr>
                <w:rFonts w:ascii="宋体" w:hAnsi="宋体"/>
                <w:bCs/>
                <w:snapToGrid w:val="0"/>
                <w:sz w:val="24"/>
              </w:rPr>
            </w:pPr>
            <w:r>
              <w:rPr>
                <w:rFonts w:hint="eastAsia" w:ascii="宋体" w:hAnsi="宋体"/>
                <w:bCs/>
                <w:snapToGrid w:val="0"/>
                <w:sz w:val="24"/>
              </w:rPr>
              <w:t>发布媒体</w:t>
            </w:r>
          </w:p>
        </w:tc>
        <w:tc>
          <w:tcPr>
            <w:tcW w:w="7727" w:type="dxa"/>
            <w:gridSpan w:val="3"/>
            <w:tcBorders>
              <w:right w:val="double" w:color="auto" w:sz="4" w:space="0"/>
            </w:tcBorders>
            <w:noWrap/>
            <w:vAlign w:val="center"/>
          </w:tcPr>
          <w:p>
            <w:pPr>
              <w:snapToGrid w:val="0"/>
              <w:spacing w:line="360" w:lineRule="auto"/>
              <w:rPr>
                <w:rFonts w:ascii="宋体" w:hAnsi="宋体"/>
                <w:sz w:val="24"/>
              </w:rPr>
            </w:pPr>
            <w:r>
              <w:rPr>
                <w:rFonts w:hint="eastAsia" w:ascii="宋体" w:hAnsi="宋体"/>
                <w:sz w:val="24"/>
              </w:rPr>
              <w:t>浙江政府采购网</w:t>
            </w:r>
            <w:r>
              <w:fldChar w:fldCharType="begin"/>
            </w:r>
            <w:r>
              <w:instrText xml:space="preserve"> HYPERLINK "http://60.190.126.3:8080/wcm/WCMV6/editor/editor/招标文件（新版）.doc" </w:instrText>
            </w:r>
            <w:r>
              <w:fldChar w:fldCharType="separate"/>
            </w:r>
            <w:r>
              <w:rPr>
                <w:rFonts w:hint="eastAsia" w:ascii="宋体" w:hAnsi="宋体"/>
                <w:sz w:val="24"/>
              </w:rPr>
              <w:t>http://zfcg.czt.zj.gov.cn/</w:t>
            </w:r>
            <w:r>
              <w:rPr>
                <w:rFonts w:hint="eastAsia" w:ascii="宋体" w:hAnsi="宋体"/>
                <w:sz w:val="24"/>
              </w:rPr>
              <w:fldChar w:fldCharType="end"/>
            </w:r>
          </w:p>
          <w:p>
            <w:pPr>
              <w:snapToGrid w:val="0"/>
              <w:spacing w:line="360" w:lineRule="auto"/>
              <w:rPr>
                <w:rFonts w:ascii="宋体" w:hAnsi="宋体"/>
              </w:rPr>
            </w:pPr>
            <w:r>
              <w:rPr>
                <w:rFonts w:hint="eastAsia" w:ascii="宋体" w:hAnsi="宋体" w:cs="仿宋_GB2312"/>
                <w:sz w:val="24"/>
              </w:rPr>
              <w:t>丽水市公共资源交易网（http://lssggzy.lishui.gov.cn/lsweb/）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60" w:hRule="exact"/>
          <w:jc w:val="center"/>
        </w:trPr>
        <w:tc>
          <w:tcPr>
            <w:tcW w:w="552" w:type="dxa"/>
            <w:tcBorders>
              <w:left w:val="double" w:color="auto" w:sz="4" w:space="0"/>
              <w:right w:val="single" w:color="auto" w:sz="4" w:space="0"/>
            </w:tcBorders>
            <w:noWrap/>
            <w:vAlign w:val="center"/>
          </w:tcPr>
          <w:p>
            <w:pPr>
              <w:spacing w:line="360" w:lineRule="auto"/>
              <w:jc w:val="center"/>
              <w:rPr>
                <w:rFonts w:ascii="宋体" w:hAnsi="宋体"/>
                <w:bCs/>
                <w:snapToGrid w:val="0"/>
                <w:sz w:val="24"/>
              </w:rPr>
            </w:pPr>
            <w:r>
              <w:rPr>
                <w:rFonts w:hint="eastAsia" w:ascii="宋体" w:hAnsi="宋体"/>
                <w:bCs/>
                <w:snapToGrid w:val="0"/>
                <w:sz w:val="24"/>
              </w:rPr>
              <w:t>18</w:t>
            </w:r>
          </w:p>
        </w:tc>
        <w:tc>
          <w:tcPr>
            <w:tcW w:w="1699" w:type="dxa"/>
            <w:tcBorders>
              <w:left w:val="single" w:color="auto" w:sz="4" w:space="0"/>
            </w:tcBorders>
            <w:noWrap/>
            <w:vAlign w:val="center"/>
          </w:tcPr>
          <w:p>
            <w:pPr>
              <w:spacing w:line="360" w:lineRule="auto"/>
              <w:jc w:val="center"/>
              <w:rPr>
                <w:rFonts w:ascii="宋体" w:hAnsi="宋体"/>
                <w:bCs/>
                <w:snapToGrid w:val="0"/>
                <w:sz w:val="24"/>
              </w:rPr>
            </w:pPr>
            <w:r>
              <w:rPr>
                <w:rFonts w:hint="eastAsia" w:ascii="宋体" w:hAnsi="宋体"/>
                <w:bCs/>
                <w:snapToGrid w:val="0"/>
                <w:sz w:val="24"/>
              </w:rPr>
              <w:t>纸质响应文件</w:t>
            </w:r>
          </w:p>
        </w:tc>
        <w:tc>
          <w:tcPr>
            <w:tcW w:w="7727" w:type="dxa"/>
            <w:gridSpan w:val="3"/>
            <w:tcBorders>
              <w:right w:val="double" w:color="auto" w:sz="4" w:space="0"/>
            </w:tcBorders>
            <w:noWrap/>
            <w:vAlign w:val="center"/>
          </w:tcPr>
          <w:p>
            <w:pPr>
              <w:spacing w:line="360" w:lineRule="auto"/>
              <w:rPr>
                <w:rFonts w:ascii="宋体" w:hAnsi="宋体"/>
                <w:bCs/>
                <w:sz w:val="24"/>
              </w:rPr>
            </w:pPr>
            <w:r>
              <w:rPr>
                <w:rFonts w:hint="eastAsia" w:ascii="宋体" w:hAnsi="宋体"/>
                <w:bCs/>
                <w:sz w:val="24"/>
              </w:rPr>
              <w:t>成交供应商在领取成交通知书的同时，向招标代理机构递交纸质版响应文件：资格审查文件、资信商务及技术文件、报价文件三部分各2份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8" w:hRule="exact"/>
          <w:jc w:val="center"/>
        </w:trPr>
        <w:tc>
          <w:tcPr>
            <w:tcW w:w="552" w:type="dxa"/>
            <w:tcBorders>
              <w:left w:val="double" w:color="auto" w:sz="4" w:space="0"/>
              <w:right w:val="single" w:color="auto" w:sz="4" w:space="0"/>
            </w:tcBorders>
            <w:noWrap/>
            <w:vAlign w:val="center"/>
          </w:tcPr>
          <w:p>
            <w:pPr>
              <w:spacing w:line="360" w:lineRule="auto"/>
              <w:jc w:val="center"/>
              <w:rPr>
                <w:rFonts w:ascii="宋体" w:hAnsi="宋体"/>
                <w:bCs/>
                <w:snapToGrid w:val="0"/>
                <w:sz w:val="24"/>
              </w:rPr>
            </w:pPr>
            <w:r>
              <w:rPr>
                <w:rFonts w:hint="eastAsia" w:ascii="宋体" w:hAnsi="宋体"/>
                <w:bCs/>
                <w:snapToGrid w:val="0"/>
                <w:sz w:val="24"/>
              </w:rPr>
              <w:t>19</w:t>
            </w:r>
          </w:p>
        </w:tc>
        <w:tc>
          <w:tcPr>
            <w:tcW w:w="1699" w:type="dxa"/>
            <w:tcBorders>
              <w:left w:val="single" w:color="auto" w:sz="4" w:space="0"/>
            </w:tcBorders>
            <w:noWrap/>
            <w:vAlign w:val="center"/>
          </w:tcPr>
          <w:p>
            <w:pPr>
              <w:spacing w:line="360" w:lineRule="auto"/>
              <w:rPr>
                <w:rFonts w:ascii="宋体" w:hAnsi="宋体"/>
                <w:bCs/>
                <w:sz w:val="24"/>
              </w:rPr>
            </w:pPr>
            <w:r>
              <w:rPr>
                <w:rFonts w:hint="eastAsia" w:ascii="宋体" w:hAnsi="宋体"/>
                <w:bCs/>
                <w:sz w:val="24"/>
              </w:rPr>
              <w:t>采购文件</w:t>
            </w:r>
            <w:r>
              <w:rPr>
                <w:rFonts w:hint="eastAsia" w:ascii="宋体" w:hAnsi="宋体"/>
                <w:bCs/>
                <w:snapToGrid w:val="0"/>
                <w:sz w:val="24"/>
              </w:rPr>
              <w:t>解释</w:t>
            </w:r>
          </w:p>
        </w:tc>
        <w:tc>
          <w:tcPr>
            <w:tcW w:w="7727" w:type="dxa"/>
            <w:gridSpan w:val="3"/>
            <w:tcBorders>
              <w:right w:val="double" w:color="auto" w:sz="4" w:space="0"/>
            </w:tcBorders>
            <w:noWrap/>
            <w:vAlign w:val="center"/>
          </w:tcPr>
          <w:p>
            <w:pPr>
              <w:spacing w:line="360" w:lineRule="auto"/>
              <w:rPr>
                <w:rFonts w:ascii="宋体" w:hAnsi="宋体"/>
              </w:rPr>
            </w:pPr>
            <w:r>
              <w:rPr>
                <w:rFonts w:hint="eastAsia" w:ascii="宋体" w:hAnsi="宋体"/>
                <w:bCs/>
                <w:sz w:val="24"/>
              </w:rPr>
              <w:t>本项目采购文件的解释权属于</w:t>
            </w:r>
            <w:r>
              <w:rPr>
                <w:rFonts w:hint="eastAsia" w:ascii="宋体" w:hAnsi="宋体"/>
                <w:bCs/>
                <w:snapToGrid w:val="0"/>
                <w:sz w:val="24"/>
              </w:rPr>
              <w:t>卓正招标咨询（丽水）有限公司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28" w:hRule="exact"/>
          <w:jc w:val="center"/>
        </w:trPr>
        <w:tc>
          <w:tcPr>
            <w:tcW w:w="552" w:type="dxa"/>
            <w:tcBorders>
              <w:left w:val="double" w:color="auto" w:sz="4" w:space="0"/>
              <w:right w:val="single" w:color="auto" w:sz="4" w:space="0"/>
            </w:tcBorders>
            <w:noWrap/>
            <w:vAlign w:val="center"/>
          </w:tcPr>
          <w:p>
            <w:pPr>
              <w:spacing w:line="360" w:lineRule="auto"/>
              <w:jc w:val="center"/>
              <w:rPr>
                <w:rFonts w:ascii="宋体" w:hAnsi="宋体"/>
                <w:bCs/>
                <w:snapToGrid w:val="0"/>
                <w:sz w:val="24"/>
              </w:rPr>
            </w:pPr>
            <w:bookmarkStart w:id="113" w:name="_Toc83312429"/>
            <w:bookmarkStart w:id="114" w:name="_Toc41577866"/>
            <w:r>
              <w:rPr>
                <w:rFonts w:hint="eastAsia" w:ascii="宋体" w:hAnsi="宋体"/>
                <w:bCs/>
                <w:snapToGrid w:val="0"/>
                <w:sz w:val="24"/>
              </w:rPr>
              <w:t>20</w:t>
            </w:r>
          </w:p>
        </w:tc>
        <w:tc>
          <w:tcPr>
            <w:tcW w:w="1699" w:type="dxa"/>
            <w:tcBorders>
              <w:left w:val="single" w:color="auto" w:sz="4" w:space="0"/>
            </w:tcBorders>
            <w:noWrap/>
            <w:vAlign w:val="center"/>
          </w:tcPr>
          <w:p>
            <w:pPr>
              <w:spacing w:line="360" w:lineRule="auto"/>
              <w:rPr>
                <w:rFonts w:ascii="宋体" w:hAnsi="宋体"/>
                <w:bCs/>
                <w:sz w:val="24"/>
              </w:rPr>
            </w:pPr>
            <w:r>
              <w:rPr>
                <w:rFonts w:hint="eastAsia" w:ascii="宋体" w:hAnsi="宋体"/>
                <w:bCs/>
                <w:sz w:val="24"/>
              </w:rPr>
              <w:t>投标人解密硬件准备</w:t>
            </w:r>
          </w:p>
        </w:tc>
        <w:tc>
          <w:tcPr>
            <w:tcW w:w="7727" w:type="dxa"/>
            <w:gridSpan w:val="3"/>
            <w:tcBorders>
              <w:right w:val="double" w:color="auto" w:sz="4" w:space="0"/>
            </w:tcBorders>
            <w:noWrap/>
            <w:vAlign w:val="center"/>
          </w:tcPr>
          <w:p>
            <w:pPr>
              <w:spacing w:line="360" w:lineRule="auto"/>
              <w:rPr>
                <w:rFonts w:ascii="宋体" w:hAnsi="宋体"/>
                <w:bCs/>
                <w:sz w:val="24"/>
              </w:rPr>
            </w:pPr>
            <w:r>
              <w:rPr>
                <w:rFonts w:hint="eastAsia" w:ascii="宋体" w:hAnsi="宋体"/>
                <w:bCs/>
                <w:sz w:val="24"/>
              </w:rPr>
              <w:t>1.电脑、网络（供电子投标文件解密和澄清答疑使用）；</w:t>
            </w:r>
          </w:p>
          <w:p>
            <w:pPr>
              <w:spacing w:line="360" w:lineRule="auto"/>
              <w:rPr>
                <w:rFonts w:ascii="宋体" w:hAnsi="宋体"/>
                <w:bCs/>
                <w:sz w:val="24"/>
              </w:rPr>
            </w:pPr>
            <w:r>
              <w:rPr>
                <w:rFonts w:hint="eastAsia" w:ascii="宋体" w:hAnsi="宋体"/>
                <w:bCs/>
                <w:sz w:val="24"/>
              </w:rPr>
              <w:t>2.电子投标文件解密CA锁</w:t>
            </w:r>
            <w:r>
              <w:rPr>
                <w:rFonts w:hint="eastAsia" w:ascii="宋体" w:hAnsi="宋体"/>
                <w:b/>
                <w:bCs/>
                <w:sz w:val="24"/>
              </w:rPr>
              <w:t>(即原编制电子投标文件加密的CA锁)</w:t>
            </w:r>
            <w:r>
              <w:rPr>
                <w:rFonts w:hint="eastAsia" w:ascii="宋体" w:hAnsi="宋体"/>
                <w:bCs/>
                <w:sz w:val="24"/>
              </w:rPr>
              <w:t>；</w:t>
            </w:r>
          </w:p>
        </w:tc>
      </w:tr>
    </w:tbl>
    <w:p>
      <w:pPr>
        <w:pStyle w:val="4"/>
        <w:spacing w:line="360" w:lineRule="auto"/>
        <w:ind w:firstLine="0" w:firstLineChars="0"/>
        <w:rPr>
          <w:rFonts w:ascii="宋体" w:hAnsi="宋体"/>
        </w:rPr>
      </w:pPr>
      <w:bookmarkStart w:id="115" w:name="_Toc11289"/>
      <w:bookmarkStart w:id="116" w:name="_Toc29509"/>
      <w:bookmarkStart w:id="117" w:name="_Toc1586"/>
      <w:bookmarkStart w:id="118" w:name="_Toc3360"/>
      <w:bookmarkStart w:id="119" w:name="_Toc6493"/>
      <w:bookmarkStart w:id="120" w:name="_Toc26810"/>
      <w:r>
        <w:rPr>
          <w:rFonts w:hint="eastAsia" w:ascii="宋体" w:hAnsi="宋体"/>
        </w:rPr>
        <w:t>一   总则</w:t>
      </w:r>
      <w:bookmarkEnd w:id="113"/>
      <w:bookmarkEnd w:id="114"/>
      <w:bookmarkEnd w:id="115"/>
      <w:bookmarkEnd w:id="116"/>
      <w:bookmarkEnd w:id="117"/>
      <w:bookmarkEnd w:id="118"/>
      <w:bookmarkEnd w:id="119"/>
      <w:bookmarkEnd w:id="120"/>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适用范围</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.1招标文件适用于本次所述项目的采购行为（法律、法规另有规定的，从其规定）。</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定义</w:t>
      </w:r>
    </w:p>
    <w:p>
      <w:pPr>
        <w:spacing w:line="360" w:lineRule="auto"/>
        <w:ind w:firstLine="480" w:firstLineChars="200"/>
        <w:rPr>
          <w:rFonts w:ascii="宋体" w:hAnsi="宋体"/>
          <w:sz w:val="24"/>
        </w:rPr>
      </w:pPr>
      <w:r>
        <w:rPr>
          <w:rFonts w:ascii="宋体" w:hAnsi="宋体"/>
          <w:sz w:val="24"/>
        </w:rPr>
        <w:t>2.1.1</w:t>
      </w:r>
      <w:r>
        <w:rPr>
          <w:rFonts w:hint="eastAsia" w:ascii="宋体" w:hAnsi="宋体"/>
          <w:sz w:val="24"/>
        </w:rPr>
        <w:t>“招标人”系丽水职业技术学院。</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rPr>
        <w:t>2 “投标人”系指符合本项目投标人应具备的资格要求，依法获取招标文件并参与项目投标的供应商。</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rPr>
        <w:t>3 “招标代理机构”系指</w:t>
      </w:r>
      <w:r>
        <w:rPr>
          <w:rFonts w:hint="eastAsia" w:ascii="宋体" w:hAnsi="宋体"/>
          <w:bCs/>
          <w:snapToGrid w:val="0"/>
          <w:sz w:val="24"/>
        </w:rPr>
        <w:t>卓正招标咨询（丽水）有限公</w:t>
      </w:r>
      <w:r>
        <w:rPr>
          <w:rFonts w:hint="eastAsia" w:ascii="宋体" w:hAnsi="宋体"/>
          <w:sz w:val="24"/>
        </w:rPr>
        <w:t>司。</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rPr>
        <w:t>4“负责人”系指法人企业的法定代表人，或其他组织为法律、行政法规规定代表单位行使职权的主要负责人。</w:t>
      </w:r>
    </w:p>
    <w:p>
      <w:pPr>
        <w:spacing w:line="360" w:lineRule="auto"/>
        <w:ind w:firstLine="480" w:firstLineChars="200"/>
        <w:rPr>
          <w:rFonts w:ascii="宋体" w:hAnsi="宋体"/>
          <w:sz w:val="24"/>
        </w:rPr>
      </w:pPr>
      <w:r>
        <w:rPr>
          <w:rFonts w:hint="eastAsia" w:ascii="宋体" w:hAnsi="宋体"/>
          <w:sz w:val="24"/>
        </w:rPr>
        <w:t>2.1.5“投标人代表”系指投标人委派的负责项目投标、开标、评审、签约等具体事务和签署相关文件的人员。</w:t>
      </w:r>
    </w:p>
    <w:p>
      <w:pPr>
        <w:spacing w:line="360" w:lineRule="auto"/>
        <w:ind w:firstLine="480" w:firstLineChars="200"/>
        <w:rPr>
          <w:rFonts w:ascii="宋体" w:hAnsi="宋体"/>
          <w:sz w:val="24"/>
        </w:rPr>
      </w:pPr>
      <w:r>
        <w:rPr>
          <w:rFonts w:hint="eastAsia" w:ascii="宋体" w:hAnsi="宋体"/>
          <w:sz w:val="24"/>
        </w:rPr>
        <w:t>2.1.6“合同”系指甲乙双方签署的规定甲乙双方权利与义务的协议，以及所有的附件、附录和招标文件所提到的构成合同的所有文件。</w:t>
      </w:r>
    </w:p>
    <w:p>
      <w:pPr>
        <w:spacing w:line="360" w:lineRule="auto"/>
        <w:ind w:firstLine="480" w:firstLineChars="200"/>
        <w:rPr>
          <w:rFonts w:ascii="宋体" w:hAnsi="宋体"/>
          <w:sz w:val="24"/>
        </w:rPr>
      </w:pPr>
      <w:r>
        <w:rPr>
          <w:rFonts w:hint="eastAsia" w:ascii="宋体" w:hAnsi="宋体"/>
          <w:sz w:val="24"/>
        </w:rPr>
        <w:t>2.1.7 “产品”系指投标人按招标文件规定，须向招标人提供的一切产品（包括：虚拟产品），以及产品相关的保险、税金、备品备件、附件、耗材、工具、手册及其它有关技术资料和材料等。</w:t>
      </w:r>
    </w:p>
    <w:p>
      <w:pPr>
        <w:spacing w:line="360" w:lineRule="auto"/>
        <w:ind w:firstLine="480" w:firstLineChars="200"/>
        <w:rPr>
          <w:rFonts w:ascii="宋体" w:hAnsi="宋体"/>
          <w:sz w:val="24"/>
        </w:rPr>
      </w:pPr>
      <w:r>
        <w:rPr>
          <w:rFonts w:hint="eastAsia" w:ascii="宋体" w:hAnsi="宋体"/>
          <w:sz w:val="24"/>
        </w:rPr>
        <w:t>2.1.8“服务”系指投标人按招标文件规定应承担的送货上门、安装、调试、技术协助、校准、培训、技术指导以及其他类似的附随义务。</w:t>
      </w:r>
    </w:p>
    <w:p>
      <w:pPr>
        <w:spacing w:line="360" w:lineRule="auto"/>
        <w:ind w:firstLine="480" w:firstLineChars="200"/>
        <w:rPr>
          <w:rFonts w:ascii="宋体" w:hAnsi="宋体"/>
          <w:b/>
          <w:bCs/>
          <w:sz w:val="24"/>
        </w:rPr>
      </w:pPr>
      <w:r>
        <w:rPr>
          <w:rFonts w:hint="eastAsia" w:ascii="宋体" w:hAnsi="宋体"/>
          <w:sz w:val="24"/>
        </w:rPr>
        <w:t>2.1.9</w:t>
      </w:r>
      <w:r>
        <w:rPr>
          <w:rFonts w:hint="eastAsia" w:ascii="宋体" w:hAnsi="宋体"/>
          <w:b/>
          <w:bCs/>
          <w:sz w:val="24"/>
        </w:rPr>
        <w:t>本文件所指的公章均指投标人的CA电子章（投标文件格式有特殊要求的除外）。</w:t>
      </w:r>
    </w:p>
    <w:p>
      <w:pPr>
        <w:spacing w:line="360" w:lineRule="auto"/>
        <w:ind w:firstLine="480" w:firstLineChars="200"/>
        <w:rPr>
          <w:rFonts w:ascii="宋体" w:hAnsi="宋体"/>
          <w:sz w:val="24"/>
        </w:rPr>
      </w:pPr>
      <w:r>
        <w:rPr>
          <w:rFonts w:hint="eastAsia" w:ascii="宋体" w:hAnsi="宋体"/>
          <w:bCs/>
          <w:sz w:val="24"/>
        </w:rPr>
        <w:t>2.10“▲” 系指实质性要求条款，</w:t>
      </w:r>
      <w:r>
        <w:rPr>
          <w:rFonts w:hint="eastAsia" w:ascii="宋体" w:hAnsi="宋体" w:cs="宋体"/>
          <w:bCs/>
          <w:spacing w:val="-6"/>
          <w:sz w:val="24"/>
        </w:rPr>
        <w:t xml:space="preserve"> “★”</w:t>
      </w:r>
      <w:r>
        <w:rPr>
          <w:rFonts w:hint="eastAsia" w:ascii="宋体" w:hAnsi="宋体"/>
          <w:bCs/>
          <w:sz w:val="24"/>
        </w:rPr>
        <w:t>系指</w:t>
      </w:r>
      <w:r>
        <w:rPr>
          <w:rFonts w:hint="eastAsia" w:ascii="宋体" w:hAnsi="宋体"/>
          <w:bCs/>
          <w:sz w:val="24"/>
          <w:lang w:val="en-US" w:eastAsia="zh-CN"/>
        </w:rPr>
        <w:t>核心产品，“</w:t>
      </w:r>
      <w:r>
        <w:rPr>
          <w:rFonts w:hint="eastAsia" w:ascii="宋体" w:hAnsi="宋体" w:eastAsia="宋体" w:cs="宋体"/>
          <w:szCs w:val="24"/>
          <w:lang w:val="en-US" w:eastAsia="zh-CN"/>
        </w:rPr>
        <w:t>●”</w:t>
      </w:r>
      <w:r>
        <w:rPr>
          <w:rFonts w:hint="eastAsia" w:ascii="宋体" w:hAnsi="宋体"/>
          <w:bCs/>
          <w:sz w:val="24"/>
        </w:rPr>
        <w:t>系指</w:t>
      </w:r>
      <w:r>
        <w:rPr>
          <w:rFonts w:hint="eastAsia" w:ascii="宋体" w:hAnsi="宋体" w:cs="宋体"/>
          <w:bCs/>
          <w:spacing w:val="-6"/>
          <w:sz w:val="24"/>
        </w:rPr>
        <w:t>重要条款。</w:t>
      </w:r>
    </w:p>
    <w:p>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投标人基本要求</w:t>
      </w:r>
    </w:p>
    <w:p>
      <w:pPr>
        <w:spacing w:line="360" w:lineRule="auto"/>
        <w:ind w:firstLine="480" w:firstLineChars="200"/>
        <w:rPr>
          <w:rFonts w:ascii="宋体" w:hAnsi="宋体"/>
          <w:sz w:val="24"/>
        </w:rPr>
      </w:pPr>
      <w:r>
        <w:rPr>
          <w:rFonts w:ascii="宋体" w:hAnsi="宋体"/>
          <w:sz w:val="24"/>
        </w:rPr>
        <w:t>3.1</w:t>
      </w:r>
      <w:r>
        <w:rPr>
          <w:rFonts w:hint="eastAsia" w:ascii="宋体" w:hAnsi="宋体"/>
          <w:sz w:val="24"/>
        </w:rPr>
        <w:t>符合第一章公告第“二”条规定；</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2投标人应遵守有关的法律、法规和规章条例。</w:t>
      </w:r>
    </w:p>
    <w:p>
      <w:pPr>
        <w:spacing w:line="360" w:lineRule="auto"/>
        <w:ind w:firstLine="482" w:firstLineChars="200"/>
        <w:rPr>
          <w:rFonts w:ascii="宋体" w:hAnsi="宋体"/>
          <w:b/>
          <w:sz w:val="24"/>
        </w:rPr>
      </w:pPr>
      <w:r>
        <w:rPr>
          <w:rFonts w:hint="eastAsia" w:ascii="宋体" w:hAnsi="宋体"/>
          <w:b/>
          <w:sz w:val="24"/>
        </w:rPr>
        <w:t>4</w:t>
      </w:r>
      <w:r>
        <w:rPr>
          <w:rFonts w:ascii="宋体" w:hAnsi="宋体"/>
          <w:b/>
          <w:sz w:val="24"/>
        </w:rPr>
        <w:t>.</w:t>
      </w:r>
      <w:r>
        <w:rPr>
          <w:rFonts w:hint="eastAsia" w:ascii="宋体" w:hAnsi="宋体"/>
          <w:b/>
          <w:sz w:val="24"/>
        </w:rPr>
        <w:t>联合体说明</w:t>
      </w:r>
    </w:p>
    <w:p>
      <w:pPr>
        <w:spacing w:line="360" w:lineRule="auto"/>
        <w:ind w:firstLine="480" w:firstLineChars="200"/>
        <w:rPr>
          <w:rFonts w:ascii="宋体" w:hAnsi="宋体"/>
          <w:sz w:val="24"/>
        </w:rPr>
      </w:pPr>
      <w:r>
        <w:rPr>
          <w:rFonts w:hint="eastAsia" w:ascii="宋体" w:hAnsi="宋体"/>
          <w:sz w:val="24"/>
        </w:rPr>
        <w:t>4.1 本项目接受联合体。</w:t>
      </w:r>
    </w:p>
    <w:p>
      <w:pPr>
        <w:spacing w:line="360" w:lineRule="auto"/>
        <w:ind w:firstLine="482" w:firstLineChars="200"/>
        <w:rPr>
          <w:rFonts w:ascii="宋体" w:hAnsi="宋体"/>
          <w:b/>
          <w:sz w:val="24"/>
        </w:rPr>
      </w:pPr>
      <w:r>
        <w:rPr>
          <w:rFonts w:hint="eastAsia" w:ascii="宋体" w:hAnsi="宋体"/>
          <w:b/>
          <w:sz w:val="24"/>
        </w:rPr>
        <w:t>5.特别说明</w:t>
      </w:r>
    </w:p>
    <w:p>
      <w:pPr>
        <w:spacing w:line="360" w:lineRule="auto"/>
        <w:ind w:firstLine="480" w:firstLineChars="200"/>
        <w:rPr>
          <w:rFonts w:ascii="宋体" w:hAnsi="宋体"/>
          <w:bCs/>
          <w:sz w:val="24"/>
        </w:rPr>
      </w:pPr>
      <w:r>
        <w:rPr>
          <w:rFonts w:hint="eastAsia" w:ascii="宋体" w:hAnsi="宋体"/>
          <w:bCs/>
          <w:sz w:val="24"/>
        </w:rPr>
        <w:t>▲5.1</w:t>
      </w:r>
      <w:r>
        <w:rPr>
          <w:rFonts w:hint="eastAsia" w:ascii="宋体" w:hAnsi="宋体"/>
          <w:sz w:val="24"/>
        </w:rPr>
        <w:t>单位负责人为同一人或者存在直接控股、管理关系的不同投标人，不得参加同一合同项下的政府采购活动。</w:t>
      </w:r>
    </w:p>
    <w:p>
      <w:pPr>
        <w:spacing w:line="360" w:lineRule="auto"/>
        <w:ind w:firstLine="482" w:firstLineChars="200"/>
        <w:rPr>
          <w:rFonts w:ascii="宋体" w:hAnsi="宋体"/>
          <w:sz w:val="24"/>
        </w:rPr>
      </w:pPr>
      <w:r>
        <w:rPr>
          <w:rFonts w:hint="eastAsia" w:ascii="宋体" w:hAnsi="宋体"/>
          <w:b/>
          <w:bCs/>
          <w:sz w:val="24"/>
        </w:rPr>
        <w:t>▲</w:t>
      </w:r>
      <w:r>
        <w:rPr>
          <w:rFonts w:hint="eastAsia" w:ascii="宋体" w:hAnsi="宋体"/>
          <w:sz w:val="24"/>
        </w:rPr>
        <w:t>5.2为采购项目提供整体设计、规范编制或者项目管理、监理、检测等服务的投标人，不得再参加该采购项目的其他采购活动。</w:t>
      </w:r>
    </w:p>
    <w:p>
      <w:pPr>
        <w:spacing w:line="360" w:lineRule="auto"/>
        <w:ind w:firstLine="480" w:firstLineChars="200"/>
        <w:rPr>
          <w:rFonts w:ascii="宋体" w:hAnsi="宋体" w:cs="宋体"/>
          <w:sz w:val="24"/>
        </w:rPr>
      </w:pPr>
      <w:bookmarkStart w:id="121" w:name="_Toc32505"/>
      <w:bookmarkStart w:id="122" w:name="_Toc83312430"/>
      <w:bookmarkStart w:id="123" w:name="_Toc17995"/>
      <w:bookmarkStart w:id="124" w:name="_Toc41577867"/>
      <w:bookmarkStart w:id="125" w:name="_Toc30015"/>
      <w:bookmarkStart w:id="126" w:name="_Toc8449"/>
      <w:r>
        <w:rPr>
          <w:rFonts w:hint="eastAsia" w:ascii="宋体" w:hAnsi="宋体" w:cs="宋体"/>
          <w:sz w:val="24"/>
        </w:rPr>
        <w:t>5.3金融、保险、通讯等特定行业的全国性企业所设立的区域性分支机构(或分公司)，如果已经获得总公司（总机构）授权或能够提供房产权证或其他有效财产证明材料，证明其具备实际承担责任的能力和法定的缔结合同能力，可以允许其独立参加采购活动，但不得使用总公司(总机构)的资质、业绩和人员。</w:t>
      </w:r>
    </w:p>
    <w:p>
      <w:pPr>
        <w:spacing w:line="360" w:lineRule="auto"/>
        <w:ind w:firstLine="480" w:firstLineChars="200"/>
        <w:rPr>
          <w:rFonts w:ascii="宋体" w:hAnsi="宋体" w:cs="宋体"/>
        </w:rPr>
      </w:pPr>
      <w:r>
        <w:rPr>
          <w:rFonts w:hint="eastAsia" w:ascii="宋体" w:hAnsi="宋体" w:cs="宋体"/>
          <w:sz w:val="24"/>
        </w:rPr>
        <w:t>5.4投标人自行承担所有与投标有关的全部费用。</w:t>
      </w:r>
    </w:p>
    <w:p>
      <w:pPr>
        <w:pStyle w:val="4"/>
        <w:spacing w:line="360" w:lineRule="auto"/>
        <w:ind w:firstLine="0" w:firstLineChars="0"/>
        <w:rPr>
          <w:rFonts w:ascii="宋体" w:hAnsi="宋体"/>
        </w:rPr>
      </w:pPr>
      <w:bookmarkStart w:id="127" w:name="_Toc20053"/>
      <w:bookmarkStart w:id="128" w:name="_Toc26611"/>
      <w:r>
        <w:rPr>
          <w:rFonts w:hint="eastAsia" w:ascii="宋体" w:hAnsi="宋体"/>
        </w:rPr>
        <w:t>二 招标文件说明</w:t>
      </w:r>
      <w:bookmarkEnd w:id="121"/>
      <w:bookmarkEnd w:id="122"/>
      <w:bookmarkEnd w:id="123"/>
      <w:bookmarkEnd w:id="124"/>
      <w:bookmarkEnd w:id="125"/>
      <w:bookmarkEnd w:id="126"/>
      <w:bookmarkEnd w:id="127"/>
      <w:bookmarkEnd w:id="128"/>
    </w:p>
    <w:p>
      <w:pPr>
        <w:spacing w:line="360" w:lineRule="auto"/>
        <w:ind w:firstLine="482" w:firstLineChars="200"/>
        <w:rPr>
          <w:rFonts w:ascii="宋体" w:hAnsi="宋体"/>
          <w:b/>
          <w:sz w:val="24"/>
        </w:rPr>
      </w:pPr>
      <w:r>
        <w:rPr>
          <w:rFonts w:hint="eastAsia" w:ascii="宋体" w:hAnsi="宋体"/>
          <w:b/>
          <w:sz w:val="24"/>
        </w:rPr>
        <w:t>6</w:t>
      </w:r>
      <w:r>
        <w:rPr>
          <w:rFonts w:ascii="宋体" w:hAnsi="宋体"/>
          <w:b/>
          <w:sz w:val="24"/>
        </w:rPr>
        <w:t>.</w:t>
      </w:r>
      <w:r>
        <w:rPr>
          <w:rFonts w:hint="eastAsia" w:ascii="宋体" w:hAnsi="宋体"/>
          <w:b/>
          <w:sz w:val="24"/>
        </w:rPr>
        <w:t>招标文件的构成</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招标文件用以阐明所需货物及服务、招标、投标程序和合同条款。招标文件由下述部分组成：</w:t>
      </w:r>
    </w:p>
    <w:p>
      <w:pPr>
        <w:spacing w:line="360" w:lineRule="auto"/>
        <w:ind w:firstLine="480" w:firstLineChars="200"/>
        <w:rPr>
          <w:rFonts w:ascii="宋体" w:hAnsi="宋体"/>
          <w:sz w:val="24"/>
        </w:rPr>
      </w:pPr>
      <w:r>
        <w:rPr>
          <w:rFonts w:hint="eastAsia" w:ascii="宋体" w:hAnsi="宋体"/>
          <w:sz w:val="24"/>
        </w:rPr>
        <w:t>6.1.1招标公告</w:t>
      </w:r>
    </w:p>
    <w:p>
      <w:pPr>
        <w:spacing w:line="360" w:lineRule="auto"/>
        <w:ind w:firstLine="480" w:firstLineChars="200"/>
        <w:rPr>
          <w:rFonts w:ascii="宋体" w:hAnsi="宋体"/>
          <w:sz w:val="24"/>
        </w:rPr>
      </w:pPr>
      <w:r>
        <w:rPr>
          <w:rFonts w:hint="eastAsia" w:ascii="宋体" w:hAnsi="宋体"/>
          <w:sz w:val="24"/>
        </w:rPr>
        <w:t>6.1.2投标人须知</w:t>
      </w:r>
    </w:p>
    <w:p>
      <w:pPr>
        <w:spacing w:line="360" w:lineRule="auto"/>
        <w:ind w:firstLine="480" w:firstLineChars="200"/>
        <w:rPr>
          <w:rFonts w:ascii="宋体" w:hAnsi="宋体"/>
          <w:sz w:val="24"/>
        </w:rPr>
      </w:pPr>
      <w:r>
        <w:rPr>
          <w:rFonts w:hint="eastAsia" w:ascii="宋体" w:hAnsi="宋体"/>
          <w:sz w:val="24"/>
        </w:rPr>
        <w:t>6.1.3采购需求</w:t>
      </w:r>
    </w:p>
    <w:p>
      <w:pPr>
        <w:spacing w:line="360" w:lineRule="auto"/>
        <w:ind w:firstLine="480" w:firstLineChars="200"/>
        <w:rPr>
          <w:rFonts w:ascii="宋体" w:hAnsi="宋体"/>
          <w:sz w:val="24"/>
        </w:rPr>
      </w:pPr>
      <w:r>
        <w:rPr>
          <w:rFonts w:hint="eastAsia" w:ascii="宋体" w:hAnsi="宋体"/>
          <w:sz w:val="24"/>
        </w:rPr>
        <w:t>6.1.4政府采购合同格式</w:t>
      </w:r>
    </w:p>
    <w:p>
      <w:pPr>
        <w:spacing w:line="360" w:lineRule="auto"/>
        <w:ind w:firstLine="480" w:firstLineChars="200"/>
        <w:rPr>
          <w:rFonts w:ascii="宋体" w:hAnsi="宋体"/>
          <w:sz w:val="24"/>
        </w:rPr>
      </w:pPr>
      <w:r>
        <w:rPr>
          <w:rFonts w:hint="eastAsia" w:ascii="宋体" w:hAnsi="宋体"/>
          <w:sz w:val="24"/>
        </w:rPr>
        <w:t>6.1.5投标相关文件格式</w:t>
      </w:r>
    </w:p>
    <w:p>
      <w:pPr>
        <w:spacing w:line="360" w:lineRule="auto"/>
        <w:ind w:firstLine="480" w:firstLineChars="200"/>
        <w:rPr>
          <w:rFonts w:ascii="宋体" w:hAnsi="宋体"/>
          <w:sz w:val="24"/>
        </w:rPr>
      </w:pPr>
      <w:r>
        <w:rPr>
          <w:rFonts w:hint="eastAsia" w:ascii="宋体" w:hAnsi="宋体"/>
          <w:sz w:val="24"/>
        </w:rPr>
        <w:t>6.1.6评标办法和细则</w:t>
      </w:r>
    </w:p>
    <w:p>
      <w:pPr>
        <w:spacing w:line="360" w:lineRule="auto"/>
        <w:ind w:firstLine="480" w:firstLineChars="200"/>
        <w:rPr>
          <w:rFonts w:ascii="宋体" w:hAnsi="宋体"/>
          <w:sz w:val="24"/>
        </w:rPr>
      </w:pPr>
      <w:r>
        <w:rPr>
          <w:rFonts w:hint="eastAsia" w:ascii="宋体" w:hAnsi="宋体"/>
          <w:sz w:val="24"/>
        </w:rPr>
        <w:t>6.1.7与本项目有关的招标文件澄清、答复、修改、补充的内容。</w:t>
      </w:r>
    </w:p>
    <w:p>
      <w:pPr>
        <w:spacing w:line="360" w:lineRule="auto"/>
        <w:ind w:firstLine="482" w:firstLineChars="200"/>
        <w:rPr>
          <w:rFonts w:ascii="宋体" w:hAnsi="宋体"/>
          <w:b/>
          <w:sz w:val="24"/>
        </w:rPr>
      </w:pPr>
      <w:r>
        <w:rPr>
          <w:rFonts w:hint="eastAsia" w:ascii="宋体" w:hAnsi="宋体"/>
          <w:b/>
          <w:sz w:val="24"/>
        </w:rPr>
        <w:t>7.投标人的风险</w:t>
      </w:r>
    </w:p>
    <w:p>
      <w:pPr>
        <w:spacing w:line="360" w:lineRule="auto"/>
        <w:ind w:firstLine="480" w:firstLineChars="200"/>
        <w:rPr>
          <w:rFonts w:ascii="宋体" w:hAnsi="宋体"/>
          <w:sz w:val="24"/>
        </w:rPr>
      </w:pPr>
      <w:r>
        <w:rPr>
          <w:rFonts w:hint="eastAsia" w:ascii="宋体" w:hAnsi="宋体"/>
          <w:sz w:val="24"/>
        </w:rPr>
        <w:t>7.1投标人应认真阅读招标文件中的所有条款。投标人没有按照招标文件的要求提供全部资料，或者投标人没有对招标文件在各方面作出实质性响应是投标人的风险，并可能导致其投标被拒绝。</w:t>
      </w:r>
    </w:p>
    <w:p>
      <w:pPr>
        <w:spacing w:line="360" w:lineRule="auto"/>
        <w:ind w:firstLine="482" w:firstLineChars="200"/>
        <w:rPr>
          <w:rFonts w:ascii="宋体" w:hAnsi="宋体"/>
          <w:b/>
          <w:sz w:val="24"/>
        </w:rPr>
      </w:pPr>
      <w:r>
        <w:rPr>
          <w:rFonts w:hint="eastAsia" w:ascii="宋体" w:hAnsi="宋体"/>
          <w:b/>
          <w:sz w:val="24"/>
        </w:rPr>
        <w:t>8</w:t>
      </w:r>
      <w:r>
        <w:rPr>
          <w:rFonts w:ascii="宋体" w:hAnsi="宋体"/>
          <w:b/>
          <w:sz w:val="24"/>
        </w:rPr>
        <w:t>.</w:t>
      </w:r>
      <w:r>
        <w:rPr>
          <w:rFonts w:hint="eastAsia" w:ascii="宋体" w:hAnsi="宋体"/>
          <w:b/>
          <w:sz w:val="24"/>
        </w:rPr>
        <w:t>招标文件的澄清和修改</w:t>
      </w:r>
    </w:p>
    <w:p>
      <w:pPr>
        <w:spacing w:line="360" w:lineRule="auto"/>
        <w:ind w:firstLine="480" w:firstLineChars="200"/>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招标文件澄清、答复、修改、补充的内容为招标文件的组成部分。</w:t>
      </w:r>
    </w:p>
    <w:p>
      <w:pPr>
        <w:snapToGrid w:val="0"/>
        <w:spacing w:line="360" w:lineRule="auto"/>
        <w:ind w:firstLine="480" w:firstLineChars="200"/>
        <w:rPr>
          <w:rFonts w:ascii="宋体" w:hAnsi="宋体"/>
          <w:sz w:val="24"/>
        </w:rPr>
      </w:pPr>
      <w:r>
        <w:rPr>
          <w:rFonts w:hint="eastAsia" w:ascii="宋体" w:hAnsi="宋体"/>
          <w:sz w:val="24"/>
        </w:rPr>
        <w:t>8.2依法获取招标文件的投标人应认真阅读招标文件，如有疑问应于招标文件规定的时间前向招标代理机构（可传真）提出澄清申请。招标代理机构对已发出的招标文件进行必要的澄清或者修改，澄清或者修改内容可能影响投标文件编制的，招标代理机构在投标截止时间15日前,在“浙江政府采购网</w:t>
      </w:r>
      <w:r>
        <w:fldChar w:fldCharType="begin"/>
      </w:r>
      <w:r>
        <w:instrText xml:space="preserve"> HYPERLINK "http://60.190.126.3:8080/wcm/WCMV6/editor/editor/招标文件（新版）.doc" </w:instrText>
      </w:r>
      <w:r>
        <w:fldChar w:fldCharType="separate"/>
      </w:r>
      <w:r>
        <w:rPr>
          <w:rStyle w:val="29"/>
          <w:rFonts w:hint="default"/>
          <w:color w:val="auto"/>
        </w:rPr>
        <w:t>http://zfcg.czt.zj.gov.cn/</w:t>
      </w:r>
      <w:r>
        <w:rPr>
          <w:rStyle w:val="29"/>
          <w:rFonts w:hint="default"/>
          <w:color w:val="auto"/>
        </w:rPr>
        <w:fldChar w:fldCharType="end"/>
      </w:r>
      <w:r>
        <w:rPr>
          <w:rFonts w:hint="eastAsia" w:ascii="宋体" w:hAnsi="宋体"/>
        </w:rPr>
        <w:t>、</w:t>
      </w:r>
      <w:r>
        <w:rPr>
          <w:rFonts w:hint="eastAsia" w:ascii="宋体" w:hAnsi="宋体" w:cs="仿宋_GB2312"/>
          <w:sz w:val="24"/>
        </w:rPr>
        <w:t>丽水市公共资源交易网（http://lssggzy.lishui.gov.cn/lsweb/）</w:t>
      </w:r>
      <w:r>
        <w:rPr>
          <w:rStyle w:val="29"/>
          <w:rFonts w:hint="default"/>
          <w:color w:val="auto"/>
        </w:rPr>
        <w:t>”</w:t>
      </w:r>
      <w:r>
        <w:rPr>
          <w:rFonts w:hint="eastAsia" w:ascii="宋体" w:hAnsi="宋体"/>
          <w:sz w:val="24"/>
        </w:rPr>
        <w:t>发布更正公告，并对其具有约束力。不足15日的，招标代理机构有权顺延提交投标文件的截止时间。</w:t>
      </w:r>
    </w:p>
    <w:p>
      <w:pPr>
        <w:pStyle w:val="4"/>
        <w:spacing w:line="360" w:lineRule="auto"/>
        <w:ind w:firstLine="200" w:firstLineChars="0"/>
        <w:rPr>
          <w:rFonts w:ascii="宋体" w:hAnsi="宋体"/>
          <w:sz w:val="32"/>
        </w:rPr>
      </w:pPr>
      <w:bookmarkStart w:id="129" w:name="_Toc32102"/>
      <w:bookmarkStart w:id="130" w:name="_Toc83312431"/>
      <w:bookmarkStart w:id="131" w:name="_Toc41577868"/>
      <w:bookmarkStart w:id="132" w:name="_Toc20862"/>
      <w:bookmarkStart w:id="133" w:name="_Toc12886"/>
      <w:bookmarkStart w:id="134" w:name="_Toc4722"/>
      <w:bookmarkStart w:id="135" w:name="_Toc3555"/>
      <w:bookmarkStart w:id="136" w:name="_Toc14673"/>
      <w:r>
        <w:rPr>
          <w:rFonts w:hint="eastAsia" w:ascii="宋体" w:hAnsi="宋体"/>
          <w:sz w:val="32"/>
        </w:rPr>
        <w:t>三投标文件的编写</w:t>
      </w:r>
      <w:bookmarkEnd w:id="129"/>
      <w:bookmarkEnd w:id="130"/>
      <w:bookmarkEnd w:id="131"/>
      <w:bookmarkEnd w:id="132"/>
      <w:bookmarkEnd w:id="133"/>
      <w:bookmarkEnd w:id="134"/>
      <w:bookmarkEnd w:id="135"/>
      <w:bookmarkEnd w:id="136"/>
    </w:p>
    <w:p>
      <w:pPr>
        <w:spacing w:line="360" w:lineRule="auto"/>
        <w:ind w:firstLine="482" w:firstLineChars="200"/>
        <w:rPr>
          <w:rFonts w:ascii="宋体" w:hAnsi="宋体"/>
          <w:b/>
          <w:sz w:val="24"/>
        </w:rPr>
      </w:pPr>
      <w:r>
        <w:rPr>
          <w:rFonts w:hint="eastAsia" w:ascii="宋体" w:hAnsi="宋体"/>
          <w:b/>
          <w:sz w:val="24"/>
        </w:rPr>
        <w:t>9</w:t>
      </w:r>
      <w:r>
        <w:rPr>
          <w:rFonts w:ascii="宋体" w:hAnsi="宋体"/>
          <w:b/>
          <w:sz w:val="24"/>
        </w:rPr>
        <w:t>.</w:t>
      </w:r>
      <w:r>
        <w:rPr>
          <w:rFonts w:hint="eastAsia" w:ascii="宋体" w:hAnsi="宋体"/>
          <w:b/>
          <w:sz w:val="24"/>
        </w:rPr>
        <w:t>要求</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.1</w:t>
      </w:r>
      <w:r>
        <w:rPr>
          <w:rFonts w:hint="eastAsia" w:ascii="宋体" w:hAnsi="宋体"/>
          <w:sz w:val="24"/>
        </w:rPr>
        <w:t>投标人应仔细阅读招标文件的所有内容，按照招标文件的要求提交投标文件，并对所提供的全部资料的真实性承担法律责任。</w:t>
      </w:r>
    </w:p>
    <w:p>
      <w:pPr>
        <w:spacing w:line="360" w:lineRule="auto"/>
        <w:ind w:firstLine="480" w:firstLineChars="200"/>
        <w:rPr>
          <w:rFonts w:ascii="宋体" w:hAnsi="宋体"/>
          <w:sz w:val="24"/>
        </w:rPr>
      </w:pPr>
      <w:r>
        <w:rPr>
          <w:rFonts w:hint="eastAsia" w:ascii="宋体" w:hAnsi="宋体"/>
          <w:sz w:val="24"/>
        </w:rPr>
        <w:t>9.2投标文件、投标人与采购有关的往来通知、函件和文件均应使用中文。如涉及非中文内容的，投标人有义务将其内容翻译成中文，一切对非中文内容的误解，都将由投标人承担。</w:t>
      </w:r>
    </w:p>
    <w:p>
      <w:pPr>
        <w:spacing w:line="360" w:lineRule="auto"/>
        <w:ind w:firstLine="480" w:firstLineChars="200"/>
        <w:rPr>
          <w:rFonts w:ascii="宋体" w:hAnsi="宋体"/>
          <w:sz w:val="24"/>
        </w:rPr>
      </w:pPr>
      <w:r>
        <w:rPr>
          <w:rFonts w:hint="eastAsia" w:ascii="宋体" w:hAnsi="宋体"/>
          <w:sz w:val="24"/>
        </w:rPr>
        <w:t>9.3投标文件的形式和效力</w:t>
      </w:r>
    </w:p>
    <w:p>
      <w:pPr>
        <w:snapToGrid w:val="0"/>
        <w:spacing w:line="360" w:lineRule="auto"/>
        <w:ind w:firstLine="482" w:firstLineChars="200"/>
        <w:rPr>
          <w:rFonts w:ascii="宋体" w:hAnsi="宋体"/>
          <w:b/>
          <w:sz w:val="24"/>
        </w:rPr>
      </w:pPr>
      <w:r>
        <w:rPr>
          <w:rFonts w:hint="eastAsia" w:ascii="宋体" w:hAnsi="宋体"/>
          <w:b/>
          <w:sz w:val="24"/>
        </w:rPr>
        <w:t>9.3.1 投标文件的形式：投标文件分为电子投标文件、备份投标文件。</w:t>
      </w:r>
    </w:p>
    <w:p>
      <w:pPr>
        <w:snapToGrid w:val="0"/>
        <w:spacing w:line="360" w:lineRule="auto"/>
        <w:ind w:firstLine="482" w:firstLineChars="200"/>
        <w:rPr>
          <w:rFonts w:ascii="宋体" w:hAnsi="宋体"/>
          <w:b/>
          <w:sz w:val="24"/>
        </w:rPr>
      </w:pPr>
      <w:r>
        <w:rPr>
          <w:rFonts w:hint="eastAsia" w:ascii="宋体" w:hAnsi="宋体"/>
          <w:b/>
          <w:sz w:val="24"/>
        </w:rPr>
        <w:t>9.3.2 投标文件的效力</w:t>
      </w:r>
    </w:p>
    <w:p>
      <w:pPr>
        <w:snapToGrid w:val="0"/>
        <w:spacing w:line="360" w:lineRule="auto"/>
        <w:ind w:firstLine="480" w:firstLineChars="200"/>
        <w:rPr>
          <w:rFonts w:ascii="宋体" w:hAnsi="宋体"/>
          <w:sz w:val="24"/>
        </w:rPr>
      </w:pPr>
      <w:r>
        <w:rPr>
          <w:rFonts w:hint="eastAsia" w:ascii="宋体" w:hAnsi="宋体"/>
          <w:sz w:val="24"/>
        </w:rPr>
        <w:t>投标文件的启用，按先后顺位分别为电子投标文件、备份投标文件。</w:t>
      </w:r>
    </w:p>
    <w:p>
      <w:pPr>
        <w:snapToGrid w:val="0"/>
        <w:spacing w:line="360" w:lineRule="auto"/>
        <w:ind w:firstLine="480" w:firstLineChars="200"/>
        <w:rPr>
          <w:rFonts w:ascii="宋体" w:hAnsi="宋体"/>
          <w:sz w:val="24"/>
        </w:rPr>
      </w:pPr>
      <w:r>
        <w:rPr>
          <w:rFonts w:hint="eastAsia" w:ascii="宋体" w:hAnsi="宋体"/>
          <w:sz w:val="24"/>
        </w:rPr>
        <w:t>电子投标文件未按时解密，投标人已在规定时间内按规定方式提交了备份投标文件，以备份投标文件为依据，否则视为投标文件撤回；电子投标文件已按时解密的，备份投标文件自动失效。</w:t>
      </w:r>
    </w:p>
    <w:p>
      <w:pPr>
        <w:spacing w:line="360" w:lineRule="auto"/>
        <w:ind w:firstLine="482" w:firstLineChars="200"/>
        <w:rPr>
          <w:rFonts w:ascii="宋体" w:hAnsi="宋体"/>
          <w:b/>
          <w:sz w:val="24"/>
        </w:rPr>
      </w:pPr>
      <w:r>
        <w:rPr>
          <w:rFonts w:hint="eastAsia" w:ascii="宋体" w:hAnsi="宋体"/>
          <w:b/>
          <w:sz w:val="24"/>
        </w:rPr>
        <w:t>10</w:t>
      </w:r>
      <w:r>
        <w:rPr>
          <w:rFonts w:ascii="宋体" w:hAnsi="宋体"/>
          <w:b/>
          <w:sz w:val="24"/>
        </w:rPr>
        <w:t xml:space="preserve">. </w:t>
      </w:r>
      <w:r>
        <w:rPr>
          <w:rFonts w:hint="eastAsia" w:ascii="宋体" w:hAnsi="宋体"/>
          <w:b/>
          <w:sz w:val="24"/>
        </w:rPr>
        <w:t>投标文件的组成</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val="0"/>
          <w:color w:val="auto"/>
          <w:kern w:val="2"/>
          <w:sz w:val="24"/>
          <w:szCs w:val="24"/>
          <w:highlight w:val="none"/>
          <w:lang w:val="en-US" w:eastAsia="zh-CN" w:bidi="ar"/>
        </w:rPr>
      </w:pPr>
      <w:r>
        <w:rPr>
          <w:rFonts w:hint="eastAsia" w:ascii="宋体" w:hAnsi="宋体"/>
          <w:sz w:val="24"/>
        </w:rPr>
        <w:t>▲</w:t>
      </w:r>
      <w:r>
        <w:rPr>
          <w:rFonts w:hint="eastAsia" w:ascii="宋体" w:hAnsi="宋体"/>
          <w:b/>
          <w:sz w:val="24"/>
        </w:rPr>
        <w:t>10</w:t>
      </w:r>
      <w:r>
        <w:rPr>
          <w:rFonts w:ascii="宋体" w:hAnsi="宋体"/>
          <w:b/>
          <w:sz w:val="24"/>
        </w:rPr>
        <w:t>.</w:t>
      </w:r>
      <w:r>
        <w:rPr>
          <w:rFonts w:hint="eastAsia" w:ascii="宋体" w:hAnsi="宋体"/>
          <w:b/>
          <w:sz w:val="24"/>
        </w:rPr>
        <w:t>1提交的投标文件应分为</w:t>
      </w:r>
      <w:r>
        <w:rPr>
          <w:rFonts w:hint="eastAsia" w:ascii="宋体" w:hAnsi="宋体"/>
          <w:b/>
          <w:kern w:val="0"/>
          <w:sz w:val="24"/>
        </w:rPr>
        <w:t>资格</w:t>
      </w:r>
      <w:r>
        <w:rPr>
          <w:rFonts w:ascii="宋体" w:hAnsi="宋体"/>
          <w:b/>
          <w:kern w:val="0"/>
          <w:sz w:val="24"/>
        </w:rPr>
        <w:t>审查文件</w:t>
      </w:r>
      <w:r>
        <w:rPr>
          <w:rFonts w:hint="eastAsia" w:ascii="宋体" w:hAnsi="宋体"/>
          <w:b/>
          <w:kern w:val="0"/>
          <w:sz w:val="24"/>
        </w:rPr>
        <w:t>、</w:t>
      </w:r>
      <w:r>
        <w:rPr>
          <w:rFonts w:hint="eastAsia" w:ascii="宋体" w:hAnsi="宋体"/>
          <w:b/>
          <w:sz w:val="24"/>
        </w:rPr>
        <w:t>资信商务及技术文件、报价文件三部分</w:t>
      </w:r>
      <w:r>
        <w:rPr>
          <w:rFonts w:hint="eastAsia" w:ascii="宋体" w:hAnsi="宋体"/>
          <w:sz w:val="24"/>
        </w:rPr>
        <w:t>。</w:t>
      </w:r>
      <w:r>
        <w:rPr>
          <w:rFonts w:hint="eastAsia" w:ascii="宋体" w:hAnsi="宋体" w:eastAsia="宋体" w:cs="宋体"/>
          <w:b/>
          <w:bCs w:val="0"/>
          <w:color w:val="auto"/>
          <w:kern w:val="2"/>
          <w:sz w:val="24"/>
          <w:szCs w:val="24"/>
          <w:highlight w:val="none"/>
          <w:lang w:val="en-US" w:eastAsia="zh-CN" w:bidi="ar"/>
        </w:rPr>
        <w:t>资格审查文件、资信商务及技术文件如有报价的内容, 其响应文件无效；</w:t>
      </w:r>
    </w:p>
    <w:p>
      <w:pPr>
        <w:keepNext w:val="0"/>
        <w:keepLines w:val="0"/>
        <w:widowControl w:val="0"/>
        <w:suppressLineNumbers w:val="0"/>
        <w:spacing w:before="0" w:beforeAutospacing="0" w:after="0" w:afterAutospacing="0" w:line="360" w:lineRule="auto"/>
        <w:ind w:left="0" w:right="0" w:firstLine="482" w:firstLineChars="200"/>
        <w:jc w:val="both"/>
        <w:rPr>
          <w:rFonts w:ascii="宋体" w:hAnsi="宋体"/>
          <w:sz w:val="24"/>
        </w:rPr>
      </w:pPr>
      <w:r>
        <w:rPr>
          <w:rFonts w:hint="eastAsia" w:ascii="宋体" w:hAnsi="宋体" w:eastAsia="宋体" w:cs="宋体"/>
          <w:b/>
          <w:bCs w:val="0"/>
          <w:color w:val="auto"/>
          <w:kern w:val="2"/>
          <w:sz w:val="24"/>
          <w:szCs w:val="24"/>
          <w:highlight w:val="none"/>
          <w:lang w:val="en-US" w:eastAsia="zh-CN" w:bidi="ar"/>
        </w:rPr>
        <w:t>10.2报价文件如有资信商务及技术文件内容, 其资信商务及技术文件内容评标时将作为无效内容。</w:t>
      </w:r>
    </w:p>
    <w:p>
      <w:pPr>
        <w:spacing w:line="360" w:lineRule="auto"/>
        <w:ind w:firstLine="482" w:firstLineChars="200"/>
        <w:rPr>
          <w:rFonts w:ascii="宋体" w:hAnsi="宋体"/>
          <w:b/>
          <w:sz w:val="24"/>
        </w:rPr>
      </w:pPr>
      <w:r>
        <w:rPr>
          <w:rFonts w:hint="eastAsia" w:ascii="宋体" w:hAnsi="宋体"/>
          <w:b/>
          <w:sz w:val="24"/>
        </w:rPr>
        <w:t>11. 投标文件编制内容和要求</w:t>
      </w:r>
    </w:p>
    <w:p>
      <w:pPr>
        <w:spacing w:line="360" w:lineRule="auto"/>
        <w:ind w:firstLine="482" w:firstLineChars="200"/>
        <w:rPr>
          <w:rFonts w:ascii="宋体" w:hAnsi="宋体"/>
          <w:b/>
          <w:sz w:val="24"/>
        </w:rPr>
      </w:pPr>
      <w:r>
        <w:rPr>
          <w:rFonts w:hint="eastAsia" w:ascii="宋体" w:hAnsi="宋体"/>
          <w:b/>
          <w:sz w:val="24"/>
        </w:rPr>
        <w:t>11.1资格</w:t>
      </w:r>
      <w:r>
        <w:rPr>
          <w:rFonts w:ascii="宋体" w:hAnsi="宋体"/>
          <w:b/>
          <w:sz w:val="24"/>
        </w:rPr>
        <w:t>审查文件</w:t>
      </w:r>
      <w:r>
        <w:rPr>
          <w:rFonts w:hint="eastAsia" w:ascii="宋体" w:hAnsi="宋体"/>
          <w:b/>
          <w:sz w:val="24"/>
        </w:rPr>
        <w:t>编制内容</w:t>
      </w:r>
      <w:r>
        <w:rPr>
          <w:rFonts w:ascii="宋体" w:hAnsi="宋体"/>
          <w:b/>
          <w:sz w:val="24"/>
        </w:rPr>
        <w:t>和要求</w:t>
      </w:r>
      <w:r>
        <w:rPr>
          <w:rFonts w:hint="eastAsia" w:ascii="宋体" w:hAnsi="宋体"/>
          <w:b/>
          <w:sz w:val="24"/>
        </w:rPr>
        <w:t>：</w:t>
      </w:r>
      <w:r>
        <w:rPr>
          <w:rFonts w:hint="eastAsia" w:ascii="宋体" w:hAnsi="宋体"/>
          <w:sz w:val="24"/>
        </w:rPr>
        <w:t>格式见</w:t>
      </w:r>
      <w:r>
        <w:rPr>
          <w:rFonts w:ascii="宋体" w:hAnsi="宋体"/>
          <w:sz w:val="24"/>
        </w:rPr>
        <w:t>第五章资格审查文件格式</w:t>
      </w:r>
    </w:p>
    <w:p>
      <w:pPr>
        <w:spacing w:line="360" w:lineRule="auto"/>
        <w:ind w:firstLine="482" w:firstLineChars="200"/>
        <w:rPr>
          <w:rFonts w:ascii="宋体" w:hAnsi="宋体"/>
          <w:b/>
          <w:sz w:val="24"/>
        </w:rPr>
      </w:pPr>
      <w:r>
        <w:rPr>
          <w:rFonts w:hint="eastAsia" w:ascii="宋体" w:hAnsi="宋体"/>
          <w:b/>
          <w:sz w:val="24"/>
        </w:rPr>
        <w:t>注：</w:t>
      </w:r>
    </w:p>
    <w:p>
      <w:pPr>
        <w:spacing w:line="360" w:lineRule="auto"/>
        <w:ind w:firstLine="482" w:firstLineChars="200"/>
        <w:rPr>
          <w:rFonts w:ascii="宋体" w:hAnsi="宋体"/>
          <w:b/>
          <w:sz w:val="24"/>
        </w:rPr>
      </w:pPr>
      <w:r>
        <w:rPr>
          <w:rFonts w:hint="eastAsia" w:ascii="宋体" w:hAnsi="宋体"/>
          <w:b/>
          <w:sz w:val="24"/>
        </w:rPr>
        <w:t>①资格审查不通过的，不进入下一阶段评标。</w:t>
      </w:r>
    </w:p>
    <w:p>
      <w:pPr>
        <w:spacing w:line="360" w:lineRule="auto"/>
        <w:ind w:firstLine="482" w:firstLineChars="200"/>
        <w:rPr>
          <w:rFonts w:ascii="宋体" w:hAnsi="宋体"/>
          <w:b/>
          <w:sz w:val="24"/>
        </w:rPr>
      </w:pPr>
      <w:r>
        <w:rPr>
          <w:rFonts w:hint="eastAsia" w:ascii="宋体" w:hAnsi="宋体"/>
          <w:b/>
          <w:sz w:val="24"/>
        </w:rPr>
        <w:t>②资格审查顺序为电子交易平台解密后自动生成的“</w:t>
      </w:r>
      <w:r>
        <w:rPr>
          <w:rFonts w:ascii="宋体" w:hAnsi="宋体"/>
          <w:b/>
          <w:sz w:val="24"/>
        </w:rPr>
        <w:t>投标（响应）文件签收登记表”</w:t>
      </w:r>
      <w:r>
        <w:rPr>
          <w:rFonts w:hint="eastAsia" w:ascii="宋体" w:hAnsi="宋体"/>
          <w:b/>
          <w:sz w:val="24"/>
        </w:rPr>
        <w:t xml:space="preserve">名单顺序。 </w:t>
      </w:r>
    </w:p>
    <w:p>
      <w:pPr>
        <w:spacing w:line="360" w:lineRule="auto"/>
        <w:ind w:firstLine="480" w:firstLineChars="200"/>
        <w:rPr>
          <w:rFonts w:ascii="宋体" w:hAnsi="宋体"/>
          <w:sz w:val="24"/>
        </w:rPr>
      </w:pPr>
      <w:r>
        <w:rPr>
          <w:rFonts w:hint="eastAsia" w:ascii="宋体" w:hAnsi="宋体"/>
          <w:sz w:val="24"/>
        </w:rPr>
        <w:t>11.2资信商务及技术文件编制内容和要求：</w:t>
      </w:r>
    </w:p>
    <w:p>
      <w:pPr>
        <w:spacing w:line="360" w:lineRule="auto"/>
        <w:ind w:firstLine="480" w:firstLineChars="200"/>
        <w:rPr>
          <w:rFonts w:ascii="宋体" w:hAnsi="宋体"/>
          <w:sz w:val="24"/>
        </w:rPr>
      </w:pPr>
      <w:r>
        <w:rPr>
          <w:rFonts w:hint="eastAsia" w:ascii="宋体" w:hAnsi="宋体"/>
          <w:sz w:val="24"/>
        </w:rPr>
        <w:t>11.2.1资信及商务部分详见第五章格式。</w:t>
      </w:r>
    </w:p>
    <w:p>
      <w:pPr>
        <w:spacing w:line="360" w:lineRule="auto"/>
        <w:ind w:firstLine="480" w:firstLineChars="200"/>
        <w:rPr>
          <w:rFonts w:ascii="宋体" w:hAnsi="宋体"/>
          <w:sz w:val="24"/>
        </w:rPr>
      </w:pPr>
      <w:r>
        <w:rPr>
          <w:rFonts w:hint="eastAsia" w:ascii="宋体" w:hAnsi="宋体"/>
          <w:sz w:val="24"/>
        </w:rPr>
        <w:t>11.2.2技术部分（包含但不限于）:</w:t>
      </w:r>
    </w:p>
    <w:p>
      <w:pPr>
        <w:spacing w:line="360" w:lineRule="auto"/>
        <w:ind w:firstLine="480" w:firstLineChars="200"/>
        <w:rPr>
          <w:rFonts w:ascii="宋体" w:hAnsi="宋体"/>
          <w:sz w:val="24"/>
        </w:rPr>
      </w:pPr>
      <w:r>
        <w:rPr>
          <w:rFonts w:hint="eastAsia" w:ascii="宋体" w:hAnsi="宋体"/>
          <w:sz w:val="24"/>
        </w:rPr>
        <w:t>11.2.2.1按招标文件第五章投标相关文件格式所列的内容、格式的要求,及投标人认为有必要提供的其它文件；</w:t>
      </w:r>
    </w:p>
    <w:p>
      <w:pPr>
        <w:spacing w:line="360" w:lineRule="auto"/>
        <w:ind w:firstLine="480" w:firstLineChars="200"/>
        <w:rPr>
          <w:rFonts w:ascii="宋体" w:hAnsi="宋体"/>
          <w:sz w:val="24"/>
        </w:rPr>
      </w:pPr>
      <w:r>
        <w:rPr>
          <w:rFonts w:hint="eastAsia" w:ascii="宋体" w:hAnsi="宋体"/>
          <w:sz w:val="24"/>
        </w:rPr>
        <w:t>11.2.2.2投标人需对照招标文件第三章招标要求所列的内容进行承诺；</w:t>
      </w:r>
    </w:p>
    <w:p>
      <w:pPr>
        <w:spacing w:line="360" w:lineRule="auto"/>
        <w:ind w:firstLine="480" w:firstLineChars="200"/>
        <w:rPr>
          <w:rFonts w:ascii="宋体" w:hAnsi="宋体"/>
          <w:sz w:val="24"/>
        </w:rPr>
      </w:pPr>
      <w:r>
        <w:rPr>
          <w:rFonts w:hint="eastAsia" w:ascii="宋体" w:hAnsi="宋体"/>
          <w:sz w:val="24"/>
        </w:rPr>
        <w:t>11.2.2.3投标人认为有必要提交的其他资料文件；</w:t>
      </w:r>
    </w:p>
    <w:p>
      <w:pPr>
        <w:spacing w:line="360" w:lineRule="auto"/>
        <w:ind w:firstLine="480" w:firstLineChars="200"/>
        <w:rPr>
          <w:rFonts w:ascii="宋体" w:hAnsi="宋体"/>
          <w:sz w:val="24"/>
        </w:rPr>
      </w:pPr>
      <w:r>
        <w:rPr>
          <w:rFonts w:hint="eastAsia" w:ascii="宋体" w:hAnsi="宋体"/>
          <w:sz w:val="24"/>
        </w:rPr>
        <w:t>11.3报价文件内容: 详见第五章格式。</w:t>
      </w:r>
    </w:p>
    <w:p>
      <w:pPr>
        <w:spacing w:line="360" w:lineRule="auto"/>
        <w:ind w:firstLine="480" w:firstLineChars="200"/>
        <w:rPr>
          <w:rFonts w:ascii="宋体" w:hAnsi="宋体"/>
          <w:b/>
          <w:sz w:val="24"/>
        </w:rPr>
      </w:pPr>
      <w:r>
        <w:rPr>
          <w:rFonts w:hint="eastAsia" w:ascii="宋体" w:hAnsi="宋体"/>
          <w:sz w:val="24"/>
        </w:rPr>
        <w:t>11.3</w:t>
      </w:r>
      <w:r>
        <w:rPr>
          <w:rFonts w:hint="eastAsia" w:ascii="宋体" w:hAnsi="宋体"/>
          <w:b/>
          <w:sz w:val="24"/>
        </w:rPr>
        <w:t>.</w:t>
      </w:r>
      <w:r>
        <w:rPr>
          <w:rFonts w:hint="eastAsia" w:ascii="宋体" w:hAnsi="宋体"/>
          <w:sz w:val="24"/>
        </w:rPr>
        <w:t>1投标报价要求</w:t>
      </w:r>
    </w:p>
    <w:p>
      <w:pPr>
        <w:spacing w:line="360" w:lineRule="auto"/>
        <w:ind w:firstLine="482" w:firstLineChars="200"/>
        <w:rPr>
          <w:rFonts w:ascii="宋体" w:hAnsi="宋体"/>
          <w:b/>
          <w:bCs/>
          <w:sz w:val="24"/>
        </w:rPr>
      </w:pPr>
      <w:r>
        <w:rPr>
          <w:rFonts w:hint="eastAsia" w:ascii="宋体" w:hAnsi="宋体"/>
          <w:b/>
          <w:bCs/>
          <w:sz w:val="24"/>
        </w:rPr>
        <w:t>▲投标人应在招标文件所附的投标报价表上写明投标报价。投标人只允许有一个报价,招标人不接受有任何选择性的报价。投标报价高于最高限价的作投标文件无效处理。</w:t>
      </w:r>
    </w:p>
    <w:p>
      <w:pPr>
        <w:spacing w:line="360" w:lineRule="auto"/>
        <w:ind w:firstLine="480" w:firstLineChars="200"/>
        <w:rPr>
          <w:rFonts w:ascii="宋体" w:hAnsi="宋体"/>
          <w:sz w:val="24"/>
        </w:rPr>
      </w:pPr>
      <w:r>
        <w:rPr>
          <w:rFonts w:hint="eastAsia" w:ascii="宋体" w:hAnsi="宋体"/>
          <w:sz w:val="24"/>
        </w:rPr>
        <w:t>11.3</w:t>
      </w:r>
      <w:r>
        <w:rPr>
          <w:rFonts w:hint="eastAsia" w:ascii="宋体" w:hAnsi="宋体"/>
          <w:b/>
          <w:sz w:val="24"/>
        </w:rPr>
        <w:t>.</w:t>
      </w:r>
      <w:r>
        <w:rPr>
          <w:rFonts w:hint="eastAsia" w:ascii="宋体" w:hAnsi="宋体"/>
          <w:sz w:val="24"/>
        </w:rPr>
        <w:t>2投标相关报价明细表填写时应详细注明该表列举的费用及分项清单。</w:t>
      </w:r>
    </w:p>
    <w:p>
      <w:pPr>
        <w:spacing w:line="360" w:lineRule="auto"/>
        <w:ind w:firstLine="482" w:firstLineChars="200"/>
        <w:rPr>
          <w:rFonts w:ascii="宋体" w:hAnsi="宋体"/>
          <w:b/>
          <w:sz w:val="24"/>
        </w:rPr>
      </w:pPr>
      <w:r>
        <w:rPr>
          <w:rFonts w:hint="eastAsia" w:ascii="宋体" w:hAnsi="宋体"/>
          <w:b/>
          <w:sz w:val="24"/>
        </w:rPr>
        <w:t>12</w:t>
      </w:r>
      <w:r>
        <w:rPr>
          <w:rFonts w:ascii="宋体" w:hAnsi="宋体"/>
          <w:b/>
          <w:sz w:val="24"/>
        </w:rPr>
        <w:t>.</w:t>
      </w:r>
      <w:r>
        <w:rPr>
          <w:rFonts w:hint="eastAsia" w:ascii="宋体" w:hAnsi="宋体"/>
          <w:b/>
          <w:sz w:val="24"/>
        </w:rPr>
        <w:t>投标文件排版、封面</w:t>
      </w:r>
    </w:p>
    <w:p>
      <w:pPr>
        <w:spacing w:line="360" w:lineRule="auto"/>
        <w:ind w:firstLine="480" w:firstLineChars="200"/>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1</w:t>
      </w:r>
      <w:r>
        <w:rPr>
          <w:rFonts w:ascii="宋体" w:hAnsi="宋体"/>
          <w:sz w:val="24"/>
        </w:rPr>
        <w:t>排版：</w:t>
      </w:r>
      <w:r>
        <w:rPr>
          <w:rFonts w:hint="eastAsia" w:ascii="宋体" w:hAnsi="宋体"/>
          <w:kern w:val="0"/>
          <w:sz w:val="24"/>
        </w:rPr>
        <w:t>所有文字及表格建议采用黑色，正文字体采用宋体小四号字体，标题字体采用宋体小二号字体，页码应逐页连续编注。</w:t>
      </w:r>
    </w:p>
    <w:p>
      <w:pPr>
        <w:spacing w:line="360" w:lineRule="auto"/>
        <w:ind w:firstLine="480" w:firstLineChars="200"/>
        <w:rPr>
          <w:rFonts w:ascii="宋体" w:hAnsi="宋体"/>
          <w:sz w:val="24"/>
        </w:rPr>
      </w:pPr>
      <w:r>
        <w:rPr>
          <w:rFonts w:hint="eastAsia" w:ascii="宋体" w:hAnsi="宋体"/>
          <w:sz w:val="24"/>
        </w:rPr>
        <w:t>12.2封面：按照招标</w:t>
      </w:r>
      <w:r>
        <w:rPr>
          <w:rFonts w:ascii="宋体" w:hAnsi="宋体"/>
          <w:sz w:val="24"/>
        </w:rPr>
        <w:t>文件</w:t>
      </w:r>
      <w:r>
        <w:rPr>
          <w:rFonts w:hint="eastAsia" w:ascii="宋体" w:hAnsi="宋体"/>
          <w:sz w:val="24"/>
        </w:rPr>
        <w:t>第五章提供的格式制作</w:t>
      </w:r>
      <w:r>
        <w:rPr>
          <w:rFonts w:ascii="宋体" w:hAnsi="宋体"/>
          <w:sz w:val="24"/>
        </w:rPr>
        <w:t>封面</w:t>
      </w:r>
      <w:r>
        <w:rPr>
          <w:rFonts w:hint="eastAsia" w:ascii="宋体" w:hAnsi="宋体"/>
          <w:sz w:val="24"/>
        </w:rPr>
        <w:t>。</w:t>
      </w:r>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3</w:t>
      </w:r>
      <w:r>
        <w:rPr>
          <w:rFonts w:ascii="宋体" w:hAnsi="宋体"/>
          <w:b/>
          <w:sz w:val="24"/>
        </w:rPr>
        <w:t>.</w:t>
      </w:r>
      <w:r>
        <w:rPr>
          <w:rFonts w:hint="eastAsia" w:ascii="宋体" w:hAnsi="宋体"/>
          <w:b/>
          <w:sz w:val="24"/>
        </w:rPr>
        <w:t>投标有效期</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3</w:t>
      </w:r>
      <w:r>
        <w:rPr>
          <w:rFonts w:ascii="宋体" w:hAnsi="宋体"/>
          <w:sz w:val="24"/>
        </w:rPr>
        <w:t>.1</w:t>
      </w:r>
      <w:r>
        <w:rPr>
          <w:rFonts w:hint="eastAsia" w:ascii="宋体" w:hAnsi="宋体"/>
          <w:bCs/>
          <w:snapToGrid w:val="0"/>
          <w:sz w:val="24"/>
        </w:rPr>
        <w:t>提交投标文件的截止之日起90天内有效。</w:t>
      </w:r>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4</w:t>
      </w:r>
      <w:r>
        <w:rPr>
          <w:rFonts w:ascii="宋体" w:hAnsi="宋体"/>
          <w:b/>
          <w:sz w:val="24"/>
        </w:rPr>
        <w:t>.</w:t>
      </w:r>
      <w:r>
        <w:rPr>
          <w:rFonts w:hint="eastAsia" w:ascii="宋体" w:hAnsi="宋体"/>
          <w:b/>
          <w:sz w:val="24"/>
        </w:rPr>
        <w:t>投标文件的签署及规定</w:t>
      </w:r>
    </w:p>
    <w:p>
      <w:pPr>
        <w:spacing w:line="360" w:lineRule="auto"/>
        <w:ind w:firstLine="480" w:firstLineChars="200"/>
        <w:rPr>
          <w:rFonts w:ascii="宋体" w:hAnsi="宋体"/>
          <w:kern w:val="0"/>
          <w:sz w:val="24"/>
        </w:rPr>
      </w:pPr>
      <w:r>
        <w:rPr>
          <w:rFonts w:ascii="宋体" w:hAnsi="宋体"/>
          <w:sz w:val="24"/>
        </w:rPr>
        <w:t>1</w:t>
      </w:r>
      <w:r>
        <w:rPr>
          <w:rFonts w:hint="eastAsia" w:ascii="宋体" w:hAnsi="宋体"/>
          <w:sz w:val="24"/>
        </w:rPr>
        <w:t>4</w:t>
      </w:r>
      <w:r>
        <w:rPr>
          <w:rFonts w:ascii="宋体" w:hAnsi="宋体"/>
          <w:sz w:val="24"/>
        </w:rPr>
        <w:t>.1</w:t>
      </w:r>
      <w:r>
        <w:rPr>
          <w:rFonts w:hint="eastAsia" w:ascii="宋体" w:hAnsi="宋体"/>
          <w:kern w:val="0"/>
          <w:sz w:val="24"/>
        </w:rPr>
        <w:t>投标人应按招标文件规定的内容和要求编制投标文件，</w:t>
      </w:r>
      <w:r>
        <w:rPr>
          <w:rFonts w:hint="eastAsia" w:ascii="宋体" w:hAnsi="宋体"/>
          <w:bCs/>
          <w:sz w:val="24"/>
        </w:rPr>
        <w:t>投标文件</w:t>
      </w:r>
      <w:r>
        <w:rPr>
          <w:rFonts w:hint="eastAsia" w:ascii="宋体" w:hAnsi="宋体"/>
          <w:kern w:val="0"/>
          <w:sz w:val="24"/>
        </w:rPr>
        <w:t>须清楚的标明“资格</w:t>
      </w:r>
      <w:r>
        <w:rPr>
          <w:rFonts w:ascii="宋体" w:hAnsi="宋体"/>
          <w:kern w:val="0"/>
          <w:sz w:val="24"/>
        </w:rPr>
        <w:t>审查文件</w:t>
      </w:r>
      <w:r>
        <w:rPr>
          <w:rFonts w:hint="eastAsia" w:ascii="宋体" w:hAnsi="宋体"/>
          <w:kern w:val="0"/>
          <w:sz w:val="24"/>
        </w:rPr>
        <w:t>”</w:t>
      </w:r>
      <w:r>
        <w:rPr>
          <w:rFonts w:ascii="宋体" w:hAnsi="宋体"/>
          <w:kern w:val="0"/>
          <w:sz w:val="24"/>
        </w:rPr>
        <w:t>、</w:t>
      </w:r>
      <w:r>
        <w:rPr>
          <w:rFonts w:hint="eastAsia" w:ascii="宋体" w:hAnsi="宋体"/>
          <w:kern w:val="0"/>
          <w:sz w:val="24"/>
        </w:rPr>
        <w:t>“资信商务及技术文件”、“报价文件”。</w:t>
      </w:r>
    </w:p>
    <w:p>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4</w:t>
      </w:r>
      <w:r>
        <w:rPr>
          <w:rFonts w:ascii="宋体" w:hAnsi="宋体"/>
          <w:kern w:val="0"/>
          <w:sz w:val="24"/>
        </w:rPr>
        <w:t>.</w:t>
      </w:r>
      <w:r>
        <w:rPr>
          <w:rFonts w:hint="eastAsia" w:ascii="宋体" w:hAnsi="宋体"/>
          <w:kern w:val="0"/>
          <w:sz w:val="24"/>
        </w:rPr>
        <w:t>2电子投标文件及备份投标文件中须加盖公章部分均采用</w:t>
      </w:r>
      <w:r>
        <w:rPr>
          <w:rFonts w:hint="eastAsia" w:ascii="宋体" w:hAnsi="宋体"/>
          <w:b/>
          <w:kern w:val="0"/>
          <w:sz w:val="24"/>
        </w:rPr>
        <w:t>CA</w:t>
      </w:r>
      <w:r>
        <w:rPr>
          <w:rFonts w:hint="eastAsia" w:ascii="宋体" w:hAnsi="宋体"/>
          <w:kern w:val="0"/>
          <w:sz w:val="24"/>
        </w:rPr>
        <w:t>签章（投标文件格式有特殊要求的除外）。</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3电报、电话、传真形式的投标概不接受。</w:t>
      </w:r>
    </w:p>
    <w:p>
      <w:pPr>
        <w:pStyle w:val="4"/>
        <w:spacing w:line="360" w:lineRule="auto"/>
        <w:ind w:firstLine="200" w:firstLineChars="0"/>
        <w:rPr>
          <w:rFonts w:ascii="宋体" w:hAnsi="宋体"/>
          <w:sz w:val="32"/>
        </w:rPr>
      </w:pPr>
      <w:bookmarkStart w:id="137" w:name="_Toc82608170"/>
      <w:bookmarkStart w:id="138" w:name="_Toc5246"/>
      <w:bookmarkStart w:id="139" w:name="_Toc15332"/>
      <w:bookmarkStart w:id="140" w:name="_Toc83312432"/>
      <w:bookmarkStart w:id="141" w:name="_Toc41577869"/>
      <w:bookmarkStart w:id="142" w:name="_Toc1522"/>
      <w:bookmarkStart w:id="143" w:name="_Toc17793765"/>
      <w:bookmarkStart w:id="144" w:name="_Toc14292"/>
      <w:bookmarkStart w:id="145" w:name="_Toc28602"/>
      <w:bookmarkStart w:id="146" w:name="_Toc17544"/>
      <w:r>
        <w:rPr>
          <w:rFonts w:hint="eastAsia" w:ascii="宋体" w:hAnsi="宋体"/>
          <w:sz w:val="32"/>
        </w:rPr>
        <w:t>四   履约保证金</w:t>
      </w:r>
      <w:bookmarkEnd w:id="137"/>
      <w:bookmarkEnd w:id="138"/>
      <w:bookmarkEnd w:id="139"/>
      <w:bookmarkEnd w:id="140"/>
      <w:bookmarkEnd w:id="141"/>
      <w:bookmarkEnd w:id="142"/>
      <w:bookmarkEnd w:id="143"/>
      <w:bookmarkEnd w:id="144"/>
      <w:bookmarkEnd w:id="145"/>
      <w:bookmarkEnd w:id="146"/>
    </w:p>
    <w:p>
      <w:pPr>
        <w:spacing w:line="360" w:lineRule="auto"/>
        <w:ind w:firstLine="482" w:firstLineChars="200"/>
        <w:rPr>
          <w:rFonts w:ascii="宋体" w:hAnsi="宋体"/>
          <w:b/>
          <w:bCs/>
          <w:sz w:val="24"/>
        </w:rPr>
      </w:pPr>
      <w:r>
        <w:rPr>
          <w:rFonts w:hint="eastAsia" w:ascii="宋体" w:hAnsi="宋体"/>
          <w:b/>
          <w:bCs/>
          <w:sz w:val="24"/>
        </w:rPr>
        <w:t>15. 无。</w:t>
      </w:r>
    </w:p>
    <w:p>
      <w:pPr>
        <w:pStyle w:val="4"/>
        <w:spacing w:line="360" w:lineRule="auto"/>
        <w:ind w:firstLine="200" w:firstLineChars="0"/>
        <w:rPr>
          <w:rFonts w:ascii="宋体" w:hAnsi="宋体"/>
          <w:sz w:val="32"/>
        </w:rPr>
      </w:pPr>
      <w:bookmarkStart w:id="147" w:name="_Toc15195"/>
      <w:bookmarkStart w:id="148" w:name="_Toc22142"/>
      <w:bookmarkStart w:id="149" w:name="_Toc83312433"/>
      <w:bookmarkStart w:id="150" w:name="_Toc41577870"/>
      <w:bookmarkStart w:id="151" w:name="_Toc29524"/>
      <w:bookmarkStart w:id="152" w:name="_Toc14653"/>
      <w:bookmarkStart w:id="153" w:name="_Toc16084"/>
      <w:bookmarkStart w:id="154" w:name="_Toc7387"/>
      <w:r>
        <w:rPr>
          <w:rFonts w:hint="eastAsia" w:ascii="宋体" w:hAnsi="宋体"/>
          <w:sz w:val="32"/>
        </w:rPr>
        <w:t>五 投标文件的加密、提交、修改和撤回</w:t>
      </w:r>
      <w:bookmarkEnd w:id="147"/>
      <w:bookmarkEnd w:id="148"/>
      <w:bookmarkEnd w:id="149"/>
      <w:bookmarkEnd w:id="150"/>
      <w:bookmarkEnd w:id="151"/>
      <w:bookmarkEnd w:id="152"/>
      <w:bookmarkEnd w:id="153"/>
      <w:bookmarkEnd w:id="154"/>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6</w:t>
      </w:r>
      <w:r>
        <w:rPr>
          <w:rFonts w:ascii="宋体" w:hAnsi="宋体"/>
          <w:b/>
          <w:sz w:val="24"/>
        </w:rPr>
        <w:t>.</w:t>
      </w:r>
      <w:r>
        <w:rPr>
          <w:rFonts w:hint="eastAsia" w:ascii="宋体" w:hAnsi="宋体"/>
          <w:b/>
          <w:sz w:val="24"/>
        </w:rPr>
        <w:t>投标文件的加密</w:t>
      </w:r>
    </w:p>
    <w:p>
      <w:pPr>
        <w:spacing w:line="360" w:lineRule="auto"/>
        <w:ind w:firstLine="480" w:firstLineChars="200"/>
        <w:rPr>
          <w:rFonts w:ascii="宋体" w:hAnsi="宋体"/>
          <w:sz w:val="24"/>
        </w:rPr>
      </w:pPr>
      <w:r>
        <w:rPr>
          <w:rFonts w:hint="eastAsia" w:ascii="宋体" w:hAnsi="宋体"/>
          <w:sz w:val="24"/>
        </w:rPr>
        <w:t>16.1投标人应当将资格</w:t>
      </w:r>
      <w:r>
        <w:rPr>
          <w:rFonts w:ascii="宋体" w:hAnsi="宋体"/>
          <w:sz w:val="24"/>
        </w:rPr>
        <w:t>审查文件</w:t>
      </w:r>
      <w:r>
        <w:rPr>
          <w:rFonts w:hint="eastAsia" w:ascii="宋体" w:hAnsi="宋体"/>
          <w:sz w:val="24"/>
        </w:rPr>
        <w:t>、资信</w:t>
      </w:r>
      <w:r>
        <w:rPr>
          <w:rFonts w:ascii="宋体" w:hAnsi="宋体"/>
          <w:sz w:val="24"/>
        </w:rPr>
        <w:t>商务</w:t>
      </w:r>
      <w:r>
        <w:rPr>
          <w:rFonts w:hint="eastAsia" w:ascii="宋体" w:hAnsi="宋体"/>
          <w:sz w:val="24"/>
        </w:rPr>
        <w:t>及</w:t>
      </w:r>
      <w:r>
        <w:rPr>
          <w:rFonts w:ascii="宋体" w:hAnsi="宋体"/>
          <w:sz w:val="24"/>
        </w:rPr>
        <w:t>技术文件</w:t>
      </w:r>
      <w:r>
        <w:rPr>
          <w:rFonts w:hint="eastAsia" w:ascii="宋体" w:hAnsi="宋体"/>
          <w:sz w:val="24"/>
        </w:rPr>
        <w:t>和报价文件三部分分别导入相应位置，各文件之间不得混装；</w:t>
      </w:r>
    </w:p>
    <w:p>
      <w:pPr>
        <w:spacing w:line="360" w:lineRule="auto"/>
        <w:ind w:firstLine="480" w:firstLineChars="200"/>
        <w:rPr>
          <w:rFonts w:ascii="宋体" w:hAnsi="宋体"/>
          <w:b/>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2</w:t>
      </w:r>
      <w:r>
        <w:rPr>
          <w:rFonts w:hint="eastAsia" w:ascii="宋体" w:hAnsi="宋体"/>
          <w:b/>
          <w:sz w:val="24"/>
        </w:rPr>
        <w:t>电子投标文件按政采云平台供应商项目采购-电子招投标操作指南进行加密；</w:t>
      </w:r>
    </w:p>
    <w:p>
      <w:pPr>
        <w:spacing w:line="360" w:lineRule="auto"/>
        <w:ind w:firstLine="482" w:firstLineChars="200"/>
        <w:rPr>
          <w:rFonts w:ascii="宋体" w:hAnsi="宋体"/>
          <w:b/>
          <w:sz w:val="24"/>
        </w:rPr>
      </w:pPr>
      <w:r>
        <w:rPr>
          <w:rFonts w:hint="eastAsia" w:ascii="宋体" w:hAnsi="宋体"/>
          <w:b/>
          <w:sz w:val="24"/>
        </w:rPr>
        <w:t>17.投标文件的提交</w:t>
      </w:r>
    </w:p>
    <w:p>
      <w:pPr>
        <w:spacing w:line="360" w:lineRule="auto"/>
        <w:ind w:firstLine="240" w:firstLineChars="100"/>
        <w:rPr>
          <w:rFonts w:ascii="宋体" w:hAnsi="宋体"/>
          <w:sz w:val="24"/>
        </w:rPr>
      </w:pPr>
      <w:r>
        <w:rPr>
          <w:rFonts w:hint="eastAsia" w:ascii="宋体" w:hAnsi="宋体"/>
          <w:bCs/>
          <w:sz w:val="24"/>
        </w:rPr>
        <w:t>▲</w:t>
      </w:r>
      <w:r>
        <w:rPr>
          <w:rFonts w:hint="eastAsia" w:ascii="宋体" w:hAnsi="宋体"/>
          <w:sz w:val="24"/>
        </w:rPr>
        <w:t>17.1投标文件上传截止时间和地点详见本章前附表。</w:t>
      </w:r>
    </w:p>
    <w:p>
      <w:pPr>
        <w:spacing w:line="360" w:lineRule="auto"/>
        <w:ind w:firstLine="480" w:firstLineChars="200"/>
        <w:rPr>
          <w:rFonts w:ascii="宋体" w:hAnsi="宋体"/>
          <w:sz w:val="24"/>
        </w:rPr>
      </w:pPr>
      <w:r>
        <w:rPr>
          <w:rFonts w:hint="eastAsia" w:ascii="宋体" w:hAnsi="宋体"/>
          <w:sz w:val="24"/>
        </w:rPr>
        <w:t>17.2不予</w:t>
      </w:r>
      <w:r>
        <w:rPr>
          <w:rFonts w:ascii="宋体" w:hAnsi="宋体"/>
          <w:sz w:val="24"/>
        </w:rPr>
        <w:t>接收</w:t>
      </w:r>
      <w:r>
        <w:rPr>
          <w:rFonts w:hint="eastAsia" w:ascii="宋体" w:hAnsi="宋体"/>
          <w:sz w:val="24"/>
        </w:rPr>
        <w:t>的电子投标</w:t>
      </w:r>
      <w:r>
        <w:rPr>
          <w:rFonts w:ascii="宋体" w:hAnsi="宋体"/>
          <w:sz w:val="24"/>
        </w:rPr>
        <w:t>文件</w:t>
      </w:r>
      <w:r>
        <w:rPr>
          <w:rFonts w:hint="eastAsia" w:ascii="宋体" w:hAnsi="宋体"/>
          <w:sz w:val="24"/>
        </w:rPr>
        <w:t>情形</w:t>
      </w:r>
    </w:p>
    <w:p>
      <w:pPr>
        <w:spacing w:line="360" w:lineRule="auto"/>
        <w:ind w:firstLine="480" w:firstLineChars="200"/>
        <w:rPr>
          <w:rFonts w:ascii="宋体" w:hAnsi="宋体"/>
          <w:sz w:val="24"/>
        </w:rPr>
      </w:pPr>
      <w:r>
        <w:rPr>
          <w:rFonts w:ascii="宋体" w:hAnsi="宋体"/>
          <w:sz w:val="24"/>
        </w:rPr>
        <w:fldChar w:fldCharType="begin"/>
      </w:r>
      <w:r>
        <w:rPr>
          <w:rFonts w:hint="eastAsia" w:ascii="宋体" w:hAnsi="宋体"/>
          <w:sz w:val="24"/>
        </w:rPr>
        <w:instrText xml:space="preserve">= 1 \* GB2</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投标截止时间前未完成传输的电子投标文件；</w:t>
      </w:r>
    </w:p>
    <w:p>
      <w:pPr>
        <w:spacing w:line="360" w:lineRule="auto"/>
        <w:ind w:firstLine="480" w:firstLineChars="200"/>
        <w:rPr>
          <w:rFonts w:ascii="宋体" w:hAnsi="宋体"/>
          <w:sz w:val="24"/>
        </w:rPr>
      </w:pPr>
      <w:r>
        <w:rPr>
          <w:rFonts w:ascii="宋体" w:hAnsi="宋体"/>
          <w:sz w:val="24"/>
        </w:rPr>
        <w:fldChar w:fldCharType="begin"/>
      </w:r>
      <w:r>
        <w:rPr>
          <w:rFonts w:hint="eastAsia" w:ascii="宋体" w:hAnsi="宋体"/>
          <w:sz w:val="24"/>
        </w:rPr>
        <w:instrText xml:space="preserve">= 2 \* GB2</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未生成加密的电子投标文件；</w:t>
      </w:r>
    </w:p>
    <w:p>
      <w:pPr>
        <w:spacing w:line="360" w:lineRule="auto"/>
        <w:ind w:firstLine="480" w:firstLineChars="200"/>
        <w:rPr>
          <w:rFonts w:ascii="宋体" w:hAnsi="宋体"/>
          <w:sz w:val="24"/>
        </w:rPr>
      </w:pPr>
      <w:r>
        <w:rPr>
          <w:rFonts w:hint="eastAsia" w:ascii="宋体" w:hAnsi="宋体"/>
          <w:sz w:val="24"/>
        </w:rPr>
        <w:t>⑶在规定时间内未解密的电子投标文件或者解密不成功又未在规定时间内提交备份投标文件的。</w:t>
      </w:r>
    </w:p>
    <w:p>
      <w:pPr>
        <w:spacing w:line="360" w:lineRule="auto"/>
        <w:ind w:firstLine="482" w:firstLineChars="200"/>
        <w:rPr>
          <w:rFonts w:ascii="宋体" w:hAnsi="宋体"/>
          <w:b/>
          <w:sz w:val="24"/>
        </w:rPr>
      </w:pPr>
      <w:r>
        <w:rPr>
          <w:rFonts w:hint="eastAsia" w:ascii="宋体" w:hAnsi="宋体"/>
          <w:b/>
          <w:sz w:val="24"/>
        </w:rPr>
        <w:t>18.投标文件的修改和撤回</w:t>
      </w:r>
    </w:p>
    <w:p>
      <w:pPr>
        <w:spacing w:line="360" w:lineRule="auto"/>
        <w:ind w:firstLine="480" w:firstLineChars="200"/>
        <w:rPr>
          <w:rFonts w:ascii="宋体" w:hAnsi="宋体"/>
          <w:b/>
          <w:sz w:val="24"/>
        </w:rPr>
      </w:pPr>
      <w:r>
        <w:rPr>
          <w:rFonts w:hint="eastAsia" w:ascii="宋体" w:hAnsi="宋体"/>
          <w:sz w:val="24"/>
        </w:rPr>
        <w:t>18.</w:t>
      </w:r>
      <w:r>
        <w:rPr>
          <w:rFonts w:ascii="宋体" w:hAnsi="宋体"/>
          <w:sz w:val="24"/>
        </w:rPr>
        <w:t>1</w:t>
      </w:r>
      <w:r>
        <w:rPr>
          <w:rFonts w:hint="eastAsia" w:ascii="宋体" w:hAnsi="宋体"/>
          <w:sz w:val="24"/>
        </w:rPr>
        <w:t>在投标截止时间前，可以修改或撤回其投标文件：</w:t>
      </w:r>
      <w:r>
        <w:rPr>
          <w:rFonts w:hint="eastAsia" w:ascii="宋体" w:hAnsi="宋体"/>
          <w:b/>
          <w:sz w:val="24"/>
        </w:rPr>
        <w:t>（1）电子投标文件补充</w:t>
      </w:r>
      <w:r>
        <w:rPr>
          <w:rFonts w:ascii="宋体" w:hAnsi="宋体"/>
          <w:b/>
          <w:sz w:val="24"/>
        </w:rPr>
        <w:t>、修改或</w:t>
      </w:r>
      <w:r>
        <w:rPr>
          <w:rFonts w:hint="eastAsia" w:ascii="宋体" w:hAnsi="宋体"/>
          <w:b/>
          <w:sz w:val="24"/>
        </w:rPr>
        <w:t>撤回</w:t>
      </w:r>
      <w:r>
        <w:rPr>
          <w:rFonts w:ascii="宋体" w:hAnsi="宋体"/>
          <w:b/>
          <w:sz w:val="24"/>
        </w:rPr>
        <w:t>的</w:t>
      </w:r>
      <w:r>
        <w:rPr>
          <w:rFonts w:hint="eastAsia" w:ascii="宋体" w:hAnsi="宋体"/>
          <w:b/>
          <w:sz w:val="24"/>
        </w:rPr>
        <w:t>，应当先行撤回原文件，补充、修改后重新传输提交；（2）备份投标文件</w:t>
      </w:r>
      <w:r>
        <w:rPr>
          <w:rFonts w:ascii="宋体" w:hAnsi="宋体"/>
          <w:b/>
          <w:sz w:val="24"/>
        </w:rPr>
        <w:t>补充、修改或</w:t>
      </w:r>
      <w:r>
        <w:rPr>
          <w:rFonts w:hint="eastAsia" w:ascii="宋体" w:hAnsi="宋体"/>
          <w:b/>
          <w:sz w:val="24"/>
        </w:rPr>
        <w:t>撤回</w:t>
      </w:r>
      <w:r>
        <w:rPr>
          <w:rFonts w:ascii="宋体" w:hAnsi="宋体"/>
          <w:b/>
          <w:sz w:val="24"/>
        </w:rPr>
        <w:t>的</w:t>
      </w:r>
      <w:r>
        <w:rPr>
          <w:rFonts w:hint="eastAsia" w:ascii="宋体" w:hAnsi="宋体"/>
          <w:b/>
          <w:sz w:val="24"/>
        </w:rPr>
        <w:t>，代理机构以投标人在投标截止时间前提交的最后一份备份投标文件为准。</w:t>
      </w:r>
    </w:p>
    <w:p>
      <w:pPr>
        <w:spacing w:line="360" w:lineRule="auto"/>
        <w:ind w:firstLine="480" w:firstLineChars="200"/>
        <w:rPr>
          <w:rFonts w:ascii="宋体" w:hAnsi="宋体"/>
          <w:sz w:val="24"/>
        </w:rPr>
      </w:pPr>
      <w:r>
        <w:rPr>
          <w:rFonts w:hint="eastAsia" w:ascii="宋体" w:hAnsi="宋体"/>
          <w:sz w:val="24"/>
        </w:rPr>
        <w:t>18.</w:t>
      </w:r>
      <w:r>
        <w:rPr>
          <w:rFonts w:ascii="宋体" w:hAnsi="宋体"/>
          <w:sz w:val="24"/>
        </w:rPr>
        <w:t>2</w:t>
      </w:r>
      <w:r>
        <w:rPr>
          <w:rFonts w:hint="eastAsia" w:ascii="宋体" w:hAnsi="宋体"/>
          <w:sz w:val="24"/>
        </w:rPr>
        <w:t>修改后重新提交的投标文件应按招标文件的规定编制、标记和提交。</w:t>
      </w:r>
    </w:p>
    <w:p>
      <w:pPr>
        <w:spacing w:line="360" w:lineRule="auto"/>
        <w:ind w:firstLine="236" w:firstLineChars="98"/>
        <w:rPr>
          <w:rFonts w:ascii="宋体" w:hAnsi="宋体"/>
          <w:sz w:val="24"/>
        </w:rPr>
      </w:pPr>
      <w:r>
        <w:rPr>
          <w:rFonts w:hint="eastAsia" w:ascii="宋体" w:hAnsi="宋体"/>
          <w:b/>
          <w:bCs/>
          <w:sz w:val="24"/>
        </w:rPr>
        <w:t>▲</w:t>
      </w:r>
      <w:r>
        <w:rPr>
          <w:rFonts w:hint="eastAsia" w:ascii="宋体" w:hAnsi="宋体"/>
          <w:sz w:val="24"/>
        </w:rPr>
        <w:t>18.</w:t>
      </w:r>
      <w:r>
        <w:rPr>
          <w:rFonts w:ascii="宋体" w:hAnsi="宋体"/>
          <w:sz w:val="24"/>
        </w:rPr>
        <w:t>3</w:t>
      </w:r>
      <w:r>
        <w:rPr>
          <w:rFonts w:hint="eastAsia" w:ascii="宋体" w:hAnsi="宋体"/>
          <w:sz w:val="24"/>
        </w:rPr>
        <w:t>在投标截止时间后,投标人不得修改、撤回已提交的投标文件。</w:t>
      </w:r>
    </w:p>
    <w:p>
      <w:pPr>
        <w:spacing w:line="360" w:lineRule="auto"/>
        <w:ind w:firstLine="236" w:firstLineChars="98"/>
        <w:rPr>
          <w:rFonts w:ascii="宋体" w:hAnsi="宋体"/>
        </w:rPr>
      </w:pPr>
      <w:r>
        <w:rPr>
          <w:rFonts w:hint="eastAsia" w:ascii="宋体" w:hAnsi="宋体"/>
          <w:b/>
          <w:sz w:val="24"/>
        </w:rPr>
        <w:t>▲18.4补充、修改后的电子投标文件、备份投标文件内容均应相同。</w:t>
      </w:r>
    </w:p>
    <w:p>
      <w:pPr>
        <w:pStyle w:val="4"/>
        <w:spacing w:line="360" w:lineRule="auto"/>
        <w:ind w:firstLine="200" w:firstLineChars="0"/>
        <w:rPr>
          <w:rFonts w:ascii="宋体" w:hAnsi="宋体"/>
          <w:sz w:val="32"/>
        </w:rPr>
      </w:pPr>
      <w:bookmarkStart w:id="155" w:name="_Toc41577871"/>
      <w:bookmarkStart w:id="156" w:name="_Toc26620"/>
      <w:bookmarkStart w:id="157" w:name="_Toc83312434"/>
      <w:bookmarkStart w:id="158" w:name="_Toc30930"/>
      <w:bookmarkStart w:id="159" w:name="_Toc2605"/>
      <w:bookmarkStart w:id="160" w:name="_Toc7353"/>
      <w:bookmarkStart w:id="161" w:name="_Toc22894"/>
      <w:bookmarkStart w:id="162" w:name="_Toc790"/>
      <w:r>
        <w:rPr>
          <w:rFonts w:hint="eastAsia" w:ascii="宋体" w:hAnsi="宋体"/>
          <w:sz w:val="32"/>
        </w:rPr>
        <w:t>六 开标和评审</w:t>
      </w:r>
      <w:bookmarkEnd w:id="155"/>
      <w:bookmarkEnd w:id="156"/>
      <w:bookmarkEnd w:id="157"/>
      <w:bookmarkEnd w:id="158"/>
      <w:bookmarkEnd w:id="159"/>
      <w:bookmarkEnd w:id="160"/>
      <w:bookmarkEnd w:id="161"/>
      <w:bookmarkEnd w:id="162"/>
    </w:p>
    <w:p>
      <w:pPr>
        <w:spacing w:line="360" w:lineRule="auto"/>
        <w:ind w:firstLine="482" w:firstLineChars="200"/>
        <w:rPr>
          <w:rFonts w:ascii="宋体" w:hAnsi="宋体"/>
          <w:b/>
          <w:sz w:val="24"/>
        </w:rPr>
      </w:pPr>
      <w:r>
        <w:rPr>
          <w:rFonts w:hint="eastAsia" w:ascii="宋体" w:hAnsi="宋体"/>
          <w:b/>
          <w:sz w:val="24"/>
        </w:rPr>
        <w:t>19.开标</w:t>
      </w:r>
    </w:p>
    <w:p>
      <w:pPr>
        <w:spacing w:line="360" w:lineRule="auto"/>
        <w:ind w:firstLine="482" w:firstLineChars="200"/>
        <w:rPr>
          <w:rFonts w:ascii="宋体" w:hAnsi="宋体"/>
          <w:b/>
          <w:sz w:val="24"/>
        </w:rPr>
      </w:pPr>
      <w:r>
        <w:rPr>
          <w:rFonts w:hint="eastAsia" w:ascii="宋体" w:hAnsi="宋体"/>
          <w:b/>
          <w:sz w:val="24"/>
        </w:rPr>
        <w:t>19.1优先采用电子投标文件进行</w:t>
      </w:r>
      <w:r>
        <w:rPr>
          <w:rFonts w:ascii="宋体" w:hAnsi="宋体"/>
          <w:b/>
          <w:sz w:val="24"/>
        </w:rPr>
        <w:t>开标</w:t>
      </w:r>
      <w:r>
        <w:rPr>
          <w:rFonts w:hint="eastAsia" w:ascii="宋体" w:hAnsi="宋体"/>
          <w:b/>
          <w:sz w:val="24"/>
        </w:rPr>
        <w:t>，电子投标文件未按时解密的，采用备份投标文件开标。</w:t>
      </w:r>
    </w:p>
    <w:p>
      <w:pPr>
        <w:spacing w:line="360" w:lineRule="auto"/>
        <w:ind w:firstLine="480" w:firstLineChars="200"/>
        <w:rPr>
          <w:rFonts w:ascii="宋体" w:hAnsi="宋体"/>
          <w:sz w:val="24"/>
        </w:rPr>
      </w:pPr>
      <w:bookmarkStart w:id="163" w:name="_Toc396838136"/>
      <w:bookmarkStart w:id="164" w:name="_Toc393869892"/>
      <w:bookmarkStart w:id="165" w:name="_Toc415648536"/>
      <w:bookmarkStart w:id="166" w:name="_Toc394928032"/>
      <w:bookmarkStart w:id="167" w:name="_Toc393869894"/>
      <w:r>
        <w:rPr>
          <w:rFonts w:hint="eastAsia" w:ascii="宋体" w:hAnsi="宋体"/>
          <w:sz w:val="24"/>
        </w:rPr>
        <w:t>19.2招标代理机构在招标文件规定的时间和地点组织开标会，投标人应安排人员准时在线参加，否则产生的风险由投标人自行承担。</w:t>
      </w:r>
    </w:p>
    <w:p>
      <w:pPr>
        <w:spacing w:line="360" w:lineRule="auto"/>
        <w:ind w:firstLine="480" w:firstLineChars="200"/>
        <w:rPr>
          <w:rFonts w:ascii="宋体" w:hAnsi="宋体"/>
          <w:sz w:val="24"/>
        </w:rPr>
      </w:pPr>
      <w:r>
        <w:rPr>
          <w:rFonts w:hint="eastAsia" w:ascii="宋体" w:hAnsi="宋体" w:cs="仿宋_GB2312"/>
          <w:sz w:val="24"/>
        </w:rPr>
        <w:t>19.3</w:t>
      </w:r>
      <w:r>
        <w:rPr>
          <w:rFonts w:hint="eastAsia" w:ascii="宋体" w:hAnsi="宋体"/>
          <w:bCs/>
          <w:sz w:val="24"/>
        </w:rPr>
        <w:t>电子投标</w:t>
      </w:r>
      <w:r>
        <w:rPr>
          <w:rFonts w:ascii="宋体" w:hAnsi="宋体"/>
          <w:bCs/>
          <w:sz w:val="24"/>
        </w:rPr>
        <w:t>文件解密</w:t>
      </w:r>
      <w:r>
        <w:rPr>
          <w:rFonts w:hint="eastAsia" w:ascii="宋体" w:hAnsi="宋体"/>
          <w:bCs/>
          <w:sz w:val="24"/>
        </w:rPr>
        <w:t>：</w:t>
      </w:r>
      <w:r>
        <w:rPr>
          <w:rFonts w:hint="eastAsia" w:ascii="宋体" w:hAnsi="宋体" w:cs="仿宋_GB2312"/>
          <w:bCs/>
          <w:sz w:val="24"/>
        </w:rPr>
        <w:t>由代理机构工作人员开启</w:t>
      </w:r>
      <w:r>
        <w:rPr>
          <w:rFonts w:hint="eastAsia" w:ascii="宋体" w:hAnsi="宋体"/>
          <w:bCs/>
          <w:sz w:val="24"/>
        </w:rPr>
        <w:t>电子投标文件解密通道，解密时限以政采云电子交易平台为准。</w:t>
      </w:r>
    </w:p>
    <w:p>
      <w:pPr>
        <w:spacing w:line="360" w:lineRule="auto"/>
        <w:ind w:firstLine="480" w:firstLineChars="200"/>
        <w:rPr>
          <w:rFonts w:ascii="宋体" w:hAnsi="宋体"/>
          <w:bCs/>
          <w:sz w:val="24"/>
        </w:rPr>
      </w:pPr>
      <w:r>
        <w:rPr>
          <w:rFonts w:hint="eastAsia" w:ascii="宋体" w:hAnsi="宋体"/>
          <w:sz w:val="24"/>
        </w:rPr>
        <w:t>19.4</w:t>
      </w:r>
      <w:r>
        <w:rPr>
          <w:rFonts w:hint="eastAsia" w:ascii="宋体" w:hAnsi="宋体" w:cs="仿宋_GB2312"/>
          <w:bCs/>
          <w:sz w:val="24"/>
        </w:rPr>
        <w:t>电子投标文件无法解密的，代理机构</w:t>
      </w:r>
      <w:r>
        <w:rPr>
          <w:rFonts w:hint="eastAsia" w:ascii="宋体" w:hAnsi="宋体"/>
          <w:bCs/>
          <w:sz w:val="24"/>
        </w:rPr>
        <w:t>通过电子交易平台“异常处理”通道上传备份投标文件。</w:t>
      </w:r>
    </w:p>
    <w:p>
      <w:pPr>
        <w:spacing w:line="360" w:lineRule="auto"/>
        <w:ind w:firstLine="480" w:firstLineChars="200"/>
        <w:rPr>
          <w:rFonts w:ascii="宋体" w:hAnsi="宋体"/>
          <w:bCs/>
          <w:sz w:val="24"/>
        </w:rPr>
      </w:pPr>
      <w:r>
        <w:rPr>
          <w:rFonts w:hint="eastAsia" w:ascii="宋体" w:hAnsi="宋体" w:cs="仿宋_GB2312"/>
          <w:bCs/>
          <w:sz w:val="24"/>
        </w:rPr>
        <w:t>19.5通过异常处理后</w:t>
      </w:r>
      <w:r>
        <w:rPr>
          <w:rFonts w:hint="eastAsia" w:ascii="宋体" w:hAnsi="宋体" w:cs="仿宋_GB2312"/>
          <w:kern w:val="0"/>
          <w:sz w:val="24"/>
        </w:rPr>
        <w:t>解密成功的投标人不足三家的，按相关规定重新组织采购。</w:t>
      </w:r>
    </w:p>
    <w:p>
      <w:pPr>
        <w:spacing w:line="360" w:lineRule="auto"/>
        <w:ind w:firstLine="480" w:firstLineChars="200"/>
        <w:rPr>
          <w:rFonts w:ascii="宋体" w:hAnsi="宋体"/>
          <w:kern w:val="0"/>
          <w:sz w:val="24"/>
        </w:rPr>
      </w:pPr>
      <w:r>
        <w:rPr>
          <w:rFonts w:hint="eastAsia" w:ascii="宋体" w:hAnsi="宋体"/>
          <w:kern w:val="0"/>
          <w:sz w:val="24"/>
        </w:rPr>
        <w:t>19</w:t>
      </w:r>
      <w:r>
        <w:rPr>
          <w:rFonts w:ascii="宋体" w:hAnsi="宋体"/>
          <w:kern w:val="0"/>
          <w:sz w:val="24"/>
        </w:rPr>
        <w:t>.</w:t>
      </w:r>
      <w:r>
        <w:rPr>
          <w:rFonts w:hint="eastAsia" w:ascii="宋体" w:hAnsi="宋体"/>
          <w:kern w:val="0"/>
          <w:sz w:val="24"/>
        </w:rPr>
        <w:t>6开启标书文件后，投标人可通过系统平台查看投标人名单。</w:t>
      </w:r>
    </w:p>
    <w:p>
      <w:pPr>
        <w:spacing w:line="360" w:lineRule="auto"/>
        <w:ind w:firstLine="480" w:firstLineChars="200"/>
        <w:rPr>
          <w:rFonts w:ascii="宋体" w:hAnsi="宋体" w:cs="仿宋_GB2312"/>
          <w:bCs/>
          <w:sz w:val="24"/>
        </w:rPr>
      </w:pPr>
      <w:r>
        <w:rPr>
          <w:rFonts w:hint="eastAsia" w:ascii="宋体" w:hAnsi="宋体" w:cs="仿宋_GB2312"/>
          <w:bCs/>
          <w:sz w:val="24"/>
        </w:rPr>
        <w:t>19.7投标人认为招标人员及相关人员与其他投标人有利害关系的，可向招标代理机构提出回避申请，并说明理由，申请须由投标人代表签字或盖章。</w:t>
      </w:r>
    </w:p>
    <w:p>
      <w:pPr>
        <w:spacing w:line="360" w:lineRule="auto"/>
        <w:ind w:firstLine="480" w:firstLineChars="200"/>
        <w:rPr>
          <w:rFonts w:ascii="宋体" w:hAnsi="宋体" w:cs="仿宋_GB2312"/>
          <w:bCs/>
          <w:sz w:val="24"/>
        </w:rPr>
      </w:pPr>
      <w:r>
        <w:rPr>
          <w:rFonts w:hint="eastAsia" w:ascii="宋体" w:hAnsi="宋体" w:cs="仿宋_GB2312"/>
          <w:bCs/>
          <w:sz w:val="24"/>
        </w:rPr>
        <w:t>19.8按规定提交《政府采购活动现场确认声明书》（详见第五章格式）。</w:t>
      </w:r>
    </w:p>
    <w:p>
      <w:pPr>
        <w:spacing w:line="360" w:lineRule="auto"/>
        <w:ind w:firstLine="480" w:firstLineChars="200"/>
        <w:rPr>
          <w:rFonts w:ascii="宋体" w:hAnsi="宋体"/>
          <w:sz w:val="24"/>
        </w:rPr>
      </w:pPr>
      <w:r>
        <w:rPr>
          <w:rFonts w:hint="eastAsia" w:ascii="宋体" w:hAnsi="宋体"/>
          <w:kern w:val="0"/>
          <w:sz w:val="24"/>
        </w:rPr>
        <w:t>19.9投标人对记录表有疑义的，投标人代表在开标会议结束前可以向招标代理机构通过现场或电子邮件的方式（lszzzbzx@126.com）</w:t>
      </w:r>
      <w:r>
        <w:rPr>
          <w:rFonts w:hint="eastAsia" w:ascii="宋体" w:hAnsi="宋体"/>
          <w:sz w:val="24"/>
        </w:rPr>
        <w:t>提出申请，并说明理由，申请须由投标人代表签字或盖章。</w:t>
      </w:r>
    </w:p>
    <w:p>
      <w:pPr>
        <w:spacing w:line="360" w:lineRule="auto"/>
        <w:ind w:firstLine="480" w:firstLineChars="200"/>
        <w:rPr>
          <w:rFonts w:ascii="宋体" w:hAnsi="宋体"/>
          <w:kern w:val="0"/>
          <w:sz w:val="24"/>
        </w:rPr>
      </w:pPr>
      <w:r>
        <w:rPr>
          <w:rFonts w:hint="eastAsia" w:ascii="宋体" w:hAnsi="宋体"/>
          <w:kern w:val="0"/>
          <w:sz w:val="24"/>
        </w:rPr>
        <w:t>19.10开标</w:t>
      </w:r>
      <w:r>
        <w:rPr>
          <w:rFonts w:ascii="宋体" w:hAnsi="宋体"/>
          <w:kern w:val="0"/>
          <w:sz w:val="24"/>
        </w:rPr>
        <w:t>会议结束。</w:t>
      </w:r>
    </w:p>
    <w:p>
      <w:pPr>
        <w:spacing w:line="360" w:lineRule="auto"/>
        <w:ind w:firstLine="482" w:firstLineChars="200"/>
        <w:rPr>
          <w:rFonts w:ascii="宋体" w:hAnsi="宋体"/>
          <w:b/>
          <w:sz w:val="24"/>
        </w:rPr>
      </w:pPr>
      <w:r>
        <w:rPr>
          <w:rFonts w:hint="eastAsia" w:ascii="宋体" w:hAnsi="宋体"/>
          <w:b/>
          <w:sz w:val="24"/>
        </w:rPr>
        <w:t>20</w:t>
      </w:r>
      <w:r>
        <w:rPr>
          <w:rFonts w:ascii="宋体" w:hAnsi="宋体"/>
          <w:b/>
          <w:sz w:val="24"/>
        </w:rPr>
        <w:t xml:space="preserve">. </w:t>
      </w:r>
      <w:r>
        <w:rPr>
          <w:rFonts w:hint="eastAsia" w:ascii="宋体" w:hAnsi="宋体"/>
          <w:b/>
          <w:sz w:val="24"/>
        </w:rPr>
        <w:t>资格审查</w:t>
      </w:r>
    </w:p>
    <w:p>
      <w:pPr>
        <w:spacing w:line="360" w:lineRule="auto"/>
        <w:ind w:firstLine="480" w:firstLineChars="200"/>
        <w:rPr>
          <w:rFonts w:ascii="宋体" w:hAnsi="宋体"/>
          <w:sz w:val="24"/>
        </w:rPr>
      </w:pPr>
      <w:r>
        <w:rPr>
          <w:rFonts w:hint="eastAsia" w:ascii="宋体" w:hAnsi="宋体"/>
          <w:sz w:val="24"/>
        </w:rPr>
        <w:t>20</w:t>
      </w:r>
      <w:r>
        <w:rPr>
          <w:rFonts w:ascii="宋体" w:hAnsi="宋体"/>
          <w:sz w:val="24"/>
        </w:rPr>
        <w:t xml:space="preserve">.1 </w:t>
      </w:r>
      <w:r>
        <w:rPr>
          <w:rFonts w:hint="eastAsia" w:ascii="宋体" w:hAnsi="宋体"/>
          <w:sz w:val="24"/>
        </w:rPr>
        <w:t>招标人</w:t>
      </w:r>
      <w:r>
        <w:rPr>
          <w:rFonts w:ascii="宋体" w:hAnsi="宋体"/>
          <w:sz w:val="24"/>
        </w:rPr>
        <w:t>或</w:t>
      </w:r>
      <w:r>
        <w:rPr>
          <w:rFonts w:hint="eastAsia" w:ascii="宋体" w:hAnsi="宋体"/>
          <w:sz w:val="24"/>
        </w:rPr>
        <w:t>招标代理机构按资格</w:t>
      </w:r>
      <w:r>
        <w:rPr>
          <w:rFonts w:ascii="宋体" w:hAnsi="宋体"/>
          <w:sz w:val="24"/>
        </w:rPr>
        <w:t>要求和</w:t>
      </w:r>
      <w:r>
        <w:rPr>
          <w:rFonts w:hint="eastAsia" w:ascii="宋体" w:hAnsi="宋体"/>
          <w:sz w:val="24"/>
        </w:rPr>
        <w:t>资格</w:t>
      </w:r>
      <w:r>
        <w:rPr>
          <w:rFonts w:ascii="宋体" w:hAnsi="宋体"/>
          <w:sz w:val="24"/>
        </w:rPr>
        <w:t>审查文件要求对</w:t>
      </w:r>
      <w:r>
        <w:rPr>
          <w:rFonts w:hint="eastAsia" w:ascii="宋体" w:hAnsi="宋体"/>
          <w:sz w:val="24"/>
        </w:rPr>
        <w:t>投标</w:t>
      </w:r>
      <w:r>
        <w:rPr>
          <w:rFonts w:ascii="宋体" w:hAnsi="宋体"/>
          <w:sz w:val="24"/>
        </w:rPr>
        <w:t>人进行资格</w:t>
      </w:r>
      <w:r>
        <w:rPr>
          <w:rFonts w:hint="eastAsia" w:ascii="宋体" w:hAnsi="宋体"/>
          <w:sz w:val="24"/>
        </w:rPr>
        <w:t>审查及记录。</w:t>
      </w:r>
    </w:p>
    <w:p>
      <w:pPr>
        <w:spacing w:line="360" w:lineRule="auto"/>
        <w:ind w:firstLine="482" w:firstLineChars="200"/>
        <w:rPr>
          <w:rFonts w:ascii="宋体" w:hAnsi="宋体"/>
          <w:b/>
          <w:sz w:val="24"/>
        </w:rPr>
      </w:pPr>
      <w:r>
        <w:rPr>
          <w:rFonts w:hint="eastAsia" w:ascii="宋体" w:hAnsi="宋体"/>
          <w:b/>
          <w:sz w:val="24"/>
        </w:rPr>
        <w:t>20</w:t>
      </w:r>
      <w:r>
        <w:rPr>
          <w:rFonts w:ascii="宋体" w:hAnsi="宋体"/>
          <w:b/>
          <w:sz w:val="24"/>
        </w:rPr>
        <w:t xml:space="preserve">.2 </w:t>
      </w:r>
      <w:r>
        <w:rPr>
          <w:rFonts w:hint="eastAsia" w:ascii="宋体" w:hAnsi="宋体"/>
          <w:b/>
          <w:sz w:val="24"/>
        </w:rPr>
        <w:t>经资格</w:t>
      </w:r>
      <w:r>
        <w:rPr>
          <w:rFonts w:ascii="宋体" w:hAnsi="宋体"/>
          <w:b/>
          <w:sz w:val="24"/>
        </w:rPr>
        <w:t>审查后</w:t>
      </w:r>
      <w:r>
        <w:rPr>
          <w:rFonts w:hint="eastAsia" w:ascii="宋体" w:hAnsi="宋体"/>
          <w:b/>
          <w:sz w:val="24"/>
        </w:rPr>
        <w:t>合格</w:t>
      </w:r>
      <w:r>
        <w:rPr>
          <w:rFonts w:ascii="宋体" w:hAnsi="宋体"/>
          <w:b/>
          <w:sz w:val="24"/>
        </w:rPr>
        <w:t>的投标人不足</w:t>
      </w:r>
      <w:r>
        <w:rPr>
          <w:rFonts w:hint="eastAsia" w:ascii="宋体" w:hAnsi="宋体"/>
          <w:b/>
          <w:sz w:val="24"/>
        </w:rPr>
        <w:t>三家</w:t>
      </w:r>
      <w:r>
        <w:rPr>
          <w:rFonts w:ascii="宋体" w:hAnsi="宋体"/>
          <w:b/>
          <w:sz w:val="24"/>
        </w:rPr>
        <w:t>的，按</w:t>
      </w:r>
      <w:r>
        <w:rPr>
          <w:rFonts w:hint="eastAsia" w:ascii="宋体" w:hAnsi="宋体"/>
          <w:b/>
          <w:sz w:val="24"/>
        </w:rPr>
        <w:t>相关</w:t>
      </w:r>
      <w:r>
        <w:rPr>
          <w:rFonts w:ascii="宋体" w:hAnsi="宋体"/>
          <w:b/>
          <w:sz w:val="24"/>
        </w:rPr>
        <w:t>规定</w:t>
      </w:r>
      <w:r>
        <w:rPr>
          <w:rFonts w:hint="eastAsia" w:ascii="宋体" w:hAnsi="宋体"/>
          <w:b/>
          <w:sz w:val="24"/>
        </w:rPr>
        <w:t>重新组织招标。</w:t>
      </w:r>
    </w:p>
    <w:p>
      <w:pPr>
        <w:spacing w:line="360" w:lineRule="auto"/>
        <w:ind w:firstLine="482" w:firstLineChars="200"/>
        <w:rPr>
          <w:rFonts w:ascii="宋体" w:hAnsi="宋体"/>
          <w:b/>
          <w:sz w:val="24"/>
        </w:rPr>
      </w:pPr>
      <w:r>
        <w:rPr>
          <w:rFonts w:hint="eastAsia" w:ascii="宋体" w:hAnsi="宋体"/>
          <w:b/>
          <w:sz w:val="24"/>
        </w:rPr>
        <w:t>21. 评审流程：详见第六章。</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2</w:t>
      </w:r>
      <w:r>
        <w:rPr>
          <w:rFonts w:ascii="宋体" w:hAnsi="宋体"/>
          <w:b/>
          <w:sz w:val="24"/>
        </w:rPr>
        <w:t xml:space="preserve">. </w:t>
      </w:r>
      <w:r>
        <w:rPr>
          <w:rFonts w:hint="eastAsia" w:ascii="宋体" w:hAnsi="宋体"/>
          <w:b/>
          <w:sz w:val="24"/>
        </w:rPr>
        <w:t>投标文件的澄清</w:t>
      </w:r>
    </w:p>
    <w:p>
      <w:pPr>
        <w:spacing w:line="360" w:lineRule="auto"/>
        <w:ind w:firstLine="436" w:firstLineChars="182"/>
        <w:rPr>
          <w:rFonts w:ascii="宋体" w:hAnsi="宋体"/>
          <w:sz w:val="24"/>
        </w:rPr>
      </w:pPr>
      <w:r>
        <w:rPr>
          <w:rFonts w:hint="eastAsia" w:ascii="宋体" w:hAnsi="宋体"/>
          <w:sz w:val="24"/>
        </w:rPr>
        <w:t>22.1对</w:t>
      </w:r>
      <w:r>
        <w:rPr>
          <w:rFonts w:hint="eastAsia" w:ascii="宋体" w:hAnsi="宋体"/>
          <w:kern w:val="0"/>
          <w:sz w:val="24"/>
        </w:rPr>
        <w:t>投标文件</w:t>
      </w:r>
      <w:r>
        <w:rPr>
          <w:rFonts w:hint="eastAsia" w:ascii="宋体" w:hAnsi="宋体"/>
          <w:sz w:val="24"/>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pPr>
        <w:spacing w:line="360" w:lineRule="auto"/>
        <w:ind w:firstLine="436" w:firstLineChars="182"/>
        <w:rPr>
          <w:rFonts w:ascii="宋体" w:hAnsi="宋体"/>
          <w:sz w:val="24"/>
        </w:rPr>
      </w:pPr>
      <w:r>
        <w:rPr>
          <w:rFonts w:hint="eastAsia" w:ascii="宋体" w:hAnsi="宋体"/>
          <w:sz w:val="24"/>
        </w:rPr>
        <w:t>22.2报价算术错误将按以下方法修正：</w:t>
      </w:r>
    </w:p>
    <w:p>
      <w:pPr>
        <w:spacing w:line="360" w:lineRule="auto"/>
        <w:ind w:firstLine="436" w:firstLineChars="182"/>
        <w:rPr>
          <w:rFonts w:ascii="宋体" w:hAnsi="宋体"/>
          <w:bCs/>
          <w:sz w:val="24"/>
        </w:rPr>
      </w:pPr>
      <w:r>
        <w:rPr>
          <w:rFonts w:hint="eastAsia" w:ascii="宋体" w:hAnsi="宋体"/>
          <w:sz w:val="24"/>
        </w:rPr>
        <w:t>（1）政采云系统填写的报价和上传的报价文件</w:t>
      </w:r>
      <w:r>
        <w:rPr>
          <w:rFonts w:hint="eastAsia" w:ascii="宋体" w:hAnsi="宋体"/>
          <w:bCs/>
          <w:sz w:val="24"/>
        </w:rPr>
        <w:t>中开标一览表（报价表）内容不一致的，以</w:t>
      </w:r>
      <w:r>
        <w:rPr>
          <w:rFonts w:hint="eastAsia" w:ascii="宋体" w:hAnsi="宋体"/>
          <w:sz w:val="24"/>
        </w:rPr>
        <w:t>上传的报价文件</w:t>
      </w:r>
      <w:r>
        <w:rPr>
          <w:rFonts w:hint="eastAsia" w:ascii="宋体" w:hAnsi="宋体"/>
          <w:bCs/>
          <w:sz w:val="24"/>
        </w:rPr>
        <w:t>中开标一览表（报价表）为准。</w:t>
      </w:r>
    </w:p>
    <w:p>
      <w:pPr>
        <w:spacing w:line="360" w:lineRule="auto"/>
        <w:ind w:firstLine="436" w:firstLineChars="182"/>
        <w:rPr>
          <w:rFonts w:ascii="宋体" w:hAnsi="宋体"/>
          <w:bCs/>
          <w:sz w:val="24"/>
        </w:rPr>
      </w:pPr>
      <w:r>
        <w:rPr>
          <w:rFonts w:hint="eastAsia" w:ascii="宋体" w:hAnsi="宋体"/>
          <w:bCs/>
          <w:sz w:val="24"/>
        </w:rPr>
        <w:t>（2）</w:t>
      </w:r>
      <w:r>
        <w:rPr>
          <w:rFonts w:hint="eastAsia" w:ascii="宋体" w:hAnsi="宋体"/>
          <w:kern w:val="0"/>
          <w:sz w:val="24"/>
        </w:rPr>
        <w:t>报价文件</w:t>
      </w:r>
      <w:r>
        <w:rPr>
          <w:rFonts w:hint="eastAsia" w:ascii="宋体" w:hAnsi="宋体"/>
          <w:bCs/>
          <w:sz w:val="24"/>
        </w:rPr>
        <w:t>中开标一览表（报价表）内容与</w:t>
      </w:r>
      <w:r>
        <w:rPr>
          <w:rFonts w:hint="eastAsia" w:ascii="宋体" w:hAnsi="宋体"/>
          <w:kern w:val="0"/>
          <w:sz w:val="24"/>
        </w:rPr>
        <w:t>报价</w:t>
      </w:r>
      <w:r>
        <w:rPr>
          <w:rFonts w:hint="eastAsia" w:ascii="宋体" w:hAnsi="宋体"/>
          <w:bCs/>
          <w:sz w:val="24"/>
        </w:rPr>
        <w:t>明细表相应内容不一致的，以开标一览表（报价表）为准；</w:t>
      </w:r>
    </w:p>
    <w:p>
      <w:pPr>
        <w:spacing w:line="360" w:lineRule="auto"/>
        <w:ind w:firstLine="436" w:firstLineChars="182"/>
        <w:rPr>
          <w:rFonts w:ascii="宋体" w:hAnsi="宋体"/>
          <w:bCs/>
          <w:sz w:val="24"/>
        </w:rPr>
      </w:pPr>
      <w:r>
        <w:rPr>
          <w:rFonts w:hint="eastAsia" w:ascii="宋体" w:hAnsi="宋体"/>
          <w:bCs/>
          <w:sz w:val="24"/>
        </w:rPr>
        <w:t>（</w:t>
      </w:r>
      <w:r>
        <w:rPr>
          <w:rFonts w:ascii="宋体" w:hAnsi="宋体"/>
          <w:bCs/>
          <w:sz w:val="24"/>
        </w:rPr>
        <w:t>3</w:t>
      </w:r>
      <w:r>
        <w:rPr>
          <w:rFonts w:hint="eastAsia" w:ascii="宋体" w:hAnsi="宋体"/>
          <w:bCs/>
          <w:sz w:val="24"/>
        </w:rPr>
        <w:t>）报价文件的大写金额和小写金额不一致的，以大写金额为准；</w:t>
      </w:r>
    </w:p>
    <w:p>
      <w:pPr>
        <w:spacing w:line="360" w:lineRule="auto"/>
        <w:ind w:firstLine="436" w:firstLineChars="182"/>
        <w:rPr>
          <w:rFonts w:ascii="宋体" w:hAnsi="宋体"/>
          <w:bCs/>
          <w:sz w:val="24"/>
        </w:rPr>
      </w:pPr>
      <w:r>
        <w:rPr>
          <w:rFonts w:hint="eastAsia" w:ascii="宋体" w:hAnsi="宋体"/>
          <w:bCs/>
          <w:sz w:val="24"/>
        </w:rPr>
        <w:t>（4）单价金额</w:t>
      </w:r>
      <w:r>
        <w:rPr>
          <w:rFonts w:ascii="宋体" w:hAnsi="宋体"/>
          <w:bCs/>
          <w:sz w:val="24"/>
        </w:rPr>
        <w:t>小数点或者百分</w:t>
      </w:r>
      <w:r>
        <w:rPr>
          <w:rFonts w:hint="eastAsia" w:ascii="宋体" w:hAnsi="宋体"/>
          <w:bCs/>
          <w:sz w:val="24"/>
        </w:rPr>
        <w:t>比</w:t>
      </w:r>
      <w:r>
        <w:rPr>
          <w:rFonts w:ascii="宋体" w:hAnsi="宋体"/>
          <w:bCs/>
          <w:sz w:val="24"/>
        </w:rPr>
        <w:t>有明显错位的，以开标</w:t>
      </w:r>
      <w:r>
        <w:rPr>
          <w:rFonts w:hint="eastAsia" w:ascii="宋体" w:hAnsi="宋体"/>
          <w:bCs/>
          <w:sz w:val="24"/>
        </w:rPr>
        <w:t>一览表（报价</w:t>
      </w:r>
      <w:r>
        <w:rPr>
          <w:rFonts w:ascii="宋体" w:hAnsi="宋体"/>
          <w:bCs/>
          <w:sz w:val="24"/>
        </w:rPr>
        <w:t>表</w:t>
      </w:r>
      <w:r>
        <w:rPr>
          <w:rFonts w:hint="eastAsia" w:ascii="宋体" w:hAnsi="宋体"/>
          <w:bCs/>
          <w:sz w:val="24"/>
        </w:rPr>
        <w:t>）</w:t>
      </w:r>
      <w:r>
        <w:rPr>
          <w:rFonts w:ascii="宋体" w:hAnsi="宋体"/>
          <w:bCs/>
          <w:sz w:val="24"/>
        </w:rPr>
        <w:t>的总价</w:t>
      </w:r>
      <w:r>
        <w:rPr>
          <w:rFonts w:hint="eastAsia" w:ascii="宋体" w:hAnsi="宋体"/>
          <w:bCs/>
          <w:sz w:val="24"/>
        </w:rPr>
        <w:t>为准</w:t>
      </w:r>
      <w:r>
        <w:rPr>
          <w:rFonts w:ascii="宋体" w:hAnsi="宋体"/>
          <w:bCs/>
          <w:sz w:val="24"/>
        </w:rPr>
        <w:t>，并修改单价；</w:t>
      </w:r>
    </w:p>
    <w:p>
      <w:pPr>
        <w:spacing w:line="360" w:lineRule="auto"/>
        <w:ind w:firstLine="436" w:firstLineChars="182"/>
        <w:rPr>
          <w:rFonts w:ascii="宋体" w:hAnsi="宋体"/>
          <w:bCs/>
          <w:sz w:val="24"/>
        </w:rPr>
      </w:pPr>
      <w:r>
        <w:rPr>
          <w:rFonts w:hint="eastAsia" w:ascii="宋体" w:hAnsi="宋体"/>
          <w:bCs/>
          <w:sz w:val="24"/>
        </w:rPr>
        <w:t>（5）总价</w:t>
      </w:r>
      <w:r>
        <w:rPr>
          <w:rFonts w:ascii="宋体" w:hAnsi="宋体"/>
          <w:bCs/>
          <w:sz w:val="24"/>
        </w:rPr>
        <w:t>金额与</w:t>
      </w:r>
      <w:r>
        <w:rPr>
          <w:rFonts w:hint="eastAsia" w:ascii="宋体" w:hAnsi="宋体"/>
          <w:bCs/>
          <w:sz w:val="24"/>
        </w:rPr>
        <w:t>按</w:t>
      </w:r>
      <w:r>
        <w:rPr>
          <w:rFonts w:ascii="宋体" w:hAnsi="宋体"/>
          <w:bCs/>
          <w:sz w:val="24"/>
        </w:rPr>
        <w:t>单价</w:t>
      </w:r>
      <w:r>
        <w:rPr>
          <w:rFonts w:hint="eastAsia" w:ascii="宋体" w:hAnsi="宋体"/>
          <w:bCs/>
          <w:sz w:val="24"/>
        </w:rPr>
        <w:t>汇总</w:t>
      </w:r>
      <w:r>
        <w:rPr>
          <w:rFonts w:ascii="宋体" w:hAnsi="宋体"/>
          <w:bCs/>
          <w:sz w:val="24"/>
        </w:rPr>
        <w:t>金额不一致的，以单价金额计算</w:t>
      </w:r>
      <w:r>
        <w:rPr>
          <w:rFonts w:hint="eastAsia" w:ascii="宋体" w:hAnsi="宋体"/>
          <w:bCs/>
          <w:sz w:val="24"/>
        </w:rPr>
        <w:t>结果</w:t>
      </w:r>
      <w:r>
        <w:rPr>
          <w:rFonts w:ascii="宋体" w:hAnsi="宋体"/>
          <w:bCs/>
          <w:sz w:val="24"/>
        </w:rPr>
        <w:t>为准</w:t>
      </w:r>
      <w:r>
        <w:rPr>
          <w:rFonts w:hint="eastAsia" w:ascii="宋体" w:hAnsi="宋体"/>
          <w:bCs/>
          <w:sz w:val="24"/>
        </w:rPr>
        <w:t>；</w:t>
      </w:r>
    </w:p>
    <w:p>
      <w:pPr>
        <w:spacing w:line="360" w:lineRule="auto"/>
        <w:ind w:firstLine="436" w:firstLineChars="182"/>
        <w:rPr>
          <w:rFonts w:ascii="宋体" w:hAnsi="宋体"/>
          <w:sz w:val="24"/>
        </w:rPr>
      </w:pPr>
      <w:r>
        <w:rPr>
          <w:rFonts w:hint="eastAsia" w:ascii="宋体" w:hAnsi="宋体"/>
          <w:bCs/>
          <w:sz w:val="24"/>
        </w:rPr>
        <w:t>（6）同时</w:t>
      </w:r>
      <w:r>
        <w:rPr>
          <w:rFonts w:ascii="宋体" w:hAnsi="宋体"/>
          <w:bCs/>
          <w:sz w:val="24"/>
        </w:rPr>
        <w:t>出现</w:t>
      </w:r>
      <w:r>
        <w:rPr>
          <w:rFonts w:hint="eastAsia" w:ascii="宋体" w:hAnsi="宋体"/>
          <w:bCs/>
          <w:sz w:val="24"/>
        </w:rPr>
        <w:t>两种</w:t>
      </w:r>
      <w:r>
        <w:rPr>
          <w:rFonts w:ascii="宋体" w:hAnsi="宋体"/>
          <w:bCs/>
          <w:sz w:val="24"/>
        </w:rPr>
        <w:t>以上</w:t>
      </w:r>
      <w:r>
        <w:rPr>
          <w:rFonts w:hint="eastAsia" w:ascii="宋体" w:hAnsi="宋体"/>
          <w:bCs/>
          <w:sz w:val="24"/>
        </w:rPr>
        <w:t>不一致</w:t>
      </w:r>
      <w:r>
        <w:rPr>
          <w:rFonts w:ascii="宋体" w:hAnsi="宋体"/>
          <w:bCs/>
          <w:sz w:val="24"/>
        </w:rPr>
        <w:t>的，按</w:t>
      </w:r>
      <w:r>
        <w:rPr>
          <w:rFonts w:hint="eastAsia" w:ascii="宋体" w:hAnsi="宋体"/>
          <w:bCs/>
          <w:sz w:val="24"/>
        </w:rPr>
        <w:t>上述顺序</w:t>
      </w:r>
      <w:r>
        <w:rPr>
          <w:rFonts w:ascii="宋体" w:hAnsi="宋体"/>
          <w:bCs/>
          <w:sz w:val="24"/>
        </w:rPr>
        <w:t>修正</w:t>
      </w:r>
      <w:r>
        <w:rPr>
          <w:rFonts w:hint="eastAsia" w:ascii="宋体" w:hAnsi="宋体"/>
          <w:bCs/>
          <w:sz w:val="24"/>
        </w:rPr>
        <w:t>；</w:t>
      </w:r>
    </w:p>
    <w:p>
      <w:pPr>
        <w:spacing w:line="360" w:lineRule="auto"/>
        <w:ind w:firstLine="436" w:firstLineChars="182"/>
        <w:rPr>
          <w:rFonts w:ascii="宋体" w:hAnsi="宋体"/>
          <w:sz w:val="24"/>
        </w:rPr>
      </w:pPr>
      <w:r>
        <w:rPr>
          <w:rFonts w:hint="eastAsia" w:ascii="宋体" w:hAnsi="宋体"/>
          <w:bCs/>
          <w:sz w:val="24"/>
        </w:rPr>
        <w:t>（7）对不同文字文本</w:t>
      </w:r>
      <w:r>
        <w:rPr>
          <w:rFonts w:hint="eastAsia" w:ascii="宋体" w:hAnsi="宋体"/>
          <w:kern w:val="0"/>
          <w:sz w:val="24"/>
        </w:rPr>
        <w:t>投标文件</w:t>
      </w:r>
      <w:r>
        <w:rPr>
          <w:rFonts w:hint="eastAsia" w:ascii="宋体" w:hAnsi="宋体"/>
          <w:bCs/>
          <w:sz w:val="24"/>
        </w:rPr>
        <w:t>的解释发生异议的，以中文文本为准；</w:t>
      </w:r>
    </w:p>
    <w:p>
      <w:pPr>
        <w:spacing w:line="360" w:lineRule="auto"/>
        <w:ind w:firstLine="436" w:firstLineChars="182"/>
        <w:rPr>
          <w:rFonts w:ascii="宋体" w:hAnsi="宋体"/>
          <w:sz w:val="24"/>
        </w:rPr>
      </w:pPr>
      <w:r>
        <w:rPr>
          <w:rFonts w:hint="eastAsia" w:ascii="宋体" w:hAnsi="宋体"/>
          <w:sz w:val="24"/>
        </w:rPr>
        <w:t>（8）修正错误的投标报价，投标人应当通过电子交易平台交换数据电文的形式提交，调整后的投标报价对投标人具有约束作用。若投标人不接受修正后的投标报价，则其投标将作为无效投标处理。</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3</w:t>
      </w:r>
      <w:r>
        <w:rPr>
          <w:rFonts w:ascii="宋体" w:hAnsi="宋体"/>
          <w:b/>
          <w:sz w:val="24"/>
        </w:rPr>
        <w:t xml:space="preserve">. </w:t>
      </w:r>
      <w:r>
        <w:rPr>
          <w:rFonts w:hint="eastAsia" w:ascii="宋体" w:hAnsi="宋体"/>
          <w:b/>
          <w:sz w:val="24"/>
        </w:rPr>
        <w:t>对投标文件的比较和评估</w:t>
      </w:r>
    </w:p>
    <w:p>
      <w:pPr>
        <w:spacing w:line="360" w:lineRule="auto"/>
        <w:ind w:firstLine="480" w:firstLineChars="200"/>
        <w:rPr>
          <w:rFonts w:ascii="宋体" w:hAnsi="宋体"/>
          <w:sz w:val="24"/>
        </w:rPr>
      </w:pPr>
      <w:r>
        <w:rPr>
          <w:rFonts w:hint="eastAsia" w:ascii="宋体" w:hAnsi="宋体"/>
          <w:sz w:val="24"/>
        </w:rPr>
        <w:t>23.1评审委员会根据招标</w:t>
      </w:r>
      <w:r>
        <w:rPr>
          <w:rFonts w:ascii="宋体" w:hAnsi="宋体"/>
          <w:sz w:val="24"/>
        </w:rPr>
        <w:t>文件规定的评审办法和标准、对符合性审查</w:t>
      </w:r>
      <w:r>
        <w:rPr>
          <w:rFonts w:hint="eastAsia" w:ascii="宋体" w:hAnsi="宋体"/>
          <w:sz w:val="24"/>
        </w:rPr>
        <w:t>合格投标</w:t>
      </w:r>
      <w:r>
        <w:rPr>
          <w:rFonts w:ascii="宋体" w:hAnsi="宋体"/>
          <w:sz w:val="24"/>
        </w:rPr>
        <w:t>人的投标文件</w:t>
      </w:r>
      <w:r>
        <w:rPr>
          <w:rFonts w:hint="eastAsia" w:ascii="宋体" w:hAnsi="宋体"/>
          <w:sz w:val="24"/>
        </w:rPr>
        <w:t>及澄清</w:t>
      </w:r>
      <w:r>
        <w:rPr>
          <w:rFonts w:ascii="宋体" w:hAnsi="宋体"/>
          <w:sz w:val="24"/>
        </w:rPr>
        <w:t>答复</w:t>
      </w:r>
      <w:r>
        <w:rPr>
          <w:rFonts w:hint="eastAsia" w:ascii="宋体" w:hAnsi="宋体"/>
          <w:sz w:val="24"/>
        </w:rPr>
        <w:t>内容</w:t>
      </w:r>
      <w:r>
        <w:rPr>
          <w:rFonts w:ascii="宋体" w:hAnsi="宋体"/>
          <w:sz w:val="24"/>
        </w:rPr>
        <w:t>进行商务和技术评估，综合比较与评价</w:t>
      </w:r>
      <w:r>
        <w:rPr>
          <w:rFonts w:hint="eastAsia" w:ascii="宋体" w:hAnsi="宋体"/>
          <w:sz w:val="24"/>
        </w:rPr>
        <w:t>，并</w:t>
      </w:r>
      <w:r>
        <w:rPr>
          <w:rFonts w:ascii="宋体" w:hAnsi="宋体"/>
          <w:sz w:val="24"/>
        </w:rPr>
        <w:t>按照平等</w:t>
      </w:r>
      <w:r>
        <w:rPr>
          <w:rFonts w:hint="eastAsia" w:ascii="宋体" w:hAnsi="宋体"/>
          <w:sz w:val="24"/>
        </w:rPr>
        <w:t>、</w:t>
      </w:r>
      <w:r>
        <w:rPr>
          <w:rFonts w:ascii="宋体" w:hAnsi="宋体"/>
          <w:sz w:val="24"/>
        </w:rPr>
        <w:t>客观</w:t>
      </w:r>
      <w:r>
        <w:rPr>
          <w:rFonts w:hint="eastAsia" w:ascii="宋体" w:hAnsi="宋体"/>
          <w:sz w:val="24"/>
        </w:rPr>
        <w:t>、</w:t>
      </w:r>
      <w:r>
        <w:rPr>
          <w:rFonts w:ascii="宋体" w:hAnsi="宋体"/>
          <w:sz w:val="24"/>
        </w:rPr>
        <w:t>公正的原则对投标文件</w:t>
      </w:r>
      <w:r>
        <w:rPr>
          <w:rFonts w:hint="eastAsia" w:ascii="宋体" w:hAnsi="宋体"/>
          <w:sz w:val="24"/>
        </w:rPr>
        <w:t>进行</w:t>
      </w:r>
      <w:r>
        <w:rPr>
          <w:rFonts w:ascii="宋体" w:hAnsi="宋体"/>
          <w:sz w:val="24"/>
        </w:rPr>
        <w:t>综合评审</w:t>
      </w:r>
      <w:r>
        <w:rPr>
          <w:rFonts w:hint="eastAsia" w:ascii="宋体" w:hAnsi="宋体"/>
          <w:sz w:val="24"/>
        </w:rPr>
        <w:t>和</w:t>
      </w:r>
      <w:r>
        <w:rPr>
          <w:rFonts w:ascii="宋体" w:hAnsi="宋体"/>
          <w:sz w:val="24"/>
        </w:rPr>
        <w:t>评分。</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4</w:t>
      </w:r>
      <w:r>
        <w:rPr>
          <w:rFonts w:ascii="宋体" w:hAnsi="宋体"/>
          <w:b/>
          <w:sz w:val="24"/>
        </w:rPr>
        <w:t xml:space="preserve">. </w:t>
      </w:r>
      <w:r>
        <w:rPr>
          <w:rFonts w:hint="eastAsia" w:ascii="宋体" w:hAnsi="宋体"/>
          <w:b/>
          <w:sz w:val="24"/>
        </w:rPr>
        <w:t>评标报告</w:t>
      </w:r>
    </w:p>
    <w:p>
      <w:pPr>
        <w:spacing w:line="360" w:lineRule="auto"/>
        <w:ind w:firstLine="480" w:firstLineChars="200"/>
        <w:rPr>
          <w:rFonts w:ascii="宋体" w:hAnsi="宋体"/>
          <w:sz w:val="24"/>
        </w:rPr>
      </w:pPr>
      <w:r>
        <w:rPr>
          <w:rFonts w:hint="eastAsia" w:ascii="宋体" w:hAnsi="宋体"/>
          <w:sz w:val="24"/>
        </w:rPr>
        <w:t>评审委员会</w:t>
      </w:r>
      <w:r>
        <w:rPr>
          <w:rFonts w:ascii="宋体" w:hAnsi="宋体"/>
          <w:sz w:val="24"/>
        </w:rPr>
        <w:t>根据全体评</w:t>
      </w:r>
      <w:r>
        <w:rPr>
          <w:rFonts w:hint="eastAsia" w:ascii="宋体" w:hAnsi="宋体"/>
          <w:sz w:val="24"/>
        </w:rPr>
        <w:t>审</w:t>
      </w:r>
      <w:r>
        <w:rPr>
          <w:rFonts w:ascii="宋体" w:hAnsi="宋体"/>
          <w:sz w:val="24"/>
        </w:rPr>
        <w:t>成员签字的原始</w:t>
      </w:r>
      <w:r>
        <w:rPr>
          <w:rFonts w:hint="eastAsia" w:ascii="宋体" w:hAnsi="宋体"/>
          <w:sz w:val="24"/>
        </w:rPr>
        <w:t>评审</w:t>
      </w:r>
      <w:r>
        <w:rPr>
          <w:rFonts w:ascii="宋体" w:hAnsi="宋体"/>
          <w:sz w:val="24"/>
        </w:rPr>
        <w:t>记录和评</w:t>
      </w:r>
      <w:r>
        <w:rPr>
          <w:rFonts w:hint="eastAsia" w:ascii="宋体" w:hAnsi="宋体"/>
          <w:sz w:val="24"/>
        </w:rPr>
        <w:t>审</w:t>
      </w:r>
      <w:r>
        <w:rPr>
          <w:rFonts w:ascii="宋体" w:hAnsi="宋体"/>
          <w:sz w:val="24"/>
        </w:rPr>
        <w:t>结果</w:t>
      </w:r>
      <w:r>
        <w:rPr>
          <w:rFonts w:hint="eastAsia" w:ascii="宋体" w:hAnsi="宋体"/>
          <w:sz w:val="24"/>
        </w:rPr>
        <w:t>编写</w:t>
      </w:r>
      <w:r>
        <w:rPr>
          <w:rFonts w:ascii="宋体" w:hAnsi="宋体"/>
          <w:sz w:val="24"/>
        </w:rPr>
        <w:t>评标报告</w:t>
      </w:r>
      <w:r>
        <w:rPr>
          <w:rFonts w:hint="eastAsia" w:ascii="宋体" w:hAnsi="宋体"/>
          <w:sz w:val="24"/>
        </w:rPr>
        <w:t>，</w:t>
      </w:r>
      <w:r>
        <w:rPr>
          <w:rFonts w:ascii="宋体" w:hAnsi="宋体"/>
          <w:sz w:val="24"/>
        </w:rPr>
        <w:t>并</w:t>
      </w:r>
      <w:r>
        <w:rPr>
          <w:rFonts w:hint="eastAsia" w:ascii="宋体" w:hAnsi="宋体"/>
          <w:sz w:val="24"/>
        </w:rPr>
        <w:t>推荐</w:t>
      </w:r>
      <w:r>
        <w:rPr>
          <w:rFonts w:ascii="宋体" w:hAnsi="宋体"/>
          <w:sz w:val="24"/>
        </w:rPr>
        <w:t>中标候选人</w:t>
      </w:r>
      <w:r>
        <w:rPr>
          <w:rFonts w:hint="eastAsia" w:ascii="宋体" w:hAnsi="宋体"/>
          <w:sz w:val="24"/>
        </w:rPr>
        <w:t>，评审</w:t>
      </w:r>
      <w:r>
        <w:rPr>
          <w:rFonts w:ascii="宋体" w:hAnsi="宋体"/>
          <w:sz w:val="24"/>
        </w:rPr>
        <w:t>报告由</w:t>
      </w:r>
      <w:r>
        <w:rPr>
          <w:rFonts w:hint="eastAsia" w:ascii="宋体" w:hAnsi="宋体"/>
          <w:sz w:val="24"/>
        </w:rPr>
        <w:t>评审委员会</w:t>
      </w:r>
      <w:r>
        <w:rPr>
          <w:rFonts w:ascii="宋体" w:hAnsi="宋体"/>
          <w:sz w:val="24"/>
        </w:rPr>
        <w:t>成员签字</w:t>
      </w:r>
      <w:r>
        <w:rPr>
          <w:rFonts w:hint="eastAsia" w:ascii="宋体" w:hAnsi="宋体"/>
          <w:sz w:val="24"/>
        </w:rPr>
        <w:t>确认提交</w:t>
      </w:r>
      <w:r>
        <w:rPr>
          <w:rFonts w:ascii="宋体" w:hAnsi="宋体"/>
          <w:sz w:val="24"/>
        </w:rPr>
        <w:t>。</w:t>
      </w:r>
    </w:p>
    <w:p>
      <w:pPr>
        <w:spacing w:line="360" w:lineRule="auto"/>
        <w:ind w:firstLine="482" w:firstLineChars="200"/>
        <w:rPr>
          <w:rFonts w:ascii="宋体" w:hAnsi="宋体"/>
          <w:b/>
          <w:sz w:val="24"/>
        </w:rPr>
      </w:pPr>
      <w:r>
        <w:rPr>
          <w:rFonts w:hint="eastAsia" w:ascii="宋体" w:hAnsi="宋体"/>
          <w:b/>
          <w:sz w:val="24"/>
        </w:rPr>
        <w:t>25.采购过程中出现以下情形，导致电子交易平台无法正常运行，或者无法保证电子交易的公平、公正和安全时，可中止电子交易活动：</w:t>
      </w:r>
    </w:p>
    <w:p>
      <w:pPr>
        <w:spacing w:line="360" w:lineRule="auto"/>
        <w:ind w:firstLine="240" w:firstLineChars="100"/>
        <w:rPr>
          <w:rFonts w:ascii="宋体" w:hAnsi="宋体"/>
          <w:sz w:val="24"/>
        </w:rPr>
      </w:pPr>
      <w:r>
        <w:rPr>
          <w:rFonts w:hint="eastAsia" w:ascii="宋体" w:hAnsi="宋体"/>
          <w:sz w:val="24"/>
        </w:rPr>
        <w:t>（一）电子交易平台发生故障而无法登录访问的； </w:t>
      </w:r>
    </w:p>
    <w:p>
      <w:pPr>
        <w:spacing w:line="360" w:lineRule="auto"/>
        <w:ind w:firstLine="240" w:firstLineChars="100"/>
        <w:rPr>
          <w:rFonts w:ascii="宋体" w:hAnsi="宋体"/>
          <w:sz w:val="24"/>
        </w:rPr>
      </w:pPr>
      <w:r>
        <w:rPr>
          <w:rFonts w:hint="eastAsia" w:ascii="宋体" w:hAnsi="宋体"/>
          <w:sz w:val="24"/>
        </w:rPr>
        <w:t>（二）电子交易平台应用或数据库出现错误，不能进行正常操作的；</w:t>
      </w:r>
    </w:p>
    <w:p>
      <w:pPr>
        <w:spacing w:line="360" w:lineRule="auto"/>
        <w:ind w:firstLine="240" w:firstLineChars="100"/>
        <w:rPr>
          <w:rFonts w:ascii="宋体" w:hAnsi="宋体"/>
          <w:sz w:val="24"/>
        </w:rPr>
      </w:pPr>
      <w:r>
        <w:rPr>
          <w:rFonts w:hint="eastAsia" w:ascii="宋体" w:hAnsi="宋体"/>
          <w:sz w:val="24"/>
        </w:rPr>
        <w:t>（三）电子交易平台发现严重安全漏洞，有潜在泄密危险的；</w:t>
      </w:r>
    </w:p>
    <w:p>
      <w:pPr>
        <w:spacing w:line="360" w:lineRule="auto"/>
        <w:ind w:firstLine="240" w:firstLineChars="100"/>
        <w:rPr>
          <w:rFonts w:ascii="宋体" w:hAnsi="宋体"/>
          <w:sz w:val="24"/>
        </w:rPr>
      </w:pPr>
      <w:r>
        <w:rPr>
          <w:rFonts w:hint="eastAsia" w:ascii="宋体" w:hAnsi="宋体"/>
          <w:sz w:val="24"/>
        </w:rPr>
        <w:t>（四）病毒发作导致不能进行正常操作的； </w:t>
      </w:r>
    </w:p>
    <w:p>
      <w:pPr>
        <w:spacing w:line="360" w:lineRule="auto"/>
        <w:ind w:firstLine="240" w:firstLineChars="100"/>
        <w:rPr>
          <w:rFonts w:ascii="宋体" w:hAnsi="宋体"/>
          <w:sz w:val="24"/>
        </w:rPr>
      </w:pPr>
      <w:r>
        <w:rPr>
          <w:rFonts w:hint="eastAsia" w:ascii="宋体" w:hAnsi="宋体"/>
          <w:sz w:val="24"/>
        </w:rPr>
        <w:t>（五）其他无法保证电子交易的公平、公正和安全的情况。</w:t>
      </w:r>
    </w:p>
    <w:p>
      <w:pPr>
        <w:spacing w:line="360" w:lineRule="auto"/>
        <w:rPr>
          <w:rFonts w:ascii="宋体" w:hAnsi="宋体"/>
          <w:sz w:val="24"/>
        </w:rPr>
      </w:pPr>
      <w:r>
        <w:rPr>
          <w:rFonts w:hint="eastAsia" w:ascii="宋体" w:hAnsi="宋体"/>
          <w:sz w:val="24"/>
        </w:rPr>
        <w:t>    出现前款规定情形，不影响采购公平、公正性的，招标代理机构可以待上述情形消除后继续组织电子交易活动；影响或可能影响采购公平、公正性的，重新组织采购。</w:t>
      </w:r>
    </w:p>
    <w:p>
      <w:pPr>
        <w:spacing w:line="360" w:lineRule="auto"/>
        <w:ind w:firstLine="480" w:firstLineChars="200"/>
        <w:rPr>
          <w:rFonts w:ascii="宋体" w:hAnsi="宋体"/>
          <w:sz w:val="24"/>
        </w:rPr>
      </w:pPr>
      <w:r>
        <w:rPr>
          <w:rFonts w:hint="eastAsia" w:ascii="宋体" w:hAnsi="宋体"/>
          <w:sz w:val="24"/>
        </w:rPr>
        <w:t>26.招标代理机构或评审委员会因不可抗力（不可抗力包括但不限于自然灾害、断电、传播疫病等）原因造成电子交易活动无法正常运行的，将采取以下措施：</w:t>
      </w:r>
    </w:p>
    <w:p>
      <w:pPr>
        <w:spacing w:line="360" w:lineRule="auto"/>
        <w:ind w:firstLine="480" w:firstLineChars="200"/>
        <w:rPr>
          <w:rFonts w:ascii="宋体" w:hAnsi="宋体"/>
          <w:sz w:val="24"/>
        </w:rPr>
      </w:pPr>
      <w:r>
        <w:rPr>
          <w:rFonts w:hint="eastAsia" w:ascii="宋体" w:hAnsi="宋体"/>
          <w:sz w:val="24"/>
        </w:rPr>
        <w:t>⑴短时间内能消除不可抗力因素的，招标代理机构或评审委员会在消除不可抗力因素后继续组织电子交易活动。</w:t>
      </w:r>
    </w:p>
    <w:p>
      <w:pPr>
        <w:spacing w:line="360" w:lineRule="auto"/>
        <w:ind w:firstLine="480" w:firstLineChars="200"/>
        <w:rPr>
          <w:rFonts w:ascii="宋体" w:hAnsi="宋体"/>
          <w:sz w:val="24"/>
        </w:rPr>
      </w:pPr>
      <w:r>
        <w:rPr>
          <w:rFonts w:hint="eastAsia" w:ascii="宋体" w:hAnsi="宋体"/>
          <w:sz w:val="24"/>
        </w:rPr>
        <w:t>⑵长时间内无法消除不可抗力因素的，招标代理机构或评审委员会将中止电子交易活动。中止电子交易活动的，招标人应当重新组织政府采购活动。</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7</w:t>
      </w:r>
      <w:r>
        <w:rPr>
          <w:rFonts w:ascii="宋体" w:hAnsi="宋体"/>
          <w:b/>
          <w:sz w:val="24"/>
        </w:rPr>
        <w:t xml:space="preserve">. </w:t>
      </w:r>
      <w:r>
        <w:rPr>
          <w:rFonts w:hint="eastAsia" w:ascii="宋体" w:hAnsi="宋体"/>
          <w:b/>
          <w:sz w:val="24"/>
        </w:rPr>
        <w:t>保密和评审过程的监控</w:t>
      </w:r>
    </w:p>
    <w:p>
      <w:pPr>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7</w:t>
      </w:r>
      <w:r>
        <w:rPr>
          <w:rFonts w:ascii="宋体" w:hAnsi="宋体"/>
          <w:bCs/>
          <w:sz w:val="24"/>
        </w:rPr>
        <w:t xml:space="preserve">.1 </w:t>
      </w:r>
      <w:r>
        <w:rPr>
          <w:rFonts w:hint="eastAsia" w:ascii="宋体" w:hAnsi="宋体"/>
          <w:bCs/>
          <w:sz w:val="24"/>
        </w:rPr>
        <w:t>自开标时间起至中标结果公告发布时间止，凡属于审查、澄清、评估和比较投标的有关资料，且与授予合同有关的信息都不得向任何投标人或与上述评审过程无关的人员透露。</w:t>
      </w:r>
    </w:p>
    <w:p>
      <w:pPr>
        <w:spacing w:line="360" w:lineRule="auto"/>
        <w:ind w:firstLine="480" w:firstLineChars="200"/>
        <w:rPr>
          <w:rFonts w:ascii="宋体" w:hAnsi="宋体"/>
          <w:sz w:val="20"/>
        </w:rPr>
      </w:pPr>
      <w:r>
        <w:rPr>
          <w:rFonts w:ascii="宋体" w:hAnsi="宋体"/>
          <w:sz w:val="24"/>
        </w:rPr>
        <w:t>2</w:t>
      </w:r>
      <w:r>
        <w:rPr>
          <w:rFonts w:hint="eastAsia" w:ascii="宋体" w:hAnsi="宋体"/>
          <w:sz w:val="24"/>
        </w:rPr>
        <w:t>7</w:t>
      </w:r>
      <w:r>
        <w:rPr>
          <w:rFonts w:ascii="宋体" w:hAnsi="宋体"/>
          <w:sz w:val="24"/>
        </w:rPr>
        <w:t xml:space="preserve">.2 </w:t>
      </w:r>
      <w:r>
        <w:rPr>
          <w:rFonts w:hint="eastAsia" w:ascii="宋体" w:hAnsi="宋体"/>
          <w:sz w:val="24"/>
        </w:rPr>
        <w:t>本项目开标、评审过程实行全程录音、录像监控，投标人在开标、评审过程中所进行的试图影响评审结果的不公正行为或授予合同决定的过程施加影响的企图和行为，可能导致和其投标被拒绝。</w:t>
      </w:r>
      <w:bookmarkStart w:id="168" w:name="EB50051ac8f4a946c091713b64242fa8f2"/>
      <w:bookmarkEnd w:id="168"/>
      <w:bookmarkStart w:id="169" w:name="EB6abbdb67ad8e4dca83235298b1f0b56f"/>
      <w:bookmarkEnd w:id="169"/>
    </w:p>
    <w:p>
      <w:pPr>
        <w:pStyle w:val="4"/>
        <w:spacing w:line="360" w:lineRule="auto"/>
        <w:ind w:firstLine="200" w:firstLineChars="0"/>
        <w:rPr>
          <w:rFonts w:ascii="宋体" w:hAnsi="宋体"/>
          <w:sz w:val="32"/>
        </w:rPr>
      </w:pPr>
      <w:bookmarkStart w:id="170" w:name="_Toc139"/>
      <w:bookmarkStart w:id="171" w:name="_Toc27326"/>
      <w:bookmarkStart w:id="172" w:name="_Toc41577872"/>
      <w:bookmarkStart w:id="173" w:name="_Toc83312435"/>
      <w:bookmarkStart w:id="174" w:name="_Toc493956039"/>
      <w:bookmarkStart w:id="175" w:name="_Toc494555855"/>
      <w:bookmarkStart w:id="176" w:name="_Toc28681"/>
      <w:bookmarkStart w:id="177" w:name="_Toc7757"/>
      <w:bookmarkStart w:id="178" w:name="_Toc19913"/>
      <w:bookmarkStart w:id="179" w:name="_Toc22151"/>
      <w:r>
        <w:rPr>
          <w:rFonts w:hint="eastAsia" w:ascii="宋体" w:hAnsi="宋体"/>
          <w:sz w:val="32"/>
        </w:rPr>
        <w:t>七   投标无效的情形</w:t>
      </w:r>
      <w:bookmarkEnd w:id="170"/>
      <w:bookmarkEnd w:id="171"/>
      <w:bookmarkEnd w:id="172"/>
      <w:bookmarkEnd w:id="173"/>
      <w:bookmarkEnd w:id="174"/>
      <w:bookmarkEnd w:id="175"/>
      <w:bookmarkEnd w:id="176"/>
      <w:bookmarkEnd w:id="177"/>
      <w:bookmarkEnd w:id="178"/>
      <w:bookmarkEnd w:id="179"/>
    </w:p>
    <w:p>
      <w:pPr>
        <w:spacing w:line="360" w:lineRule="auto"/>
        <w:ind w:firstLine="482" w:firstLineChars="200"/>
        <w:rPr>
          <w:rFonts w:ascii="宋体" w:hAnsi="宋体"/>
          <w:b/>
          <w:sz w:val="24"/>
        </w:rPr>
      </w:pPr>
      <w:r>
        <w:rPr>
          <w:rFonts w:hint="eastAsia" w:ascii="宋体" w:hAnsi="宋体"/>
          <w:b/>
          <w:sz w:val="24"/>
        </w:rPr>
        <w:t>28.实质上没有响应招标文件要求的投标将被视为无效投标。投标人不得通过修正或撤消不合要求的偏离或保留从而使其投标成为实质上响应的投标。投标人如有下列情形之一的，其投标将被拒绝，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kern w:val="0"/>
          <w:sz w:val="24"/>
        </w:rPr>
        <w:t>投标文件</w:t>
      </w:r>
      <w:r>
        <w:rPr>
          <w:rFonts w:hint="eastAsia" w:ascii="宋体" w:hAnsi="宋体"/>
          <w:b/>
          <w:sz w:val="24"/>
        </w:rPr>
        <w:t>无效：</w:t>
      </w:r>
    </w:p>
    <w:p>
      <w:pPr>
        <w:spacing w:line="360" w:lineRule="auto"/>
        <w:ind w:firstLine="482" w:firstLineChars="200"/>
        <w:rPr>
          <w:rFonts w:ascii="宋体" w:hAnsi="宋体"/>
          <w:b/>
          <w:sz w:val="24"/>
        </w:rPr>
      </w:pPr>
      <w:r>
        <w:rPr>
          <w:rFonts w:hint="eastAsia" w:ascii="宋体" w:hAnsi="宋体"/>
          <w:b/>
          <w:sz w:val="24"/>
        </w:rPr>
        <w:t>28.1电报、电话、传真形式提交投标文件的；</w:t>
      </w:r>
    </w:p>
    <w:p>
      <w:pPr>
        <w:spacing w:line="360" w:lineRule="auto"/>
        <w:ind w:firstLine="482" w:firstLineChars="200"/>
        <w:rPr>
          <w:rFonts w:ascii="宋体" w:hAnsi="宋体"/>
          <w:b/>
          <w:sz w:val="24"/>
        </w:rPr>
      </w:pPr>
      <w:r>
        <w:rPr>
          <w:rFonts w:hint="eastAsia" w:ascii="宋体" w:hAnsi="宋体"/>
          <w:b/>
          <w:sz w:val="24"/>
        </w:rPr>
        <w:t>28.2投标人未按招标文件规定的时间和地点提交电子投标文件的</w:t>
      </w:r>
      <w:r>
        <w:rPr>
          <w:rFonts w:ascii="宋体" w:hAnsi="宋体"/>
          <w:b/>
          <w:sz w:val="24"/>
        </w:rPr>
        <w:t>；</w:t>
      </w:r>
    </w:p>
    <w:p>
      <w:pPr>
        <w:spacing w:line="360" w:lineRule="auto"/>
        <w:ind w:firstLine="482" w:firstLineChars="200"/>
        <w:rPr>
          <w:rFonts w:ascii="宋体" w:hAnsi="宋体"/>
          <w:b/>
          <w:sz w:val="24"/>
        </w:rPr>
      </w:pPr>
      <w:r>
        <w:rPr>
          <w:rFonts w:hint="eastAsia" w:ascii="宋体" w:hAnsi="宋体"/>
          <w:b/>
          <w:sz w:val="24"/>
        </w:rPr>
        <w:t>28.3未按招标文件规定要求签署、盖章的；</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8</w:t>
      </w:r>
      <w:r>
        <w:rPr>
          <w:rFonts w:ascii="宋体" w:hAnsi="宋体"/>
          <w:b/>
          <w:sz w:val="24"/>
        </w:rPr>
        <w:t>.</w:t>
      </w:r>
      <w:r>
        <w:rPr>
          <w:rFonts w:hint="eastAsia" w:ascii="宋体" w:hAnsi="宋体"/>
          <w:b/>
          <w:sz w:val="24"/>
        </w:rPr>
        <w:t>4不具备投标文件规定资格要求的；</w:t>
      </w:r>
    </w:p>
    <w:p>
      <w:pPr>
        <w:spacing w:line="360" w:lineRule="auto"/>
        <w:ind w:firstLine="480" w:firstLineChars="200"/>
        <w:rPr>
          <w:rFonts w:ascii="宋体" w:hAnsi="宋体"/>
          <w:sz w:val="24"/>
        </w:rPr>
      </w:pPr>
      <w:r>
        <w:rPr>
          <w:rFonts w:hint="eastAsia" w:ascii="宋体" w:hAnsi="宋体"/>
          <w:sz w:val="24"/>
        </w:rPr>
        <w:t>28.5 投标有效期不足的。</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w:t>
      </w:r>
      <w:r>
        <w:rPr>
          <w:rFonts w:hint="eastAsia" w:ascii="宋体" w:hAnsi="宋体"/>
          <w:sz w:val="24"/>
        </w:rPr>
        <w:t>6评审委员会在符合性审查中，有实质上“▲”条款的负偏离的。</w:t>
      </w:r>
    </w:p>
    <w:p>
      <w:pPr>
        <w:spacing w:line="360" w:lineRule="auto"/>
        <w:ind w:firstLine="480" w:firstLineChars="200"/>
        <w:rPr>
          <w:rFonts w:ascii="宋体" w:hAnsi="宋体"/>
          <w:sz w:val="24"/>
        </w:rPr>
      </w:pPr>
      <w:r>
        <w:rPr>
          <w:rFonts w:hint="eastAsia" w:ascii="宋体" w:hAnsi="宋体"/>
          <w:sz w:val="24"/>
        </w:rPr>
        <w:t>28.7投标</w:t>
      </w:r>
      <w:r>
        <w:rPr>
          <w:rFonts w:ascii="宋体" w:hAnsi="宋体"/>
          <w:sz w:val="24"/>
        </w:rPr>
        <w:t>文件含有</w:t>
      </w:r>
      <w:r>
        <w:rPr>
          <w:rFonts w:hint="eastAsia" w:ascii="宋体" w:hAnsi="宋体"/>
          <w:sz w:val="24"/>
        </w:rPr>
        <w:t>招标人</w:t>
      </w:r>
      <w:r>
        <w:rPr>
          <w:rFonts w:ascii="宋体" w:hAnsi="宋体"/>
          <w:sz w:val="24"/>
        </w:rPr>
        <w:t>不能接受的附加</w:t>
      </w:r>
      <w:r>
        <w:rPr>
          <w:rFonts w:hint="eastAsia" w:ascii="宋体" w:hAnsi="宋体"/>
          <w:sz w:val="24"/>
        </w:rPr>
        <w:t>条款</w:t>
      </w:r>
      <w:r>
        <w:rPr>
          <w:rFonts w:ascii="宋体" w:hAnsi="宋体"/>
          <w:sz w:val="24"/>
        </w:rPr>
        <w:t>的</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w:t>
      </w:r>
      <w:r>
        <w:rPr>
          <w:rFonts w:hint="eastAsia" w:ascii="宋体" w:hAnsi="宋体"/>
          <w:sz w:val="24"/>
        </w:rPr>
        <w:t>8投标报价高于招标文件中规定的预算金额或者最高限价的。</w:t>
      </w:r>
    </w:p>
    <w:p>
      <w:pPr>
        <w:spacing w:line="360" w:lineRule="auto"/>
        <w:ind w:firstLine="482" w:firstLineChars="200"/>
        <w:rPr>
          <w:rFonts w:ascii="宋体" w:hAnsi="宋体"/>
          <w:b/>
          <w:sz w:val="24"/>
        </w:rPr>
      </w:pPr>
      <w:r>
        <w:rPr>
          <w:rFonts w:ascii="宋体" w:hAnsi="宋体"/>
          <w:b/>
          <w:kern w:val="0"/>
          <w:sz w:val="24"/>
        </w:rPr>
        <w:t>2</w:t>
      </w:r>
      <w:r>
        <w:rPr>
          <w:rFonts w:hint="eastAsia" w:ascii="宋体" w:hAnsi="宋体"/>
          <w:b/>
          <w:sz w:val="24"/>
        </w:rPr>
        <w:t>8</w:t>
      </w:r>
      <w:r>
        <w:rPr>
          <w:rFonts w:ascii="宋体" w:hAnsi="宋体"/>
          <w:b/>
          <w:sz w:val="24"/>
        </w:rPr>
        <w:t>.</w:t>
      </w:r>
      <w:r>
        <w:rPr>
          <w:rFonts w:hint="eastAsia" w:ascii="宋体" w:hAnsi="宋体"/>
          <w:b/>
          <w:sz w:val="24"/>
        </w:rPr>
        <w:t>9招标文件中未要求，但投标人给予赠品、回扣或与采购无关的其他商品、服务的。</w:t>
      </w:r>
    </w:p>
    <w:p>
      <w:pPr>
        <w:spacing w:line="360" w:lineRule="auto"/>
        <w:ind w:firstLine="480" w:firstLineChars="200"/>
        <w:rPr>
          <w:rFonts w:ascii="宋体" w:hAnsi="宋体"/>
          <w:sz w:val="24"/>
        </w:rPr>
      </w:pPr>
      <w:r>
        <w:rPr>
          <w:rFonts w:hint="eastAsia" w:ascii="宋体" w:hAnsi="宋体"/>
          <w:sz w:val="24"/>
        </w:rPr>
        <w:t>28.10投标报价存在漏项或报价数量少于采购要求的。</w:t>
      </w:r>
    </w:p>
    <w:p>
      <w:pPr>
        <w:spacing w:line="360" w:lineRule="auto"/>
        <w:ind w:firstLine="480" w:firstLineChars="200"/>
        <w:rPr>
          <w:rFonts w:ascii="宋体" w:hAnsi="宋体"/>
          <w:sz w:val="24"/>
        </w:rPr>
      </w:pPr>
      <w:r>
        <w:rPr>
          <w:rFonts w:hint="eastAsia" w:ascii="宋体" w:hAnsi="宋体"/>
          <w:sz w:val="24"/>
        </w:rPr>
        <w:t>28.11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pPr>
        <w:spacing w:line="360" w:lineRule="auto"/>
        <w:ind w:firstLine="480" w:firstLineChars="200"/>
        <w:rPr>
          <w:rFonts w:ascii="宋体" w:hAnsi="宋体"/>
          <w:sz w:val="24"/>
        </w:rPr>
      </w:pPr>
      <w:r>
        <w:rPr>
          <w:rFonts w:hint="eastAsia" w:ascii="宋体" w:hAnsi="宋体"/>
          <w:sz w:val="24"/>
        </w:rPr>
        <w:t>28.12投标人已明知采购期间或之后企业将发生兼并改制，或提供的产品将停产、淘汰，或必须有偿使用专供的备品备件和试剂耗材的，及其他应当告知招标人可能影响采购项目实施或损害招标人利益的信息，不在</w:t>
      </w:r>
      <w:r>
        <w:rPr>
          <w:rFonts w:hint="eastAsia" w:ascii="宋体" w:hAnsi="宋体"/>
          <w:kern w:val="0"/>
          <w:sz w:val="24"/>
        </w:rPr>
        <w:t>投标文件</w:t>
      </w:r>
      <w:r>
        <w:rPr>
          <w:rFonts w:hint="eastAsia" w:ascii="宋体" w:hAnsi="宋体"/>
          <w:sz w:val="24"/>
        </w:rPr>
        <w:t>中予以特别说明的。</w:t>
      </w:r>
    </w:p>
    <w:p>
      <w:pPr>
        <w:spacing w:line="360" w:lineRule="auto"/>
        <w:ind w:firstLine="480" w:firstLineChars="200"/>
        <w:rPr>
          <w:rFonts w:ascii="宋体" w:hAnsi="宋体"/>
          <w:sz w:val="24"/>
        </w:rPr>
      </w:pPr>
      <w:r>
        <w:rPr>
          <w:rFonts w:hint="eastAsia" w:ascii="宋体" w:hAnsi="宋体"/>
          <w:sz w:val="24"/>
        </w:rPr>
        <w:t>28.13提供虚假材料谋取中标的。</w:t>
      </w:r>
    </w:p>
    <w:p>
      <w:pPr>
        <w:spacing w:line="360" w:lineRule="auto"/>
        <w:ind w:firstLine="480" w:firstLineChars="200"/>
        <w:rPr>
          <w:rFonts w:ascii="宋体" w:hAnsi="宋体"/>
          <w:sz w:val="24"/>
        </w:rPr>
      </w:pPr>
      <w:r>
        <w:rPr>
          <w:rFonts w:hint="eastAsia" w:ascii="宋体" w:hAnsi="宋体"/>
          <w:sz w:val="24"/>
        </w:rPr>
        <w:t>28.14在招标过程中与招标人进行协商谈判、不按招标文件和中标人的</w:t>
      </w:r>
      <w:r>
        <w:rPr>
          <w:rFonts w:hint="eastAsia" w:ascii="宋体" w:hAnsi="宋体"/>
          <w:kern w:val="0"/>
          <w:sz w:val="24"/>
        </w:rPr>
        <w:t>投标文件</w:t>
      </w:r>
      <w:r>
        <w:rPr>
          <w:rFonts w:hint="eastAsia" w:ascii="宋体" w:hAnsi="宋体"/>
          <w:sz w:val="24"/>
        </w:rPr>
        <w:t>订立合同，或者与招标人另行订立背离合同实质性内容的协议的。</w:t>
      </w:r>
    </w:p>
    <w:p>
      <w:pPr>
        <w:spacing w:line="360" w:lineRule="auto"/>
        <w:ind w:firstLine="480" w:firstLineChars="200"/>
        <w:rPr>
          <w:rFonts w:ascii="宋体" w:hAnsi="宋体"/>
        </w:rPr>
      </w:pPr>
      <w:r>
        <w:rPr>
          <w:rFonts w:hint="eastAsia" w:ascii="宋体" w:hAnsi="宋体"/>
          <w:sz w:val="24"/>
        </w:rPr>
        <w:t>28.15招标文件规定的其他</w:t>
      </w:r>
      <w:r>
        <w:rPr>
          <w:rFonts w:hint="eastAsia" w:ascii="宋体" w:hAnsi="宋体"/>
          <w:kern w:val="0"/>
          <w:sz w:val="24"/>
        </w:rPr>
        <w:t>投标文件</w:t>
      </w:r>
      <w:r>
        <w:rPr>
          <w:rFonts w:hint="eastAsia" w:ascii="宋体" w:hAnsi="宋体"/>
          <w:sz w:val="24"/>
        </w:rPr>
        <w:t>无效情形。</w:t>
      </w:r>
      <w:bookmarkStart w:id="180" w:name="EBdafef940fa674575a283c03dcfd15197"/>
      <w:bookmarkEnd w:id="180"/>
      <w:bookmarkStart w:id="181" w:name="EB09b84f7f941446eb81ae304223ba6dc4"/>
      <w:bookmarkEnd w:id="181"/>
    </w:p>
    <w:p>
      <w:pPr>
        <w:pStyle w:val="4"/>
        <w:spacing w:line="360" w:lineRule="auto"/>
        <w:ind w:firstLine="200" w:firstLineChars="0"/>
        <w:rPr>
          <w:rFonts w:ascii="宋体" w:hAnsi="宋体"/>
          <w:sz w:val="32"/>
        </w:rPr>
      </w:pPr>
      <w:bookmarkStart w:id="182" w:name="_Toc27163"/>
      <w:bookmarkStart w:id="183" w:name="_Toc22826"/>
      <w:bookmarkStart w:id="184" w:name="_Toc21742"/>
      <w:bookmarkStart w:id="185" w:name="_Toc41577873"/>
      <w:bookmarkStart w:id="186" w:name="_Toc494555856"/>
      <w:bookmarkStart w:id="187" w:name="_Toc30757"/>
      <w:bookmarkStart w:id="188" w:name="_Toc493956040"/>
      <w:bookmarkStart w:id="189" w:name="_Toc83312436"/>
      <w:bookmarkStart w:id="190" w:name="_Toc4710"/>
      <w:bookmarkStart w:id="191" w:name="_Toc25333"/>
      <w:r>
        <w:rPr>
          <w:rFonts w:hint="eastAsia" w:ascii="宋体" w:hAnsi="宋体"/>
          <w:sz w:val="32"/>
        </w:rPr>
        <w:t>八   法律责任</w:t>
      </w:r>
      <w:bookmarkEnd w:id="182"/>
      <w:bookmarkEnd w:id="183"/>
      <w:bookmarkEnd w:id="184"/>
      <w:bookmarkEnd w:id="185"/>
      <w:bookmarkEnd w:id="186"/>
      <w:bookmarkEnd w:id="187"/>
      <w:bookmarkEnd w:id="188"/>
      <w:bookmarkEnd w:id="189"/>
      <w:bookmarkEnd w:id="190"/>
      <w:bookmarkEnd w:id="191"/>
    </w:p>
    <w:p>
      <w:pPr>
        <w:spacing w:line="360" w:lineRule="auto"/>
        <w:ind w:firstLine="482" w:firstLineChars="200"/>
        <w:rPr>
          <w:rFonts w:ascii="宋体" w:hAnsi="宋体"/>
          <w:b/>
          <w:sz w:val="24"/>
        </w:rPr>
      </w:pPr>
      <w:r>
        <w:rPr>
          <w:rFonts w:hint="eastAsia" w:ascii="宋体" w:hAnsi="宋体"/>
          <w:b/>
          <w:sz w:val="24"/>
        </w:rPr>
        <w:t>29.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pacing w:line="360" w:lineRule="auto"/>
        <w:ind w:firstLine="480" w:firstLineChars="200"/>
        <w:rPr>
          <w:rFonts w:ascii="宋体" w:hAnsi="宋体"/>
          <w:sz w:val="24"/>
        </w:rPr>
      </w:pPr>
      <w:r>
        <w:rPr>
          <w:rFonts w:hint="eastAsia" w:ascii="宋体" w:hAnsi="宋体"/>
          <w:sz w:val="24"/>
        </w:rPr>
        <w:t>29.1提供虚假材料谋取中标的；</w:t>
      </w:r>
    </w:p>
    <w:p>
      <w:pPr>
        <w:spacing w:line="360" w:lineRule="auto"/>
        <w:ind w:firstLine="480" w:firstLineChars="200"/>
        <w:rPr>
          <w:rFonts w:ascii="宋体" w:hAnsi="宋体"/>
          <w:sz w:val="24"/>
        </w:rPr>
      </w:pPr>
      <w:r>
        <w:rPr>
          <w:rFonts w:hint="eastAsia" w:ascii="宋体" w:hAnsi="宋体"/>
          <w:sz w:val="24"/>
        </w:rPr>
        <w:t>29.2采取不正当手段诋毁、排挤其他投标人的；</w:t>
      </w:r>
    </w:p>
    <w:p>
      <w:pPr>
        <w:spacing w:line="360" w:lineRule="auto"/>
        <w:ind w:firstLine="480" w:firstLineChars="200"/>
        <w:rPr>
          <w:rFonts w:ascii="宋体" w:hAnsi="宋体"/>
          <w:sz w:val="24"/>
        </w:rPr>
      </w:pPr>
      <w:r>
        <w:rPr>
          <w:rFonts w:hint="eastAsia" w:ascii="宋体" w:hAnsi="宋体"/>
          <w:sz w:val="24"/>
        </w:rPr>
        <w:t>29.3与招标人、其他投标人或者招标代理机构恶意串通的；</w:t>
      </w:r>
    </w:p>
    <w:p>
      <w:pPr>
        <w:spacing w:line="360" w:lineRule="auto"/>
        <w:ind w:firstLine="480" w:firstLineChars="200"/>
        <w:rPr>
          <w:rFonts w:ascii="宋体" w:hAnsi="宋体"/>
          <w:sz w:val="24"/>
        </w:rPr>
      </w:pPr>
      <w:r>
        <w:rPr>
          <w:rFonts w:hint="eastAsia" w:ascii="宋体" w:hAnsi="宋体"/>
          <w:sz w:val="24"/>
        </w:rPr>
        <w:t>29.4向招标人、招标代理机构行贿或者提供其他不正当利益的；</w:t>
      </w:r>
    </w:p>
    <w:p>
      <w:pPr>
        <w:spacing w:line="360" w:lineRule="auto"/>
        <w:ind w:firstLine="480" w:firstLineChars="200"/>
        <w:rPr>
          <w:rFonts w:ascii="宋体" w:hAnsi="宋体"/>
          <w:sz w:val="24"/>
        </w:rPr>
      </w:pPr>
      <w:r>
        <w:rPr>
          <w:rFonts w:hint="eastAsia" w:ascii="宋体" w:hAnsi="宋体"/>
          <w:sz w:val="24"/>
        </w:rPr>
        <w:t>29.5在招标采购过程中与招标人进行协商谈判的；</w:t>
      </w:r>
    </w:p>
    <w:p>
      <w:pPr>
        <w:spacing w:line="360" w:lineRule="auto"/>
        <w:ind w:firstLine="480" w:firstLineChars="200"/>
        <w:rPr>
          <w:rFonts w:ascii="宋体" w:hAnsi="宋体"/>
          <w:sz w:val="24"/>
        </w:rPr>
      </w:pPr>
      <w:r>
        <w:rPr>
          <w:rFonts w:hint="eastAsia" w:ascii="宋体" w:hAnsi="宋体"/>
          <w:sz w:val="24"/>
        </w:rPr>
        <w:t>29.6拒绝有关部门监督检查或者提供虚假情况的；</w:t>
      </w:r>
    </w:p>
    <w:p>
      <w:pPr>
        <w:spacing w:line="360" w:lineRule="auto"/>
        <w:ind w:firstLine="480" w:firstLineChars="200"/>
        <w:rPr>
          <w:rFonts w:ascii="宋体" w:hAnsi="宋体"/>
          <w:sz w:val="24"/>
        </w:rPr>
      </w:pPr>
      <w:r>
        <w:rPr>
          <w:rFonts w:hint="eastAsia" w:ascii="宋体" w:hAnsi="宋体"/>
          <w:sz w:val="24"/>
        </w:rPr>
        <w:t>投标人有前款29.1至29.5项情形之一的，中标无效。</w:t>
      </w:r>
    </w:p>
    <w:p>
      <w:pPr>
        <w:spacing w:line="360" w:lineRule="auto"/>
        <w:ind w:firstLine="482" w:firstLineChars="200"/>
        <w:rPr>
          <w:rFonts w:ascii="宋体" w:hAnsi="宋体"/>
          <w:b/>
          <w:sz w:val="24"/>
        </w:rPr>
      </w:pPr>
      <w:r>
        <w:rPr>
          <w:rFonts w:hint="eastAsia" w:ascii="宋体" w:hAnsi="宋体"/>
          <w:b/>
          <w:sz w:val="24"/>
        </w:rPr>
        <w:t>30.投标人有下列情形之一的，依照政府采购法第七十七条第一款的规定追究法律责任：</w:t>
      </w:r>
    </w:p>
    <w:p>
      <w:pPr>
        <w:spacing w:line="360" w:lineRule="auto"/>
        <w:ind w:firstLine="480" w:firstLineChars="200"/>
        <w:rPr>
          <w:rFonts w:ascii="宋体" w:hAnsi="宋体"/>
          <w:sz w:val="24"/>
        </w:rPr>
      </w:pPr>
      <w:r>
        <w:rPr>
          <w:rFonts w:hint="eastAsia" w:ascii="宋体" w:hAnsi="宋体"/>
          <w:sz w:val="24"/>
        </w:rPr>
        <w:t>30.1向评审委员会或者</w:t>
      </w:r>
      <w:r>
        <w:rPr>
          <w:rFonts w:ascii="宋体" w:hAnsi="宋体"/>
          <w:sz w:val="24"/>
        </w:rPr>
        <w:t>评审委员会</w:t>
      </w:r>
      <w:r>
        <w:rPr>
          <w:rFonts w:hint="eastAsia" w:ascii="宋体" w:hAnsi="宋体"/>
          <w:sz w:val="24"/>
        </w:rPr>
        <w:t>成员行贿或者提供其他不正当利益；</w:t>
      </w:r>
    </w:p>
    <w:p>
      <w:pPr>
        <w:spacing w:line="360" w:lineRule="auto"/>
        <w:ind w:firstLine="480" w:firstLineChars="200"/>
        <w:rPr>
          <w:rFonts w:ascii="宋体" w:hAnsi="宋体"/>
          <w:sz w:val="24"/>
        </w:rPr>
      </w:pPr>
      <w:r>
        <w:rPr>
          <w:rFonts w:hint="eastAsia" w:ascii="宋体" w:hAnsi="宋体"/>
          <w:sz w:val="24"/>
        </w:rPr>
        <w:t>30.2中标或者成交后无正当理由拒不与招标人签订政府采购合同；</w:t>
      </w:r>
    </w:p>
    <w:p>
      <w:pPr>
        <w:spacing w:line="360" w:lineRule="auto"/>
        <w:ind w:firstLine="480" w:firstLineChars="200"/>
        <w:rPr>
          <w:rFonts w:ascii="宋体" w:hAnsi="宋体"/>
          <w:sz w:val="24"/>
        </w:rPr>
      </w:pPr>
      <w:r>
        <w:rPr>
          <w:rFonts w:hint="eastAsia" w:ascii="宋体" w:hAnsi="宋体"/>
          <w:sz w:val="24"/>
        </w:rPr>
        <w:t>30.3未按照招标文件确定的事项签订政府采购合同；</w:t>
      </w:r>
    </w:p>
    <w:p>
      <w:pPr>
        <w:spacing w:line="360" w:lineRule="auto"/>
        <w:ind w:firstLine="480" w:firstLineChars="200"/>
        <w:rPr>
          <w:rFonts w:ascii="宋体" w:hAnsi="宋体"/>
          <w:sz w:val="24"/>
        </w:rPr>
      </w:pPr>
      <w:r>
        <w:rPr>
          <w:rFonts w:hint="eastAsia" w:ascii="宋体" w:hAnsi="宋体"/>
          <w:sz w:val="24"/>
        </w:rPr>
        <w:t>30.4将政府采购合同转包；</w:t>
      </w:r>
    </w:p>
    <w:p>
      <w:pPr>
        <w:spacing w:line="360" w:lineRule="auto"/>
        <w:ind w:firstLine="480" w:firstLineChars="200"/>
        <w:rPr>
          <w:rFonts w:ascii="宋体" w:hAnsi="宋体"/>
          <w:sz w:val="24"/>
        </w:rPr>
      </w:pPr>
      <w:r>
        <w:rPr>
          <w:rFonts w:hint="eastAsia" w:ascii="宋体" w:hAnsi="宋体"/>
          <w:sz w:val="24"/>
        </w:rPr>
        <w:t>30.5提供假冒伪劣产品；</w:t>
      </w:r>
    </w:p>
    <w:p>
      <w:pPr>
        <w:spacing w:line="360" w:lineRule="auto"/>
        <w:ind w:firstLine="480" w:firstLineChars="200"/>
        <w:rPr>
          <w:rFonts w:ascii="宋体" w:hAnsi="宋体"/>
          <w:sz w:val="24"/>
        </w:rPr>
      </w:pPr>
      <w:r>
        <w:rPr>
          <w:rFonts w:hint="eastAsia" w:ascii="宋体" w:hAnsi="宋体"/>
          <w:sz w:val="24"/>
        </w:rPr>
        <w:t>30.6擅自变更、中止或者终止政府采购合同。</w:t>
      </w:r>
    </w:p>
    <w:p>
      <w:pPr>
        <w:spacing w:line="360" w:lineRule="auto"/>
        <w:ind w:firstLine="480" w:firstLineChars="200"/>
        <w:rPr>
          <w:rFonts w:ascii="宋体" w:hAnsi="宋体"/>
          <w:sz w:val="24"/>
        </w:rPr>
      </w:pPr>
      <w:r>
        <w:rPr>
          <w:rFonts w:hint="eastAsia" w:ascii="宋体" w:hAnsi="宋体"/>
          <w:sz w:val="24"/>
        </w:rPr>
        <w:t>投标人有前款第一项规定情形的，中标无效。评审阶段资格发生变化，投标人未依照《中华人民共和国政府采购法实施条例》第二十一条的规定通知招标人和招标代理机构的，处以采购金额5‰的罚款，列入不良行为记录名单，中标无效。</w:t>
      </w:r>
    </w:p>
    <w:p>
      <w:pPr>
        <w:spacing w:line="360" w:lineRule="auto"/>
        <w:ind w:firstLine="482" w:firstLineChars="200"/>
        <w:rPr>
          <w:rFonts w:ascii="宋体" w:hAnsi="宋体"/>
          <w:b/>
          <w:sz w:val="24"/>
        </w:rPr>
      </w:pPr>
      <w:r>
        <w:rPr>
          <w:rFonts w:hint="eastAsia" w:ascii="宋体" w:hAnsi="宋体"/>
          <w:b/>
          <w:sz w:val="24"/>
        </w:rPr>
        <w:t>31.投标人捏造事实、提供虚假材料或者以非法手段取得证明材料进行投诉的，由财政部门列入不良行为记录名单，禁止其1至3年内参加政府采购活动。</w:t>
      </w:r>
    </w:p>
    <w:p>
      <w:pPr>
        <w:spacing w:line="360" w:lineRule="auto"/>
        <w:ind w:firstLine="482" w:firstLineChars="200"/>
        <w:rPr>
          <w:rFonts w:ascii="宋体" w:hAnsi="宋体"/>
          <w:b/>
          <w:sz w:val="24"/>
        </w:rPr>
      </w:pPr>
      <w:r>
        <w:rPr>
          <w:rFonts w:hint="eastAsia" w:ascii="宋体" w:hAnsi="宋体"/>
          <w:b/>
          <w:sz w:val="24"/>
        </w:rPr>
        <w:t>32.有下列情形之一的，属于恶意串通，对投标人依照政府采购法第七十七条第一款的规定追究法律责任，对招标人、招标代理机构及其工作人员依照政府采购法第七十二条的规定追究法律责任：</w:t>
      </w:r>
    </w:p>
    <w:p>
      <w:pPr>
        <w:spacing w:line="360" w:lineRule="auto"/>
        <w:ind w:firstLine="480" w:firstLineChars="200"/>
        <w:rPr>
          <w:rFonts w:ascii="宋体" w:hAnsi="宋体"/>
          <w:sz w:val="24"/>
        </w:rPr>
      </w:pPr>
      <w:r>
        <w:rPr>
          <w:rFonts w:hint="eastAsia" w:ascii="宋体" w:hAnsi="宋体"/>
          <w:sz w:val="24"/>
        </w:rPr>
        <w:t>32.1投标人直接或者间接从招标人或者招标代理机构处获得其他投标人的相关情况并修改其</w:t>
      </w:r>
      <w:r>
        <w:rPr>
          <w:rFonts w:hint="eastAsia" w:ascii="宋体" w:hAnsi="宋体"/>
          <w:kern w:val="0"/>
          <w:sz w:val="24"/>
        </w:rPr>
        <w:t>投标文件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32.2投标人按照招标人或者招标代理机构的授意撤换、修改</w:t>
      </w:r>
      <w:r>
        <w:rPr>
          <w:rFonts w:hint="eastAsia" w:ascii="宋体" w:hAnsi="宋体"/>
          <w:kern w:val="0"/>
          <w:sz w:val="24"/>
        </w:rPr>
        <w:t>投标文件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32.3投标人之间协商报价、技术方案等</w:t>
      </w:r>
      <w:r>
        <w:rPr>
          <w:rFonts w:hint="eastAsia" w:ascii="宋体" w:hAnsi="宋体"/>
          <w:kern w:val="0"/>
          <w:sz w:val="24"/>
        </w:rPr>
        <w:t>投标文件</w:t>
      </w:r>
      <w:r>
        <w:rPr>
          <w:rFonts w:hint="eastAsia" w:ascii="宋体" w:hAnsi="宋体"/>
          <w:sz w:val="24"/>
        </w:rPr>
        <w:t>的实质性内容；</w:t>
      </w:r>
    </w:p>
    <w:p>
      <w:pPr>
        <w:spacing w:line="360" w:lineRule="auto"/>
        <w:ind w:firstLine="480" w:firstLineChars="200"/>
        <w:rPr>
          <w:rFonts w:ascii="宋体" w:hAnsi="宋体"/>
          <w:sz w:val="24"/>
        </w:rPr>
      </w:pPr>
      <w:r>
        <w:rPr>
          <w:rFonts w:hint="eastAsia" w:ascii="宋体" w:hAnsi="宋体"/>
          <w:sz w:val="24"/>
        </w:rPr>
        <w:t>32.4属于同一集团、协会、商会等组织成员的投标人按照该组织要求协同参加政府采购活动；</w:t>
      </w:r>
    </w:p>
    <w:p>
      <w:pPr>
        <w:spacing w:line="360" w:lineRule="auto"/>
        <w:ind w:firstLine="480" w:firstLineChars="200"/>
        <w:rPr>
          <w:rFonts w:ascii="宋体" w:hAnsi="宋体"/>
          <w:sz w:val="24"/>
        </w:rPr>
      </w:pPr>
      <w:r>
        <w:rPr>
          <w:rFonts w:hint="eastAsia" w:ascii="宋体" w:hAnsi="宋体"/>
          <w:sz w:val="24"/>
        </w:rPr>
        <w:t>32.5投标人之间事先约定由某一特定投标人中标、成交；</w:t>
      </w:r>
    </w:p>
    <w:p>
      <w:pPr>
        <w:spacing w:line="360" w:lineRule="auto"/>
        <w:ind w:firstLine="480" w:firstLineChars="200"/>
        <w:rPr>
          <w:rFonts w:ascii="宋体" w:hAnsi="宋体"/>
          <w:sz w:val="24"/>
        </w:rPr>
      </w:pPr>
      <w:r>
        <w:rPr>
          <w:rFonts w:hint="eastAsia" w:ascii="宋体" w:hAnsi="宋体"/>
          <w:sz w:val="24"/>
        </w:rPr>
        <w:t>32.6投标人之间商定部分投标人放弃参加政府采购活动或者放弃中标、成交；</w:t>
      </w:r>
    </w:p>
    <w:p>
      <w:pPr>
        <w:spacing w:line="360" w:lineRule="auto"/>
        <w:ind w:firstLine="480" w:firstLineChars="200"/>
        <w:rPr>
          <w:rFonts w:ascii="宋体" w:hAnsi="宋体"/>
          <w:sz w:val="20"/>
        </w:rPr>
      </w:pPr>
      <w:r>
        <w:rPr>
          <w:rFonts w:hint="eastAsia" w:ascii="宋体" w:hAnsi="宋体"/>
          <w:sz w:val="24"/>
        </w:rPr>
        <w:t>32.7投标人与招标人或者招标代理机构之间、投标人相互之间，为谋求特定投标人中标、成交或者排斥其他投标人的其他串通行为；</w:t>
      </w:r>
    </w:p>
    <w:p>
      <w:pPr>
        <w:spacing w:line="360" w:lineRule="auto"/>
        <w:ind w:firstLine="480" w:firstLineChars="200"/>
        <w:rPr>
          <w:rFonts w:ascii="宋体" w:hAnsi="宋体"/>
          <w:sz w:val="24"/>
        </w:rPr>
      </w:pPr>
      <w:r>
        <w:rPr>
          <w:rFonts w:hint="eastAsia" w:ascii="宋体" w:hAnsi="宋体"/>
          <w:sz w:val="24"/>
        </w:rPr>
        <w:t>32.</w:t>
      </w:r>
      <w:r>
        <w:rPr>
          <w:rFonts w:ascii="宋体" w:hAnsi="宋体"/>
          <w:sz w:val="24"/>
        </w:rPr>
        <w:t xml:space="preserve">8 </w:t>
      </w:r>
      <w:r>
        <w:rPr>
          <w:rFonts w:hint="eastAsia" w:ascii="宋体" w:hAnsi="宋体"/>
          <w:sz w:val="24"/>
        </w:rPr>
        <w:t>不同投标人的投标文件由同一单位或者个人编制；</w:t>
      </w:r>
    </w:p>
    <w:p>
      <w:pPr>
        <w:spacing w:line="360" w:lineRule="auto"/>
        <w:ind w:firstLine="480" w:firstLineChars="200"/>
        <w:rPr>
          <w:rFonts w:ascii="宋体" w:hAnsi="宋体"/>
          <w:sz w:val="24"/>
        </w:rPr>
      </w:pPr>
      <w:r>
        <w:rPr>
          <w:rFonts w:hint="eastAsia" w:ascii="宋体" w:hAnsi="宋体"/>
          <w:sz w:val="24"/>
        </w:rPr>
        <w:t>32.</w:t>
      </w:r>
      <w:r>
        <w:rPr>
          <w:rFonts w:ascii="宋体" w:hAnsi="宋体"/>
          <w:sz w:val="24"/>
        </w:rPr>
        <w:t xml:space="preserve">9 </w:t>
      </w:r>
      <w:r>
        <w:rPr>
          <w:rFonts w:hint="eastAsia" w:ascii="宋体" w:hAnsi="宋体"/>
          <w:sz w:val="24"/>
        </w:rPr>
        <w:t>不同投标人委托同一单位或者个人办理投标事宜；</w:t>
      </w:r>
    </w:p>
    <w:p>
      <w:pPr>
        <w:spacing w:line="360" w:lineRule="auto"/>
        <w:ind w:firstLine="480" w:firstLineChars="200"/>
        <w:rPr>
          <w:rFonts w:ascii="宋体" w:hAnsi="宋体"/>
          <w:sz w:val="24"/>
        </w:rPr>
      </w:pPr>
      <w:r>
        <w:rPr>
          <w:rFonts w:hint="eastAsia" w:ascii="宋体" w:hAnsi="宋体"/>
          <w:sz w:val="24"/>
        </w:rPr>
        <w:t>32.</w:t>
      </w:r>
      <w:r>
        <w:rPr>
          <w:rFonts w:ascii="宋体" w:hAnsi="宋体"/>
          <w:sz w:val="24"/>
        </w:rPr>
        <w:t xml:space="preserve">10 </w:t>
      </w:r>
      <w:r>
        <w:rPr>
          <w:rFonts w:hint="eastAsia" w:ascii="宋体" w:hAnsi="宋体"/>
          <w:sz w:val="24"/>
        </w:rPr>
        <w:t>不同投标人的投标文件载明的项目管理成员或者联系人员为同一人；</w:t>
      </w:r>
    </w:p>
    <w:p>
      <w:pPr>
        <w:spacing w:line="360" w:lineRule="auto"/>
        <w:ind w:firstLine="480" w:firstLineChars="200"/>
        <w:rPr>
          <w:rFonts w:ascii="宋体" w:hAnsi="宋体"/>
          <w:sz w:val="24"/>
        </w:rPr>
      </w:pPr>
      <w:r>
        <w:rPr>
          <w:rFonts w:hint="eastAsia" w:ascii="宋体" w:hAnsi="宋体"/>
          <w:sz w:val="24"/>
        </w:rPr>
        <w:t>32.</w:t>
      </w:r>
      <w:r>
        <w:rPr>
          <w:rFonts w:ascii="宋体" w:hAnsi="宋体"/>
          <w:sz w:val="24"/>
        </w:rPr>
        <w:t xml:space="preserve">11 </w:t>
      </w:r>
      <w:r>
        <w:rPr>
          <w:rFonts w:hint="eastAsia" w:ascii="宋体" w:hAnsi="宋体"/>
          <w:sz w:val="24"/>
        </w:rPr>
        <w:t>不同投标人的投标文件异常一致或者投标报价呈规律性差异；</w:t>
      </w:r>
    </w:p>
    <w:p>
      <w:pPr>
        <w:spacing w:line="360" w:lineRule="auto"/>
        <w:ind w:firstLine="480" w:firstLineChars="200"/>
        <w:rPr>
          <w:rFonts w:ascii="宋体" w:hAnsi="宋体"/>
          <w:sz w:val="24"/>
        </w:rPr>
      </w:pPr>
      <w:r>
        <w:rPr>
          <w:rFonts w:hint="eastAsia" w:ascii="宋体" w:hAnsi="宋体"/>
          <w:sz w:val="24"/>
        </w:rPr>
        <w:t>32.</w:t>
      </w:r>
      <w:r>
        <w:rPr>
          <w:rFonts w:ascii="宋体" w:hAnsi="宋体"/>
          <w:sz w:val="24"/>
        </w:rPr>
        <w:t xml:space="preserve">12 </w:t>
      </w:r>
      <w:r>
        <w:rPr>
          <w:rFonts w:hint="eastAsia" w:ascii="宋体" w:hAnsi="宋体"/>
          <w:sz w:val="24"/>
        </w:rPr>
        <w:t>不同投标人的投标文件相互混装。</w:t>
      </w:r>
    </w:p>
    <w:bookmarkEnd w:id="163"/>
    <w:bookmarkEnd w:id="164"/>
    <w:bookmarkEnd w:id="165"/>
    <w:p>
      <w:pPr>
        <w:pStyle w:val="4"/>
        <w:spacing w:line="360" w:lineRule="auto"/>
        <w:ind w:firstLine="157" w:firstLineChars="49"/>
        <w:rPr>
          <w:rFonts w:ascii="宋体" w:hAnsi="宋体"/>
          <w:sz w:val="32"/>
        </w:rPr>
      </w:pPr>
      <w:bookmarkStart w:id="192" w:name="_Toc25352"/>
      <w:bookmarkStart w:id="193" w:name="_Toc31927"/>
      <w:bookmarkStart w:id="194" w:name="_Toc8076"/>
      <w:bookmarkStart w:id="195" w:name="_Toc12811"/>
      <w:bookmarkStart w:id="196" w:name="_Toc83312437"/>
      <w:bookmarkStart w:id="197" w:name="_Toc17793770"/>
      <w:bookmarkStart w:id="198" w:name="_Toc921"/>
      <w:bookmarkStart w:id="199" w:name="_Toc41577874"/>
      <w:bookmarkStart w:id="200" w:name="_Toc17264"/>
      <w:bookmarkStart w:id="201" w:name="_Toc415648537"/>
      <w:bookmarkStart w:id="202" w:name="_Toc393869893"/>
      <w:bookmarkStart w:id="203" w:name="_Toc396838137"/>
      <w:r>
        <w:rPr>
          <w:rFonts w:hint="eastAsia" w:ascii="宋体" w:hAnsi="宋体"/>
          <w:sz w:val="32"/>
        </w:rPr>
        <w:t>九   澄清、修改发布媒体</w:t>
      </w:r>
      <w:bookmarkEnd w:id="192"/>
      <w:bookmarkEnd w:id="193"/>
      <w:bookmarkEnd w:id="194"/>
      <w:bookmarkEnd w:id="195"/>
      <w:bookmarkEnd w:id="196"/>
      <w:bookmarkEnd w:id="197"/>
      <w:bookmarkEnd w:id="198"/>
      <w:bookmarkEnd w:id="199"/>
      <w:bookmarkEnd w:id="200"/>
    </w:p>
    <w:p>
      <w:pPr>
        <w:snapToGrid w:val="0"/>
        <w:spacing w:line="360" w:lineRule="auto"/>
        <w:ind w:firstLine="480" w:firstLineChars="200"/>
        <w:rPr>
          <w:rFonts w:ascii="宋体" w:hAnsi="宋体"/>
          <w:kern w:val="0"/>
          <w:sz w:val="24"/>
        </w:rPr>
      </w:pPr>
      <w:r>
        <w:rPr>
          <w:rFonts w:hint="eastAsia" w:ascii="宋体" w:hAnsi="宋体"/>
          <w:sz w:val="24"/>
        </w:rPr>
        <w:t>33.1针对潜在投标人提出的询问，招标代理机构一般在3个工作日内作出答复，如需澄清或</w:t>
      </w:r>
      <w:r>
        <w:rPr>
          <w:rFonts w:hint="eastAsia" w:ascii="宋体" w:hAnsi="宋体"/>
          <w:bCs/>
          <w:kern w:val="0"/>
          <w:sz w:val="24"/>
        </w:rPr>
        <w:t>修改的，招标代理机构将在投标截止时间十五日前将澄清或修改内容在浙江政府采购网</w:t>
      </w:r>
      <w:r>
        <w:fldChar w:fldCharType="begin"/>
      </w:r>
      <w:r>
        <w:instrText xml:space="preserve"> HYPERLINK "http://60.190.126.3:8080/wcm/WCMV6/editor/editor/招标文件（新版）.doc" </w:instrText>
      </w:r>
      <w:r>
        <w:fldChar w:fldCharType="separate"/>
      </w:r>
      <w:r>
        <w:rPr>
          <w:rFonts w:hint="eastAsia" w:ascii="宋体" w:hAnsi="宋体"/>
          <w:bCs/>
          <w:kern w:val="0"/>
          <w:sz w:val="24"/>
        </w:rPr>
        <w:t>http://zfcg.czt.zj.gov.cn/</w:t>
      </w:r>
      <w:r>
        <w:rPr>
          <w:rFonts w:hint="eastAsia" w:ascii="宋体" w:hAnsi="宋体"/>
          <w:bCs/>
          <w:kern w:val="0"/>
          <w:sz w:val="24"/>
        </w:rPr>
        <w:fldChar w:fldCharType="end"/>
      </w:r>
      <w:r>
        <w:rPr>
          <w:rFonts w:hint="eastAsia" w:ascii="宋体" w:hAnsi="宋体"/>
          <w:bCs/>
          <w:kern w:val="0"/>
          <w:sz w:val="24"/>
        </w:rPr>
        <w:t>、</w:t>
      </w:r>
      <w:r>
        <w:rPr>
          <w:rFonts w:hint="eastAsia" w:ascii="宋体" w:hAnsi="宋体" w:cs="仿宋_GB2312"/>
          <w:sz w:val="24"/>
        </w:rPr>
        <w:t>丽水市公共资源交易网（http://lssggzy.lishui.gov.cn/lsweb/）</w:t>
      </w:r>
      <w:r>
        <w:rPr>
          <w:rFonts w:hint="eastAsia" w:ascii="宋体" w:hAnsi="宋体"/>
          <w:bCs/>
          <w:kern w:val="0"/>
          <w:sz w:val="24"/>
        </w:rPr>
        <w:t>上予以公布，潜在投标人应自行关注网站更正公告等内容，招标代理机构不再一一通知。</w:t>
      </w:r>
    </w:p>
    <w:p>
      <w:pPr>
        <w:snapToGrid w:val="0"/>
        <w:spacing w:line="360" w:lineRule="auto"/>
        <w:ind w:firstLine="480" w:firstLineChars="200"/>
        <w:rPr>
          <w:rFonts w:ascii="宋体" w:hAnsi="宋体"/>
          <w:sz w:val="24"/>
        </w:rPr>
      </w:pPr>
      <w:r>
        <w:rPr>
          <w:rFonts w:hint="eastAsia" w:ascii="宋体" w:hAnsi="宋体"/>
          <w:sz w:val="24"/>
        </w:rPr>
        <w:t>33.2潜在投标人提出的询问超出招标人对招标代理机构委托授权范围的，投标人应向招标人提出。</w:t>
      </w:r>
    </w:p>
    <w:p>
      <w:pPr>
        <w:pStyle w:val="4"/>
        <w:spacing w:line="360" w:lineRule="auto"/>
        <w:ind w:firstLine="200" w:firstLineChars="0"/>
        <w:rPr>
          <w:rFonts w:ascii="宋体" w:hAnsi="宋体"/>
          <w:sz w:val="32"/>
        </w:rPr>
      </w:pPr>
      <w:bookmarkStart w:id="204" w:name="_Toc9699"/>
      <w:bookmarkStart w:id="205" w:name="_Toc83312438"/>
      <w:bookmarkStart w:id="206" w:name="_Toc41577875"/>
      <w:bookmarkStart w:id="207" w:name="_Toc20996"/>
      <w:bookmarkStart w:id="208" w:name="_Toc18414"/>
      <w:bookmarkStart w:id="209" w:name="_Toc13533"/>
      <w:bookmarkStart w:id="210" w:name="_Toc16846"/>
      <w:bookmarkStart w:id="211" w:name="_Toc12808"/>
      <w:r>
        <w:rPr>
          <w:rFonts w:hint="eastAsia" w:ascii="宋体" w:hAnsi="宋体"/>
          <w:sz w:val="32"/>
        </w:rPr>
        <w:t>十   质疑</w:t>
      </w:r>
      <w:bookmarkEnd w:id="201"/>
      <w:bookmarkEnd w:id="202"/>
      <w:bookmarkEnd w:id="203"/>
      <w:bookmarkEnd w:id="204"/>
      <w:bookmarkEnd w:id="205"/>
      <w:bookmarkEnd w:id="206"/>
      <w:bookmarkEnd w:id="207"/>
      <w:bookmarkEnd w:id="208"/>
      <w:bookmarkEnd w:id="209"/>
      <w:bookmarkEnd w:id="210"/>
      <w:bookmarkEnd w:id="211"/>
    </w:p>
    <w:p>
      <w:pPr>
        <w:spacing w:line="360" w:lineRule="auto"/>
        <w:ind w:firstLine="480" w:firstLineChars="200"/>
        <w:rPr>
          <w:rFonts w:ascii="宋体" w:hAnsi="宋体"/>
          <w:sz w:val="24"/>
          <w:szCs w:val="21"/>
        </w:rPr>
      </w:pPr>
      <w:r>
        <w:rPr>
          <w:rFonts w:hint="eastAsia" w:ascii="宋体" w:hAnsi="宋体"/>
          <w:sz w:val="24"/>
          <w:szCs w:val="21"/>
        </w:rPr>
        <w:t>34</w:t>
      </w:r>
      <w:r>
        <w:rPr>
          <w:rFonts w:ascii="宋体" w:hAnsi="宋体"/>
          <w:sz w:val="24"/>
          <w:szCs w:val="21"/>
        </w:rPr>
        <w:t>.</w:t>
      </w:r>
      <w:r>
        <w:rPr>
          <w:rFonts w:hint="eastAsia" w:ascii="宋体" w:hAnsi="宋体"/>
          <w:sz w:val="24"/>
          <w:szCs w:val="21"/>
        </w:rPr>
        <w:t>1</w:t>
      </w:r>
      <w:r>
        <w:rPr>
          <w:rFonts w:hint="eastAsia" w:ascii="宋体" w:hAnsi="宋体" w:cs="宋体"/>
          <w:kern w:val="0"/>
          <w:sz w:val="24"/>
        </w:rPr>
        <w:t>投标人认为采购文件、采购过程、中标或者成交结果使自己的权益受到损害的，可以在知道或者应知其权益受到损害之日起7个工作日内，以书面形式向招标人、招标代理机构一次性提出各采购程序环节的质疑。</w:t>
      </w:r>
    </w:p>
    <w:p>
      <w:pPr>
        <w:spacing w:line="360" w:lineRule="auto"/>
        <w:ind w:firstLine="480" w:firstLineChars="200"/>
        <w:rPr>
          <w:rFonts w:ascii="宋体" w:hAnsi="宋体"/>
          <w:sz w:val="24"/>
          <w:szCs w:val="21"/>
        </w:rPr>
      </w:pPr>
      <w:r>
        <w:rPr>
          <w:rFonts w:hint="eastAsia" w:ascii="宋体" w:hAnsi="宋体"/>
          <w:sz w:val="24"/>
          <w:szCs w:val="21"/>
        </w:rPr>
        <w:t>34.2质疑的主要内容应符合</w:t>
      </w:r>
      <w:r>
        <w:rPr>
          <w:rFonts w:hint="eastAsia" w:ascii="宋体" w:hAnsi="宋体" w:cs="Calibri"/>
          <w:kern w:val="0"/>
          <w:sz w:val="24"/>
        </w:rPr>
        <w:t>《政府采购质疑和投诉办法》（94号令）规定</w:t>
      </w:r>
      <w:r>
        <w:rPr>
          <w:rFonts w:hint="eastAsia" w:ascii="宋体" w:hAnsi="宋体"/>
          <w:sz w:val="24"/>
          <w:szCs w:val="21"/>
        </w:rPr>
        <w:t>以及浙江省和丽水市相关文件的规定。质疑内容涉及保密事项，质疑投标人应提供有效的信息来源或有效证据。</w:t>
      </w:r>
    </w:p>
    <w:p>
      <w:pPr>
        <w:spacing w:line="360" w:lineRule="auto"/>
        <w:ind w:firstLine="480" w:firstLineChars="200"/>
        <w:rPr>
          <w:rFonts w:ascii="宋体" w:hAnsi="宋体"/>
          <w:sz w:val="24"/>
          <w:szCs w:val="21"/>
        </w:rPr>
      </w:pPr>
      <w:r>
        <w:rPr>
          <w:rFonts w:hint="eastAsia" w:ascii="宋体" w:hAnsi="宋体"/>
          <w:sz w:val="24"/>
          <w:szCs w:val="21"/>
        </w:rPr>
        <w:t>34.3质疑投标人可直接提交、传真或邮寄方式提交质疑书（一式三份以上）。以其他方式提出的质疑，招标代理机构</w:t>
      </w:r>
      <w:r>
        <w:rPr>
          <w:rFonts w:ascii="宋体" w:hAnsi="宋体"/>
          <w:sz w:val="24"/>
          <w:szCs w:val="21"/>
        </w:rPr>
        <w:t>可不予接受、答复。</w:t>
      </w:r>
    </w:p>
    <w:p>
      <w:pPr>
        <w:spacing w:line="360" w:lineRule="auto"/>
        <w:ind w:firstLine="480" w:firstLineChars="200"/>
        <w:rPr>
          <w:rFonts w:ascii="宋体" w:hAnsi="宋体"/>
          <w:sz w:val="24"/>
          <w:szCs w:val="21"/>
        </w:rPr>
      </w:pPr>
      <w:r>
        <w:rPr>
          <w:rFonts w:hint="eastAsia" w:ascii="宋体" w:hAnsi="宋体"/>
          <w:sz w:val="24"/>
          <w:szCs w:val="21"/>
        </w:rPr>
        <w:t>34.3.1</w:t>
      </w:r>
      <w:r>
        <w:rPr>
          <w:rFonts w:ascii="宋体" w:hAnsi="宋体"/>
          <w:sz w:val="24"/>
          <w:szCs w:val="21"/>
        </w:rPr>
        <w:t>邮寄方式送达质疑书的，以</w:t>
      </w:r>
      <w:r>
        <w:rPr>
          <w:rFonts w:hint="eastAsia" w:ascii="宋体" w:hAnsi="宋体"/>
          <w:sz w:val="24"/>
          <w:szCs w:val="21"/>
        </w:rPr>
        <w:t>招标代理机构</w:t>
      </w:r>
      <w:r>
        <w:rPr>
          <w:rFonts w:ascii="宋体" w:hAnsi="宋体"/>
          <w:sz w:val="24"/>
          <w:szCs w:val="21"/>
        </w:rPr>
        <w:t>实际收到邮件之日作为收到质疑的日期。</w:t>
      </w:r>
    </w:p>
    <w:p>
      <w:pPr>
        <w:spacing w:line="360" w:lineRule="auto"/>
        <w:ind w:firstLine="480" w:firstLineChars="200"/>
        <w:rPr>
          <w:rFonts w:ascii="宋体" w:hAnsi="宋体"/>
          <w:sz w:val="24"/>
          <w:szCs w:val="21"/>
        </w:rPr>
      </w:pPr>
      <w:r>
        <w:rPr>
          <w:rFonts w:hint="eastAsia" w:ascii="宋体" w:hAnsi="宋体"/>
          <w:sz w:val="24"/>
          <w:szCs w:val="21"/>
        </w:rPr>
        <w:t>34.3.2</w:t>
      </w:r>
      <w:r>
        <w:rPr>
          <w:rFonts w:ascii="宋体" w:hAnsi="宋体"/>
          <w:sz w:val="24"/>
          <w:szCs w:val="21"/>
        </w:rPr>
        <w:t>传真方式送达质疑书的，质疑</w:t>
      </w:r>
      <w:r>
        <w:rPr>
          <w:rFonts w:hint="eastAsia" w:ascii="宋体" w:hAnsi="宋体"/>
          <w:sz w:val="24"/>
          <w:szCs w:val="21"/>
        </w:rPr>
        <w:t>投标人</w:t>
      </w:r>
      <w:r>
        <w:rPr>
          <w:rFonts w:ascii="宋体" w:hAnsi="宋体"/>
          <w:sz w:val="24"/>
          <w:szCs w:val="21"/>
        </w:rPr>
        <w:t>应当取得</w:t>
      </w:r>
      <w:r>
        <w:rPr>
          <w:rFonts w:hint="eastAsia" w:ascii="宋体" w:hAnsi="宋体"/>
          <w:sz w:val="24"/>
          <w:szCs w:val="21"/>
        </w:rPr>
        <w:t>招标代理机构</w:t>
      </w:r>
      <w:r>
        <w:rPr>
          <w:rFonts w:ascii="宋体" w:hAnsi="宋体"/>
          <w:sz w:val="24"/>
          <w:szCs w:val="21"/>
        </w:rPr>
        <w:t>确认收到传真的意见，并及时将质疑书原件送达</w:t>
      </w:r>
      <w:r>
        <w:rPr>
          <w:rFonts w:hint="eastAsia" w:ascii="宋体" w:hAnsi="宋体"/>
          <w:sz w:val="24"/>
          <w:szCs w:val="21"/>
        </w:rPr>
        <w:t>招标代理机构</w:t>
      </w:r>
      <w:r>
        <w:rPr>
          <w:rFonts w:ascii="宋体" w:hAnsi="宋体"/>
          <w:sz w:val="24"/>
          <w:szCs w:val="21"/>
        </w:rPr>
        <w:t>。</w:t>
      </w:r>
      <w:r>
        <w:rPr>
          <w:rFonts w:hint="eastAsia" w:ascii="宋体" w:hAnsi="宋体"/>
          <w:sz w:val="24"/>
          <w:szCs w:val="21"/>
        </w:rPr>
        <w:t>招标代理机构</w:t>
      </w:r>
      <w:r>
        <w:rPr>
          <w:rFonts w:ascii="宋体" w:hAnsi="宋体"/>
          <w:sz w:val="24"/>
          <w:szCs w:val="21"/>
        </w:rPr>
        <w:t>以实际收到原件之日作为收到质疑的日期。</w:t>
      </w:r>
    </w:p>
    <w:p>
      <w:pPr>
        <w:spacing w:line="360" w:lineRule="auto"/>
        <w:ind w:firstLine="480" w:firstLineChars="200"/>
        <w:rPr>
          <w:rFonts w:ascii="宋体" w:hAnsi="宋体"/>
          <w:sz w:val="24"/>
          <w:szCs w:val="21"/>
        </w:rPr>
      </w:pPr>
      <w:r>
        <w:rPr>
          <w:rFonts w:hint="eastAsia" w:ascii="宋体" w:hAnsi="宋体"/>
          <w:sz w:val="24"/>
          <w:szCs w:val="21"/>
        </w:rPr>
        <w:t>34.3.3</w:t>
      </w:r>
      <w:r>
        <w:rPr>
          <w:rFonts w:ascii="宋体" w:hAnsi="宋体"/>
          <w:sz w:val="24"/>
          <w:szCs w:val="21"/>
        </w:rPr>
        <w:t>在质疑期限届满前，质疑书已经邮寄或传真成功的，质疑不视为过期。</w:t>
      </w:r>
    </w:p>
    <w:p>
      <w:pPr>
        <w:spacing w:line="360" w:lineRule="auto"/>
        <w:ind w:firstLine="480" w:firstLineChars="200"/>
        <w:rPr>
          <w:rFonts w:ascii="宋体" w:hAnsi="宋体"/>
          <w:sz w:val="24"/>
          <w:szCs w:val="21"/>
        </w:rPr>
      </w:pPr>
      <w:r>
        <w:rPr>
          <w:rFonts w:hint="eastAsia" w:ascii="宋体" w:hAnsi="宋体"/>
          <w:sz w:val="24"/>
          <w:szCs w:val="21"/>
        </w:rPr>
        <w:t>34.4质疑投标人提供的相关材料中有外文资料的，应将与质疑相关的外文资料完整、客观、真实地翻译为中文，并注明翻译人员姓名、工作单位、联系方式等信息。</w:t>
      </w:r>
    </w:p>
    <w:p>
      <w:pPr>
        <w:spacing w:line="360" w:lineRule="auto"/>
        <w:ind w:firstLine="480" w:firstLineChars="200"/>
        <w:rPr>
          <w:rFonts w:ascii="宋体" w:hAnsi="宋体"/>
          <w:sz w:val="24"/>
          <w:szCs w:val="21"/>
        </w:rPr>
      </w:pPr>
      <w:r>
        <w:rPr>
          <w:rFonts w:hint="eastAsia" w:ascii="宋体" w:hAnsi="宋体"/>
          <w:sz w:val="24"/>
          <w:szCs w:val="21"/>
        </w:rPr>
        <w:t>34</w:t>
      </w:r>
      <w:r>
        <w:rPr>
          <w:rFonts w:ascii="宋体" w:hAnsi="宋体"/>
          <w:sz w:val="24"/>
          <w:szCs w:val="21"/>
        </w:rPr>
        <w:t>.</w:t>
      </w:r>
      <w:r>
        <w:rPr>
          <w:rFonts w:hint="eastAsia" w:ascii="宋体" w:hAnsi="宋体"/>
          <w:sz w:val="24"/>
          <w:szCs w:val="21"/>
        </w:rPr>
        <w:t>5招标代理机构在收到质疑投标人的书面质疑后7个工作日内作出答复，并以书面形式答复质疑投标人</w:t>
      </w:r>
      <w:r>
        <w:rPr>
          <w:rFonts w:ascii="宋体" w:hAnsi="宋体"/>
          <w:sz w:val="24"/>
          <w:szCs w:val="21"/>
        </w:rPr>
        <w:t>。</w:t>
      </w:r>
    </w:p>
    <w:p>
      <w:pPr>
        <w:spacing w:line="360" w:lineRule="auto"/>
        <w:ind w:firstLine="480" w:firstLineChars="200"/>
        <w:rPr>
          <w:rFonts w:ascii="宋体" w:hAnsi="宋体"/>
          <w:sz w:val="24"/>
          <w:szCs w:val="21"/>
        </w:rPr>
      </w:pPr>
      <w:r>
        <w:rPr>
          <w:rFonts w:hint="eastAsia" w:ascii="宋体" w:hAnsi="宋体"/>
          <w:sz w:val="24"/>
          <w:szCs w:val="21"/>
        </w:rPr>
        <w:t>34.6质疑投标人捏造事实、提供虚假材料进行质疑的，招标代理机构报告同级财政部门，由同级财政部门审查，情况属实的，应列入不良行为记录，并在指定的媒体上公告。</w:t>
      </w:r>
    </w:p>
    <w:p>
      <w:pPr>
        <w:pStyle w:val="4"/>
        <w:spacing w:line="360" w:lineRule="auto"/>
        <w:ind w:firstLine="200" w:firstLineChars="0"/>
        <w:rPr>
          <w:rFonts w:ascii="宋体" w:hAnsi="宋体"/>
          <w:sz w:val="32"/>
        </w:rPr>
      </w:pPr>
      <w:bookmarkStart w:id="212" w:name="_Toc28460"/>
      <w:bookmarkStart w:id="213" w:name="_Toc30860"/>
      <w:bookmarkStart w:id="214" w:name="_Toc18673"/>
      <w:bookmarkStart w:id="215" w:name="_Toc83312439"/>
      <w:bookmarkStart w:id="216" w:name="_Toc27903"/>
      <w:bookmarkStart w:id="217" w:name="_Toc20818"/>
      <w:bookmarkStart w:id="218" w:name="_Toc32292"/>
      <w:bookmarkStart w:id="219" w:name="_Toc41577876"/>
      <w:r>
        <w:rPr>
          <w:rFonts w:hint="eastAsia" w:ascii="宋体" w:hAnsi="宋体"/>
          <w:sz w:val="32"/>
        </w:rPr>
        <w:t>十一  投诉</w:t>
      </w:r>
      <w:bookmarkEnd w:id="166"/>
      <w:bookmarkEnd w:id="167"/>
      <w:bookmarkEnd w:id="212"/>
      <w:bookmarkEnd w:id="213"/>
      <w:bookmarkEnd w:id="214"/>
      <w:bookmarkEnd w:id="215"/>
      <w:bookmarkEnd w:id="216"/>
      <w:bookmarkEnd w:id="217"/>
      <w:bookmarkEnd w:id="218"/>
      <w:bookmarkEnd w:id="219"/>
    </w:p>
    <w:p>
      <w:pPr>
        <w:spacing w:line="360" w:lineRule="auto"/>
        <w:ind w:firstLine="480" w:firstLineChars="200"/>
        <w:rPr>
          <w:rFonts w:ascii="宋体" w:hAnsi="宋体"/>
          <w:sz w:val="24"/>
        </w:rPr>
      </w:pPr>
      <w:r>
        <w:rPr>
          <w:rFonts w:hint="eastAsia" w:ascii="宋体" w:hAnsi="宋体"/>
          <w:sz w:val="24"/>
        </w:rPr>
        <w:t>35.质疑投标人对招标代理机构的答复不满意或者招标代理机构未在规定时间内答复的，可以在答复期满后十五个工作日内按有关规定，书面向同级政府采购管理办公室投诉。</w:t>
      </w:r>
    </w:p>
    <w:p>
      <w:pPr>
        <w:pStyle w:val="4"/>
        <w:spacing w:line="360" w:lineRule="auto"/>
        <w:ind w:firstLine="200" w:firstLineChars="0"/>
        <w:rPr>
          <w:rFonts w:ascii="宋体" w:hAnsi="宋体"/>
          <w:sz w:val="32"/>
        </w:rPr>
      </w:pPr>
      <w:bookmarkStart w:id="220" w:name="_Toc17220"/>
      <w:bookmarkStart w:id="221" w:name="_Toc41577877"/>
      <w:bookmarkStart w:id="222" w:name="_Toc6955"/>
      <w:bookmarkStart w:id="223" w:name="_Toc20673"/>
      <w:bookmarkStart w:id="224" w:name="_Toc7066"/>
      <w:bookmarkStart w:id="225" w:name="_Toc29950"/>
      <w:bookmarkStart w:id="226" w:name="_Toc6015"/>
      <w:bookmarkStart w:id="227" w:name="_Toc83312440"/>
      <w:r>
        <w:rPr>
          <w:rFonts w:hint="eastAsia" w:ascii="宋体" w:hAnsi="宋体"/>
          <w:sz w:val="32"/>
        </w:rPr>
        <w:t>十二  授予合同</w:t>
      </w:r>
      <w:bookmarkEnd w:id="220"/>
      <w:bookmarkEnd w:id="221"/>
      <w:bookmarkEnd w:id="222"/>
      <w:bookmarkEnd w:id="223"/>
      <w:bookmarkEnd w:id="224"/>
      <w:bookmarkEnd w:id="225"/>
      <w:bookmarkEnd w:id="226"/>
      <w:bookmarkEnd w:id="227"/>
    </w:p>
    <w:p>
      <w:pPr>
        <w:spacing w:line="360" w:lineRule="auto"/>
        <w:ind w:firstLine="480" w:firstLineChars="200"/>
        <w:rPr>
          <w:rFonts w:ascii="宋体" w:hAnsi="宋体"/>
          <w:sz w:val="24"/>
        </w:rPr>
      </w:pPr>
      <w:r>
        <w:rPr>
          <w:rFonts w:hint="eastAsia" w:ascii="宋体" w:hAnsi="宋体"/>
          <w:sz w:val="24"/>
        </w:rPr>
        <w:t>36</w:t>
      </w:r>
      <w:r>
        <w:rPr>
          <w:rFonts w:ascii="宋体" w:hAnsi="宋体"/>
          <w:sz w:val="24"/>
        </w:rPr>
        <w:t xml:space="preserve">. </w:t>
      </w:r>
      <w:r>
        <w:rPr>
          <w:rFonts w:hint="eastAsia" w:ascii="宋体" w:hAnsi="宋体"/>
          <w:sz w:val="24"/>
        </w:rPr>
        <w:t>中标结果公告及中标通知书</w:t>
      </w:r>
    </w:p>
    <w:p>
      <w:pPr>
        <w:spacing w:line="360" w:lineRule="auto"/>
        <w:ind w:firstLine="480" w:firstLineChars="200"/>
        <w:rPr>
          <w:rFonts w:ascii="宋体" w:hAnsi="宋体"/>
          <w:sz w:val="24"/>
        </w:rPr>
      </w:pPr>
      <w:r>
        <w:rPr>
          <w:rFonts w:hint="eastAsia" w:ascii="宋体" w:hAnsi="宋体"/>
          <w:sz w:val="24"/>
        </w:rPr>
        <w:t>36.1招标代理机构将在浙江政府采购网</w:t>
      </w:r>
      <w:r>
        <w:fldChar w:fldCharType="begin"/>
      </w:r>
      <w:r>
        <w:instrText xml:space="preserve"> HYPERLINK "http://60.190.126.3:8080/wcm/WCMV6/editor/editor/招标文件（新版）.doc" </w:instrText>
      </w:r>
      <w:r>
        <w:fldChar w:fldCharType="separate"/>
      </w:r>
      <w:r>
        <w:rPr>
          <w:rFonts w:hint="eastAsia" w:ascii="宋体" w:hAnsi="宋体"/>
          <w:sz w:val="24"/>
        </w:rPr>
        <w:t>http://zfcg.czt.zj.gov.cn/</w:t>
      </w:r>
      <w:r>
        <w:rPr>
          <w:rFonts w:hint="eastAsia" w:ascii="宋体" w:hAnsi="宋体"/>
          <w:sz w:val="24"/>
        </w:rPr>
        <w:fldChar w:fldCharType="end"/>
      </w:r>
      <w:r>
        <w:rPr>
          <w:rFonts w:hint="eastAsia" w:ascii="宋体" w:hAnsi="宋体"/>
          <w:sz w:val="24"/>
        </w:rPr>
        <w:t>、</w:t>
      </w:r>
      <w:r>
        <w:rPr>
          <w:rFonts w:hint="eastAsia" w:ascii="宋体" w:hAnsi="宋体" w:cs="仿宋_GB2312"/>
          <w:sz w:val="24"/>
        </w:rPr>
        <w:t>丽水市公共资源交易网（http://lssggzy.lishui.gov.cn/lsweb/）</w:t>
      </w:r>
      <w:r>
        <w:rPr>
          <w:rFonts w:hint="eastAsia" w:ascii="宋体" w:hAnsi="宋体"/>
          <w:sz w:val="24"/>
        </w:rPr>
        <w:t>上发布中标结果公告。中标结果公告内容不包括国家秘密、商业秘密。</w:t>
      </w:r>
    </w:p>
    <w:p>
      <w:pPr>
        <w:spacing w:line="360" w:lineRule="auto"/>
        <w:ind w:firstLine="480" w:firstLineChars="200"/>
        <w:rPr>
          <w:rFonts w:ascii="宋体" w:hAnsi="宋体"/>
          <w:sz w:val="24"/>
        </w:rPr>
      </w:pPr>
      <w:r>
        <w:rPr>
          <w:rFonts w:hint="eastAsia" w:ascii="宋体" w:hAnsi="宋体"/>
          <w:kern w:val="0"/>
          <w:sz w:val="24"/>
        </w:rPr>
        <w:t>36.2发布中标公告的同时，招标代理机构向中标人发出中标通知书。</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7</w:t>
      </w:r>
      <w:r>
        <w:rPr>
          <w:rFonts w:ascii="宋体" w:hAnsi="宋体"/>
          <w:sz w:val="24"/>
        </w:rPr>
        <w:t>.</w:t>
      </w:r>
      <w:r>
        <w:rPr>
          <w:rFonts w:hint="eastAsia" w:ascii="宋体" w:hAnsi="宋体"/>
          <w:sz w:val="24"/>
        </w:rPr>
        <w:t>授予合同时变更数量的权力</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7</w:t>
      </w:r>
      <w:r>
        <w:rPr>
          <w:rFonts w:ascii="宋体" w:hAnsi="宋体"/>
          <w:sz w:val="24"/>
        </w:rPr>
        <w:t>.1</w:t>
      </w:r>
      <w:r>
        <w:rPr>
          <w:rFonts w:hint="eastAsia" w:ascii="宋体" w:hAnsi="宋体"/>
          <w:sz w:val="24"/>
        </w:rPr>
        <w:t>招标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8</w:t>
      </w:r>
      <w:r>
        <w:rPr>
          <w:rFonts w:ascii="宋体" w:hAnsi="宋体"/>
          <w:sz w:val="24"/>
        </w:rPr>
        <w:t>.</w:t>
      </w:r>
      <w:r>
        <w:rPr>
          <w:rFonts w:hint="eastAsia" w:ascii="宋体" w:hAnsi="宋体"/>
          <w:sz w:val="24"/>
        </w:rPr>
        <w:t>签订合同</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8</w:t>
      </w:r>
      <w:r>
        <w:rPr>
          <w:rFonts w:ascii="宋体" w:hAnsi="宋体"/>
          <w:sz w:val="24"/>
        </w:rPr>
        <w:t>.1</w:t>
      </w:r>
      <w:r>
        <w:rPr>
          <w:rFonts w:hint="eastAsia" w:ascii="宋体" w:hAnsi="宋体"/>
          <w:sz w:val="24"/>
        </w:rPr>
        <w:t>中标人自中标通知书发出之日起30日内与招标人签定合同。</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8</w:t>
      </w:r>
      <w:r>
        <w:rPr>
          <w:rFonts w:ascii="宋体" w:hAnsi="宋体"/>
          <w:sz w:val="24"/>
        </w:rPr>
        <w:t>.2</w:t>
      </w:r>
      <w:r>
        <w:rPr>
          <w:rFonts w:hint="eastAsia" w:ascii="宋体" w:hAnsi="宋体"/>
          <w:sz w:val="24"/>
        </w:rPr>
        <w:t>招标文件、中标人的投标文件及其澄清文件等,均为签订合同的依据。</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8</w:t>
      </w:r>
      <w:r>
        <w:rPr>
          <w:rFonts w:ascii="宋体" w:hAnsi="宋体"/>
          <w:sz w:val="24"/>
        </w:rPr>
        <w:t>.3</w:t>
      </w:r>
      <w:r>
        <w:rPr>
          <w:rFonts w:hint="eastAsia" w:ascii="宋体" w:hAnsi="宋体"/>
          <w:sz w:val="24"/>
        </w:rPr>
        <w:t>中标人不遵守招标文件和投标文件的要约条款及所作的承诺,擅自修改报价或在中标通知书发出之日起30日内,借故拖延、拒签合同者,招标人有权取消该投标人的中标资格。</w:t>
      </w:r>
    </w:p>
    <w:p>
      <w:pPr>
        <w:spacing w:line="360" w:lineRule="auto"/>
        <w:ind w:firstLine="480" w:firstLineChars="200"/>
        <w:rPr>
          <w:rFonts w:ascii="宋体" w:hAnsi="宋体"/>
          <w:sz w:val="24"/>
        </w:rPr>
      </w:pPr>
      <w:r>
        <w:rPr>
          <w:rFonts w:hint="eastAsia" w:ascii="宋体" w:hAnsi="宋体"/>
          <w:sz w:val="24"/>
        </w:rPr>
        <w:t>按有关法律法规中标人拒绝与招标人签订合同的，招标人可以按照评审报告推荐的中标候选人名单排序，确定下一候选人为中标人，也可以重新开展政府采购活动。</w:t>
      </w:r>
    </w:p>
    <w:p>
      <w:pPr>
        <w:spacing w:line="360" w:lineRule="auto"/>
        <w:ind w:firstLine="480" w:firstLineChars="200"/>
        <w:rPr>
          <w:rFonts w:ascii="宋体" w:hAnsi="宋体"/>
          <w:sz w:val="24"/>
        </w:rPr>
      </w:pPr>
      <w:r>
        <w:rPr>
          <w:rFonts w:hint="eastAsia" w:ascii="宋体" w:hAnsi="宋体"/>
          <w:sz w:val="24"/>
        </w:rPr>
        <w:t>38.4质疑事项可能影响中标结果的，招标人应当暂停签订合同，已经签订合同的，应当中止履行合同。（中标结果的质疑期为中标结果公告期限届满之日起七个工作日）。</w:t>
      </w:r>
    </w:p>
    <w:p>
      <w:pPr>
        <w:spacing w:line="360" w:lineRule="auto"/>
        <w:ind w:firstLine="480" w:firstLineChars="200"/>
        <w:rPr>
          <w:rFonts w:ascii="宋体" w:hAnsi="宋体"/>
          <w:sz w:val="24"/>
        </w:rPr>
      </w:pPr>
      <w:r>
        <w:rPr>
          <w:rFonts w:hint="eastAsia" w:ascii="宋体" w:hAnsi="宋体"/>
          <w:sz w:val="24"/>
        </w:rPr>
        <w:t>38</w:t>
      </w:r>
      <w:r>
        <w:rPr>
          <w:rFonts w:ascii="宋体" w:hAnsi="宋体"/>
          <w:sz w:val="24"/>
        </w:rPr>
        <w:t>.</w:t>
      </w:r>
      <w:r>
        <w:rPr>
          <w:rFonts w:hint="eastAsia" w:ascii="宋体" w:hAnsi="宋体"/>
          <w:sz w:val="24"/>
        </w:rPr>
        <w:t>5招标人应当自政府采购合同签订之日起2个工作日内，将政府采购合同在省级以上人民政府财政部门指定的媒体上公告，但政府采购合同中涉及国家秘密、商业秘密的内容除外。</w:t>
      </w:r>
    </w:p>
    <w:p>
      <w:pPr>
        <w:pStyle w:val="4"/>
        <w:spacing w:line="360" w:lineRule="auto"/>
        <w:ind w:firstLine="200" w:firstLineChars="0"/>
        <w:rPr>
          <w:rFonts w:ascii="宋体" w:hAnsi="宋体"/>
          <w:sz w:val="32"/>
        </w:rPr>
      </w:pPr>
      <w:bookmarkStart w:id="228" w:name="_Toc41577878"/>
      <w:bookmarkStart w:id="229" w:name="_Toc26907"/>
      <w:bookmarkStart w:id="230" w:name="_Toc1879"/>
      <w:bookmarkStart w:id="231" w:name="_Toc83312441"/>
      <w:bookmarkStart w:id="232" w:name="_Toc32601"/>
      <w:bookmarkStart w:id="233" w:name="_Toc17194"/>
      <w:bookmarkStart w:id="234" w:name="_Toc5635"/>
      <w:bookmarkStart w:id="235" w:name="_Toc703"/>
      <w:r>
        <w:rPr>
          <w:rFonts w:hint="eastAsia" w:ascii="宋体" w:hAnsi="宋体"/>
          <w:sz w:val="32"/>
        </w:rPr>
        <w:t>十三  验收</w:t>
      </w:r>
      <w:bookmarkEnd w:id="228"/>
      <w:bookmarkEnd w:id="229"/>
      <w:bookmarkEnd w:id="230"/>
      <w:bookmarkEnd w:id="231"/>
      <w:bookmarkEnd w:id="232"/>
      <w:bookmarkEnd w:id="233"/>
      <w:bookmarkEnd w:id="234"/>
      <w:bookmarkEnd w:id="235"/>
    </w:p>
    <w:p>
      <w:pPr>
        <w:spacing w:line="360" w:lineRule="auto"/>
        <w:ind w:firstLine="480" w:firstLineChars="200"/>
        <w:rPr>
          <w:rFonts w:hint="eastAsia" w:ascii="宋体" w:hAnsi="宋体"/>
          <w:sz w:val="24"/>
        </w:rPr>
      </w:pPr>
      <w:r>
        <w:rPr>
          <w:rFonts w:hint="eastAsia" w:ascii="宋体" w:hAnsi="宋体"/>
          <w:sz w:val="24"/>
        </w:rPr>
        <w:t>39.招标人应当按照政府采购合同规定的技术、服务、安全标准组织对投标人履约情况进行验收，并出具验收书。验收书应当包括每一项技术、服务、安全标准的履约情况。</w:t>
      </w:r>
      <w:bookmarkStart w:id="236" w:name="EB2f50be56a5df4291a19f1a40e16bfb61"/>
    </w:p>
    <w:p>
      <w:pPr>
        <w:spacing w:line="360" w:lineRule="auto"/>
        <w:ind w:firstLine="480" w:firstLineChars="200"/>
        <w:rPr>
          <w:rFonts w:ascii="宋体" w:hAnsi="宋体"/>
          <w:sz w:val="20"/>
        </w:rPr>
      </w:pPr>
      <w:r>
        <w:rPr>
          <w:rFonts w:hint="eastAsia" w:ascii="宋体" w:hAnsi="宋体"/>
          <w:sz w:val="24"/>
        </w:rPr>
        <w:t>本项目招标人可根据实际需要邀请第三方专业机构及专家或参加本项目的其他投标人参与验收。其他</w:t>
      </w:r>
      <w:r>
        <w:rPr>
          <w:rFonts w:ascii="宋体" w:hAnsi="宋体"/>
          <w:sz w:val="24"/>
        </w:rPr>
        <w:t>投标人</w:t>
      </w:r>
      <w:r>
        <w:rPr>
          <w:rFonts w:hint="eastAsia" w:ascii="宋体" w:hAnsi="宋体"/>
          <w:sz w:val="24"/>
        </w:rPr>
        <w:t>应遵守诚实信用、实事求是的原则，在验收期间积极配合招标人组织的验收工作，不得影响或阻扰验收工作的正常进行。参与验收的一切费用，原则上由投标人自行承担。</w:t>
      </w:r>
      <w:bookmarkEnd w:id="236"/>
    </w:p>
    <w:p>
      <w:pPr>
        <w:pStyle w:val="4"/>
        <w:spacing w:line="360" w:lineRule="auto"/>
        <w:ind w:firstLine="200" w:firstLineChars="0"/>
        <w:rPr>
          <w:rFonts w:ascii="宋体" w:hAnsi="宋体"/>
          <w:sz w:val="32"/>
        </w:rPr>
      </w:pPr>
      <w:bookmarkStart w:id="237" w:name="_Toc530987054"/>
      <w:bookmarkStart w:id="238" w:name="_Toc41577879"/>
      <w:bookmarkStart w:id="239" w:name="_Toc493956047"/>
      <w:bookmarkStart w:id="240" w:name="_Toc3341"/>
      <w:bookmarkStart w:id="241" w:name="_Toc17803"/>
      <w:bookmarkStart w:id="242" w:name="_Toc83312442"/>
      <w:bookmarkStart w:id="243" w:name="_Toc12995"/>
      <w:bookmarkStart w:id="244" w:name="_Toc26185"/>
      <w:bookmarkStart w:id="245" w:name="_Toc31604"/>
      <w:bookmarkStart w:id="246" w:name="_Toc7844"/>
      <w:r>
        <w:rPr>
          <w:rFonts w:hint="eastAsia" w:ascii="宋体" w:hAnsi="宋体"/>
          <w:sz w:val="32"/>
        </w:rPr>
        <w:t>十四  政府</w:t>
      </w:r>
      <w:r>
        <w:rPr>
          <w:rFonts w:ascii="宋体" w:hAnsi="宋体"/>
          <w:sz w:val="32"/>
        </w:rPr>
        <w:t>采购政策</w:t>
      </w:r>
      <w:bookmarkEnd w:id="237"/>
      <w:bookmarkEnd w:id="238"/>
      <w:bookmarkEnd w:id="239"/>
      <w:bookmarkEnd w:id="240"/>
      <w:bookmarkEnd w:id="241"/>
      <w:bookmarkEnd w:id="242"/>
      <w:bookmarkEnd w:id="243"/>
      <w:bookmarkEnd w:id="244"/>
      <w:bookmarkEnd w:id="245"/>
      <w:bookmarkEnd w:id="246"/>
    </w:p>
    <w:p>
      <w:pPr>
        <w:spacing w:line="360" w:lineRule="auto"/>
        <w:ind w:firstLine="480" w:firstLineChars="200"/>
        <w:rPr>
          <w:rFonts w:ascii="宋体" w:hAnsi="宋体"/>
          <w:sz w:val="24"/>
        </w:rPr>
      </w:pPr>
      <w:r>
        <w:rPr>
          <w:rFonts w:hint="eastAsia" w:ascii="宋体" w:hAnsi="宋体"/>
          <w:sz w:val="24"/>
        </w:rPr>
        <w:t>40. 关于中小企业参与政府采购活动的规定</w:t>
      </w:r>
    </w:p>
    <w:p>
      <w:pPr>
        <w:adjustRightInd w:val="0"/>
        <w:snapToGrid w:val="0"/>
        <w:spacing w:line="360" w:lineRule="auto"/>
        <w:ind w:firstLine="482" w:firstLineChars="200"/>
        <w:rPr>
          <w:rFonts w:ascii="宋体" w:hAnsi="宋体"/>
          <w:sz w:val="24"/>
        </w:rPr>
      </w:pPr>
      <w:r>
        <w:rPr>
          <w:rFonts w:hint="eastAsia" w:ascii="宋体" w:hAnsi="宋体"/>
          <w:b/>
          <w:sz w:val="24"/>
        </w:rPr>
        <w:t>40.1本项目</w:t>
      </w:r>
      <w:r>
        <w:rPr>
          <w:rFonts w:hint="eastAsia" w:ascii="宋体" w:hAnsi="宋体"/>
          <w:b/>
          <w:sz w:val="24"/>
          <w:u w:val="single"/>
          <w:lang w:val="en-US" w:eastAsia="zh-CN"/>
        </w:rPr>
        <w:t>否</w:t>
      </w:r>
      <w:r>
        <w:rPr>
          <w:rFonts w:hint="eastAsia" w:ascii="宋体" w:hAnsi="宋体"/>
          <w:b/>
          <w:sz w:val="24"/>
        </w:rPr>
        <w:t>专门面向中小企业采购。</w:t>
      </w:r>
    </w:p>
    <w:p>
      <w:pPr>
        <w:adjustRightInd w:val="0"/>
        <w:snapToGrid w:val="0"/>
        <w:spacing w:line="360" w:lineRule="auto"/>
        <w:ind w:firstLine="480" w:firstLineChars="200"/>
        <w:rPr>
          <w:rFonts w:ascii="宋体" w:hAnsi="宋体"/>
          <w:b/>
          <w:sz w:val="24"/>
          <w:u w:val="single"/>
        </w:rPr>
      </w:pPr>
      <w:r>
        <w:rPr>
          <w:rFonts w:hint="eastAsia" w:ascii="宋体" w:hAnsi="宋体"/>
          <w:sz w:val="24"/>
        </w:rPr>
        <w:t>40.2本项目对应的中小企业划分标准所属行业：</w:t>
      </w:r>
      <w:r>
        <w:rPr>
          <w:rFonts w:hint="eastAsia" w:ascii="宋体" w:hAnsi="宋体"/>
          <w:b/>
          <w:sz w:val="24"/>
          <w:u w:val="single"/>
          <w:lang w:val="en-US" w:eastAsia="zh-CN"/>
        </w:rPr>
        <w:t>工业</w:t>
      </w:r>
      <w:r>
        <w:rPr>
          <w:rFonts w:hint="eastAsia" w:ascii="宋体" w:hAnsi="宋体"/>
          <w:b/>
          <w:sz w:val="24"/>
          <w:u w:val="single"/>
        </w:rPr>
        <w:t xml:space="preserve">。 </w:t>
      </w:r>
    </w:p>
    <w:p>
      <w:pPr>
        <w:adjustRightInd w:val="0"/>
        <w:snapToGrid w:val="0"/>
        <w:spacing w:line="360" w:lineRule="auto"/>
        <w:ind w:firstLine="480" w:firstLineChars="200"/>
        <w:rPr>
          <w:rFonts w:hint="eastAsia" w:ascii="宋体" w:hAnsi="宋体"/>
          <w:sz w:val="24"/>
        </w:rPr>
      </w:pPr>
      <w:bookmarkStart w:id="247" w:name="_Toc83312443"/>
      <w:bookmarkStart w:id="248" w:name="_Toc181"/>
      <w:bookmarkStart w:id="249" w:name="_Toc15723"/>
      <w:bookmarkStart w:id="250" w:name="_Toc14555"/>
      <w:bookmarkStart w:id="251" w:name="_Toc41577880"/>
      <w:bookmarkStart w:id="252" w:name="_Toc3370"/>
      <w:bookmarkStart w:id="253" w:name="_Toc3417"/>
      <w:bookmarkStart w:id="254" w:name="_Toc28618"/>
      <w:r>
        <w:rPr>
          <w:rFonts w:hint="eastAsia" w:ascii="宋体" w:hAnsi="宋体"/>
          <w:sz w:val="24"/>
          <w:lang w:val="en-US" w:eastAsia="zh-CN"/>
        </w:rPr>
        <w:t>40</w:t>
      </w:r>
      <w:r>
        <w:rPr>
          <w:rFonts w:hint="eastAsia" w:ascii="宋体" w:hAnsi="宋体"/>
          <w:sz w:val="24"/>
        </w:rPr>
        <w:t>.3中小企业是指在中华人民共和国境内依法设立，依据国务院批准的中小企业划分标准确定的中型企业、小型企业和微型企业，但与大企业的负责人为同一人，或者与大企业存在直接控股、管理关系的除外。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80" w:firstLineChars="200"/>
        <w:rPr>
          <w:rFonts w:hint="eastAsia" w:ascii="宋体" w:hAnsi="宋体"/>
          <w:sz w:val="24"/>
        </w:rPr>
      </w:pPr>
      <w:r>
        <w:rPr>
          <w:rFonts w:hint="eastAsia" w:ascii="宋体" w:hAnsi="宋体"/>
          <w:sz w:val="24"/>
        </w:rPr>
        <w:t>符合中小企业划分标准的个体工商户，在政府采购活动中视同中小企业。</w:t>
      </w:r>
    </w:p>
    <w:p>
      <w:pPr>
        <w:adjustRightInd w:val="0"/>
        <w:snapToGrid w:val="0"/>
        <w:spacing w:line="360" w:lineRule="auto"/>
        <w:ind w:firstLine="480" w:firstLineChars="200"/>
        <w:rPr>
          <w:rFonts w:hint="eastAsia" w:ascii="宋体" w:hAnsi="宋体"/>
          <w:sz w:val="24"/>
        </w:rPr>
      </w:pPr>
      <w:r>
        <w:rPr>
          <w:rFonts w:hint="eastAsia" w:ascii="宋体" w:hAnsi="宋体"/>
          <w:sz w:val="24"/>
        </w:rPr>
        <w:t>国务院批准的中小企业划分标准：</w:t>
      </w:r>
      <w:r>
        <w:rPr>
          <w:rFonts w:ascii="宋体" w:hAnsi="宋体"/>
          <w:sz w:val="24"/>
        </w:rPr>
        <w:t>具体见工信部联企业[2011]300号</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lang w:val="en-US" w:eastAsia="zh-CN"/>
        </w:rPr>
        <w:t>40</w:t>
      </w:r>
      <w:r>
        <w:rPr>
          <w:rFonts w:hint="eastAsia" w:ascii="宋体" w:hAnsi="宋体"/>
          <w:sz w:val="24"/>
        </w:rPr>
        <w:t>.4在政府采购活动中，供应商提供的货物、工程或者服务符合下列情形的，视为本办法规定的中小企业：</w:t>
      </w:r>
    </w:p>
    <w:p>
      <w:pPr>
        <w:adjustRightInd w:val="0"/>
        <w:snapToGrid w:val="0"/>
        <w:spacing w:line="360" w:lineRule="auto"/>
        <w:ind w:firstLine="480" w:firstLineChars="200"/>
        <w:rPr>
          <w:rFonts w:ascii="宋体" w:hAnsi="宋体"/>
          <w:sz w:val="24"/>
        </w:rPr>
      </w:pPr>
      <w:r>
        <w:rPr>
          <w:rFonts w:hint="eastAsia" w:ascii="宋体" w:hAnsi="宋体"/>
          <w:sz w:val="24"/>
        </w:rPr>
        <w:t>（一）在货物采购项目中，货物由中小企业制造，即货物由中小企业生产且使用该中小企业商号或者注册商标；</w:t>
      </w:r>
    </w:p>
    <w:p>
      <w:pPr>
        <w:adjustRightInd w:val="0"/>
        <w:snapToGrid w:val="0"/>
        <w:spacing w:line="360" w:lineRule="auto"/>
        <w:ind w:firstLine="480" w:firstLineChars="200"/>
        <w:rPr>
          <w:rFonts w:ascii="宋体" w:hAnsi="宋体"/>
          <w:sz w:val="24"/>
        </w:rPr>
      </w:pPr>
      <w:r>
        <w:rPr>
          <w:rFonts w:hint="eastAsia" w:ascii="宋体" w:hAnsi="宋体"/>
          <w:sz w:val="24"/>
        </w:rPr>
        <w:t>（二）在工程采购项目中，工程由中小企业承建，即工程施工单位为中小企业；</w:t>
      </w:r>
    </w:p>
    <w:p>
      <w:pPr>
        <w:adjustRightInd w:val="0"/>
        <w:snapToGrid w:val="0"/>
        <w:spacing w:line="360" w:lineRule="auto"/>
        <w:ind w:firstLine="480" w:firstLineChars="200"/>
        <w:rPr>
          <w:rFonts w:ascii="宋体" w:hAnsi="宋体"/>
          <w:sz w:val="24"/>
        </w:rPr>
      </w:pPr>
      <w:r>
        <w:rPr>
          <w:rFonts w:hint="eastAsia" w:ascii="宋体" w:hAnsi="宋体"/>
          <w:sz w:val="24"/>
        </w:rPr>
        <w:t>（三）在服务采购项目中，服务由中小企业承接，即提供服务的人员为中小企业依照《中华人民共和国劳动合同法》订立劳动合同的从业人员。</w:t>
      </w:r>
    </w:p>
    <w:p>
      <w:pPr>
        <w:adjustRightInd w:val="0"/>
        <w:snapToGrid w:val="0"/>
        <w:spacing w:line="360" w:lineRule="auto"/>
        <w:ind w:firstLine="480" w:firstLineChars="200"/>
        <w:rPr>
          <w:rFonts w:hint="eastAsia" w:ascii="宋体" w:hAnsi="宋体"/>
          <w:sz w:val="24"/>
        </w:rPr>
      </w:pPr>
      <w:r>
        <w:rPr>
          <w:rFonts w:hint="eastAsia" w:ascii="宋体" w:hAnsi="宋体"/>
          <w:sz w:val="24"/>
        </w:rPr>
        <w:t>在货物采购项目中，供应商提供的货物既有中小企业制造货物，也有大型企业制造货物的，视为非中小企业。</w:t>
      </w:r>
    </w:p>
    <w:p>
      <w:pPr>
        <w:adjustRightInd w:val="0"/>
        <w:snapToGrid w:val="0"/>
        <w:spacing w:line="460" w:lineRule="exact"/>
        <w:ind w:firstLine="480" w:firstLineChars="200"/>
        <w:rPr>
          <w:rFonts w:hint="eastAsia" w:ascii="宋体" w:hAnsi="宋体"/>
          <w:sz w:val="24"/>
        </w:rPr>
      </w:pPr>
      <w:r>
        <w:rPr>
          <w:rFonts w:hint="eastAsia" w:ascii="宋体" w:hAnsi="宋体"/>
          <w:sz w:val="24"/>
          <w:lang w:val="en-US" w:eastAsia="zh-CN"/>
        </w:rPr>
        <w:t>40</w:t>
      </w:r>
      <w:r>
        <w:rPr>
          <w:rFonts w:hint="eastAsia" w:ascii="宋体" w:hAnsi="宋体"/>
          <w:sz w:val="24"/>
        </w:rPr>
        <w:t>.5中小企业应按照采购文件格式要求提供《中小企业声明函》</w:t>
      </w:r>
      <w:r>
        <w:rPr>
          <w:rFonts w:hint="eastAsia" w:ascii="宋体" w:hAnsi="宋体" w:cs="宋体"/>
          <w:spacing w:val="8"/>
          <w:kern w:val="0"/>
          <w:sz w:val="24"/>
          <w:szCs w:val="28"/>
        </w:rPr>
        <w:t>，否则</w:t>
      </w:r>
      <w:r>
        <w:rPr>
          <w:rFonts w:hint="eastAsia" w:ascii="宋体" w:hAnsi="宋体"/>
          <w:sz w:val="24"/>
        </w:rPr>
        <w:t>视为非中小企业。</w:t>
      </w:r>
    </w:p>
    <w:p>
      <w:pPr>
        <w:adjustRightInd w:val="0"/>
        <w:snapToGrid w:val="0"/>
        <w:spacing w:line="360" w:lineRule="auto"/>
        <w:ind w:firstLine="480" w:firstLineChars="200"/>
        <w:rPr>
          <w:rFonts w:hint="eastAsia" w:ascii="宋体" w:hAnsi="宋体"/>
          <w:sz w:val="24"/>
        </w:rPr>
      </w:pPr>
      <w:r>
        <w:rPr>
          <w:rFonts w:hint="eastAsia" w:ascii="宋体" w:hAnsi="宋体"/>
          <w:sz w:val="24"/>
          <w:lang w:val="en-US" w:eastAsia="zh-CN"/>
        </w:rPr>
        <w:t>40</w:t>
      </w:r>
      <w:r>
        <w:rPr>
          <w:rFonts w:hint="eastAsia" w:ascii="宋体" w:hAnsi="宋体"/>
          <w:sz w:val="24"/>
        </w:rPr>
        <w:t>.6本项目对符合《政府采购促进中小企业发展管理办法》（财库﹝2020﹞46号）规定的小微企业报价给予</w:t>
      </w:r>
      <w:r>
        <w:rPr>
          <w:rFonts w:hint="eastAsia" w:ascii="宋体" w:hAnsi="宋体"/>
          <w:b/>
          <w:sz w:val="24"/>
          <w:u w:val="single"/>
        </w:rPr>
        <w:t xml:space="preserve"> 1</w:t>
      </w:r>
      <w:r>
        <w:rPr>
          <w:rFonts w:ascii="宋体" w:hAnsi="宋体"/>
          <w:b/>
          <w:sz w:val="24"/>
          <w:u w:val="single"/>
        </w:rPr>
        <w:t>0</w:t>
      </w:r>
      <w:r>
        <w:rPr>
          <w:rFonts w:hint="eastAsia" w:ascii="宋体" w:hAnsi="宋体"/>
          <w:b/>
          <w:sz w:val="24"/>
          <w:u w:val="single"/>
        </w:rPr>
        <w:t>%</w:t>
      </w:r>
      <w:r>
        <w:rPr>
          <w:rFonts w:hint="eastAsia" w:ascii="宋体" w:hAnsi="宋体"/>
          <w:sz w:val="24"/>
        </w:rPr>
        <w:t>的扣除，用扣除后的价格参加评审。</w:t>
      </w:r>
    </w:p>
    <w:p>
      <w:pPr>
        <w:pStyle w:val="8"/>
        <w:tabs>
          <w:tab w:val="left" w:pos="208"/>
        </w:tabs>
        <w:spacing w:line="360" w:lineRule="auto"/>
        <w:ind w:firstLine="480" w:firstLineChars="200"/>
        <w:rPr>
          <w:rFonts w:hint="eastAsia" w:ascii="宋体" w:hAnsi="宋体" w:cs="宋体"/>
        </w:rPr>
      </w:pPr>
      <w:r>
        <w:rPr>
          <w:rFonts w:hint="eastAsia" w:ascii="宋体" w:hAnsi="宋体" w:cs="宋体"/>
          <w:sz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b/>
          <w:bCs/>
          <w:sz w:val="24"/>
          <w:u w:val="single"/>
        </w:rPr>
        <w:t xml:space="preserve"> 4%</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80" w:firstLineChars="200"/>
        <w:rPr>
          <w:rFonts w:ascii="宋体" w:hAnsi="宋体"/>
          <w:sz w:val="24"/>
        </w:rPr>
      </w:pPr>
      <w:r>
        <w:rPr>
          <w:rFonts w:hint="eastAsia" w:ascii="宋体" w:hAnsi="宋体"/>
          <w:sz w:val="24"/>
          <w:lang w:val="en-US" w:eastAsia="zh-CN"/>
        </w:rPr>
        <w:t>40</w:t>
      </w:r>
      <w:r>
        <w:rPr>
          <w:rFonts w:hint="eastAsia" w:ascii="宋体" w:hAnsi="宋体"/>
          <w:sz w:val="24"/>
        </w:rPr>
        <w:t>.</w:t>
      </w:r>
      <w:r>
        <w:rPr>
          <w:rFonts w:ascii="宋体" w:hAnsi="宋体"/>
          <w:sz w:val="24"/>
        </w:rPr>
        <w:t>7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80" w:firstLineChars="200"/>
        <w:rPr>
          <w:rFonts w:ascii="宋体" w:hAnsi="宋体"/>
          <w:sz w:val="24"/>
        </w:rPr>
      </w:pPr>
      <w:r>
        <w:rPr>
          <w:rFonts w:hint="eastAsia" w:ascii="宋体" w:hAnsi="宋体"/>
          <w:sz w:val="24"/>
          <w:lang w:val="en-US" w:eastAsia="zh-CN"/>
        </w:rPr>
        <w:t>40</w:t>
      </w:r>
      <w:r>
        <w:rPr>
          <w:rFonts w:hint="eastAsia" w:ascii="宋体" w:hAnsi="宋体"/>
          <w:sz w:val="24"/>
        </w:rPr>
        <w:t>.</w:t>
      </w:r>
      <w:r>
        <w:rPr>
          <w:rFonts w:ascii="宋体" w:hAnsi="宋体"/>
          <w:sz w:val="24"/>
        </w:rPr>
        <w:t>8根据《关于促进残疾人就业政府采购政策的通知》（财库[201</w:t>
      </w:r>
      <w:r>
        <w:rPr>
          <w:rFonts w:hint="eastAsia" w:ascii="宋体" w:hAnsi="宋体"/>
          <w:sz w:val="24"/>
        </w:rPr>
        <w:t>7</w:t>
      </w:r>
      <w:r>
        <w:rPr>
          <w:rFonts w:ascii="宋体" w:hAnsi="宋体"/>
          <w:sz w:val="24"/>
        </w:rPr>
        <w:t>]141号）规定，在政府采购活动中，残疾人福利性单位视同小型、微型企业。残疾人福利性单位参加政府采购活动时，提供《残疾人福利性单位声明函》。</w:t>
      </w:r>
    </w:p>
    <w:p>
      <w:pPr>
        <w:adjustRightInd w:val="0"/>
        <w:snapToGrid w:val="0"/>
        <w:spacing w:line="360" w:lineRule="auto"/>
        <w:ind w:firstLine="480" w:firstLineChars="200"/>
        <w:rPr>
          <w:rFonts w:hint="eastAsia" w:ascii="宋体" w:hAnsi="宋体"/>
          <w:sz w:val="24"/>
        </w:rPr>
      </w:pPr>
      <w:r>
        <w:rPr>
          <w:rFonts w:hint="eastAsia" w:ascii="宋体" w:hAnsi="宋体"/>
          <w:sz w:val="24"/>
          <w:lang w:val="en-US" w:eastAsia="zh-CN"/>
        </w:rPr>
        <w:t>40</w:t>
      </w:r>
      <w:r>
        <w:rPr>
          <w:rFonts w:hint="eastAsia" w:ascii="宋体" w:hAnsi="宋体"/>
          <w:sz w:val="24"/>
        </w:rPr>
        <w:t>.</w:t>
      </w:r>
      <w:r>
        <w:rPr>
          <w:rFonts w:ascii="宋体" w:hAnsi="宋体"/>
          <w:sz w:val="24"/>
        </w:rPr>
        <w:t>9</w:t>
      </w:r>
      <w:r>
        <w:rPr>
          <w:rFonts w:hint="eastAsia" w:ascii="宋体" w:hAnsi="宋体"/>
          <w:sz w:val="24"/>
        </w:rPr>
        <w:t>按规定享受扶持政策获得政府采购合同的，小微企业不得将合同分包给大中型企业，中型企业不得将合同分包给大型企业。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cs="宋体"/>
          <w:bCs/>
          <w:sz w:val="24"/>
        </w:rPr>
      </w:pPr>
      <w:r>
        <w:rPr>
          <w:rFonts w:hint="eastAsia" w:ascii="宋体" w:hAnsi="宋体"/>
          <w:sz w:val="24"/>
          <w:lang w:val="en-US" w:eastAsia="zh-CN"/>
        </w:rPr>
        <w:t>40</w:t>
      </w:r>
      <w:r>
        <w:rPr>
          <w:rFonts w:hint="eastAsia" w:ascii="宋体" w:hAnsi="宋体"/>
          <w:sz w:val="24"/>
        </w:rPr>
        <w:t>.</w:t>
      </w:r>
      <w:r>
        <w:rPr>
          <w:rFonts w:ascii="宋体" w:hAnsi="宋体"/>
          <w:sz w:val="24"/>
        </w:rPr>
        <w:t>10</w:t>
      </w:r>
      <w:r>
        <w:rPr>
          <w:rFonts w:hint="eastAsia" w:ascii="宋体" w:hAnsi="宋体"/>
          <w:sz w:val="24"/>
        </w:rPr>
        <w:t>供应商按照《政府采购促进中小企业发展管理办法》（财库﹝2020﹞46号）规定提供声明函内容不实的，属于提供虚假材料谋取中标、成交，依照《中华人民共和国政府采购法》等国家有关规定追究相应责任。</w:t>
      </w:r>
    </w:p>
    <w:p>
      <w:pPr>
        <w:pStyle w:val="4"/>
        <w:spacing w:line="360" w:lineRule="auto"/>
        <w:ind w:firstLine="200" w:firstLineChars="0"/>
        <w:rPr>
          <w:rFonts w:ascii="宋体" w:hAnsi="宋体"/>
          <w:sz w:val="32"/>
          <w:highlight w:val="none"/>
        </w:rPr>
      </w:pPr>
      <w:r>
        <w:rPr>
          <w:rFonts w:hint="eastAsia" w:ascii="宋体" w:hAnsi="宋体"/>
          <w:sz w:val="32"/>
        </w:rPr>
        <w:t>十</w:t>
      </w:r>
      <w:r>
        <w:rPr>
          <w:rFonts w:hint="eastAsia" w:ascii="宋体" w:hAnsi="宋体"/>
          <w:sz w:val="32"/>
          <w:highlight w:val="none"/>
        </w:rPr>
        <w:t>五  其他事项</w:t>
      </w:r>
      <w:bookmarkEnd w:id="247"/>
      <w:bookmarkEnd w:id="248"/>
      <w:bookmarkEnd w:id="249"/>
      <w:bookmarkEnd w:id="250"/>
      <w:bookmarkEnd w:id="251"/>
      <w:bookmarkEnd w:id="252"/>
      <w:bookmarkEnd w:id="253"/>
      <w:bookmarkEnd w:id="254"/>
    </w:p>
    <w:p>
      <w:pPr>
        <w:adjustRightInd w:val="0"/>
        <w:snapToGrid w:val="0"/>
        <w:spacing w:line="360" w:lineRule="auto"/>
        <w:ind w:firstLine="480" w:firstLineChars="200"/>
        <w:rPr>
          <w:rFonts w:ascii="宋体" w:hAnsi="宋体" w:cs="宋体"/>
          <w:sz w:val="24"/>
          <w:highlight w:val="none"/>
        </w:rPr>
      </w:pPr>
      <w:r>
        <w:rPr>
          <w:rFonts w:hint="eastAsia" w:ascii="宋体" w:hAnsi="宋体"/>
          <w:sz w:val="24"/>
          <w:highlight w:val="none"/>
        </w:rPr>
        <w:t>4</w:t>
      </w:r>
      <w:r>
        <w:rPr>
          <w:rFonts w:hint="eastAsia" w:ascii="宋体" w:hAnsi="宋体"/>
          <w:sz w:val="24"/>
          <w:highlight w:val="none"/>
          <w:lang w:val="en-US" w:eastAsia="zh-CN"/>
        </w:rPr>
        <w:t>1</w:t>
      </w:r>
      <w:r>
        <w:rPr>
          <w:rFonts w:hint="eastAsia" w:ascii="宋体" w:hAnsi="宋体"/>
          <w:sz w:val="24"/>
          <w:highlight w:val="none"/>
        </w:rPr>
        <w:t>.</w:t>
      </w:r>
      <w:r>
        <w:rPr>
          <w:rFonts w:hint="eastAsia" w:cs="仿宋" w:asciiTheme="minorEastAsia" w:hAnsiTheme="minorEastAsia" w:eastAsiaTheme="minorEastAsia"/>
          <w:sz w:val="24"/>
          <w:szCs w:val="28"/>
          <w:highlight w:val="none"/>
        </w:rPr>
        <w:t xml:space="preserve"> 对省级以上主管部门认定的首台套产品，自纳入《省推广应用指导目录》起三年内参加政府采购活动，视同已具备相应销售业绩，业绩分为满分，投标文件中提供相应的证明材料。</w:t>
      </w:r>
    </w:p>
    <w:p>
      <w:pPr>
        <w:spacing w:line="360" w:lineRule="auto"/>
        <w:ind w:firstLine="480" w:firstLineChars="200"/>
        <w:rPr>
          <w:rFonts w:ascii="宋体" w:hAnsi="宋体"/>
          <w:sz w:val="24"/>
          <w:highlight w:val="none"/>
        </w:rPr>
      </w:pPr>
      <w:r>
        <w:rPr>
          <w:rFonts w:hint="eastAsia" w:ascii="宋体" w:hAnsi="宋体"/>
          <w:bCs/>
          <w:sz w:val="24"/>
          <w:highlight w:val="none"/>
        </w:rPr>
        <w:t>4</w:t>
      </w:r>
      <w:r>
        <w:rPr>
          <w:rFonts w:hint="eastAsia" w:ascii="宋体" w:hAnsi="宋体"/>
          <w:bCs/>
          <w:sz w:val="24"/>
          <w:highlight w:val="none"/>
          <w:lang w:val="en-US" w:eastAsia="zh-CN"/>
        </w:rPr>
        <w:t>2</w:t>
      </w:r>
      <w:r>
        <w:rPr>
          <w:rFonts w:hint="eastAsia" w:ascii="宋体" w:hAnsi="宋体"/>
          <w:bCs/>
          <w:sz w:val="24"/>
          <w:highlight w:val="none"/>
        </w:rPr>
        <w:t>.</w:t>
      </w:r>
      <w:r>
        <w:rPr>
          <w:rFonts w:hint="eastAsia" w:ascii="宋体" w:hAnsi="宋体"/>
          <w:sz w:val="24"/>
          <w:highlight w:val="none"/>
        </w:rPr>
        <w:t xml:space="preserve"> 解释权 </w:t>
      </w:r>
    </w:p>
    <w:p>
      <w:pPr>
        <w:spacing w:line="360" w:lineRule="auto"/>
        <w:ind w:firstLine="480" w:firstLineChars="200"/>
        <w:rPr>
          <w:rFonts w:ascii="宋体" w:hAnsi="宋体"/>
          <w:bCs/>
          <w:sz w:val="24"/>
        </w:rPr>
      </w:pPr>
      <w:r>
        <w:rPr>
          <w:rFonts w:hint="eastAsia" w:ascii="宋体" w:hAnsi="宋体"/>
          <w:bCs/>
          <w:sz w:val="24"/>
          <w:highlight w:val="none"/>
        </w:rPr>
        <w:t>4</w:t>
      </w:r>
      <w:r>
        <w:rPr>
          <w:rFonts w:hint="eastAsia" w:ascii="宋体" w:hAnsi="宋体"/>
          <w:bCs/>
          <w:sz w:val="24"/>
          <w:highlight w:val="none"/>
          <w:lang w:val="en-US" w:eastAsia="zh-CN"/>
        </w:rPr>
        <w:t>2</w:t>
      </w:r>
      <w:r>
        <w:rPr>
          <w:rFonts w:hint="eastAsia" w:ascii="宋体" w:hAnsi="宋体"/>
          <w:bCs/>
          <w:sz w:val="24"/>
          <w:highlight w:val="none"/>
        </w:rPr>
        <w:t>.1本招标文件是根据国家有关法律、法规、规章和有关规定编制的,解释权属招标代理机构</w:t>
      </w:r>
      <w:r>
        <w:rPr>
          <w:rFonts w:hint="eastAsia" w:ascii="宋体" w:hAnsi="宋体"/>
          <w:bCs/>
          <w:sz w:val="24"/>
        </w:rPr>
        <w:t>。</w:t>
      </w:r>
    </w:p>
    <w:p>
      <w:pPr>
        <w:spacing w:line="360" w:lineRule="auto"/>
        <w:ind w:firstLine="480" w:firstLineChars="200"/>
        <w:rPr>
          <w:rFonts w:ascii="宋体" w:hAnsi="宋体"/>
          <w:sz w:val="24"/>
        </w:rPr>
      </w:pPr>
      <w:r>
        <w:rPr>
          <w:rFonts w:hint="eastAsia" w:ascii="宋体" w:hAnsi="宋体"/>
          <w:bCs/>
          <w:sz w:val="24"/>
        </w:rPr>
        <w:t>4</w:t>
      </w:r>
      <w:r>
        <w:rPr>
          <w:rFonts w:hint="eastAsia" w:ascii="宋体" w:hAnsi="宋体"/>
          <w:bCs/>
          <w:sz w:val="24"/>
          <w:lang w:val="en-US" w:eastAsia="zh-CN"/>
        </w:rPr>
        <w:t>2</w:t>
      </w:r>
      <w:r>
        <w:rPr>
          <w:rFonts w:hint="eastAsia" w:ascii="宋体" w:hAnsi="宋体"/>
          <w:bCs/>
          <w:sz w:val="24"/>
        </w:rPr>
        <w:t>.2 招标代理机构</w:t>
      </w:r>
      <w:r>
        <w:rPr>
          <w:rFonts w:hint="eastAsia" w:ascii="宋体" w:hAnsi="宋体"/>
          <w:sz w:val="24"/>
        </w:rPr>
        <w:t>对决标结果不负责解释。</w:t>
      </w:r>
    </w:p>
    <w:p>
      <w:pPr>
        <w:spacing w:line="360" w:lineRule="auto"/>
        <w:ind w:firstLine="482" w:firstLineChars="200"/>
        <w:rPr>
          <w:rFonts w:ascii="宋体" w:hAnsi="宋体"/>
          <w:b/>
          <w:sz w:val="24"/>
        </w:rPr>
      </w:pPr>
      <w:r>
        <w:rPr>
          <w:rFonts w:hint="eastAsia" w:ascii="宋体" w:hAnsi="宋体"/>
          <w:b/>
          <w:bCs/>
          <w:sz w:val="24"/>
        </w:rPr>
        <w:t>4</w:t>
      </w:r>
      <w:r>
        <w:rPr>
          <w:rFonts w:hint="eastAsia" w:ascii="宋体" w:hAnsi="宋体"/>
          <w:b/>
          <w:bCs/>
          <w:sz w:val="24"/>
          <w:lang w:val="en-US" w:eastAsia="zh-CN"/>
        </w:rPr>
        <w:t>3</w:t>
      </w:r>
      <w:r>
        <w:rPr>
          <w:rFonts w:hint="eastAsia" w:ascii="宋体" w:hAnsi="宋体"/>
          <w:b/>
          <w:bCs/>
          <w:sz w:val="24"/>
        </w:rPr>
        <w:t>.</w:t>
      </w:r>
      <w:r>
        <w:rPr>
          <w:rFonts w:hint="eastAsia" w:ascii="宋体" w:hAnsi="宋体"/>
          <w:b/>
          <w:sz w:val="24"/>
        </w:rPr>
        <w:t xml:space="preserve"> 采购代理服务费:</w:t>
      </w:r>
    </w:p>
    <w:p>
      <w:pPr>
        <w:spacing w:line="360" w:lineRule="auto"/>
        <w:ind w:firstLine="482" w:firstLineChars="200"/>
        <w:rPr>
          <w:rFonts w:ascii="宋体" w:hAnsi="宋体"/>
          <w:b/>
          <w:bCs/>
          <w:sz w:val="24"/>
        </w:rPr>
      </w:pPr>
      <w:r>
        <w:rPr>
          <w:rFonts w:hint="eastAsia" w:ascii="宋体" w:hAnsi="宋体"/>
          <w:b/>
          <w:sz w:val="24"/>
        </w:rPr>
        <w:t>4</w:t>
      </w:r>
      <w:r>
        <w:rPr>
          <w:rFonts w:hint="eastAsia" w:ascii="宋体" w:hAnsi="宋体"/>
          <w:b/>
          <w:sz w:val="24"/>
          <w:lang w:val="en-US" w:eastAsia="zh-CN"/>
        </w:rPr>
        <w:t>3</w:t>
      </w:r>
      <w:r>
        <w:rPr>
          <w:rFonts w:hint="eastAsia" w:ascii="宋体" w:hAnsi="宋体"/>
          <w:b/>
          <w:sz w:val="24"/>
        </w:rPr>
        <w:t>.1</w:t>
      </w:r>
      <w:bookmarkStart w:id="255" w:name="_Hlk78365457"/>
      <w:r>
        <w:rPr>
          <w:rFonts w:hint="eastAsia" w:ascii="宋体" w:hAnsi="宋体"/>
          <w:b/>
          <w:bCs/>
          <w:sz w:val="24"/>
        </w:rPr>
        <w:t>由中标人支付代理服务费，</w:t>
      </w:r>
      <w:r>
        <w:rPr>
          <w:rFonts w:ascii="宋体" w:hAnsi="宋体"/>
          <w:b/>
          <w:bCs/>
          <w:sz w:val="24"/>
        </w:rPr>
        <w:t>费用以</w:t>
      </w:r>
      <w:r>
        <w:rPr>
          <w:rFonts w:hint="eastAsia" w:ascii="宋体" w:hAnsi="宋体"/>
          <w:b/>
          <w:bCs/>
          <w:sz w:val="24"/>
        </w:rPr>
        <w:t>成交价</w:t>
      </w:r>
      <w:r>
        <w:rPr>
          <w:rFonts w:ascii="宋体" w:hAnsi="宋体"/>
          <w:b/>
          <w:bCs/>
          <w:sz w:val="24"/>
        </w:rPr>
        <w:t>按下表</w:t>
      </w:r>
      <w:r>
        <w:rPr>
          <w:rFonts w:hint="eastAsia" w:ascii="宋体" w:hAnsi="宋体"/>
          <w:b/>
          <w:bCs/>
          <w:sz w:val="24"/>
        </w:rPr>
        <w:t>服务类</w:t>
      </w:r>
      <w:r>
        <w:rPr>
          <w:rFonts w:ascii="宋体" w:hAnsi="宋体"/>
          <w:b/>
          <w:bCs/>
          <w:sz w:val="24"/>
        </w:rPr>
        <w:t>收费标准</w:t>
      </w:r>
      <w:r>
        <w:rPr>
          <w:rFonts w:hint="eastAsia" w:ascii="宋体" w:hAnsi="宋体"/>
          <w:b/>
          <w:bCs/>
          <w:sz w:val="24"/>
        </w:rPr>
        <w:t>的75%计</w:t>
      </w:r>
      <w:r>
        <w:rPr>
          <w:rFonts w:ascii="宋体" w:hAnsi="宋体"/>
          <w:b/>
          <w:bCs/>
          <w:sz w:val="24"/>
        </w:rPr>
        <w:t>取</w:t>
      </w:r>
      <w:r>
        <w:rPr>
          <w:rFonts w:hint="eastAsia" w:ascii="宋体" w:hAnsi="宋体"/>
          <w:b/>
          <w:bCs/>
          <w:sz w:val="24"/>
        </w:rPr>
        <w:t>，采用差额累计法计算，收费不足3000元按3000元收取。中标人在中标公告发布之日起5个工作日内向招标代理机构一次性付清。</w:t>
      </w:r>
    </w:p>
    <w:p>
      <w:pPr>
        <w:pStyle w:val="5"/>
        <w:spacing w:line="360" w:lineRule="auto"/>
        <w:rPr>
          <w:rFonts w:ascii="宋体" w:hAnsi="宋体"/>
          <w:b/>
          <w:bCs/>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2387"/>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1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sz w:val="24"/>
              </w:rPr>
            </w:pPr>
            <w:r>
              <w:rPr>
                <w:rFonts w:hint="eastAsia" w:ascii="宋体" w:hAnsi="宋体"/>
                <w:b/>
                <w:sz w:val="24"/>
              </w:rPr>
              <w:t>中标金额（万元）</w:t>
            </w:r>
          </w:p>
        </w:tc>
        <w:tc>
          <w:tcPr>
            <w:tcW w:w="238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sz w:val="24"/>
              </w:rPr>
            </w:pPr>
            <w:r>
              <w:rPr>
                <w:rFonts w:hint="eastAsia" w:ascii="宋体" w:hAnsi="宋体"/>
                <w:b/>
                <w:sz w:val="24"/>
              </w:rPr>
              <w:t>货物招标</w:t>
            </w:r>
          </w:p>
        </w:tc>
        <w:tc>
          <w:tcPr>
            <w:tcW w:w="23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sz w:val="24"/>
              </w:rPr>
            </w:pPr>
            <w:r>
              <w:rPr>
                <w:rFonts w:hint="eastAsia" w:ascii="宋体" w:hAnsi="宋体"/>
                <w:b/>
                <w:sz w:val="24"/>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1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100以下</w:t>
            </w:r>
          </w:p>
        </w:tc>
        <w:tc>
          <w:tcPr>
            <w:tcW w:w="238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1.5%</w:t>
            </w:r>
          </w:p>
        </w:tc>
        <w:tc>
          <w:tcPr>
            <w:tcW w:w="23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1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100-500</w:t>
            </w:r>
          </w:p>
        </w:tc>
        <w:tc>
          <w:tcPr>
            <w:tcW w:w="238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1.1%</w:t>
            </w:r>
          </w:p>
        </w:tc>
        <w:tc>
          <w:tcPr>
            <w:tcW w:w="23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1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500-1000</w:t>
            </w:r>
          </w:p>
        </w:tc>
        <w:tc>
          <w:tcPr>
            <w:tcW w:w="238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0.8%</w:t>
            </w:r>
          </w:p>
        </w:tc>
        <w:tc>
          <w:tcPr>
            <w:tcW w:w="23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 w:val="24"/>
              </w:rPr>
            </w:pPr>
            <w:r>
              <w:rPr>
                <w:rFonts w:hint="eastAsia" w:ascii="宋体" w:hAnsi="宋体"/>
                <w:sz w:val="24"/>
              </w:rPr>
              <w:t>0.45%</w:t>
            </w:r>
          </w:p>
        </w:tc>
      </w:tr>
      <w:bookmarkEnd w:id="255"/>
    </w:tbl>
    <w:p>
      <w:pPr>
        <w:spacing w:line="360" w:lineRule="auto"/>
        <w:ind w:firstLine="482" w:firstLineChars="200"/>
        <w:jc w:val="left"/>
        <w:rPr>
          <w:rFonts w:ascii="宋体" w:hAnsi="宋体"/>
          <w:b/>
          <w:bCs/>
          <w:sz w:val="24"/>
        </w:rPr>
      </w:pPr>
      <w:r>
        <w:rPr>
          <w:rFonts w:hint="eastAsia" w:ascii="宋体" w:hAnsi="宋体"/>
          <w:b/>
          <w:bCs/>
          <w:sz w:val="24"/>
        </w:rPr>
        <w:t>4</w:t>
      </w:r>
      <w:r>
        <w:rPr>
          <w:rFonts w:hint="eastAsia" w:ascii="宋体" w:hAnsi="宋体"/>
          <w:b/>
          <w:bCs/>
          <w:sz w:val="24"/>
          <w:lang w:val="en-US" w:eastAsia="zh-CN"/>
        </w:rPr>
        <w:t>3</w:t>
      </w:r>
      <w:r>
        <w:rPr>
          <w:rFonts w:hint="eastAsia" w:ascii="宋体" w:hAnsi="宋体"/>
          <w:b/>
          <w:bCs/>
          <w:sz w:val="24"/>
        </w:rPr>
        <w:t>.2 代理机构账户信息：</w:t>
      </w:r>
    </w:p>
    <w:p>
      <w:pPr>
        <w:spacing w:line="360" w:lineRule="auto"/>
        <w:ind w:firstLine="482" w:firstLineChars="200"/>
        <w:jc w:val="left"/>
        <w:rPr>
          <w:rFonts w:ascii="宋体" w:hAnsi="宋体"/>
          <w:b/>
          <w:bCs/>
          <w:sz w:val="24"/>
        </w:rPr>
      </w:pPr>
      <w:r>
        <w:rPr>
          <w:rFonts w:hint="eastAsia" w:ascii="宋体" w:hAnsi="宋体"/>
          <w:b/>
          <w:bCs/>
          <w:sz w:val="24"/>
        </w:rPr>
        <w:t>户名：卓正招标咨询（丽水）有限公司</w:t>
      </w:r>
    </w:p>
    <w:p>
      <w:pPr>
        <w:spacing w:line="360" w:lineRule="auto"/>
        <w:ind w:firstLine="482" w:firstLineChars="200"/>
        <w:jc w:val="left"/>
        <w:rPr>
          <w:rFonts w:ascii="宋体" w:hAnsi="宋体"/>
          <w:b/>
          <w:bCs/>
          <w:sz w:val="24"/>
        </w:rPr>
      </w:pPr>
      <w:r>
        <w:rPr>
          <w:rFonts w:hint="eastAsia" w:ascii="宋体" w:hAnsi="宋体"/>
          <w:b/>
          <w:bCs/>
          <w:sz w:val="24"/>
        </w:rPr>
        <w:t>账号：</w:t>
      </w:r>
      <w:r>
        <w:rPr>
          <w:rFonts w:hint="eastAsia" w:ascii="宋体" w:hAnsi="宋体"/>
          <w:b/>
          <w:sz w:val="24"/>
          <w:lang w:val="zh-CN"/>
        </w:rPr>
        <w:t>1210205009200198220</w:t>
      </w:r>
    </w:p>
    <w:p>
      <w:pPr>
        <w:spacing w:line="360" w:lineRule="auto"/>
        <w:ind w:firstLine="482" w:firstLineChars="200"/>
        <w:jc w:val="left"/>
        <w:rPr>
          <w:rFonts w:ascii="宋体" w:hAnsi="宋体"/>
        </w:rPr>
      </w:pPr>
      <w:r>
        <w:rPr>
          <w:rFonts w:hint="eastAsia" w:ascii="宋体" w:hAnsi="宋体"/>
          <w:b/>
          <w:bCs/>
          <w:sz w:val="24"/>
        </w:rPr>
        <w:t>开户银行：中国工商银行股份有限公司丽水莲城支行</w:t>
      </w:r>
      <w:bookmarkStart w:id="256" w:name="_Toc7666"/>
      <w:bookmarkStart w:id="257" w:name="_Toc4229"/>
      <w:bookmarkStart w:id="258" w:name="_Toc83312444"/>
      <w:bookmarkStart w:id="259" w:name="_Toc18485"/>
    </w:p>
    <w:p>
      <w:pPr>
        <w:pStyle w:val="3"/>
        <w:keepNext w:val="0"/>
        <w:spacing w:line="360" w:lineRule="auto"/>
        <w:jc w:val="center"/>
        <w:outlineLvl w:val="0"/>
        <w:rPr>
          <w:rFonts w:ascii="宋体" w:hAnsi="宋体"/>
        </w:rPr>
      </w:pPr>
      <w:bookmarkStart w:id="260" w:name="_Toc1130"/>
      <w:r>
        <w:rPr>
          <w:rFonts w:ascii="宋体" w:hAnsi="宋体"/>
        </w:rPr>
        <w:br w:type="page"/>
      </w:r>
      <w:bookmarkStart w:id="261" w:name="_Toc18760"/>
      <w:bookmarkStart w:id="262" w:name="_Toc32412"/>
      <w:r>
        <w:rPr>
          <w:rFonts w:hint="eastAsia" w:ascii="宋体" w:hAnsi="宋体"/>
        </w:rPr>
        <w:t>第三章 采购需求</w:t>
      </w:r>
      <w:bookmarkEnd w:id="256"/>
      <w:bookmarkEnd w:id="257"/>
      <w:bookmarkEnd w:id="258"/>
      <w:bookmarkEnd w:id="259"/>
      <w:bookmarkEnd w:id="260"/>
      <w:bookmarkEnd w:id="261"/>
      <w:bookmarkEnd w:id="262"/>
    </w:p>
    <w:p>
      <w:pPr>
        <w:pStyle w:val="4"/>
        <w:pageBreakBefore w:val="0"/>
        <w:numPr>
          <w:ilvl w:val="0"/>
          <w:numId w:val="0"/>
        </w:numPr>
        <w:kinsoku/>
        <w:wordWrap/>
        <w:overflowPunct/>
        <w:topLinePunct w:val="0"/>
        <w:bidi w:val="0"/>
        <w:spacing w:before="0" w:after="0" w:line="360" w:lineRule="auto"/>
        <w:outlineLvl w:val="2"/>
        <w:rPr>
          <w:rFonts w:hint="eastAsia" w:ascii="宋体" w:hAnsi="宋体" w:eastAsia="宋体" w:cs="宋体"/>
          <w:sz w:val="36"/>
          <w:szCs w:val="36"/>
        </w:rPr>
      </w:pPr>
      <w:bookmarkStart w:id="263" w:name="_Toc20222"/>
      <w:bookmarkStart w:id="264" w:name="_Toc7458"/>
      <w:bookmarkStart w:id="265" w:name="_Toc23824"/>
      <w:bookmarkStart w:id="266" w:name="_Toc21192"/>
      <w:bookmarkStart w:id="267" w:name="_Toc83312453"/>
      <w:bookmarkStart w:id="268" w:name="_Toc18927"/>
      <w:r>
        <w:rPr>
          <w:rFonts w:hint="eastAsia" w:ascii="宋体" w:hAnsi="宋体" w:cs="宋体"/>
          <w:sz w:val="36"/>
          <w:szCs w:val="36"/>
          <w:lang w:val="en-US" w:eastAsia="zh-CN"/>
        </w:rPr>
        <w:t>一、</w:t>
      </w:r>
      <w:r>
        <w:rPr>
          <w:rFonts w:hint="eastAsia" w:ascii="宋体" w:hAnsi="宋体" w:eastAsia="宋体" w:cs="宋体"/>
          <w:sz w:val="36"/>
          <w:szCs w:val="36"/>
        </w:rPr>
        <w:t>设备清单</w:t>
      </w:r>
      <w:bookmarkEnd w:id="263"/>
    </w:p>
    <w:tbl>
      <w:tblPr>
        <w:tblStyle w:val="22"/>
        <w:tblW w:w="9375" w:type="dxa"/>
        <w:tblInd w:w="-3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7" w:type="dxa"/>
          <w:left w:w="17" w:type="dxa"/>
          <w:bottom w:w="17" w:type="dxa"/>
          <w:right w:w="17" w:type="dxa"/>
        </w:tblCellMar>
      </w:tblPr>
      <w:tblGrid>
        <w:gridCol w:w="1852"/>
        <w:gridCol w:w="5023"/>
        <w:gridCol w:w="1250"/>
        <w:gridCol w:w="12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7" w:type="dxa"/>
            <w:left w:w="17" w:type="dxa"/>
            <w:bottom w:w="17" w:type="dxa"/>
            <w:right w:w="17" w:type="dxa"/>
          </w:tblCellMar>
        </w:tblPrEx>
        <w:trPr>
          <w:trHeight w:val="522" w:hRule="atLeast"/>
        </w:trPr>
        <w:tc>
          <w:tcPr>
            <w:tcW w:w="1852" w:type="dxa"/>
            <w:shd w:val="clear" w:color="auto" w:fill="FFFFFF"/>
            <w:noWrap w:val="0"/>
            <w:tcMar>
              <w:top w:w="0" w:type="dxa"/>
              <w:left w:w="105" w:type="dxa"/>
              <w:bottom w:w="0" w:type="dxa"/>
              <w:right w:w="105" w:type="dxa"/>
            </w:tcMar>
            <w:vAlign w:val="center"/>
          </w:tcPr>
          <w:p>
            <w:pPr>
              <w:pageBreakBefore w:val="0"/>
              <w:widowControl/>
              <w:kinsoku/>
              <w:wordWrap/>
              <w:overflowPunct/>
              <w:topLinePunct w:val="0"/>
              <w:bidi w:val="0"/>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p>
        </w:tc>
        <w:tc>
          <w:tcPr>
            <w:tcW w:w="5023" w:type="dxa"/>
            <w:shd w:val="clear" w:color="auto" w:fill="FFFFFF"/>
            <w:noWrap w:val="0"/>
            <w:tcMar>
              <w:top w:w="0" w:type="dxa"/>
              <w:left w:w="105" w:type="dxa"/>
              <w:bottom w:w="0" w:type="dxa"/>
              <w:right w:w="105" w:type="dxa"/>
            </w:tcMar>
            <w:vAlign w:val="center"/>
          </w:tcPr>
          <w:p>
            <w:pPr>
              <w:pageBreakBefore w:val="0"/>
              <w:widowControl/>
              <w:kinsoku/>
              <w:wordWrap/>
              <w:overflowPunct/>
              <w:topLinePunct w:val="0"/>
              <w:bidi w:val="0"/>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rPr>
              <w:t>设备名称</w:t>
            </w:r>
          </w:p>
        </w:tc>
        <w:tc>
          <w:tcPr>
            <w:tcW w:w="1250" w:type="dxa"/>
            <w:shd w:val="clear" w:color="auto" w:fill="FFFFFF"/>
            <w:noWrap w:val="0"/>
            <w:tcMar>
              <w:top w:w="0" w:type="dxa"/>
              <w:left w:w="105" w:type="dxa"/>
              <w:bottom w:w="0" w:type="dxa"/>
              <w:right w:w="105" w:type="dxa"/>
            </w:tcMar>
            <w:vAlign w:val="center"/>
          </w:tcPr>
          <w:p>
            <w:pPr>
              <w:pageBreakBefore w:val="0"/>
              <w:widowControl/>
              <w:kinsoku/>
              <w:wordWrap/>
              <w:overflowPunct/>
              <w:topLinePunct w:val="0"/>
              <w:bidi w:val="0"/>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rPr>
              <w:t>数量</w:t>
            </w:r>
          </w:p>
        </w:tc>
        <w:tc>
          <w:tcPr>
            <w:tcW w:w="1250" w:type="dxa"/>
            <w:shd w:val="clear" w:color="auto" w:fill="FFFFFF"/>
            <w:noWrap w:val="0"/>
            <w:tcMar>
              <w:top w:w="0" w:type="dxa"/>
              <w:left w:w="105" w:type="dxa"/>
              <w:bottom w:w="0" w:type="dxa"/>
              <w:right w:w="105" w:type="dxa"/>
            </w:tcMar>
            <w:vAlign w:val="center"/>
          </w:tcPr>
          <w:p>
            <w:pPr>
              <w:pageBreakBefore w:val="0"/>
              <w:widowControl/>
              <w:kinsoku/>
              <w:wordWrap/>
              <w:overflowPunct/>
              <w:topLinePunct w:val="0"/>
              <w:bidi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7" w:type="dxa"/>
            <w:left w:w="17" w:type="dxa"/>
            <w:bottom w:w="17" w:type="dxa"/>
            <w:right w:w="17" w:type="dxa"/>
          </w:tblCellMar>
        </w:tblPrEx>
        <w:trPr>
          <w:trHeight w:val="522" w:hRule="atLeast"/>
        </w:trPr>
        <w:tc>
          <w:tcPr>
            <w:tcW w:w="1852" w:type="dxa"/>
            <w:shd w:val="clear" w:color="auto" w:fill="FFFFFF"/>
            <w:noWrap w:val="0"/>
            <w:tcMar>
              <w:top w:w="0" w:type="dxa"/>
              <w:left w:w="105" w:type="dxa"/>
              <w:bottom w:w="0" w:type="dxa"/>
              <w:right w:w="105" w:type="dxa"/>
            </w:tcMar>
            <w:vAlign w:val="center"/>
          </w:tcPr>
          <w:p>
            <w:pPr>
              <w:adjustRightInd/>
              <w:snapToGrid/>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5023" w:type="dxa"/>
            <w:shd w:val="clear" w:color="auto" w:fill="FFFFFF"/>
            <w:noWrap w:val="0"/>
            <w:tcMar>
              <w:top w:w="0" w:type="dxa"/>
              <w:left w:w="105" w:type="dxa"/>
              <w:bottom w:w="0" w:type="dxa"/>
              <w:right w:w="105" w:type="dxa"/>
            </w:tcMar>
            <w:vAlign w:val="center"/>
          </w:tcPr>
          <w:p>
            <w:pPr>
              <w:widowControl/>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数控设备维护与维修电气连接仿真软件</w:t>
            </w:r>
          </w:p>
        </w:tc>
        <w:tc>
          <w:tcPr>
            <w:tcW w:w="1250" w:type="dxa"/>
            <w:shd w:val="clear" w:color="auto" w:fill="FFFFFF"/>
            <w:noWrap w:val="0"/>
            <w:tcMar>
              <w:top w:w="0" w:type="dxa"/>
              <w:left w:w="105" w:type="dxa"/>
              <w:bottom w:w="0" w:type="dxa"/>
              <w:right w:w="105" w:type="dxa"/>
            </w:tcMar>
            <w:vAlign w:val="center"/>
          </w:tcPr>
          <w:p>
            <w:pPr>
              <w:widowControl/>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55</w:t>
            </w:r>
          </w:p>
        </w:tc>
        <w:tc>
          <w:tcPr>
            <w:tcW w:w="1250" w:type="dxa"/>
            <w:shd w:val="clear" w:color="auto" w:fill="FFFFFF"/>
            <w:noWrap w:val="0"/>
            <w:tcMar>
              <w:top w:w="0" w:type="dxa"/>
              <w:left w:w="105" w:type="dxa"/>
              <w:bottom w:w="0" w:type="dxa"/>
              <w:right w:w="105" w:type="dxa"/>
            </w:tcMar>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7" w:type="dxa"/>
            <w:left w:w="17" w:type="dxa"/>
            <w:bottom w:w="17" w:type="dxa"/>
            <w:right w:w="17" w:type="dxa"/>
          </w:tblCellMar>
        </w:tblPrEx>
        <w:trPr>
          <w:trHeight w:val="522" w:hRule="atLeast"/>
        </w:trPr>
        <w:tc>
          <w:tcPr>
            <w:tcW w:w="1852" w:type="dxa"/>
            <w:shd w:val="clear" w:color="auto" w:fill="FFFFFF"/>
            <w:noWrap w:val="0"/>
            <w:tcMar>
              <w:top w:w="0" w:type="dxa"/>
              <w:left w:w="105" w:type="dxa"/>
              <w:bottom w:w="0" w:type="dxa"/>
              <w:right w:w="105" w:type="dxa"/>
            </w:tcMar>
            <w:vAlign w:val="center"/>
          </w:tcPr>
          <w:p>
            <w:pPr>
              <w:adjustRightInd/>
              <w:snapToGrid/>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5023" w:type="dxa"/>
            <w:shd w:val="clear" w:color="auto" w:fill="FFFFFF"/>
            <w:noWrap w:val="0"/>
            <w:tcMar>
              <w:top w:w="0" w:type="dxa"/>
              <w:left w:w="105" w:type="dxa"/>
              <w:bottom w:w="0" w:type="dxa"/>
              <w:right w:w="105" w:type="dxa"/>
            </w:tcMar>
            <w:vAlign w:val="center"/>
          </w:tcPr>
          <w:p>
            <w:pPr>
              <w:widowControl/>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数控设备维护与维修机械仿真软件</w:t>
            </w:r>
          </w:p>
        </w:tc>
        <w:tc>
          <w:tcPr>
            <w:tcW w:w="1250" w:type="dxa"/>
            <w:shd w:val="clear" w:color="auto" w:fill="FFFFFF"/>
            <w:noWrap w:val="0"/>
            <w:tcMar>
              <w:top w:w="0" w:type="dxa"/>
              <w:left w:w="105" w:type="dxa"/>
              <w:bottom w:w="0" w:type="dxa"/>
              <w:right w:w="105" w:type="dxa"/>
            </w:tcMar>
            <w:vAlign w:val="center"/>
          </w:tcPr>
          <w:p>
            <w:pPr>
              <w:widowControl/>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55</w:t>
            </w:r>
          </w:p>
        </w:tc>
        <w:tc>
          <w:tcPr>
            <w:tcW w:w="1250" w:type="dxa"/>
            <w:shd w:val="clear" w:color="auto" w:fill="FFFFFF"/>
            <w:noWrap w:val="0"/>
            <w:tcMar>
              <w:top w:w="0" w:type="dxa"/>
              <w:left w:w="105" w:type="dxa"/>
              <w:bottom w:w="0" w:type="dxa"/>
              <w:right w:w="105" w:type="dxa"/>
            </w:tcMar>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7" w:type="dxa"/>
            <w:left w:w="17" w:type="dxa"/>
            <w:bottom w:w="17" w:type="dxa"/>
            <w:right w:w="17" w:type="dxa"/>
          </w:tblCellMar>
        </w:tblPrEx>
        <w:trPr>
          <w:trHeight w:val="522" w:hRule="atLeast"/>
        </w:trPr>
        <w:tc>
          <w:tcPr>
            <w:tcW w:w="1852" w:type="dxa"/>
            <w:shd w:val="clear" w:color="auto" w:fill="FFFFFF"/>
            <w:noWrap w:val="0"/>
            <w:tcMar>
              <w:top w:w="0" w:type="dxa"/>
              <w:left w:w="105" w:type="dxa"/>
              <w:bottom w:w="0" w:type="dxa"/>
              <w:right w:w="105" w:type="dxa"/>
            </w:tcMar>
            <w:vAlign w:val="center"/>
          </w:tcPr>
          <w:p>
            <w:pPr>
              <w:adjustRightInd/>
              <w:snapToGrid/>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5023" w:type="dxa"/>
            <w:shd w:val="clear" w:color="auto" w:fill="FFFFFF"/>
            <w:noWrap w:val="0"/>
            <w:tcMar>
              <w:top w:w="0" w:type="dxa"/>
              <w:left w:w="105" w:type="dxa"/>
              <w:bottom w:w="0" w:type="dxa"/>
              <w:right w:w="105" w:type="dxa"/>
            </w:tcMar>
            <w:vAlign w:val="center"/>
          </w:tcPr>
          <w:p>
            <w:pPr>
              <w:widowControl/>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虚实融合仿真软件（含硬件）</w:t>
            </w:r>
          </w:p>
        </w:tc>
        <w:tc>
          <w:tcPr>
            <w:tcW w:w="1250" w:type="dxa"/>
            <w:shd w:val="clear" w:color="auto" w:fill="FFFFFF"/>
            <w:noWrap w:val="0"/>
            <w:tcMar>
              <w:top w:w="0" w:type="dxa"/>
              <w:left w:w="105" w:type="dxa"/>
              <w:bottom w:w="0" w:type="dxa"/>
              <w:right w:w="105" w:type="dxa"/>
            </w:tcMar>
            <w:vAlign w:val="center"/>
          </w:tcPr>
          <w:p>
            <w:pPr>
              <w:widowControl/>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55</w:t>
            </w:r>
          </w:p>
        </w:tc>
        <w:tc>
          <w:tcPr>
            <w:tcW w:w="1250" w:type="dxa"/>
            <w:shd w:val="clear" w:color="auto" w:fill="FFFFFF"/>
            <w:noWrap w:val="0"/>
            <w:tcMar>
              <w:top w:w="0" w:type="dxa"/>
              <w:left w:w="105" w:type="dxa"/>
              <w:bottom w:w="0" w:type="dxa"/>
              <w:right w:w="105" w:type="dxa"/>
            </w:tcMar>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7" w:type="dxa"/>
            <w:left w:w="17" w:type="dxa"/>
            <w:bottom w:w="17" w:type="dxa"/>
            <w:right w:w="17" w:type="dxa"/>
          </w:tblCellMar>
        </w:tblPrEx>
        <w:trPr>
          <w:trHeight w:val="522" w:hRule="atLeast"/>
        </w:trPr>
        <w:tc>
          <w:tcPr>
            <w:tcW w:w="1852" w:type="dxa"/>
            <w:shd w:val="clear" w:color="auto" w:fill="FFFFFF"/>
            <w:noWrap w:val="0"/>
            <w:tcMar>
              <w:top w:w="0" w:type="dxa"/>
              <w:left w:w="105" w:type="dxa"/>
              <w:bottom w:w="0" w:type="dxa"/>
              <w:right w:w="105" w:type="dxa"/>
            </w:tcMar>
            <w:vAlign w:val="center"/>
          </w:tcPr>
          <w:p>
            <w:pPr>
              <w:adjustRightInd/>
              <w:snapToGrid/>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5023" w:type="dxa"/>
            <w:shd w:val="clear" w:color="auto" w:fill="FFFFFF"/>
            <w:noWrap w:val="0"/>
            <w:tcMar>
              <w:top w:w="0" w:type="dxa"/>
              <w:left w:w="105" w:type="dxa"/>
              <w:bottom w:w="0" w:type="dxa"/>
              <w:right w:w="105" w:type="dxa"/>
            </w:tcMar>
            <w:vAlign w:val="center"/>
          </w:tcPr>
          <w:p>
            <w:pPr>
              <w:widowControl/>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数控机床多功能部件装配3D仿真软件</w:t>
            </w:r>
          </w:p>
        </w:tc>
        <w:tc>
          <w:tcPr>
            <w:tcW w:w="1250" w:type="dxa"/>
            <w:shd w:val="clear" w:color="auto" w:fill="FFFFFF"/>
            <w:noWrap w:val="0"/>
            <w:tcMar>
              <w:top w:w="0" w:type="dxa"/>
              <w:left w:w="105" w:type="dxa"/>
              <w:bottom w:w="0" w:type="dxa"/>
              <w:right w:w="105" w:type="dxa"/>
            </w:tcMar>
            <w:vAlign w:val="center"/>
          </w:tcPr>
          <w:p>
            <w:pPr>
              <w:widowControl/>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55</w:t>
            </w:r>
          </w:p>
        </w:tc>
        <w:tc>
          <w:tcPr>
            <w:tcW w:w="1250" w:type="dxa"/>
            <w:shd w:val="clear" w:color="auto" w:fill="FFFFFF"/>
            <w:noWrap w:val="0"/>
            <w:tcMar>
              <w:top w:w="0" w:type="dxa"/>
              <w:left w:w="105" w:type="dxa"/>
              <w:bottom w:w="0" w:type="dxa"/>
              <w:right w:w="105" w:type="dxa"/>
            </w:tcMar>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7" w:type="dxa"/>
            <w:left w:w="17" w:type="dxa"/>
            <w:bottom w:w="17" w:type="dxa"/>
            <w:right w:w="17" w:type="dxa"/>
          </w:tblCellMar>
        </w:tblPrEx>
        <w:trPr>
          <w:trHeight w:val="522" w:hRule="atLeast"/>
        </w:trPr>
        <w:tc>
          <w:tcPr>
            <w:tcW w:w="1852" w:type="dxa"/>
            <w:shd w:val="clear" w:color="auto" w:fill="FFFFFF"/>
            <w:noWrap w:val="0"/>
            <w:tcMar>
              <w:top w:w="0" w:type="dxa"/>
              <w:left w:w="105" w:type="dxa"/>
              <w:bottom w:w="0" w:type="dxa"/>
              <w:right w:w="105" w:type="dxa"/>
            </w:tcMar>
            <w:vAlign w:val="center"/>
          </w:tcPr>
          <w:p>
            <w:pPr>
              <w:adjustRightInd/>
              <w:snapToGrid/>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5023" w:type="dxa"/>
            <w:shd w:val="clear" w:color="auto" w:fill="FFFFFF"/>
            <w:noWrap w:val="0"/>
            <w:tcMar>
              <w:top w:w="0" w:type="dxa"/>
              <w:left w:w="105" w:type="dxa"/>
              <w:bottom w:w="0" w:type="dxa"/>
              <w:right w:w="105" w:type="dxa"/>
            </w:tcMar>
            <w:vAlign w:val="center"/>
          </w:tcPr>
          <w:p>
            <w:pPr>
              <w:widowControl/>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在线评价系统</w:t>
            </w:r>
          </w:p>
        </w:tc>
        <w:tc>
          <w:tcPr>
            <w:tcW w:w="1250" w:type="dxa"/>
            <w:shd w:val="clear" w:color="auto" w:fill="FFFFFF"/>
            <w:noWrap w:val="0"/>
            <w:tcMar>
              <w:top w:w="0" w:type="dxa"/>
              <w:left w:w="105" w:type="dxa"/>
              <w:bottom w:w="0" w:type="dxa"/>
              <w:right w:w="105" w:type="dxa"/>
            </w:tcMar>
            <w:vAlign w:val="center"/>
          </w:tcPr>
          <w:p>
            <w:pPr>
              <w:widowControl/>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55</w:t>
            </w:r>
          </w:p>
        </w:tc>
        <w:tc>
          <w:tcPr>
            <w:tcW w:w="1250" w:type="dxa"/>
            <w:shd w:val="clear" w:color="auto" w:fill="FFFFFF"/>
            <w:noWrap w:val="0"/>
            <w:tcMar>
              <w:top w:w="0" w:type="dxa"/>
              <w:left w:w="105" w:type="dxa"/>
              <w:bottom w:w="0" w:type="dxa"/>
              <w:right w:w="105" w:type="dxa"/>
            </w:tcMar>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7" w:type="dxa"/>
            <w:left w:w="17" w:type="dxa"/>
            <w:bottom w:w="17" w:type="dxa"/>
            <w:right w:w="17" w:type="dxa"/>
          </w:tblCellMar>
        </w:tblPrEx>
        <w:trPr>
          <w:trHeight w:val="522" w:hRule="atLeast"/>
        </w:trPr>
        <w:tc>
          <w:tcPr>
            <w:tcW w:w="1852" w:type="dxa"/>
            <w:shd w:val="clear" w:color="auto" w:fill="FFFFFF"/>
            <w:noWrap w:val="0"/>
            <w:tcMar>
              <w:top w:w="0" w:type="dxa"/>
              <w:left w:w="105" w:type="dxa"/>
              <w:bottom w:w="0" w:type="dxa"/>
              <w:right w:w="105" w:type="dxa"/>
            </w:tcMar>
            <w:vAlign w:val="center"/>
          </w:tcPr>
          <w:p>
            <w:pPr>
              <w:adjustRightInd/>
              <w:snapToGrid/>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5023" w:type="dxa"/>
            <w:shd w:val="clear" w:color="auto" w:fill="FFFFFF"/>
            <w:noWrap w:val="0"/>
            <w:tcMar>
              <w:top w:w="0" w:type="dxa"/>
              <w:left w:w="105" w:type="dxa"/>
              <w:bottom w:w="0" w:type="dxa"/>
              <w:right w:w="105" w:type="dxa"/>
            </w:tcMar>
            <w:vAlign w:val="center"/>
          </w:tcPr>
          <w:p>
            <w:pPr>
              <w:widowControl/>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智能制造装备技术专业核心课程资源</w:t>
            </w:r>
          </w:p>
        </w:tc>
        <w:tc>
          <w:tcPr>
            <w:tcW w:w="1250" w:type="dxa"/>
            <w:shd w:val="clear" w:color="auto" w:fill="FFFFFF"/>
            <w:noWrap w:val="0"/>
            <w:tcMar>
              <w:top w:w="0" w:type="dxa"/>
              <w:left w:w="105" w:type="dxa"/>
              <w:bottom w:w="0" w:type="dxa"/>
              <w:right w:w="105" w:type="dxa"/>
            </w:tcMar>
            <w:vAlign w:val="center"/>
          </w:tcPr>
          <w:p>
            <w:pPr>
              <w:widowControl/>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1250" w:type="dxa"/>
            <w:shd w:val="clear" w:color="auto" w:fill="FFFFFF"/>
            <w:noWrap w:val="0"/>
            <w:tcMar>
              <w:top w:w="0" w:type="dxa"/>
              <w:left w:w="105" w:type="dxa"/>
              <w:bottom w:w="0" w:type="dxa"/>
              <w:right w:w="105" w:type="dxa"/>
            </w:tcMar>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7" w:type="dxa"/>
            <w:left w:w="17" w:type="dxa"/>
            <w:bottom w:w="17" w:type="dxa"/>
            <w:right w:w="17" w:type="dxa"/>
          </w:tblCellMar>
        </w:tblPrEx>
        <w:trPr>
          <w:trHeight w:val="538" w:hRule="atLeast"/>
        </w:trPr>
        <w:tc>
          <w:tcPr>
            <w:tcW w:w="1852" w:type="dxa"/>
            <w:shd w:val="clear" w:color="auto" w:fill="FFFFFF"/>
            <w:noWrap w:val="0"/>
            <w:tcMar>
              <w:top w:w="0" w:type="dxa"/>
              <w:left w:w="105" w:type="dxa"/>
              <w:bottom w:w="0" w:type="dxa"/>
              <w:right w:w="105" w:type="dxa"/>
            </w:tcMar>
            <w:vAlign w:val="center"/>
          </w:tcPr>
          <w:p>
            <w:pPr>
              <w:adjustRightInd/>
              <w:snapToGrid/>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5023" w:type="dxa"/>
            <w:shd w:val="clear" w:color="auto" w:fill="FFFFFF"/>
            <w:noWrap w:val="0"/>
            <w:tcMar>
              <w:top w:w="0" w:type="dxa"/>
              <w:left w:w="105" w:type="dxa"/>
              <w:bottom w:w="0" w:type="dxa"/>
              <w:right w:w="105" w:type="dxa"/>
            </w:tcMar>
            <w:vAlign w:val="center"/>
          </w:tcPr>
          <w:p>
            <w:pPr>
              <w:widowControl/>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在线监控与检测平台</w:t>
            </w:r>
          </w:p>
        </w:tc>
        <w:tc>
          <w:tcPr>
            <w:tcW w:w="1250" w:type="dxa"/>
            <w:shd w:val="clear" w:color="auto" w:fill="FFFFFF"/>
            <w:noWrap w:val="0"/>
            <w:tcMar>
              <w:top w:w="0" w:type="dxa"/>
              <w:left w:w="105" w:type="dxa"/>
              <w:bottom w:w="0" w:type="dxa"/>
              <w:right w:w="105" w:type="dxa"/>
            </w:tcMar>
            <w:vAlign w:val="center"/>
          </w:tcPr>
          <w:p>
            <w:pPr>
              <w:widowControl/>
              <w:adjustRightInd/>
              <w:snapToGrid/>
              <w:spacing w:line="36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55</w:t>
            </w:r>
          </w:p>
        </w:tc>
        <w:tc>
          <w:tcPr>
            <w:tcW w:w="1250" w:type="dxa"/>
            <w:shd w:val="clear" w:color="auto" w:fill="FFFFFF"/>
            <w:noWrap w:val="0"/>
            <w:tcMar>
              <w:top w:w="0" w:type="dxa"/>
              <w:left w:w="105" w:type="dxa"/>
              <w:bottom w:w="0" w:type="dxa"/>
              <w:right w:w="105" w:type="dxa"/>
            </w:tcMar>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节点</w:t>
            </w:r>
          </w:p>
        </w:tc>
      </w:tr>
    </w:tbl>
    <w:p>
      <w:pPr>
        <w:pStyle w:val="4"/>
        <w:pageBreakBefore w:val="0"/>
        <w:numPr>
          <w:ilvl w:val="0"/>
          <w:numId w:val="0"/>
        </w:numPr>
        <w:kinsoku/>
        <w:wordWrap/>
        <w:overflowPunct/>
        <w:topLinePunct w:val="0"/>
        <w:bidi w:val="0"/>
        <w:spacing w:before="0" w:after="0" w:line="360" w:lineRule="auto"/>
        <w:rPr>
          <w:rFonts w:hint="eastAsia" w:ascii="宋体" w:hAnsi="宋体" w:eastAsia="宋体" w:cs="宋体"/>
          <w:sz w:val="36"/>
          <w:szCs w:val="36"/>
          <w:lang w:val="en-US" w:eastAsia="zh-CN"/>
        </w:rPr>
      </w:pPr>
      <w:bookmarkStart w:id="269" w:name="_Toc7280"/>
    </w:p>
    <w:p>
      <w:pPr>
        <w:pStyle w:val="4"/>
        <w:pageBreakBefore w:val="0"/>
        <w:numPr>
          <w:ilvl w:val="0"/>
          <w:numId w:val="0"/>
        </w:numPr>
        <w:kinsoku/>
        <w:wordWrap/>
        <w:overflowPunct/>
        <w:topLinePunct w:val="0"/>
        <w:bidi w:val="0"/>
        <w:spacing w:before="0" w:after="0" w:line="360" w:lineRule="auto"/>
        <w:outlineLvl w:val="2"/>
        <w:rPr>
          <w:rFonts w:hint="eastAsia" w:ascii="宋体" w:hAnsi="宋体" w:eastAsia="宋体" w:cs="宋体"/>
          <w:sz w:val="36"/>
          <w:szCs w:val="36"/>
          <w:lang w:val="en-US" w:eastAsia="zh-CN"/>
        </w:rPr>
      </w:pPr>
      <w:bookmarkStart w:id="270" w:name="_Toc345"/>
      <w:r>
        <w:rPr>
          <w:rFonts w:hint="eastAsia" w:ascii="宋体" w:hAnsi="宋体" w:eastAsia="宋体" w:cs="宋体"/>
          <w:sz w:val="36"/>
          <w:szCs w:val="36"/>
          <w:lang w:val="en-US" w:eastAsia="zh-CN"/>
        </w:rPr>
        <w:t>二、技术参数</w:t>
      </w:r>
      <w:bookmarkEnd w:id="269"/>
      <w:bookmarkEnd w:id="270"/>
    </w:p>
    <w:tbl>
      <w:tblPr>
        <w:tblStyle w:val="22"/>
        <w:tblW w:w="9634" w:type="dxa"/>
        <w:jc w:val="center"/>
        <w:tblLayout w:type="fixed"/>
        <w:tblCellMar>
          <w:top w:w="15" w:type="dxa"/>
          <w:left w:w="15" w:type="dxa"/>
          <w:bottom w:w="15" w:type="dxa"/>
          <w:right w:w="15" w:type="dxa"/>
        </w:tblCellMar>
      </w:tblPr>
      <w:tblGrid>
        <w:gridCol w:w="729"/>
        <w:gridCol w:w="1019"/>
        <w:gridCol w:w="7886"/>
      </w:tblGrid>
      <w:tr>
        <w:tblPrEx>
          <w:tblCellMar>
            <w:top w:w="15" w:type="dxa"/>
            <w:left w:w="15" w:type="dxa"/>
            <w:bottom w:w="15" w:type="dxa"/>
            <w:right w:w="15" w:type="dxa"/>
          </w:tblCellMar>
        </w:tblPrEx>
        <w:trPr>
          <w:trHeight w:val="496" w:hRule="atLeast"/>
          <w:jc w:val="center"/>
        </w:trPr>
        <w:tc>
          <w:tcPr>
            <w:tcW w:w="729" w:type="dxa"/>
            <w:tcBorders>
              <w:top w:val="single" w:color="000000" w:sz="4" w:space="0"/>
              <w:left w:val="single" w:color="000000" w:sz="4" w:space="0"/>
              <w:bottom w:val="single" w:color="000000" w:sz="4" w:space="0"/>
              <w:right w:val="single" w:color="000000" w:sz="4" w:space="0"/>
            </w:tcBorders>
            <w:vAlign w:val="center"/>
          </w:tcPr>
          <w:p>
            <w:pPr>
              <w:adjustRightInd/>
              <w:snapToGrid/>
              <w:ind w:firstLine="0" w:firstLineChars="0"/>
              <w:jc w:val="center"/>
              <w:rPr>
                <w:rFonts w:hint="eastAsia" w:ascii="宋体" w:hAnsi="宋体" w:eastAsia="宋体" w:cs="宋体"/>
                <w:b/>
                <w:bCs/>
                <w:sz w:val="24"/>
                <w:szCs w:val="24"/>
                <w:highlight w:val="none"/>
              </w:rPr>
            </w:pPr>
            <w:bookmarkStart w:id="271" w:name="_Toc16437"/>
            <w:bookmarkStart w:id="272" w:name="_Toc1901"/>
            <w:bookmarkStart w:id="273" w:name="_Toc22407"/>
            <w:bookmarkStart w:id="274" w:name="_Toc493957137"/>
            <w:bookmarkStart w:id="275" w:name="_Toc12395"/>
            <w:bookmarkStart w:id="276" w:name="_Toc22571"/>
            <w:bookmarkStart w:id="277" w:name="_Toc14757"/>
            <w:bookmarkStart w:id="278" w:name="_Toc7495"/>
            <w:r>
              <w:rPr>
                <w:rFonts w:hint="eastAsia" w:ascii="宋体" w:hAnsi="宋体" w:eastAsia="宋体" w:cs="宋体"/>
                <w:b/>
                <w:bCs/>
                <w:sz w:val="24"/>
                <w:szCs w:val="24"/>
                <w:highlight w:val="none"/>
              </w:rPr>
              <w:t>序号</w:t>
            </w:r>
          </w:p>
        </w:tc>
        <w:tc>
          <w:tcPr>
            <w:tcW w:w="1019" w:type="dxa"/>
            <w:tcBorders>
              <w:top w:val="single" w:color="000000" w:sz="4" w:space="0"/>
              <w:left w:val="single" w:color="000000" w:sz="4" w:space="0"/>
              <w:bottom w:val="single" w:color="000000" w:sz="4" w:space="0"/>
              <w:right w:val="single" w:color="000000" w:sz="4" w:space="0"/>
            </w:tcBorders>
            <w:vAlign w:val="center"/>
          </w:tcPr>
          <w:p>
            <w:pPr>
              <w:adjustRightInd/>
              <w:snapToGrid/>
              <w:ind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设备名称</w:t>
            </w:r>
          </w:p>
        </w:tc>
        <w:tc>
          <w:tcPr>
            <w:tcW w:w="7886" w:type="dxa"/>
            <w:tcBorders>
              <w:top w:val="single" w:color="000000" w:sz="4" w:space="0"/>
              <w:left w:val="single" w:color="000000" w:sz="4" w:space="0"/>
              <w:bottom w:val="single" w:color="000000" w:sz="4" w:space="0"/>
              <w:right w:val="single" w:color="000000" w:sz="4" w:space="0"/>
            </w:tcBorders>
            <w:vAlign w:val="center"/>
          </w:tcPr>
          <w:p>
            <w:pPr>
              <w:adjustRightInd/>
              <w:snapToGrid/>
              <w:ind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技术参数</w:t>
            </w:r>
          </w:p>
        </w:tc>
      </w:tr>
      <w:tr>
        <w:tblPrEx>
          <w:tblCellMar>
            <w:top w:w="15" w:type="dxa"/>
            <w:left w:w="15" w:type="dxa"/>
            <w:bottom w:w="15" w:type="dxa"/>
            <w:right w:w="15" w:type="dxa"/>
          </w:tblCellMar>
        </w:tblPrEx>
        <w:trPr>
          <w:trHeight w:val="564" w:hRule="atLeast"/>
          <w:jc w:val="center"/>
        </w:trPr>
        <w:tc>
          <w:tcPr>
            <w:tcW w:w="9634"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ind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一、数控设备维护与维修电气连接仿真软件（投标时根据评分办法演示要点提供相应的演示视频）</w:t>
            </w:r>
          </w:p>
        </w:tc>
      </w:tr>
      <w:tr>
        <w:tblPrEx>
          <w:tblCellMar>
            <w:top w:w="15" w:type="dxa"/>
            <w:left w:w="15" w:type="dxa"/>
            <w:bottom w:w="15" w:type="dxa"/>
            <w:right w:w="15" w:type="dxa"/>
          </w:tblCellMar>
        </w:tblPrEx>
        <w:trPr>
          <w:trHeight w:val="283" w:hRule="atLeast"/>
          <w:jc w:val="center"/>
        </w:trPr>
        <w:tc>
          <w:tcPr>
            <w:tcW w:w="9634"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一、电气连接仿真功能要求</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1.软件要求采用高度仿真的界面，至少具备数控设备电气接线考核模式和排故考核模式，方便用户能够全面掌握数控设备的接线和故障排除技巧，学习数控设备电气连接和排故的关键知识点。</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 软件要求至少含有数控技术应用到的16个控制电路：如抱闸电路、打刀缸气动IO电路、刀库电路、刀库气动IO电路、急停电路、控制电源电路、冷却电路、排屑电路、启动电路、润滑电路、伺服主电路、信号灯电路、直流电源电路、主电路、主轴风扇电路、通讯电路。</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 软件的接线考核模式中，服务端将发送接线考核的试题至软件，软件将自动生成具体的接线考核内容。用户需要根据提供的接线图纸，正确连接软件中未接的线路。此模式可帮助锻炼用户对接线图的理解和实际接线的操作能力，确保用户能够在实际工作中准确无误地进行设备接线。</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 软件的排故考核模式中，服务端将发送排故考核的试题至软件，软件将自动生成相应的故障排除考核内容。用户需要根据试题所提供的故障现象，通过使用虚拟万用表等工具，检测并确定故障位置。最后，用户通过提交答案排除故障。此模式可帮助用户熟悉常见故障的诊断和修复过程，提升其故障排查与解决能力。</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5. 投标文件中需要提供电气仿真软件的架构图：</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6. 为避免知识产权纠纷问题，保证软件是由投标方正规渠道获得，投标文件中需要提供开发厂商的授权证明</w:t>
            </w:r>
            <w:r>
              <w:rPr>
                <w:rFonts w:hint="eastAsia" w:ascii="宋体" w:hAnsi="宋体" w:cs="宋体"/>
                <w:sz w:val="24"/>
                <w:szCs w:val="24"/>
                <w:highlight w:val="none"/>
                <w:lang w:val="en-US" w:eastAsia="zh-CN"/>
              </w:rPr>
              <w:t>扫描件</w:t>
            </w:r>
            <w:r>
              <w:rPr>
                <w:rFonts w:hint="eastAsia" w:ascii="宋体" w:hAnsi="宋体" w:eastAsia="宋体" w:cs="宋体"/>
                <w:sz w:val="24"/>
                <w:szCs w:val="24"/>
                <w:highlight w:val="none"/>
              </w:rPr>
              <w:t>和著作权复印件（注：自主开发的</w:t>
            </w:r>
            <w:r>
              <w:rPr>
                <w:rFonts w:hint="eastAsia" w:ascii="宋体" w:hAnsi="宋体" w:cs="宋体"/>
                <w:sz w:val="24"/>
                <w:szCs w:val="24"/>
                <w:highlight w:val="none"/>
                <w:lang w:val="en-US" w:eastAsia="zh-CN"/>
              </w:rPr>
              <w:t>需要提供</w:t>
            </w:r>
            <w:r>
              <w:rPr>
                <w:rFonts w:hint="eastAsia" w:ascii="宋体" w:hAnsi="宋体" w:eastAsia="宋体" w:cs="宋体"/>
                <w:sz w:val="24"/>
                <w:szCs w:val="24"/>
                <w:highlight w:val="none"/>
              </w:rPr>
              <w:t>著作权复印件</w:t>
            </w:r>
            <w:r>
              <w:rPr>
                <w:rFonts w:hint="eastAsia" w:ascii="宋体" w:hAnsi="宋体" w:cs="宋体"/>
                <w:sz w:val="24"/>
                <w:szCs w:val="24"/>
                <w:highlight w:val="none"/>
                <w:lang w:val="en-US" w:eastAsia="zh-CN"/>
              </w:rPr>
              <w:t>或相关证明材料复印件</w:t>
            </w:r>
            <w:r>
              <w:rPr>
                <w:rFonts w:hint="eastAsia" w:ascii="宋体" w:hAnsi="宋体" w:eastAsia="宋体" w:cs="宋体"/>
                <w:sz w:val="24"/>
                <w:szCs w:val="24"/>
                <w:highlight w:val="none"/>
              </w:rPr>
              <w:t>）。</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二、软件（学生端）功能要求</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软件架构：</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1、软件至少具备考试报名模块和考试信息模块以及模拟测试模块。</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考试报名模块要求包括设备名称、考试名称、总分、考试区间、状态、操作等报表功能内容，能够对考生信息进行初步筛选，确保报名信息的准确性和完整性，可轻松报名，高效管理，为后续的考试安排提供数据支持。投标文件中须提供相应的模块清晰截图进行佐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（2）考试信息模块要求有检索功能，方便掌握考试动态，确保考生及时获取最新信息。</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模拟测试模块要求具备理论考试功能和电气仿真考试功能：理论考试功能至少可编辑填写和选择（考试等级、单选题数、多选题数、判断题数）等信息；电气仿真考试功能至少可编辑填写和选择（接线题数、故障题数）等信息。投标文件中须提供相应的模块清晰截图进行佐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3.1）理论考试功能和参加真实考试一样进行模拟练习，可答题、可交接、可显示考试成绩、考试时间、考试信息等。帮助学员更好地适应考试的节奏和压力，提升答题技巧，并有效检验学习成果。投标文件中须提供相应的模块清晰截图进行佐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（3.2）电气仿真考试功能根据所出试卷类型不同进入的界面将有所不同。试卷类型至少包括3种：</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（a）只有接线考核：设备电路连接仿真软件默认将会打开接线考核的界面，此时用户将无法进入排故考核界面。</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（b）只有排故考核：设备电路连接仿真软件默认将会打开排故考核的界面，此时用户将无法进入接线考核界面。</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（c）同时有接线考核和排故考核：设备电路连接仿真软件默认将会打开接线考核的界面，当用户完成接线考核时，可进入排故考核。</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2、数控系统接线考核模块要求</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当所出的试卷有接线考核时，设备电路连接仿真软件将会进入接线考核界面。</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（1）接线考核功能要求</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可分为3个部分：电路选择部分、接线操作部分、结束考核部分。投标文件中须提供3个部分模块清晰截图进行佐证。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（1.1）电路选择部分：在该部分用户可选择所要接线的电路，点击不同的电路，将会打开不同的连接线路，方便用户进行接线操作。在该部分，如果所要选择的电路后面带有 ，表示该电路的线路已经全部连接，不需要用户进行接线；如果所要选择的电路后面没有 ，表示该电路的线路未全部连接，需要用户进行接线，此时用户可点击该电路，然后进行相关的接线操作。</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（1.2）接线操作部分：在该部分用户进行相关的接线操作，具体操作请参考接线操作说明部分。</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（1.3）结束考核部分：在该部分用户可点击“结束接线考核”按钮来结束接线考核，如果所出的试卷有排故考核，可点击“进入排故考核”按钮，进入排故考核。</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（2）接线操作功能要求</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打开软件后，在电路选择部分没有相关的图标提示，要求电路中电路需要连接操作。</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（2.1）选择电路：点击“主电路”按钮，将会打开主电路接线图。</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（2.2）查找未连接点线：可通过缩放和平移电路图，再根据主电路的电路图找到未连接的线路。</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（2.2.1）缩放电路图：通过滚动鼠标滚轮，可将电路图进行缩小和放大。</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（2.2.2）平移电路图：按住鼠标右键不放，并移动鼠标，可上下左右移动电路图，也可以通过键盘上WASD键或者方向键来移动电路图。</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（2.2.2）复位电路图：点击键盘上R键，会将电路图恢复至初始的位置和大小。</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（3）连接线路要求：</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内容：选择连接的起始点选择正确可完成连接线，根据主电路的电路图，连接好主电路中所有未连接的线，当完成所有的未连接的主电路线路后，在选择电路中，主电路按钮后会自动显示已经完成电路连接。投标文件中须提供相应的模块清晰截图进行佐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3、数控系统排故考核要求</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当所出的试卷有排故考核时，设备电路连接仿真软件可进入排除故障界面。 </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（1）排故考核功能要求：</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可分为3个部分：电路选择部分、故障排除操作部分、结束考核部分，投标文件中须提供3个部分模块清晰截图进行佐证。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（1.1）电路选择部分：在该部分用户可选择所要排故的电路，点击不同的电路，将会打开不同的线路，方便用户进行排故操作。</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（1.2）故障排除作部分：在该部分用户可通过万用表进行相关的故障查找操作，具体操作请参考故障排除操作说明部分。</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结束考核部分：在该部分用户可点击“结束排故考核”按钮来结束排故考核；用户可选择排故的题目；用户可点击“显示故障答题界面”按钮，显示答题界面，在答题界面中显示故障的现象，也可提交答案，再次点击该按钮，将关闭答题界面，具体操作请参考故障排除操作说明部分。</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（2）故障排除操作功能要求：</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2.1）具备的查看故障内容：将显示答题界面，在故障答题界面可显示每道题目所存在的故障现象，用户可根据故障现象来查找故障的位置，再次点击该按钮将关闭显示答题界面。投标文件中须提供相应的模块清晰截图进行佐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具备查找故障位置内容：将万用表的挡位拨至蜂鸣挡，根据题目中的故障现象，选择要检测的电路，然后分别选中万用表红、黑表笔，并将表笔拖到要检测的位置，松开鼠标左键，如果检测的电路，存在断路，则万用表的蜂鸣器将不会发出声音，说明该处线路存在故障，如果检测的电路，不存在断路，则万用表的蜂鸣器将会发出声音，说明该处线路不存在故障。投标文件中须提供相应的模块清晰截图进行佐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2.3）具备排除故障内容：当查找到故障所在位置后，点击“显示故障答题界面”按钮，显示答题界面，在故障答题界面中输入故障的位置，让后点击“提交”按钮，提交故障答案，如果答案正确，将会排除该故障，答题界面中将不会再显示该故障，提交答案后，可继续排查其他所存在的故障，直到所有题目的故障排除完毕。投标文件中须提供相应的模块清晰截图进行佐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三、软件（教师端）功能要求</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软件至少包含设备模块和基本信息模块以及考试模块等三个，可支持多样化题型，如单选、多选、判断等，教师可灵活调整题型比例，满足、不同层次的考试需求，拥有强大的试题库管理权限。投标文件中须提供相应的模块清晰截图进行佐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（1）设备信息模块功能要求：包含设备管理和设备模型。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（1.1）设备管理可进行增加、查询、修改、删除等操作，实现对设备信息的规范管理。</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1.2）在设置接线及故障时，至少含有数控技术应用到的16种机床电路（主电路、主轴风扇电路、伺服主电路、刀库电路、排屑电路、控制电源电路、直流电源电路、急停电路、启动电路、刀库气动IO电路、打刀缸气动IO电路、润滑电路、信号灯电路、抱闸电路、冷却电路、通讯电路），在设置试卷时可进行增加、查询、修改、删除等操作。投标文件中须提供相应的模块清晰截图进行佐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（2）基本信息模块功能要求：包含学生信息和教师信息以及等级信息。</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（2.1）对学生信息可进行增加、查询、修改、删除等操作，如学生名字、学号、电子邮箱、性别等内容。</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（2.2）对教师信息可进行增加、查询、修改、删除等操作，如教师编号、姓名、电子邮箱、性别等内容。</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（2.3）对等级信息可进行增加、查询、修改、删除等操作，如初级、中级、高级等内容。</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（3）考试信息模块功能要求：包含题库信息和试卷列表以及评分表和考试方案与考试成绩等功能。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（3.1）对题库信息可进行增加、查询、修改、删除、导入、模板下载等操作，如名称、题型类别、试题内容、试题答案、试题等级等等内容。</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（3.2）对试卷列表可进行增加、查询、修改、删除、导入等操作，如试卷类型、试卷名称、试卷等级等内容。投标文件中须提供相应的模块清晰截图进行佐证。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（3.3）对评分表可进行增加、查询、修改、删除等操作，如评分表等内容</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（3.4）对考试方案可进行增加、查询、修改、删除等操作，如考试名称、考试区间、考试总分等内容。</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（3.5）对考试成绩可进行导出等操作。</w:t>
            </w:r>
          </w:p>
        </w:tc>
      </w:tr>
      <w:tr>
        <w:tblPrEx>
          <w:tblCellMar>
            <w:top w:w="15" w:type="dxa"/>
            <w:left w:w="15" w:type="dxa"/>
            <w:bottom w:w="15" w:type="dxa"/>
            <w:right w:w="15" w:type="dxa"/>
          </w:tblCellMar>
        </w:tblPrEx>
        <w:trPr>
          <w:trHeight w:val="601" w:hRule="atLeast"/>
          <w:jc w:val="center"/>
        </w:trPr>
        <w:tc>
          <w:tcPr>
            <w:tcW w:w="9634"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ind w:firstLine="0" w:firstLineChars="0"/>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二、数控设备维护与维修机械仿真软件（投标时根据评分办法演示要点提供相应的演示视频）</w:t>
            </w:r>
          </w:p>
        </w:tc>
      </w:tr>
      <w:tr>
        <w:tblPrEx>
          <w:tblCellMar>
            <w:top w:w="15" w:type="dxa"/>
            <w:left w:w="15" w:type="dxa"/>
            <w:bottom w:w="15" w:type="dxa"/>
            <w:right w:w="15" w:type="dxa"/>
          </w:tblCellMar>
        </w:tblPrEx>
        <w:trPr>
          <w:trHeight w:val="283" w:hRule="atLeast"/>
          <w:jc w:val="center"/>
        </w:trPr>
        <w:tc>
          <w:tcPr>
            <w:tcW w:w="9634"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一、软件整体要求</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 软件要求采用高度仿真的三维效果界面，至少具备数控机床机械安装模式、拆除模式和检测模式，方便用户能够全面掌握机械安装、拆除和检测等技巧，学习数控机床各机械功能部件维护与维修的关键知识点。</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 软件需具备数控设备X轴Y轴部分进行组装、拆除和精度检测，用户能够通过该软件学习数控设备X轴Y轴部分组装、拆除、精度检测的方法及知识点。在安装模式中用户根据软件所提供数控设备X轴Y轴部分的零部件，按照一定的顺序将零部件安装到设备上；在拆除模式中用户根据数控设备X轴Y轴部分上零部件的拆除顺序依次将零部件从设备上拆除；在检测模式中至少提供12种精度检测项目，其中每个项目都提供了详细的检测步骤操作说明，根据所提供的内容学习精度检测所用的工具及方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3.投标文件中需要提供软件的架构图</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4.为避免知识产权纠纷问题，保证软件是由投标方正规渠道获得，投标文件中需要提供开发厂商的授权证明</w:t>
            </w:r>
            <w:r>
              <w:rPr>
                <w:rFonts w:hint="eastAsia" w:ascii="宋体" w:hAnsi="宋体" w:cs="宋体"/>
                <w:sz w:val="24"/>
                <w:szCs w:val="24"/>
                <w:highlight w:val="none"/>
                <w:lang w:val="en-US" w:eastAsia="zh-CN"/>
              </w:rPr>
              <w:t>扫描件</w:t>
            </w:r>
            <w:r>
              <w:rPr>
                <w:rFonts w:hint="eastAsia" w:ascii="宋体" w:hAnsi="宋体" w:eastAsia="宋体" w:cs="宋体"/>
                <w:sz w:val="24"/>
                <w:szCs w:val="24"/>
                <w:highlight w:val="none"/>
              </w:rPr>
              <w:t>和著作权复印件（注：自主开发的</w:t>
            </w:r>
            <w:r>
              <w:rPr>
                <w:rFonts w:hint="eastAsia" w:ascii="宋体" w:hAnsi="宋体" w:cs="宋体"/>
                <w:sz w:val="24"/>
                <w:szCs w:val="24"/>
                <w:highlight w:val="none"/>
                <w:lang w:val="en-US" w:eastAsia="zh-CN"/>
              </w:rPr>
              <w:t>需要提供</w:t>
            </w:r>
            <w:r>
              <w:rPr>
                <w:rFonts w:hint="eastAsia" w:ascii="宋体" w:hAnsi="宋体" w:eastAsia="宋体" w:cs="宋体"/>
                <w:sz w:val="24"/>
                <w:szCs w:val="24"/>
                <w:highlight w:val="none"/>
              </w:rPr>
              <w:t>著作权复印件</w:t>
            </w:r>
            <w:r>
              <w:rPr>
                <w:rFonts w:hint="eastAsia" w:ascii="宋体" w:hAnsi="宋体" w:cs="宋体"/>
                <w:sz w:val="24"/>
                <w:szCs w:val="24"/>
                <w:highlight w:val="none"/>
                <w:lang w:val="en-US" w:eastAsia="zh-CN"/>
              </w:rPr>
              <w:t>或相关证明材料复印件</w:t>
            </w:r>
            <w:r>
              <w:rPr>
                <w:rFonts w:hint="eastAsia" w:ascii="宋体" w:hAnsi="宋体" w:eastAsia="宋体" w:cs="宋体"/>
                <w:sz w:val="24"/>
                <w:szCs w:val="24"/>
                <w:highlight w:val="none"/>
              </w:rPr>
              <w:t>）。</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二、软件功能要求</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1、软件采用高度仿真的三维效果界面。</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进入数控设备维护与维修机械仿真软件的主界面后，能够进行视角控制：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（1）视角平移：按住键盘上“A”、“S”、“D”、“W”中的任意一键，将上下左右平移视角。</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（2）视角缩放：按住键盘上“Q”、“E”中的任意一键或者滚动鼠标滚轮，将放大缩小视角。</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（3）视角旋转：按住鼠标右键，再移动鼠标，将上下左右旋转视角。</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（4）视角复位：按下键盘上“R”，将会把视角复位到初始位置。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2、主界面模式说明</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主界面中有3大部分实训模式：安装模式、拆除模式和检测模式，点击其中任意一种模式，将进入对应的实训模式界面。</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（1）安装模式：用户需将单独的零部件根据安装顺序依次安装到设备上，学习该设备的安装知识。</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（1.1）在安装模式界面中，可分为3个部分：按钮部分、安装零部件列表部分和安装区域部分。</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按钮部分：“实训项目”按钮和“撤消零部件组装”按钮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（1.1.1）点击“实训项目”按钮将打开实训模式选择界面，重新选择实训模式。</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（1.1.2）点击“撤消零部件组装”按钮将撤消上一步已组装的零部件。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安装零部件列表部分：零部件列表内展示了所有需要安装的零部件，每个零部件都有3部分组成(零部件图片、名称及数量)，其中零部件的数量表示软件中该零部件需要的地方数量，当数量为0时，表示该零部件已全部完成组装。</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（1.3）安装区域部分：所有的安装操作都在该区域进行。</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（2）拆除模式：用户需将设备上的零部件根据拆除顺序依次拆除，学习该设备的拆除知识。</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根据设备中零部件的拆除顺序，依次将零部件从设备上拆除，具体操作为：</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（2.1）将鼠标移到需要拆除的零部件上，此时零部件将会改变颜色。</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（2.2）双击鼠标左键，如果该零部件符合拆除的顺序，此时将自动拆除该零部件，；如果不符合拆除的顺序，将不会拆除该零部件。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（2.3）重复以上2个步骤，直到将所有的零部件拆除完成。</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（3）检测模式：</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内容：该模式下总共有12个检测项目：Y轴导轨上母线直线度精度检测、Y轴导轨侧母线直线度精度检测、Y轴两导轨间的等高度检测、Y轴导轨上母线直线度精度检测、直线导轨与Y轴滚珠丝杆上母线精度检测、直线导轨与Y轴滚珠丝杆侧母线精度检测、X轴导轨上母线直线度精度检测、X轴导轨侧母线直线度精度检测、X轴导轨上母线直线度精度检测、X轴两导轨间的等高度检测、直线导轨与X轴滚珠丝杆上母线精度检测、直线导轨与X轴滚珠丝杆侧母线精度检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在该模式下还包含有以文字的形式描述机床机械功能部件精度检测的操作步骤，方便用户对精度检测方法及知识点的学习。</w:t>
            </w:r>
          </w:p>
        </w:tc>
      </w:tr>
      <w:tr>
        <w:tblPrEx>
          <w:tblCellMar>
            <w:top w:w="15" w:type="dxa"/>
            <w:left w:w="15" w:type="dxa"/>
            <w:bottom w:w="15" w:type="dxa"/>
            <w:right w:w="15" w:type="dxa"/>
          </w:tblCellMar>
        </w:tblPrEx>
        <w:trPr>
          <w:trHeight w:val="466" w:hRule="atLeast"/>
          <w:jc w:val="center"/>
        </w:trPr>
        <w:tc>
          <w:tcPr>
            <w:tcW w:w="9634"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ind w:firstLine="0" w:firstLineChars="0"/>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三、虚实融合仿真软件（含硬件，投标时根据评分办法演示要点提供相应的演示视频）</w:t>
            </w:r>
          </w:p>
        </w:tc>
      </w:tr>
      <w:tr>
        <w:tblPrEx>
          <w:tblCellMar>
            <w:top w:w="15" w:type="dxa"/>
            <w:left w:w="15" w:type="dxa"/>
            <w:bottom w:w="15" w:type="dxa"/>
            <w:right w:w="15" w:type="dxa"/>
          </w:tblCellMar>
        </w:tblPrEx>
        <w:trPr>
          <w:trHeight w:val="283" w:hRule="atLeast"/>
          <w:jc w:val="center"/>
        </w:trPr>
        <w:tc>
          <w:tcPr>
            <w:tcW w:w="9634"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一、软件整体要求</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可根据数控系统所编写的PLC程序，来控制软件内智能制造设备运行的仿真软件。通过通讯模块，将软件和数控系统连接起来，此时软件可实时且准确地读取数控系统的数据，并向数控系统发送相关的数据，通过接受和发送的数据，可实时的显示并控制软件内智能制造设备的工作状态。用户学习数控系统编程，通过使用该软件，验证所编写的程序是否正确，同时学习智能制造的工作过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2、软件主界面上有8个按钮：“自动演示”按钮、“重置视角”按钮、“图像设置”按钮、串口选择项、“刷新串口”按钮、“打开串口”按钮、“最小化”按钮和“退出”按钮。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自动演示”按钮：点击“自动演示”按钮，将会演示智能制造整个工作流程，此时，“自动演示”按钮将变成“停止演示”按钮，点击“停止演示”按钮，将会停止演示。点击“自动演示”按钮后，“打开串口”按钮将处于不可用状态。点击“停止演示”按钮后，“打开串口”按钮将处于可用状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（2）“重置视角”按钮：在软件中，可以通过鼠标右键旋转视角，键盘上的W、A、S、D键平移视角，改变视角后，点击“重置视角”按钮，将会将视角恢复至初始状态。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（3）“图像设置”按钮：点击“图像设置”按钮，将会弹出图像设置界面，此时可根据电脑的配置和用户自己的需求选择相应的效果等级。</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串口选择项：串口选择项中显示了电脑所有的串口号，用户需根据电脑与硬件连接的串口选择对应的串口号。（注：①选择错误的串口号，将无法连接硬件通讯。②打开串口后，将无法选择串口号，如果需重新设置串口号，需将串口先关闭。）</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（5）“刷新串口”按钮：如果在串口选择项中没有显示用户所需的串口号，且在电脑的设备管理器中显示了所需的串口号，此时点击“刷新串口”按钮，将刷新串口选择项的串口号。</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（6）“打开串口”按钮：选择所需的串口号后，点击“打开串口”按钮，软件将会和所连接的硬件进行通讯，根据所编写的程序控制软件中的智能制造设备运行。</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（7）“最小化”按钮：点击“最小化”按钮，将会最小化软件。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（8）“退出”按钮：点击“退出”按钮，将会退出软件。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3、软件运行流程：该软件包含有输入端口和输出端口。</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输入端口（机床给软件）：包含有机床准备好、添加毛坯、气爪打开、机床门打开、平口钳打开、机床加工完成、气爪闭合、机床门关闭、平口钳闭合等信号。当软件读取到机床相关的信号时，软件中的智能制造设备将根据信号进行相关的动作。</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输出端口（软件给机床）：包含有上料位置到位、手爪到平口钳位置、夹到传送带上物料、机器人到传送带物料上方、机床启动加工、机床门打开到位、机床门关闭到位、平口钳打开到位、平口钳关闭到位、成品放置完成等信号，能够将软件中智能制造设备的状态反馈给机床。</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4. 为避免知识产权纠纷问题，保证软件是由投标方正规渠道获得，投标文件中需要提供开发厂商的授权证明</w:t>
            </w:r>
            <w:r>
              <w:rPr>
                <w:rFonts w:hint="eastAsia" w:ascii="宋体" w:hAnsi="宋体" w:cs="宋体"/>
                <w:sz w:val="24"/>
                <w:szCs w:val="24"/>
                <w:highlight w:val="none"/>
                <w:lang w:val="en-US" w:eastAsia="zh-CN"/>
              </w:rPr>
              <w:t>扫描件</w:t>
            </w:r>
            <w:r>
              <w:rPr>
                <w:rFonts w:hint="eastAsia" w:ascii="宋体" w:hAnsi="宋体" w:eastAsia="宋体" w:cs="宋体"/>
                <w:sz w:val="24"/>
                <w:szCs w:val="24"/>
                <w:highlight w:val="none"/>
              </w:rPr>
              <w:t>和著作权复印件（注：自主开发的</w:t>
            </w:r>
            <w:r>
              <w:rPr>
                <w:rFonts w:hint="eastAsia" w:ascii="宋体" w:hAnsi="宋体" w:cs="宋体"/>
                <w:sz w:val="24"/>
                <w:szCs w:val="24"/>
                <w:highlight w:val="none"/>
                <w:lang w:val="en-US" w:eastAsia="zh-CN"/>
              </w:rPr>
              <w:t>需要提供</w:t>
            </w:r>
            <w:r>
              <w:rPr>
                <w:rFonts w:hint="eastAsia" w:ascii="宋体" w:hAnsi="宋体" w:eastAsia="宋体" w:cs="宋体"/>
                <w:sz w:val="24"/>
                <w:szCs w:val="24"/>
                <w:highlight w:val="none"/>
              </w:rPr>
              <w:t>著作权复印件</w:t>
            </w:r>
            <w:r>
              <w:rPr>
                <w:rFonts w:hint="eastAsia" w:ascii="宋体" w:hAnsi="宋体" w:cs="宋体"/>
                <w:sz w:val="24"/>
                <w:szCs w:val="24"/>
                <w:highlight w:val="none"/>
                <w:lang w:val="en-US" w:eastAsia="zh-CN"/>
              </w:rPr>
              <w:t>或相关证明材料复印件</w:t>
            </w:r>
            <w:r>
              <w:rPr>
                <w:rFonts w:hint="eastAsia" w:ascii="宋体" w:hAnsi="宋体" w:eastAsia="宋体" w:cs="宋体"/>
                <w:sz w:val="24"/>
                <w:szCs w:val="24"/>
                <w:highlight w:val="none"/>
              </w:rPr>
              <w:t>）。</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5.投标文件中需要提供软件架构图</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二、运行配置要求：</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1、最低配置：Windows 7或Windows 10操作系统，至少Intel Core i5-4460 3.2GHz的CPU，4GB RAM内存，Nvdia GeForce GTX760 2GB VRAM的显卡，2GB可用空间。</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2、常规配置：Windows 7或Windows 10操作系统，Intel Core i7 3770 3.4GHz的CPU，8GB RAM内存，Nvdia GeForce GTX1060 3GB VRAM的显卡，2GB可用空间。</w:t>
            </w:r>
          </w:p>
        </w:tc>
      </w:tr>
      <w:tr>
        <w:tblPrEx>
          <w:tblCellMar>
            <w:top w:w="15" w:type="dxa"/>
            <w:left w:w="15" w:type="dxa"/>
            <w:bottom w:w="15" w:type="dxa"/>
            <w:right w:w="15" w:type="dxa"/>
          </w:tblCellMar>
        </w:tblPrEx>
        <w:trPr>
          <w:trHeight w:val="283" w:hRule="atLeast"/>
          <w:jc w:val="center"/>
        </w:trPr>
        <w:tc>
          <w:tcPr>
            <w:tcW w:w="9634"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ind w:firstLine="0" w:firstLineChars="0"/>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四、数控机床多功能部件装配3D仿真软件（投标时根据评分办法演示要点提供相应的演示视频）</w:t>
            </w:r>
          </w:p>
        </w:tc>
      </w:tr>
      <w:tr>
        <w:tblPrEx>
          <w:tblCellMar>
            <w:top w:w="15" w:type="dxa"/>
            <w:left w:w="15" w:type="dxa"/>
            <w:bottom w:w="15" w:type="dxa"/>
            <w:right w:w="15" w:type="dxa"/>
          </w:tblCellMar>
        </w:tblPrEx>
        <w:trPr>
          <w:trHeight w:val="283" w:hRule="atLeast"/>
          <w:jc w:val="center"/>
        </w:trPr>
        <w:tc>
          <w:tcPr>
            <w:tcW w:w="9634"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一、软件整体要求</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该软件要求可以帮助用户快速掌握机床机械部件的装调原理和方法，提高装调效率和准确性。该软件要求采用真实的机床机械部件模型，能够准确地模拟机床机械部件的装调过程。要求至少可以仿真以下9种机床机械部件的组装：四工位刀架、六工位刀架、夹臂式刀库、斗笠式刀库、机械手刀库、液压尾座、液压卡盘、润滑系统、BT30主轴。用户可以通过该软件模拟各机床机械部件的装配过程，了解各个部件的装配顺序和方法，以及各个工具的使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数控多功能部件装配3D仿真软件主界面要求包含四工位刀架、六工位刀架、夹臂式刀库、斗笠式刀库、机械手刀库、液压尾座、液压卡盘、润滑系统、BT30主轴等9个机床机械部件的跳转按钮，点击其中任意一个按钮，可以打开对应的机床机械部件装调界面。</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（1）四工位刀架：在主界面中点击“四工位刀架”按钮，将会打开四工位刀架的装调界面，在此界面中可进行四工位刀架的装调。四工位刀架装调仿真软件主界面要求可分为两大部分：组装部分和零部件部分。</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①组装部分：在组装部分界面有6个按钮：“安装说明”按钮、“撤消安装”按钮、“复位视图”按钮、“重置模型”按钮、“设置”按钮、“实训仿真”按钮。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a、安装说明”按钮：点击“安装说明”按钮，将会弹出四工位刀架的安装过程说明，用户可根据此安装过程安装四工位刀架，此时点击安装说明界面上的按钮将会隐藏四工位刀架的安装过程说明。</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b、“撤消安装”按钮：点击“撤消安装”按钮将撤消上一个安装的零部件，如：已将螺杆安装到四工位刀架的主轴上，此时点击“撤消安装”按钮，将撤消螺杆的安装，此时可重新安装螺杆。</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c、“复位视图”按钮：按住不放鼠标右键可上下左右平移视图，观察四工位刀架，寻找合适的零部件安装位置。滚动鼠标滚轮缩放视图，将视图中的四工位刀架放大和缩小。按住不放鼠标中键可360°旋转视图，从各个角度观察四工位刀架。调整将视图的位置、大小、旋转度便于查看四工位刀架的内部结构和安装四工位刀架的零部件，此时点击“复位视图”按钮，将会将视图恢复至默认的初始状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d、“重置模型”按钮：点击“重置模型”按钮，将会把所有安装好的四工位刀架的零部件撤消，恢复至最开始为安装零部件的状态，可重新开始安装四工位刀架的零部件。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e、“设置”按钮：点击“设置”按钮，将会弹出设置界面，在设置界面中可调整动画播放的速度和设置“零部件部分”中零部件的排序顺序。在零部件排序顺序中选择“按照安装顺序排列”，在“零部件部分”中零部件将会按照安装的顺序依次排序，用户可根据该顺序将零部件依次安装好；零部件排序顺序中选择“随机排列”，在“零部件部分”中零部件将会随机进行排序，此时用户将需根据安装说明，在“零部件部分”中找到需安装的零部件，并将其安装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f、“实训仿真”按钮：点击“实训仿真”按钮，将会弹出实训仿真界面。（在进行实训仿真前，需准备好PLC模块，并将PLC与电脑连接，并将对应的PLC程序下载到PLC中。）</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在实训仿真界面中有7个按钮：“连接PLC”按钮、“中断连接”按钮、“串口设置”按钮、“端口设置”按钮、“组装仿真”按钮、“设置”按钮和“退出”按钮。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“连接PLC”按钮：点击“连接PLC”按钮，将连接PLC，将与PLC进行通信，控制四工位刀架运行。（注：连接PLC时，串口必须设置为PLC与PC连接的端口，否则将无法连接上PLC。）</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“中断连接”按钮：当点击“连接PLC”按钮，PC机与PLC连接成功后，此时点击“中断连接”按钮，将断开PC机与PLC的连接。</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“串口设置”按钮：点击“串口设置”按钮，弹出串口设置界面，此时选择PLC与PC连接的端口。</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“端口设置”按钮：点击“端口设置”按钮，将弹出端口设置界面，在此界面根据PLC程序设置对应的端口。</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“组装仿真”按钮：点击“组装仿真”按钮，将会返回到组装界面。</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“设置”按钮：在实训仿真界面中，更改了旋转速度，此时再点击“设置”按钮，将会改变四工位刀架的旋转速度。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“退出”按钮：点击“退出”按钮将会退出软件。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零部件部分：在“零部件部分”中可分为两小部分：“需安装零部件”和安装部分零部件所需的工具。在“需安装零部件”中展示的组装四工位刀架所需的所有零部件，用户需根据安装说明将这些零部件安装到四工位刀架上。安装部分零部件所需的工具中，显示安装零部件所需的工具：十字螺丝刀、一字螺丝刀、M4内六角扳手、M5内六角扳手、M6内六角扳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组装操作过程：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组装基本操作：将鼠标移动到“零部件部分”，再将鼠标移动到需安装的零部件上，此时按住鼠标左键不放，将会出现所选零部件的三维模型，该模型将会跟随鼠标的移动而移动，此时再将鼠标移动到所需安装所选零部件的位置，将会显示所需安装的零部件，最后松开鼠标左键，将自动将所选的零部件安装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b、安装过程中使用工具：安装某些零部件的时候将需要某些工具，当安装需要工具时，工具栏将高亮显示，此时点击安装所需的工具，将会出现相应的工具进行安装。</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（2）六工位刀架：在主界面中点击“六工位刀架”按钮，将会打开六工位刀架的装调界面，在此界面中可进行六工位刀架的装调，六工位刀架装调仿真软件主界面可分为两大部分：组装部分和零部件部分。</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①组装部分：在组装部分可将六工位刀架的零部件进行组装。在组装部分有5个按钮：“安装说明”按钮、“撤消安装”按钮、“复位视图”按钮、“重置模型”按钮和“设置”按钮。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a、“安装说明”按钮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点击“安装说明”按钮，将会弹出六工位刀架的安装过程说明，用户可根据此安装过程安装六工位刀架，此时点击安装说明界面上的按钮将会隐藏六工位刀架的安装过程说明。</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b、“撤消安装”按钮：点击“撤消安装”按钮将撤消上一个安装的零部件，如：已将转动齿盘安装到六工位刀架的主轴上，此时点击“撤消安装”按钮，将撤消转动齿盘的安装，此时可重新安装转动齿盘。</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c、“复位视图”按钮：按住不放鼠标右键可上下左右平移视图，观察六工位刀架，寻找合适的零部件安装位置。滚动鼠标滚轮缩放视图，将视图中的六工位刀架放大和缩小。按住不放鼠标中键可360°旋转视图，从各个角度观察六工位刀架。调整将视图的位置、大小、旋转度便于查看六工位刀架的内部结构和安装六工位刀架的零部件，此时点击“复位视图”按钮，将会将视图恢复至默认的初始状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d、“重置模型”按钮：点击“重置模型”按钮，将会把所有安装好的六工位刀架的零部件撤消，恢复至最开始为安装零部件的状态，可重新开始安装六工位刀架的零部件。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e、“设置”按钮：点击“设置”按钮，将会弹出设置界面，在设置界面中可调整动画播放的速度和设置“零部件部分”中零部件的排序顺序。在零部件排序顺序中选择“按照安装顺序排列”，在“零部件部分”中零部件将会按照安装的顺序依次排序，用户可根据该顺序将零部件依次安装好；零部件排序顺序中选择“随机排列”，在“零部件部分”中零部件将会随机进行排序，此时用户将需根据安装说明，在“零部件部分”中找到需安装的零部件，并将其安装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零部件部分：在“零部件部分”中可分为两小部分：“需安装零部件”和安装部分零部件所需的工具。在“需安装零部件”中展示的组装六工位刀架所需的所有零部件，用户需根据安装说明将这些零部件安装到六工位刀架上。在安装部分零部件所需的工具中，显示安装零部件所需的工具：橡胶棒、铜棒、一字螺丝刀、M4内六角扳手、M5内六角扳手、M6内六角扳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组装操作过程：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组装基本操作：将鼠标移动到“零部件部分”，再将鼠标移动到需安装的零部件上，此时按住鼠标左键不放，将会出现所选零部件的三维模型，该模型将会跟随鼠标的移动而移动，此时再将鼠标移动到所需安装所选零部件的位置，将会显示所需安装的零部件，最后松开鼠标左键，将自动将所选的零部件安装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b、安装过程中使用工具：安装某些零部件的时候将需要某些工具，当安装需要工具时，工具栏将高亮显示，此时点击安装所需的工具，将会出现相应的工具进行安装。</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（3）夹臂式刀库：在主界面中点击“夹臂式刀库”按钮，将会打开夹臂式刀库的装调界面，在此界面中可进行夹臂式刀库的装调，夹臂式刀库装调仿真软件主界面可分为两大部分：组装部分和零部件部分。</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①组装部分：在组装部分可将夹臂式刀库的零部件进行组装。在组装部分有5个按钮：“安装说明”按钮、“撤消安装”按钮、“复位视图”按钮、“重置模型”按钮和“设置”按钮。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a、“安装说明”按钮：点击“安装说明”按钮，将会弹出夹臂式刀库的安装过程说明，用户可根据此安装过程安装夹臂式刀库，此时点击安装说明界面上的按钮将会隐藏夹臂式刀库的安装过程说明。</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b、“撤消安装”按钮：点击“撤消安装”按钮将撤消上一个安装的零部件，如：已将齿轮组安装到夹臂式刀库的刀盘上，此时点击“撤消安装”按钮，将撤消齿轮组的安装，此时可重新安装齿轮组。</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c、“复位视图”按钮：按住不放鼠标右键可上下左右平移视图，观察夹臂式刀库，寻找合适的零部件安装位置。滚动鼠标滚轮缩放视图，将视图中的夹臂式刀库放大和缩小。按住不放鼠标中键可360°旋转视图，从各个角度观察夹臂式刀库。调整将视图的位置、大小、旋转度便于查看夹臂式刀库的内部结构和安装夹臂式刀库的零部件，此时点击“复位视图”按钮，将会将视图恢复至默认的初始状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d、“重置模型”按钮：点击“重置模型”按钮，将会把所有安装好的夹臂式刀库的零部件撤消，恢复至最开始为安装零部件的状态，可重新开始安装夹臂式刀库的零部件。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e、“设置”按钮：点击“设置”按钮，将会弹出设置界面，在设置界面中可调整动画播放的速度和设置“零部件部分”中零部件的排序顺序。在零部件排序顺序中选择“按照安装顺序排列”，在“零部件部分”中零部件将会按照安装的顺序依次排序，用户可根据该顺序将零部件依次安装好；零部件排序顺序中选择“随机排列”，在“零部件部分”中零部件将会随机进行排序，此时用户将需根据安装说明，在“零部件部分”中找到需安装的零部件，并将其安装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零部件部分：在“零部件部分”中可分为两小部分：“需安装零部件”和安装部分零部件所需的工具。在“需安装零部件”中展示的组装夹臂式刀库所需的所有零部件，用户需根据安装说明将这些零部件安装到夹臂式刀库上。在安装部分零部件所需的工具中，显示安装零部件所需的工具：橡胶棒、铜棒、勾扳手、活动扳手、M3内六角扳手、M4内六角扳手、M5内六角扳手、M6内六角扳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组装操作过程：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组装基本操作：将鼠标移动到“零部件部分”，再将鼠标移动到需安装的零部件上，此时按住鼠标左键不放，将会出现所选零部件的三维模型，该模型将会跟随鼠标的移动而移动，此时再将鼠标移动到所需安装所选零部件的位置，将会显示所需安装的零部件，最后松开鼠标左键，将自动将所选的零部件安装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b、安装过程中使用工具：安装某些零部件的时候将需要某些工具，当安装需要工具时，工具栏将高亮显示，此时点击安装所需的工具，将会出现相应的工具进行安装。</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（4）斗笠式刀库：在主界面中点击“斗笠式刀库”按钮，将会打开斗笠式刀库的装调界面，在此界面中可进行斗笠式刀库的装调，斗笠式刀库装调仿真软件主界面可分为两大部分：组装部分和零部件部分。</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①组装部分：在组装部分可将斗笠式刀库的零部件进行组装。在组装部分有5个按钮：“安装说明”按钮、“撤消安装”按钮、“复位视图”按钮、“重置模型”按钮和“设置”按钮。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a、“安装说明”按钮：点击“安装说明”按钮，将会弹出斗笠式刀库的安装过程说明，用户可根据此安装过程安装斗笠式刀库，此时点击安装说明界面上的按钮将会隐藏斗笠式刀库的安装过程说明。</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b、“撤消安装”按钮：点击“撤消安装”按钮将撤消上一个安装的零部件，如：已将齿轮组安装到斗笠式刀库的刀盘上，此时点击“撤消安装”按钮，将撤消齿轮组的安装，此时可重新安装齿轮组。</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c、“复位视图”按钮：按住不放鼠标右键可上下左右平移视图，观察斗笠式刀库，寻找合适的零部件安装位置。滚动鼠标滚轮缩放视图，将视图中的斗笠式刀库放大和缩小。按住不放鼠标中键可360°旋转视图，从各个角度观察斗笠式刀库。调整将视图的位置、大小、旋转度便于查看斗笠式刀库的内部结构和安装斗笠式刀库的零部件，此时点击“复位视图”按钮，将会将视图恢复至默认的初始状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d、“重置模型”按钮：点击“重置模型”按钮，将会把所有安装好的斗笠式刀库的零部件撤消，恢复至最开始为安装零部件的状态，可重新开始安装斗笠式刀库的零部件。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e、“设置”按钮：点击“设置”按钮，将会弹出设置界面，在设置界面中可调整动画播放的速度和设置“零部件部分”中零部件的排序顺序。在零部件排序顺序中选择“按照安装顺序排列”，在“零部件部分”中零部件将会按照安装的顺序依次排序，用户可根据该顺序将零部件依次安装好；零部件排序顺序中选择“随机排列”，在“零部件部分”中零部件将会随机进行排序，此时用户将需根据安装说明，在“零部件部分”中找到需安装的零部件，并将其安装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零部件部分：在“零部件部分”中可分为两小部分：“需安装零部件”和安装部分零部件所需的工具。在“需安装零部件”中展示的组装斗笠式刀库所需的所有零部件，用户需根据安装说明将这些零部件安装到斗笠式刀库上。在安装部分零部件所需的工具中，显示安装零部件所需的工具：活动扳手、十字螺丝刀、M3内六角扳手、M4内六角扳手、M5内六角扳手、M6内六角扳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组装操作过程：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组装基本操作：将鼠标移动到“零部件部分”，再将鼠标移动到需安装的零部件上，此时按住鼠标左键不放，将会出现所选零部件的三维模型，该模型将会跟随鼠标的移动而移动，此时再将鼠标移动到所需安装所选零部件的位置，将会显示所需安装的零部件，最后松开鼠标左键，将自动将所选的零部件安装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b、安装过程中使用工具：安装某些零部件的时候将需要某些工具，当安装需要工具时，工具栏将高亮显示，此时点击安装所需的工具，将会出现相应的工具进行安装。</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（5）机械手刀库：在主界面中点击“机械手刀库”按钮，将会打开机械手刀库的装调界面，在此界面中可进行机械手刀库的装调，机械手刀库装调仿真软件主界面可分为两大部分：组装部分和零部件部分。</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①组装部分：在组装部分可将机械手刀库的零部件进行组装。在组装部分有5个按钮：“安装说明”按钮、“撤消安装”按钮、“复位视图”按钮、“重置模型”按钮和“设置”按钮。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a、“安装说明”按钮：点击“安装说明”按钮，将会弹出机械手刀库的安装过程说明，用户可根据此安装过程安装机械手刀库，此时点击安装说明界面上的按钮将会隐藏机械手刀库的安装过程说明。</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b、“撤消安装”按钮：点击“撤消安装”按钮将撤消上一个安装的零部件，如：已将齿轮组安装到机械手刀库的刀盘上，此时点击“撤消安装”按钮，将撤消齿轮组的安装，此时可重新安装齿轮组。</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c、“复位视图”按钮：按住不放鼠标右键可上下左右平移视图，观察机械手刀库，寻找合适的零部件安装位置。滚动鼠标滚轮缩放视图，将视图中的机械手刀库放大和缩小。按住不放鼠标中键可360°旋转视图，从各个角度观察机械手刀库。调整将视图的位置、大小、旋转度便于查看机械手刀库的内部结构和安装机械手刀库的零部件，此时点击“复位视图”按钮，将会将视图恢复至默认的初始状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d、“重置模型”按钮：点击“重置模型”按钮，将会把所有安装好的机械手刀库的零部件撤消，恢复至最开始为安装零部件的状态，可重新开始安装机械手刀库的零部件。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e、“设置”按钮：点击“设置”按钮，将会弹出设置界面，在设置界面中可调整动画播放的速度和设置“零部件部分”中零部件的排序顺序。在零部件排序顺序中选择“按照安装顺序排列”，在“零部件部分”中零部件将会按照安装的顺序依次排序，用户可根据该顺序将零部件依次安装好；零部件排序顺序中选择“随机排列”，在“零部件部分”中零部件将会随机进行排序，此时用户将需根据安装说明，在“零部件部分”中找到需安装的零部件，并将其安装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零部件部分：在“零部件部分”中可分为两小部分：“需安装零部件”和安装部分零部件所需的工具。在“需安装零部件”中展示的组装机械手刀库所需的所有零部件，用户需根据安装说明将这些零部件安装到机械手刀库上。在安装部分零部件所需的工具中，显示安装零部件所需的工具：橡皮锤、铜棒、活动扳手、M2.5内六角扳手、M3内六角扳手、M4内六角扳手、M5内六角扳手、M6内六角扳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组装操作过程：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组装基本操作：将鼠标移动到“零部件部分”，再将鼠标移动到需安装的零部件上，此时按住鼠标左键不放，将会出现所选零部件的三维模型，该模型将会跟随鼠标的移动而移动，此时再将鼠标移动到所需安装所选零部件的位置，将会显示所需安装的零部件，最后松开鼠标左键，将自动将所选的零部件安装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b、安装过程中使用工具：安装某些零部件的时候将需要某些工具，当安装需要工具时，工具栏将高亮显示，此时点击安装所需的工具，将会出现相应的工具进行安装。</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（6）液压尾座：在主界面中点击“液压尾座”按钮，将会打开液压尾座的装调界面，在此界面中可进行液压尾座的装调，液压尾座装调仿真软件主界面可分为两大部分：组装部分和零部件部分。</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①组装部分：在组装部分可将液压尾座的零部件进行组装。在组装部分有5个按钮：“安装说明”按钮、“撤消安装”按钮、“复位视图”按钮、“重置模型”按钮和“设置”按钮。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a、“安装说明”按钮：点击“安装说明”按钮，将会弹出液压尾座的安装过程说明，用户可根据此安装过程安装液压尾座，此时点击安装说明界面上的按钮将会隐藏液压尾座的安装过程说明。</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b、“撤消安装”按钮：点击“撤消安装”按钮将撤消上一个安装的零部件。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c、“复位视图”按钮：按住不放鼠标右键可上下左右平移视图，观察液压尾座，寻找合适的零部件安装位置。滚动鼠标滚轮缩放视图，将视图中的液压尾座放大和缩小。按住不放鼠标中键可360°旋转视图，从各个角度观察液压尾座。调整将视图的位置、大小、旋转度便于查看液压尾座的内部结构和安装液压尾座的零部件，此时点击“复位视图”按钮，将会将视图恢复至默认的初始状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d、“重置模型”按钮：点击“重置模型”按钮，将会把所有安装好的液压尾座的零部件撤消，恢复至最开始为安装零部件的状态，可重新开始安装液压尾座的零部件。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e、“设置”按钮：点击“设置”按钮，将会弹出设置界面，在设置界面中可调整动画播放的速度和设置“零部件部分”中零部件的排序顺序。在零部件排序顺序中选择“按照安装顺序排列”，在“零部件部分”中零部件将会按照安装的顺序依次排序，用户可根据该顺序将零部件依次安装好；零部件排序顺序中选择“随机排列”，在“零部件部分”中零部件将会随机进行排序，此时用户将需根据安装说明，在“零部件部分”中找到需安装的零部件，并将其安装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零部件部分：在“零部件部分”中可分为两小部分：“需安装零部件”和安装部分零部件所需的工具。在“需安装零部件”中展示的组装液压尾座所需的所有零部件，用户需根据安装说明将这些零部件安装到液压尾座上。在安装部分零部件所需的工具中，显示安装零部件所需的工具：活动扳手、M6内六角扳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组装操作过程：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组装基本操作：将鼠标移动到“零部件部分”，再将鼠标移动到需安装的零部件上，此时按住鼠标左键不放，将会出现所选零部件的三维模型，该模型将会跟随鼠标的移动而移动，此时再将鼠标移动到所需安装所选零部件的位置，将会显示所需安装的零部件，最后松开鼠标左键，将自动将所选的零部件安装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b、安装过程中使用工具：安装某些零部件的时候将需要某些工具，当安装需要工具时，工具栏将高亮显示，此时点击安装所需的工具，将会出现相应的工具进行安装。</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（7）液压卡盘：在主界面中点击“液压卡盘”按钮，将会打开液压卡盘的装调界面，在此界面中可进行液压卡盘的装调，液压卡盘装调仿真软件主界面可分为两大部分：组装部分和零部件部分。</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①组装部分：在组装部分可将液压卡盘的零部件进行组装。在组装部分有5个按钮：“安装说明”按钮、“撤消安装”按钮、“复位视图”按钮、“重置模型”按钮和“设置”按钮。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a、“安装说明”按钮：点击“安装说明”按钮，将会弹出液压卡盘的安装过程说明，用户可根据此安装过程安装液压卡盘，此时点击安装说明界面上的按钮将会隐藏液压卡盘的安装过程说明。</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b、“撤消安装”按钮：点击“撤消安装”按钮将撤消上一个安装的零部件。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c、“复位视图”按钮：按住不放鼠标右键可上下左右平移视图，观察液压卡盘，寻找合适的零部件安装位置。滚动鼠标滚轮缩放视图，将视图中的液压卡盘放大和缩小。按住不放鼠标中键可360°旋转视图，从各个角度观察液压卡盘。调整将视图的位置、大小、旋转度便于查看液压卡盘的内部结构和安装液压卡盘的零部件，此时点击“复位视图”按钮，将会将视图恢复至默认的初始状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d、“重置模型”按钮：点击“重置模型”按钮，将会把所有安装好的液压卡盘的零部件撤消，恢复至最开始为安装零部件的状态，可重新开始安装液压卡盘的零部件。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e、“设置”按钮：点击“设置”按钮，将会弹出设置界面，在设置界面中可调整动画播放的速度和设置“零部件部分”中零部件的排序顺序。在零部件排序顺序中选择“按照安装顺序排列”，在“零部件部分”中零部件将会按照安装的顺序依次排序，用户可根据该顺序将零部件依次安装好；零部件排序顺序中选择“随机排列”，在“零部件部分”中零部件将会随机进行排序，此时用户将需根据安装说明，在“零部件部分”中找到需安装的零部件，并将其安装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零部件部分：在“零部件部分”中可分为两小部分：“需安装零部件”和安装部分零部件所需的工具。在“需安装零部件”中展示的组装液压卡盘所需的所有零部件，用户需根据安装说明将这些零部件安装到液压卡盘上。在安装部分零部件所需的工具中，显示安装零部件所需的工具：M3内六角扳手、M4内六角扳手、M5内六角扳手、M6内六角扳手、M10内六角扳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组装操作过程：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组装基本操作：将鼠标移动到“零部件部分”，再将鼠标移动到需安装的零部件上，此时按住鼠标左键不放，将会出现所选零部件的三维模型，该模型将会跟随鼠标的移动而移动，此时再将鼠标移动到所需安装所选零部件的位置，将会显示所需安装的零部件，最后松开鼠标左键，将自动将所选的零部件安装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b、安装过程中使用工具：安装某些零部件的时候将需要某些工具，当安装需要工具时，工具栏将高亮显示，此时点击安装所需的工具，将会出现相应的工具进行安装。</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（8）润滑系统：在主界面中点击“润滑系统”按钮，将会打开润滑系统的装调界面，在此界面中可进行润滑系统的装调，润滑系统装调仿真软件主界面可分为两大部分：组装部分和零部件部分。</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①组装部分：在组装部分可将润滑系统的零部件进行组装。在组装部分有5个按钮：“安装说明”按钮、“撤消安装”按钮、“复位视图”按钮、“重置模型”按钮和“设置”按钮。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a、“安装说明”按钮：点击“安装说明”按钮，将会弹出润滑系统的安装过程说明，用户可根据此安装过程安装润滑系统，此时点击安装说明界面上的按钮将会隐藏润滑系统的安装过程说明。</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b、“撤消安装”按钮：点击“撤消安装”按钮将撤消上一个安装的零部件。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c、“复位视图”按钮：按住不放鼠标右键可上下左右平移视图，观察润滑系统，寻找合适的零部件安装位置。滚动鼠标滚轮缩放视图，将视图中的润滑系统放大和缩小。按住不放鼠标中键可360°旋转视图，从各个角度观察润滑系统。调整将视图的位置、大小、旋转度便于查看润滑系统的内部结构和安装润滑系统的零部件，此时点击“复位视图”按钮，将会将视图恢复至默认的初始状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d、“重置模型”按钮：点击“重置模型”按钮，将会把所有安装好的润滑系统的零部件撤消，恢复至最开始为安装零部件的状态，可重新开始安装润滑系统的零部件。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e、“设置”按钮：点击“设置”按钮，将会弹出设置界面，在设置界面中可调整动画播放的速度和设置“零部件部分”中零部件的排序顺序。在零部件排序顺序中选择“按照安装顺序排列”，在“零部件部分”中零部件将会按照安装的顺序依次排序，用户可根据该顺序将零部件依次安装好；零部件排序顺序中选择“随机排列”，在“零部件部分”中零部件将会随机进行排序，此时用户将需根据安装说明，在“零部件部分”中找到需安装的零部件，并将其安装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零部件部分：在“零部件部分”中可分为两小部分：“需安装零部件”和安装部分零部件所需的工具。在“需安装零部件”中展示的组装润滑系统所需的所有零部件，用户需根据安装说明将这些零部件安装到润滑系统上。在安装部分零部件所需的工具中，显示安装零部件所需的工具：活动扳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组装操作过程：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组装基本操作：将鼠标移动到“零部件部分”，再将鼠标移动到需安装的零部件上，此时按住鼠标左键不放，将会出现所选零部件的三维模型，该模型将会跟随鼠标的移动而移动，此时再将鼠标移动到所需安装所选零部件的位置，将会显示所需安装的零部件，最后松开鼠标左键，将自动将所选的零部件安装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b、安装过程中使用工具：安装某些零部件的时候将需要某些工具，当安装需要工具时，工具栏将高亮显示，此时点击安装所需的工具，将会出现相应的工具进行安装。</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（9）BT30主轴：在主界面中点击“BT30主轴”按钮，将会打开BT30主轴的装调界面，在此界面中可进行BT30主轴的装调，BT30主轴装调仿真软件主界面可分为两大部分：组装部分和零部件部分。</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①组装部分：在组装部分可将BT30主轴的零部件进行组装。在组装部分有5个按钮：“安装说明”按钮、“撤消安装”按钮、“复位视图”按钮、“重置模型”按钮和“设置”按钮。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a、“安装说明”按钮：点击“安装说明”按钮，将会弹出BT30主轴的安装过程说明，用户可根据此安装过程安装BT30主轴，此时点击安装说明界面上的按钮将会隐藏BT30主轴的安装过程说明。</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b、“撤消安装”按钮：点击“撤消安装”按钮将撤消上一个安装的零部件。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c、“复位视图”按钮：按住不放鼠标右键可上下左右平移视图，观察BT30主轴，寻找合适的零部件安装位置。滚动鼠标滚轮缩放视图，将视图中的BT30主轴放大和缩小。按住不放鼠标中键可360°旋转视图，从各个角度观察BT30主轴。调整将视图的位置、大小、旋转度便于查看BT30主轴的内部结构和安装BT30主轴的零部件，此时点击“复位视图”按钮，将会将视图恢复至默认的初始状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d、“重置模型”按钮：点击“重置模型”按钮，将会把所有安装好的BT30主轴的零部件撤消，恢复至最开始为安装零部件的状态，可重新开始安装BT30主轴的零部件。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e、“设置”按钮：点击“设置”按钮，将会弹出设置界面，在设置界面中可调整动画播放的速度和设置“零部件部分”中零部件的排序顺序。在零部件排序顺序中选择“按照安装顺序排列”，在“零部件部分”中零部件将会按照安装的顺序依次排序，用户可根据该顺序将零部件依次安装好；零部件排序顺序中选择“随机排列”，在“零部件部分”中零部件将会随机进行排序，此时用户将需根据安装说明，在“零部件部分”中找到需安装的零部件，并将其安装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零部件部分：在“零部件部分”中可分为两小部分：“需安装零部件”和安装部分零部件所需的工具。在“需安装零部件”中展示的组装BT30主轴所需的所有零部件，用户需根据安装说明将这些零部件安装到BT30主轴上。在安装部分零部件所需的工具中，显示安装零部件所需的工具：M3内六角扳手、M4内六角扳手、M5内六角扳手、M6内六角扳手、M8内六角扳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组装操作过程：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a、组装基本操作：将鼠标移动到“零部件部分”，再将鼠标移动到需安装的零部件上，此时按住鼠标左键不放，将会出现所选零部件的三维模型，该模型将会跟随鼠标的移动而移动，此时再将鼠标移动到所需安装所选零部件的位置，将会显示所需安装的零部件，最后松开鼠标左键，将自动将所选的零部件安装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b、安装过程中使用工具：安装某些零部件的时候将需要某些工具，当安装需要工具时，工具栏将高亮显示，此时点击安装所需的工具，将会出现相应的工具进行安装。</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3.为避免知识产权纠纷问题，保证软件是由投标方正规渠道获得，投标文件中需要提供开发厂商的授权证明</w:t>
            </w:r>
            <w:r>
              <w:rPr>
                <w:rFonts w:hint="eastAsia" w:ascii="宋体" w:hAnsi="宋体" w:cs="宋体"/>
                <w:sz w:val="24"/>
                <w:szCs w:val="24"/>
                <w:highlight w:val="none"/>
                <w:lang w:val="en-US" w:eastAsia="zh-CN"/>
              </w:rPr>
              <w:t>扫描件</w:t>
            </w:r>
            <w:r>
              <w:rPr>
                <w:rFonts w:hint="eastAsia" w:ascii="宋体" w:hAnsi="宋体" w:eastAsia="宋体" w:cs="宋体"/>
                <w:sz w:val="24"/>
                <w:szCs w:val="24"/>
                <w:highlight w:val="none"/>
              </w:rPr>
              <w:t>和著作权复印件（注：自主开发的</w:t>
            </w:r>
            <w:r>
              <w:rPr>
                <w:rFonts w:hint="eastAsia" w:ascii="宋体" w:hAnsi="宋体" w:cs="宋体"/>
                <w:sz w:val="24"/>
                <w:szCs w:val="24"/>
                <w:highlight w:val="none"/>
                <w:lang w:val="en-US" w:eastAsia="zh-CN"/>
              </w:rPr>
              <w:t>需要提供</w:t>
            </w:r>
            <w:r>
              <w:rPr>
                <w:rFonts w:hint="eastAsia" w:ascii="宋体" w:hAnsi="宋体" w:eastAsia="宋体" w:cs="宋体"/>
                <w:sz w:val="24"/>
                <w:szCs w:val="24"/>
                <w:highlight w:val="none"/>
              </w:rPr>
              <w:t>著作权复印件</w:t>
            </w:r>
            <w:r>
              <w:rPr>
                <w:rFonts w:hint="eastAsia" w:ascii="宋体" w:hAnsi="宋体" w:cs="宋体"/>
                <w:sz w:val="24"/>
                <w:szCs w:val="24"/>
                <w:highlight w:val="none"/>
                <w:lang w:val="en-US" w:eastAsia="zh-CN"/>
              </w:rPr>
              <w:t>或相关证明材料复印件</w:t>
            </w:r>
            <w:r>
              <w:rPr>
                <w:rFonts w:hint="eastAsia" w:ascii="宋体" w:hAnsi="宋体" w:eastAsia="宋体" w:cs="宋体"/>
                <w:sz w:val="24"/>
                <w:szCs w:val="24"/>
                <w:highlight w:val="none"/>
              </w:rPr>
              <w:t>）。</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4.投标文件中需要提供软件架构图</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二、软件使用条件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1、当使用软件且用PLC程序控制软件运行时，请选择与系统相应的USB转串口驱动，win7 64位系统请点击CH341SER_64.EXE软件，安装USB转串口驱动，32位系统请点击CH341SER_32.EXE软件，安装USB转串口驱动。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2、以鼠标右键管理员身份运行软件或者设置软件兼容性后运行软件。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设置方法：软件右键-&gt;属性-&gt;兼容性-&gt;把“以管理员身份运行此程序”勾上-&gt;点击“确定”。</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三、运行配置要求：</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1、最低配置：Windows 7或Windows 10操作系统，至少Intel Core i5-4460 3.2GHz的CPU，4GB RAM内存，Nvdia GeForce GTX760 2GB VRAM的显卡，2GB可用空间。</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2、常规配置：Windows 7或Windows 10操作系统，Intel Core i7 3770 3.4GHz的CPU，8GB RAM内存，Nvdia GeForce GTX1060 3GB VRAM的显卡，2GB可用空间。</w:t>
            </w:r>
          </w:p>
        </w:tc>
      </w:tr>
      <w:tr>
        <w:tblPrEx>
          <w:tblCellMar>
            <w:top w:w="15" w:type="dxa"/>
            <w:left w:w="15" w:type="dxa"/>
            <w:bottom w:w="15" w:type="dxa"/>
            <w:right w:w="15" w:type="dxa"/>
          </w:tblCellMar>
        </w:tblPrEx>
        <w:trPr>
          <w:trHeight w:val="421" w:hRule="atLeast"/>
          <w:jc w:val="center"/>
        </w:trPr>
        <w:tc>
          <w:tcPr>
            <w:tcW w:w="9634"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ind w:firstLine="0" w:firstLineChars="0"/>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五、在线评价系统（投标时根据评分办法演示要点提供相应的演示视频）</w:t>
            </w:r>
          </w:p>
        </w:tc>
      </w:tr>
      <w:tr>
        <w:tblPrEx>
          <w:tblCellMar>
            <w:top w:w="15" w:type="dxa"/>
            <w:left w:w="15" w:type="dxa"/>
            <w:bottom w:w="15" w:type="dxa"/>
            <w:right w:w="15" w:type="dxa"/>
          </w:tblCellMar>
        </w:tblPrEx>
        <w:trPr>
          <w:trHeight w:val="3459" w:hRule="atLeast"/>
          <w:jc w:val="center"/>
        </w:trPr>
        <w:tc>
          <w:tcPr>
            <w:tcW w:w="9634"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要求该系统是基于Golang以及React构建的，部署在云端的在线评价系统通过云计算实现高可用性和易于维护的特点，被授权的考试用户只要使用网络浏览器就可以进行在线考试、模拟练习等操作，无需下载安装教师端、学生端等软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w:t>
            </w:r>
            <w:r>
              <w:rPr>
                <w:rFonts w:ascii="宋体" w:hAnsi="宋体" w:eastAsia="宋体" w:cs="宋体"/>
                <w:sz w:val="24"/>
                <w:szCs w:val="24"/>
                <w:highlight w:val="none"/>
              </w:rPr>
              <w:t>.</w:t>
            </w:r>
            <w:r>
              <w:rPr>
                <w:rFonts w:hint="eastAsia" w:ascii="宋体" w:hAnsi="宋体" w:eastAsia="宋体" w:cs="宋体"/>
                <w:sz w:val="24"/>
                <w:szCs w:val="24"/>
                <w:highlight w:val="none"/>
              </w:rPr>
              <w:t>要求在线评价系统至少应包含以下三大功能：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基本信息：基本信息功能主要由考生管理功能模块组成，在该功能界面可以管理所有考生信息，包括但不局限于新增、编辑、删除考生信息等功能。在该功能界面要求还可进行批量导入考生信息，可通过下载系统默认模板进行考生信息编辑后同一上传，也可以提供自定义模板进行导入。同时要求，该系统可以自动排除重复考生等信息。投标响应文件中至少提供2张该项功能的软件运行截图。</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②考试管理：要求该功能至少由题目模块、题库信息、试卷管理、考试监控以及阅卷及成绩等5个功能模块组成。各个模块具体功能要求如下：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题目模块：要求至少支持关键字搜索、题目新增、可对已添加的题目模块进行添加下级、清空题目、模块名称编辑以及删除等功能，以类似于题目分类的形式将题目进行类型区分。投标响应文件中至少提供2张该项功能的软件运行截图。</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w:t>
            </w:r>
            <w:r>
              <w:rPr>
                <w:rFonts w:ascii="宋体" w:hAnsi="宋体" w:eastAsia="宋体" w:cs="宋体"/>
                <w:sz w:val="24"/>
                <w:szCs w:val="24"/>
                <w:highlight w:val="none"/>
              </w:rPr>
              <w:t>.</w:t>
            </w:r>
            <w:r>
              <w:rPr>
                <w:rFonts w:hint="eastAsia" w:ascii="宋体" w:hAnsi="宋体" w:eastAsia="宋体" w:cs="宋体"/>
                <w:sz w:val="24"/>
                <w:szCs w:val="24"/>
                <w:highlight w:val="none"/>
              </w:rPr>
              <w:t>题库信息：</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①要求至少可支持单选、多选、判断、填空、简答、论述等题型，其中简答和论述题型支持手动评分。</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②在该界面可通过题目类型、模块的筛选进行快速检索，也可通过题目中的关键词进行检索。</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③要求在题目新增中，可在题目内容区域支持富文本编辑，支持图片、视频、附件、表格等内容。</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④要求题库支持批量导入，可下载系统默认模板，编辑完成后，选择对应导入模板，系统即可自动导入题目信息。投标响应文件中至少提供2张该项功能的软件运行截图。</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w:t>
            </w:r>
            <w:r>
              <w:rPr>
                <w:rFonts w:hint="eastAsia" w:ascii="宋体" w:hAnsi="宋体" w:eastAsia="宋体" w:cs="宋体"/>
                <w:sz w:val="24"/>
                <w:szCs w:val="24"/>
                <w:highlight w:val="none"/>
              </w:rPr>
              <w:t>试卷管理：</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①一般考试操作流程为：新增考试 -&gt; 配置考试 -&gt; 配置考生 -&gt; 考生进入考试 -&gt;  考试监控 -&gt; 考生交卷 -&gt; 结束考试 -&gt; 查看及导出考生成绩；</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②为避免误操作、防作弊，后台用户和考生应不允许在同一个浏览器进行操作，否则会冲突；</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③在"试卷管理"界面，可以管理所有试卷信息；</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④试卷信息应至少可进行以下操作：投标响应文件中至少提供6张该项功能的软件运行截图。</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⑤可纯手动方式选择题目进行添加，也可根据试卷配置由系统随机生成；可自由设定时间限制，当开启时，在规定时间开始时才允许进入考试，在规定结束时间则会自动结束考试。当时间限制关闭时，可允许考生自由模拟练习直至手动结束；可开启刷题链接，供考生进行刷题练习；可通过设置，在正式进入考试后，系统可将试卷题目打乱显示；可通过设置，在正式进入考试后，系统可将试卷题目的选项打乱显示；系统应可自动对客观题目进行评分，并可以设置是否在考生交卷后立即显示考生得分。投标响应文件中至少提供2张该项功能的软件运行截图。</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w:t>
            </w:r>
            <w:r>
              <w:rPr>
                <w:rFonts w:hint="eastAsia" w:ascii="宋体" w:hAnsi="宋体" w:eastAsia="宋体" w:cs="宋体"/>
                <w:sz w:val="24"/>
                <w:szCs w:val="24"/>
                <w:highlight w:val="none"/>
              </w:rPr>
              <w:t>考试监控：可实时监控考试过程，追踪考生答题情况，确保考试的公平性和安全性。投标响应文件中需提供该项功能的软件运行截图。阅卷及成绩：投标响应文件中至少提供3张该项功能的软件运行截图。</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①考试结束后，查看考生的成绩及明细，并可对简答题和论述题进行评分操作；</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②可将学生成绩整体导出至Excel，也可对选中考生进行导出；</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③可在该界面根据考试试卷名称以及考生姓名进行快速检索；</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w:t>
            </w:r>
            <w:r>
              <w:rPr>
                <w:rFonts w:hint="eastAsia" w:ascii="宋体" w:hAnsi="宋体" w:eastAsia="宋体" w:cs="宋体"/>
                <w:sz w:val="24"/>
                <w:szCs w:val="24"/>
                <w:highlight w:val="none"/>
              </w:rPr>
              <w:t>系统管理：要求该功能至少由系统用户和系统日志两个功能模块组成；系统用户：投标响应文件中至少提供3张该项功能的软件运行截图。</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①管理授权登陆后台系统的用户信息，可进行新增、修改、删除；</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②新增界面可对新增用户的管理功能如以上三大功能及其二级菜单功能模块权限进行设置；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③可通过用户账号以及用户名称进行快速检索；</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ascii="宋体" w:hAnsi="宋体" w:eastAsia="宋体" w:cs="宋体"/>
                <w:sz w:val="24"/>
                <w:szCs w:val="24"/>
                <w:highlight w:val="none"/>
              </w:rPr>
              <w:t>.</w:t>
            </w:r>
            <w:r>
              <w:rPr>
                <w:rFonts w:hint="eastAsia" w:ascii="宋体" w:hAnsi="宋体" w:eastAsia="宋体" w:cs="宋体"/>
                <w:sz w:val="24"/>
                <w:szCs w:val="24"/>
                <w:highlight w:val="none"/>
              </w:rPr>
              <w:t>系统日志：投标响应文件中至少提供2张该项功能的软件运行截图。</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①可查看系统中所有的操作记录信息；</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②可在该界面通过时间、IP以及用户名进行快速检索；</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为避免知识产权纠纷问题，保证软件是由投标方正规渠道获得，投标文件中需要提供开发厂商的授权证明</w:t>
            </w:r>
            <w:r>
              <w:rPr>
                <w:rFonts w:hint="eastAsia" w:ascii="宋体" w:hAnsi="宋体" w:cs="宋体"/>
                <w:sz w:val="24"/>
                <w:szCs w:val="24"/>
                <w:highlight w:val="none"/>
                <w:lang w:val="en-US" w:eastAsia="zh-CN"/>
              </w:rPr>
              <w:t>扫描件</w:t>
            </w:r>
            <w:r>
              <w:rPr>
                <w:rFonts w:hint="eastAsia" w:ascii="宋体" w:hAnsi="宋体" w:eastAsia="宋体" w:cs="宋体"/>
                <w:sz w:val="24"/>
                <w:szCs w:val="24"/>
                <w:highlight w:val="none"/>
              </w:rPr>
              <w:t>和著作权复印件（注：自主开发的</w:t>
            </w:r>
            <w:r>
              <w:rPr>
                <w:rFonts w:hint="eastAsia" w:ascii="宋体" w:hAnsi="宋体" w:cs="宋体"/>
                <w:sz w:val="24"/>
                <w:szCs w:val="24"/>
                <w:highlight w:val="none"/>
                <w:lang w:val="en-US" w:eastAsia="zh-CN"/>
              </w:rPr>
              <w:t>需要提供</w:t>
            </w:r>
            <w:r>
              <w:rPr>
                <w:rFonts w:hint="eastAsia" w:ascii="宋体" w:hAnsi="宋体" w:eastAsia="宋体" w:cs="宋体"/>
                <w:sz w:val="24"/>
                <w:szCs w:val="24"/>
                <w:highlight w:val="none"/>
              </w:rPr>
              <w:t>著作权复印件</w:t>
            </w:r>
            <w:r>
              <w:rPr>
                <w:rFonts w:hint="eastAsia" w:ascii="宋体" w:hAnsi="宋体" w:cs="宋体"/>
                <w:sz w:val="24"/>
                <w:szCs w:val="24"/>
                <w:highlight w:val="none"/>
                <w:lang w:val="en-US" w:eastAsia="zh-CN"/>
              </w:rPr>
              <w:t>或相关证明材料复印件</w:t>
            </w:r>
            <w:r>
              <w:rPr>
                <w:rFonts w:hint="eastAsia" w:ascii="宋体" w:hAnsi="宋体" w:eastAsia="宋体" w:cs="宋体"/>
                <w:sz w:val="24"/>
                <w:szCs w:val="24"/>
                <w:highlight w:val="none"/>
              </w:rPr>
              <w:t>）。</w:t>
            </w:r>
          </w:p>
        </w:tc>
      </w:tr>
      <w:tr>
        <w:tblPrEx>
          <w:tblCellMar>
            <w:top w:w="15" w:type="dxa"/>
            <w:left w:w="15" w:type="dxa"/>
            <w:bottom w:w="15" w:type="dxa"/>
            <w:right w:w="15" w:type="dxa"/>
          </w:tblCellMar>
        </w:tblPrEx>
        <w:trPr>
          <w:trHeight w:val="421" w:hRule="atLeast"/>
          <w:jc w:val="center"/>
        </w:trPr>
        <w:tc>
          <w:tcPr>
            <w:tcW w:w="9634"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ind w:firstLine="0" w:firstLineChars="0"/>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六、智能制造装备技术专业核心课程资源</w:t>
            </w:r>
          </w:p>
        </w:tc>
      </w:tr>
      <w:tr>
        <w:tblPrEx>
          <w:tblCellMar>
            <w:top w:w="15" w:type="dxa"/>
            <w:left w:w="15" w:type="dxa"/>
            <w:bottom w:w="15" w:type="dxa"/>
            <w:right w:w="15" w:type="dxa"/>
          </w:tblCellMar>
        </w:tblPrEx>
        <w:trPr>
          <w:trHeight w:val="283" w:hRule="atLeast"/>
          <w:jc w:val="center"/>
        </w:trPr>
        <w:tc>
          <w:tcPr>
            <w:tcW w:w="9634"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提供的课程中用到的系统需与本方案中的学院原有机床中数控系统</w:t>
            </w:r>
            <w:r>
              <w:rPr>
                <w:rFonts w:hint="eastAsia" w:ascii="宋体" w:hAnsi="宋体" w:cs="宋体"/>
                <w:sz w:val="24"/>
                <w:szCs w:val="24"/>
                <w:highlight w:val="none"/>
                <w:lang w:val="en-US" w:eastAsia="zh-CN"/>
              </w:rPr>
              <w:t>相兼容</w:t>
            </w:r>
            <w:r>
              <w:rPr>
                <w:rFonts w:hint="eastAsia" w:ascii="宋体" w:hAnsi="宋体" w:eastAsia="宋体" w:cs="宋体"/>
                <w:sz w:val="24"/>
                <w:szCs w:val="24"/>
                <w:highlight w:val="none"/>
              </w:rPr>
              <w:t>；</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针对智能制造装备技术专业群发展，围绕数控、工业机器人等技术建设不少于4门相关核心课程，涉及到各部件智能制造集成技术、电机与电气控制技术、机床调试与维护、故障诊断与维修等方面技术，帮助智能制造装备相关专业师生提升智能制造装备技术教学与学习能力。</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、智能制造装备技术专业核心课程包含但不限于以下：《智能制造技术》、《智能设备故障诊断与维修》、《电机与电气控制技术》、《机床调试与维护》。</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课程提供的资源包含但不限于：《智能制造技术》PPT课件不少于22个，视频不少于15个；《智能设备故障诊断与维修》PPT课件不少于29个，视频不少于29个；《电机与电气控制技术》PPT课件不少于不少于44个，视频不少于30个；《机床调试与维护》PPT课件不少于不少于27个，视频不少于29个；四门课程中视频均以平台账号形式提供，免费提供1个账号供在平台播放视频使用，PPT以光盘刻录或U盘拷贝形式提供（提供现场演示，演示内容与课程目录内容相匹配）。</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围绕企业在智能制造岗位的能力要求，充分考虑职业院校教师的素质结构，在强调专业性的基础上，能够让教师快速的提升相关专业技术能力，尽快的在专业建设、课程教学、实训指导中承担智能制造相关的工作任务，特设定如下大纲要求，本项内容以教材形式交付，内容应不少于以下技术内容： </w:t>
            </w:r>
          </w:p>
          <w:p>
            <w:pPr>
              <w:adjustRightInd/>
              <w:snapToGrid/>
              <w:ind w:firstLine="482"/>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.1智能制造技术</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项目一 智能制造单元通信配置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FANUC工业机器人通信设置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数控系统通信设置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PLC通信设置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任务四 视觉单元通信设置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项目二 智能制造单元虚拟仿真</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机器人仿真软件软件应用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数控系统仿真软件应用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智能物流虚拟仿真系统应用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项目三 智能视觉单元功能应用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视觉单元介绍</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物品形状判断</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物品颜色判断</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项目四 智能制造单元通信应用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数据交互软件的应用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机器人与PLC间MODBUS通信</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机器人与PLC间PROFINET通信</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任务四 数控机床与PLC间通信</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项目五 智能制造执行系统 (MES)应用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MES软件使用介绍</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仓储管理应用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设备管理应用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任务四 生产管理应用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项目六 智能制造单元功能应用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昆仑通态触摸屏采集机器人数据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西门子触摸屏采集机器人数据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数控机床二次开发</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任务四 机器人系统规划与调整</w:t>
            </w:r>
          </w:p>
          <w:p>
            <w:pPr>
              <w:adjustRightInd/>
              <w:snapToGrid/>
              <w:ind w:firstLine="482"/>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.2智能设备故障诊断与维修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项目一 数控系统故障排查诊断方法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数控系统电源类故障诊断与排查</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实训任务一 数控系统电源类故障诊断与排查任务书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数控系统基于履历界面故障诊断应用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实训任务二 数控系统基于履历界面故障诊断应用任务书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项目二 驱动装置故障诊断与排查</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伺服驱动器故障诊断与排查</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实训任务一 伺服驱动器故障诊断与排查任务书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主轴驱动器故障诊断与排查</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实训任务二 主轴驱动器故障诊断与排查任务书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项目三 数控机床PMC故障诊断与排查</w:t>
            </w:r>
            <w:r>
              <w:rPr>
                <w:rFonts w:hint="eastAsia" w:ascii="宋体" w:hAnsi="宋体" w:eastAsia="宋体" w:cs="宋体"/>
                <w:sz w:val="24"/>
                <w:szCs w:val="24"/>
                <w:highlight w:val="none"/>
              </w:rPr>
              <w:tab/>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数控机床PMC信号诊断与强制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实训任务一 数控机床PMC信号诊断与强制任务书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数控机床PMC信号跟踪及状态分析</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实训任务二 数控机床PMC信号跟踪及状态分析任务书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项目四 数控机床功能测试与故障排查</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I/O Link i功能测试与故障排查</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实训任务一 I/O Link I功能测试与故障排查任务书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急停功能测试与故障排查</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实训任务二 急停功能测试与故障排查任务书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工作方式选择功能测试与故障排查</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实训任务三 工作方式选择功能测试与故障排查任务书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任务四 进给运动功能测试与故障排查</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实训任务四 进给运动功能测试与故障排查任务书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任务五 主轴旋转运动功能测试与故障排查</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实训任务五 主轴旋转运动功能测试与故障排查任务书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任务六 主轴定向功能测试与故障排查</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实训任务六 主轴定向功能测试与故障排查任务书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任务七 手轮功能测试与故障排查</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实训任务七 手轮功能测试与故障排查任务书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任务八 数控机床辅助功能测试与故障排查</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实训任务八 数控机床辅助功能测试与故障排查任务书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任务九 数控机床外部报警故障排查</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实训任务九 数控机床外部报警故障排查任务书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项目五 模拟主轴调试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模拟主轴电气控制与电气连接</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实训任务一 模拟主轴电气控制与电气连接任务书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数控系统模拟主轴功能开通</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实训任务二 数控系统模拟主轴功能开通任务书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PMC控制主轴增减速</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实训任务三 PMC控制主轴增减速任务书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项目六 数控系统伺服优化</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SEVRO GUIDE 软件安装与参数设定</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实训任务一 SEVRO GUIDE 软件安装与参数设定任务书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SEVRO GUIDE 软件程序及图形设定</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实训任务二 SEVRO GUIDE 软件程序及图形设定任务书</w:t>
            </w:r>
            <w:r>
              <w:rPr>
                <w:rFonts w:hint="eastAsia" w:ascii="宋体" w:hAnsi="宋体" w:eastAsia="宋体" w:cs="宋体"/>
                <w:sz w:val="24"/>
                <w:szCs w:val="24"/>
                <w:highlight w:val="none"/>
              </w:rPr>
              <w:tab/>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SEVRO GUIDE 软件圆形测量及精度优化</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实训任务三 SEVRO GUIDE 软件圆形测量及精度优化任务书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任务四 基于系统画面伺服优化</w:t>
            </w:r>
            <w:r>
              <w:rPr>
                <w:rFonts w:hint="eastAsia" w:ascii="宋体" w:hAnsi="宋体" w:eastAsia="宋体" w:cs="宋体"/>
                <w:sz w:val="24"/>
                <w:szCs w:val="24"/>
                <w:highlight w:val="none"/>
              </w:rPr>
              <w:tab/>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实训任务四 基于系统画面伺服优化任务书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项目七 PC与CNC互联互通</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程序传输工具安装与应用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实训任务一 程序传输工具安装与使用任务书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项目八 测头安装与应用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测头组件安装与调整</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实训任务一 测头组件安装与调整任务书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测头校正与测量应用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实训任务二 测头校正与测量应用任务书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项目九 球杆仪安装与应用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球杆仪安装与应用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实训任务一 球杆仪安装与应用任务书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项目十 智能制造虚拟仿真单元安装与调试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智能制造虚拟仿真单元软件安装与硬件连接</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实训任务一 智能制造虚拟仿真单元软件安装与硬件连接任务书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智能制造虚拟仿真单元调试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实训任务二 智能制造虚拟仿真单元调试任务书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项目十一 工业机器人数据备份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工业机器人数据备份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实训任务一 工业机器人数据备份任务书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项目十二 工业机器人故障诊断</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工业机器人故障诊断</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实训任务一 工业机器人故障诊断任务书</w:t>
            </w:r>
          </w:p>
          <w:p>
            <w:pPr>
              <w:adjustRightInd/>
              <w:snapToGrid/>
              <w:ind w:firstLine="482"/>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.3电机与电气控制技术</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项目一 智能制造设备组成</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智能制造设备的一般组成</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数控机床基本配置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项目二 数控系统综合连接</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数控系统典型部件功能及接口认识</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数控系统硬件连接</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伺服驱动硬件连接</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项目三 数控机床电气控制识图</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原理图识读</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数控机床总电源保护</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机床电路测量</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任务四 电气设备功能说明</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项目四 机床刀库电路的设计与装调</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刀库电路图纸分析与识读</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电气元件的选用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刀库电路的连接</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项目五 数控机床参数设定</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基本参数设定</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伺服参数设定</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主轴参数设定</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任务四 软、硬限位的设置与调整</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项目六 PMC基本操作与功能应用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PMC信号介绍</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I/O地址设定</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PMC设定功能及其应用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任务四 PMC信号诊断、强制与跟踪</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任务五 梯形图信号的搜索与编辑</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项目七 数控机床进给轴控制信号与程序设计</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手动进给程序设计与调试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进给倍率程序设计与调试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手动快进程序设计与调试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任务四 手轮功能程序设计与调试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项目八 数控机床主轴控制信号与程序设计</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主轴速度控制程序设计与调试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主轴定向控制程序设计与调试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刚性攻丝控制程序设计与调试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项目九 数控机床辅助功能控制信号与程序设计</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数控机床工作方式程序设计与调试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数控机床安全保护功能程序设计与调试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数控机床自动运转程序设计与调试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任务四 单段功能程序设计与调试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任务五 冷却功能程序设计与调试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任务六 润滑功能程序设计与调试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任务七 斗笠式刀库程序设计与调试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项目十 数控机床数据备份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系统全数据备份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在BOOT画面下备份全部数据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系统数据的分别备份</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项目十一 工业机器人基础应用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工业机器人概述</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示教器使用</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工业机器人坐标系</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项目十二 工业机器人自动上下料搬运</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机床上下料搬运系统构成</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机床上下料流程</w:t>
            </w:r>
          </w:p>
          <w:p>
            <w:pPr>
              <w:adjustRightInd/>
              <w:snapToGrid/>
              <w:ind w:firstLine="482"/>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.4机床调试与维护</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绪论</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数控机床的定义及特点</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数控机床的组成、工作原理及主要性能指标</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数控机床分类</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任务四 数控机床机械装配工艺基础知识</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任务五 数控机床机械装调常用工量具</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项目一 智能装备车削机床机械部件装配与调整</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智能装备车削机床的机械结构</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智能装备车削机床的主轴部件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智能装备车削机床的进给部件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任务四 智能装备车削机床Z轴拆装与精度检测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任务五 回转刀架装置</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任务六 四工位刀架的拆装</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任务七 六工位转塔刀架的拆装</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任务八 车床十字滑台拆装与精度检测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项目二 智能装备铣削机床（加工中心）机械部件装配与调整</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智能装备铣削机床（加工中心）机械结构</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智能装备铣削机床（加工中心）的主轴部件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加工中心机械主轴装配与调试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任务四 数控加工中心刀库装配与调试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任务五 智能装备铣削机床（加工中心）滑台的装配与调试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项目三 数控机床位置精度检测与补偿</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数控机床位置精度检测方法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滚珠丝杠副的螺距补偿</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反向间隙补偿</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项目四 数控机床安装调试与验收</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数控机床调平和精度检测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智能装备车削机床几何精度检测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任务三 智能装备铣削机床（加工中心）几何精度检测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任务四 智能装备机床加工性能检测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项目五 工业机器人机械装配与调试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工业机器人本体装配与调整</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工业机器人电缆线更换</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项目六 机器人手夹与气动平口钳安装与调试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任务一 机器人快换装置与手爪的机械安装与调试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任务二 机床气动平口钳安装与调试</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本项内容所提供教材需为投标产品制造商原厂工程师与高校专家合作编著与编写完成并正规出版，出版社需为国家级出版社，投标时要求提供投标封面、前言页及目录页的照片。</w:t>
            </w:r>
          </w:p>
        </w:tc>
      </w:tr>
      <w:tr>
        <w:tblPrEx>
          <w:tblCellMar>
            <w:top w:w="15" w:type="dxa"/>
            <w:left w:w="15" w:type="dxa"/>
            <w:bottom w:w="15" w:type="dxa"/>
            <w:right w:w="15" w:type="dxa"/>
          </w:tblCellMar>
        </w:tblPrEx>
        <w:trPr>
          <w:trHeight w:val="421" w:hRule="atLeast"/>
          <w:jc w:val="center"/>
        </w:trPr>
        <w:tc>
          <w:tcPr>
            <w:tcW w:w="9634"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ind w:firstLine="0" w:firstLineChars="0"/>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七、在线监控与检测平台（投标时根据评分办法演示要点提供相应的演示视频）</w:t>
            </w:r>
          </w:p>
        </w:tc>
      </w:tr>
      <w:tr>
        <w:tblPrEx>
          <w:tblCellMar>
            <w:top w:w="15" w:type="dxa"/>
            <w:left w:w="15" w:type="dxa"/>
            <w:bottom w:w="15" w:type="dxa"/>
            <w:right w:w="15" w:type="dxa"/>
          </w:tblCellMar>
        </w:tblPrEx>
        <w:trPr>
          <w:trHeight w:val="283" w:hRule="atLeast"/>
          <w:jc w:val="center"/>
        </w:trPr>
        <w:tc>
          <w:tcPr>
            <w:tcW w:w="9634"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功能描述：通过网络进行数据采集，并利用4G/5G/WIFI等网络数据上云，用户通过访问云平台实现设备远程监控和管理。连接机床后，通过机床云平台开通用户名密码，即可通过PC、移动端浏览接入设备状态，实时掌握生产动态，提升设备管理水平以及故障快速处理。机床云平台主要功能：包含设备即时状态查看、报警记录分析、状态记录统计分析、程序计数分析、设备计数分析、设备过程参数、设备利用率、设备效率趋势、状态用时记录分析、机床定位等。</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1、具备实时呈现功能：按照机床所在区域，实时了解各机床的状态，状态具体分为：</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rPr>
              <w:tab/>
            </w:r>
            <w:r>
              <w:rPr>
                <w:rFonts w:hint="eastAsia" w:ascii="宋体" w:hAnsi="宋体" w:eastAsia="宋体" w:cs="宋体"/>
                <w:sz w:val="24"/>
                <w:szCs w:val="24"/>
                <w:highlight w:val="none"/>
              </w:rPr>
              <w:t>运行：加工状态下；</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rPr>
              <w:tab/>
            </w:r>
            <w:r>
              <w:rPr>
                <w:rFonts w:hint="eastAsia" w:ascii="宋体" w:hAnsi="宋体" w:eastAsia="宋体" w:cs="宋体"/>
                <w:sz w:val="24"/>
                <w:szCs w:val="24"/>
                <w:highlight w:val="none"/>
              </w:rPr>
              <w:t>空闲：具备加工条件但未加工（MEM/DNC模式，但未运行）；</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rPr>
              <w:tab/>
            </w:r>
            <w:r>
              <w:rPr>
                <w:rFonts w:hint="eastAsia" w:ascii="宋体" w:hAnsi="宋体" w:eastAsia="宋体" w:cs="宋体"/>
                <w:sz w:val="24"/>
                <w:szCs w:val="24"/>
                <w:highlight w:val="none"/>
              </w:rPr>
              <w:t>设定：设备处于设定模式，如EDIT或其他输入模式；</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rPr>
              <w:tab/>
            </w:r>
            <w:r>
              <w:rPr>
                <w:rFonts w:hint="eastAsia" w:ascii="宋体" w:hAnsi="宋体" w:eastAsia="宋体" w:cs="宋体"/>
                <w:sz w:val="24"/>
                <w:szCs w:val="24"/>
                <w:highlight w:val="none"/>
              </w:rPr>
              <w:t>停机：开机情况下不具备加工条件（设备报警）；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rPr>
              <w:tab/>
            </w:r>
            <w:r>
              <w:rPr>
                <w:rFonts w:hint="eastAsia" w:ascii="宋体" w:hAnsi="宋体" w:eastAsia="宋体" w:cs="宋体"/>
                <w:sz w:val="24"/>
                <w:szCs w:val="24"/>
                <w:highlight w:val="none"/>
              </w:rPr>
              <w:t>离线：关机状态。用不同颜色标识不同状态，例如运行-绿色，空闲-黄色，设定-蓝色，停机-红色，离线-灰色。</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2、具备机床状态记录、统计分析功能：通过对时间段、日期范围查询设备组（单台设备）状态记录，其中包含：运行、空闲、报警、离线等状态，以图表的形式直观显示；</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3、具备程序计数分析功能：根据不同统计周期（日、周、月、年）以柱状图、数据表等方式统计设备不同程序号对应产品的加工产量，使用户及时了解产品产出情况；</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4、具备设备计数分析功能：根据不同统计周期（日、周、月、年）以柱状图、数据表等方式汇总设备计数，使用户更加方便获取设备产出量及产出趋势；</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查看设备过程参数：操作模式、进给倍率、主轴参数（负载、倍率、转速）、XYZ伺服轴参数（速度，负载/功率）；设备实时参数以表格形式展示，导出记录报表，使用户了解生产过程中的实际加工工艺参数，根据采集到的参数信息生成相关数据报表，使用户了解生产过程数据是否合理，如进给倍率，可以快速导出历史加工过程中的实际进给倍率，了解产品是否以100%倍率进行量产。</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6、查看设备利用率：以柱状图或折线图等形式显示设备、设备组某个时间或某段时间设备利用率或利用率趋势图，使管理者准确了解设备利用率，筛选出设备利用率较低设备，重点分析；</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7、查看设备效率趋势：以数据表或折线图等形式显示设备、设备组以天（周、月、年）方式查询设备效率趋势图，使管理者全面了解设备对生产的贡献程度；</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8、状态用时记录分析功能：按天（周、月、年）的统计方式，选定日期范围，以设备（设备组）的形式查询，直观显示设备的各状态在某一时段的用时分析；</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9、机床定位：以国家（中国）为基准，按区域划分，分区域内以亮点形式显示；</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10、提供数控系统维修故障知识库，可以实现故障代码及解决方法的查询，实现日常的维修的技术支持与维护。</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11、为避免知识产权纠纷问题，保证软件是由投标方正规渠道获得，投标文件中需要提供开发厂商的授权证明</w:t>
            </w:r>
            <w:r>
              <w:rPr>
                <w:rFonts w:hint="eastAsia" w:ascii="宋体" w:hAnsi="宋体" w:cs="宋体"/>
                <w:sz w:val="24"/>
                <w:szCs w:val="24"/>
                <w:highlight w:val="none"/>
                <w:lang w:val="en-US" w:eastAsia="zh-CN"/>
              </w:rPr>
              <w:t>扫描件</w:t>
            </w:r>
            <w:r>
              <w:rPr>
                <w:rFonts w:hint="eastAsia" w:ascii="宋体" w:hAnsi="宋体" w:eastAsia="宋体" w:cs="宋体"/>
                <w:sz w:val="24"/>
                <w:szCs w:val="24"/>
                <w:highlight w:val="none"/>
              </w:rPr>
              <w:t>和著作权复印件（注：自主开发的</w:t>
            </w:r>
            <w:r>
              <w:rPr>
                <w:rFonts w:hint="eastAsia" w:ascii="宋体" w:hAnsi="宋体" w:cs="宋体"/>
                <w:sz w:val="24"/>
                <w:szCs w:val="24"/>
                <w:highlight w:val="none"/>
                <w:lang w:val="en-US" w:eastAsia="zh-CN"/>
              </w:rPr>
              <w:t>需要提供</w:t>
            </w:r>
            <w:r>
              <w:rPr>
                <w:rFonts w:hint="eastAsia" w:ascii="宋体" w:hAnsi="宋体" w:eastAsia="宋体" w:cs="宋体"/>
                <w:sz w:val="24"/>
                <w:szCs w:val="24"/>
                <w:highlight w:val="none"/>
              </w:rPr>
              <w:t>著作权复印件</w:t>
            </w:r>
            <w:r>
              <w:rPr>
                <w:rFonts w:hint="eastAsia" w:ascii="宋体" w:hAnsi="宋体" w:cs="宋体"/>
                <w:sz w:val="24"/>
                <w:szCs w:val="24"/>
                <w:highlight w:val="none"/>
                <w:lang w:val="en-US" w:eastAsia="zh-CN"/>
              </w:rPr>
              <w:t>或相关证明材料复印件</w:t>
            </w:r>
            <w:r>
              <w:rPr>
                <w:rFonts w:hint="eastAsia" w:ascii="宋体" w:hAnsi="宋体" w:eastAsia="宋体" w:cs="宋体"/>
                <w:sz w:val="24"/>
                <w:szCs w:val="24"/>
                <w:highlight w:val="none"/>
              </w:rPr>
              <w:t>）。</w:t>
            </w:r>
          </w:p>
          <w:p>
            <w:pPr>
              <w:adjustRightInd/>
              <w:snapToGrid/>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▲12、为确保平台能与学校硬件兼容使用，要求投标厂商在开标前需要到校实地调研学校设备数量、设备品牌、设备类型、设备位置等相关信息，投标文件中需要提供去学校实地调研后学校开具的</w:t>
            </w:r>
            <w:r>
              <w:rPr>
                <w:rFonts w:hint="eastAsia" w:ascii="宋体" w:hAnsi="宋体" w:cs="宋体"/>
                <w:sz w:val="24"/>
                <w:szCs w:val="24"/>
                <w:highlight w:val="none"/>
                <w:lang w:val="en-US" w:eastAsia="zh-CN"/>
              </w:rPr>
              <w:t>由智能制作学院盖章的证明材料，</w:t>
            </w:r>
            <w:r>
              <w:rPr>
                <w:rFonts w:hint="eastAsia" w:ascii="宋体" w:hAnsi="宋体" w:eastAsia="宋体" w:cs="宋体"/>
                <w:sz w:val="24"/>
                <w:szCs w:val="24"/>
                <w:highlight w:val="none"/>
              </w:rPr>
              <w:t>投标文件中还需要提供调研后投标厂商出具的中标后项目具体实施报告文件</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并提交对原有设备升级改造承诺函</w:t>
            </w:r>
            <w:r>
              <w:rPr>
                <w:rFonts w:hint="eastAsia" w:ascii="宋体" w:hAnsi="宋体" w:eastAsia="宋体" w:cs="宋体"/>
                <w:sz w:val="24"/>
                <w:szCs w:val="24"/>
                <w:highlight w:val="none"/>
              </w:rPr>
              <w:t>。</w:t>
            </w:r>
          </w:p>
        </w:tc>
      </w:tr>
    </w:tbl>
    <w:p>
      <w:pPr>
        <w:pStyle w:val="30"/>
        <w:pageBreakBefore w:val="0"/>
        <w:kinsoku/>
        <w:wordWrap/>
        <w:overflowPunct/>
        <w:topLinePunct w:val="0"/>
        <w:bidi w:val="0"/>
        <w:spacing w:line="360" w:lineRule="auto"/>
        <w:ind w:firstLine="0" w:firstLineChars="0"/>
        <w:outlineLvl w:val="1"/>
        <w:rPr>
          <w:rFonts w:hint="eastAsia" w:ascii="仿宋" w:hAnsi="仿宋" w:eastAsia="仿宋" w:cs="仿宋"/>
          <w:b/>
          <w:bCs/>
          <w:sz w:val="28"/>
          <w:szCs w:val="28"/>
        </w:rPr>
      </w:pPr>
    </w:p>
    <w:p>
      <w:pPr>
        <w:pStyle w:val="30"/>
        <w:pageBreakBefore w:val="0"/>
        <w:kinsoku/>
        <w:wordWrap/>
        <w:overflowPunct/>
        <w:topLinePunct w:val="0"/>
        <w:bidi w:val="0"/>
        <w:spacing w:line="360" w:lineRule="auto"/>
        <w:ind w:firstLine="0" w:firstLineChars="0"/>
        <w:outlineLvl w:val="2"/>
        <w:rPr>
          <w:rFonts w:hint="eastAsia" w:ascii="宋体" w:hAnsi="宋体" w:eastAsia="宋体" w:cs="宋体"/>
          <w:b/>
          <w:bCs/>
          <w:sz w:val="36"/>
          <w:szCs w:val="36"/>
        </w:rPr>
      </w:pPr>
      <w:bookmarkStart w:id="279" w:name="_Toc2751"/>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、工期及供货地点要求</w:t>
      </w:r>
      <w:bookmarkEnd w:id="271"/>
      <w:bookmarkEnd w:id="272"/>
      <w:bookmarkEnd w:id="273"/>
      <w:bookmarkEnd w:id="274"/>
      <w:bookmarkEnd w:id="275"/>
      <w:bookmarkEnd w:id="276"/>
      <w:bookmarkEnd w:id="277"/>
      <w:bookmarkEnd w:id="278"/>
      <w:bookmarkEnd w:id="279"/>
    </w:p>
    <w:p>
      <w:pPr>
        <w:pStyle w:val="5"/>
        <w:pageBreakBefore w:val="0"/>
        <w:kinsoku/>
        <w:wordWrap/>
        <w:overflowPunct/>
        <w:topLinePunct w:val="0"/>
        <w:bidi w:val="0"/>
        <w:spacing w:line="360" w:lineRule="auto"/>
        <w:ind w:firstLine="480" w:firstLineChars="200"/>
        <w:rPr>
          <w:rFonts w:hint="eastAsia" w:ascii="宋体" w:hAnsi="宋体" w:eastAsia="宋体" w:cs="宋体"/>
          <w:bCs/>
          <w:sz w:val="24"/>
          <w:szCs w:val="24"/>
        </w:rPr>
      </w:pPr>
      <w:bookmarkStart w:id="280" w:name="_Toc493957138"/>
      <w:r>
        <w:rPr>
          <w:rFonts w:hint="eastAsia" w:ascii="宋体" w:hAnsi="宋体" w:eastAsia="宋体" w:cs="宋体"/>
          <w:bCs/>
          <w:sz w:val="24"/>
          <w:szCs w:val="24"/>
        </w:rPr>
        <w:t>1、工期要求：</w:t>
      </w:r>
      <w:r>
        <w:rPr>
          <w:rFonts w:hint="eastAsia" w:ascii="宋体" w:hAnsi="宋体" w:eastAsia="宋体" w:cs="宋体"/>
          <w:bCs/>
          <w:kern w:val="0"/>
          <w:sz w:val="24"/>
          <w:szCs w:val="24"/>
        </w:rPr>
        <w:t>中标人必须在合同签订后</w:t>
      </w:r>
      <w:r>
        <w:rPr>
          <w:rFonts w:hint="eastAsia" w:ascii="宋体" w:hAnsi="宋体" w:eastAsia="宋体" w:cs="宋体"/>
          <w:bCs/>
          <w:kern w:val="0"/>
          <w:sz w:val="24"/>
          <w:szCs w:val="24"/>
          <w:lang w:val="en-US" w:eastAsia="zh-CN"/>
        </w:rPr>
        <w:t>15</w:t>
      </w:r>
      <w:r>
        <w:rPr>
          <w:rFonts w:hint="eastAsia" w:ascii="宋体" w:hAnsi="宋体" w:eastAsia="宋体" w:cs="宋体"/>
          <w:bCs/>
          <w:kern w:val="0"/>
          <w:sz w:val="24"/>
          <w:szCs w:val="24"/>
        </w:rPr>
        <w:t>个日历天内完成</w:t>
      </w:r>
      <w:r>
        <w:rPr>
          <w:rFonts w:hint="eastAsia" w:ascii="宋体" w:hAnsi="宋体" w:cs="宋体"/>
          <w:bCs/>
          <w:kern w:val="0"/>
          <w:sz w:val="24"/>
          <w:szCs w:val="24"/>
          <w:lang w:eastAsia="zh-CN"/>
        </w:rPr>
        <w:t>安装调试并交付使用</w:t>
      </w:r>
      <w:r>
        <w:rPr>
          <w:rFonts w:hint="eastAsia" w:ascii="宋体" w:hAnsi="宋体" w:eastAsia="宋体" w:cs="宋体"/>
          <w:bCs/>
          <w:kern w:val="0"/>
          <w:sz w:val="24"/>
          <w:szCs w:val="24"/>
        </w:rPr>
        <w:t>。</w:t>
      </w:r>
    </w:p>
    <w:p>
      <w:pPr>
        <w:pageBreakBefore w:val="0"/>
        <w:kinsoku/>
        <w:wordWrap/>
        <w:overflowPunct/>
        <w:topLinePunct w:val="0"/>
        <w:bidi w:val="0"/>
        <w:spacing w:line="360" w:lineRule="auto"/>
        <w:ind w:left="480"/>
        <w:rPr>
          <w:rFonts w:hint="eastAsia" w:ascii="宋体" w:hAnsi="宋体" w:eastAsia="宋体" w:cs="宋体"/>
          <w:bCs/>
          <w:kern w:val="0"/>
          <w:sz w:val="24"/>
          <w:szCs w:val="24"/>
        </w:rPr>
      </w:pPr>
      <w:r>
        <w:rPr>
          <w:rFonts w:hint="eastAsia" w:ascii="宋体" w:hAnsi="宋体" w:cs="宋体"/>
          <w:bCs/>
          <w:sz w:val="24"/>
          <w:szCs w:val="24"/>
          <w:lang w:val="en-US" w:eastAsia="zh-CN"/>
        </w:rPr>
        <w:t>2</w:t>
      </w:r>
      <w:r>
        <w:rPr>
          <w:rFonts w:hint="eastAsia" w:ascii="宋体" w:hAnsi="宋体" w:eastAsia="宋体" w:cs="宋体"/>
          <w:bCs/>
          <w:sz w:val="24"/>
          <w:szCs w:val="24"/>
        </w:rPr>
        <w:t>、供货（安装）地点要求：</w:t>
      </w:r>
      <w:r>
        <w:rPr>
          <w:rFonts w:hint="eastAsia" w:ascii="宋体" w:hAnsi="宋体" w:eastAsia="宋体" w:cs="宋体"/>
          <w:bCs/>
          <w:kern w:val="0"/>
          <w:sz w:val="24"/>
          <w:szCs w:val="24"/>
        </w:rPr>
        <w:t>招标人指定地点（</w:t>
      </w:r>
      <w:r>
        <w:rPr>
          <w:rFonts w:hint="eastAsia" w:ascii="宋体" w:hAnsi="宋体" w:eastAsia="宋体" w:cs="宋体"/>
          <w:sz w:val="24"/>
          <w:szCs w:val="24"/>
          <w:lang w:val="en-US" w:eastAsia="zh-CN"/>
        </w:rPr>
        <w:t>7号</w:t>
      </w:r>
      <w:r>
        <w:rPr>
          <w:rFonts w:hint="eastAsia" w:ascii="宋体" w:hAnsi="宋体" w:eastAsia="宋体" w:cs="宋体"/>
          <w:sz w:val="24"/>
          <w:szCs w:val="24"/>
        </w:rPr>
        <w:t>楼</w:t>
      </w:r>
      <w:r>
        <w:rPr>
          <w:rFonts w:hint="eastAsia" w:ascii="宋体" w:hAnsi="宋体" w:eastAsia="宋体" w:cs="宋体"/>
          <w:sz w:val="24"/>
          <w:szCs w:val="24"/>
          <w:lang w:val="en-US" w:eastAsia="zh-CN"/>
        </w:rPr>
        <w:t>各机房</w:t>
      </w:r>
      <w:r>
        <w:rPr>
          <w:rFonts w:hint="eastAsia" w:ascii="宋体" w:hAnsi="宋体" w:eastAsia="宋体" w:cs="宋体"/>
          <w:bCs/>
          <w:kern w:val="0"/>
          <w:sz w:val="24"/>
          <w:szCs w:val="24"/>
        </w:rPr>
        <w:t>）</w:t>
      </w:r>
      <w:bookmarkEnd w:id="280"/>
      <w:r>
        <w:rPr>
          <w:rFonts w:hint="eastAsia" w:ascii="宋体" w:hAnsi="宋体" w:eastAsia="宋体" w:cs="宋体"/>
          <w:bCs/>
          <w:kern w:val="0"/>
          <w:sz w:val="24"/>
          <w:szCs w:val="24"/>
        </w:rPr>
        <w:t>。</w:t>
      </w:r>
    </w:p>
    <w:p>
      <w:pPr>
        <w:pStyle w:val="30"/>
        <w:pageBreakBefore w:val="0"/>
        <w:kinsoku/>
        <w:wordWrap/>
        <w:overflowPunct/>
        <w:topLinePunct w:val="0"/>
        <w:bidi w:val="0"/>
        <w:spacing w:line="360" w:lineRule="auto"/>
        <w:ind w:firstLine="0" w:firstLineChars="0"/>
        <w:outlineLvl w:val="2"/>
        <w:rPr>
          <w:rFonts w:hint="eastAsia" w:ascii="宋体" w:hAnsi="宋体" w:eastAsia="宋体" w:cs="宋体"/>
          <w:sz w:val="36"/>
          <w:szCs w:val="36"/>
        </w:rPr>
      </w:pPr>
      <w:bookmarkStart w:id="281" w:name="_Toc17248"/>
      <w:bookmarkStart w:id="282" w:name="_Toc20328"/>
      <w:bookmarkStart w:id="283" w:name="_Toc3163"/>
      <w:bookmarkStart w:id="284" w:name="_Toc21446"/>
      <w:r>
        <w:rPr>
          <w:rFonts w:hint="eastAsia" w:ascii="宋体" w:hAnsi="宋体" w:eastAsia="宋体" w:cs="宋体"/>
          <w:b/>
          <w:bCs/>
          <w:sz w:val="36"/>
          <w:szCs w:val="36"/>
          <w:lang w:val="en-US" w:eastAsia="zh-CN"/>
        </w:rPr>
        <w:t>四</w:t>
      </w:r>
      <w:r>
        <w:rPr>
          <w:rFonts w:hint="eastAsia" w:ascii="宋体" w:hAnsi="宋体" w:eastAsia="宋体" w:cs="宋体"/>
          <w:b/>
          <w:bCs/>
          <w:sz w:val="36"/>
          <w:szCs w:val="36"/>
        </w:rPr>
        <w:t>、维保期及售后技术服务要求</w:t>
      </w:r>
      <w:bookmarkEnd w:id="281"/>
      <w:bookmarkEnd w:id="282"/>
      <w:bookmarkEnd w:id="283"/>
      <w:bookmarkEnd w:id="284"/>
    </w:p>
    <w:p>
      <w:pPr>
        <w:pStyle w:val="27"/>
        <w:pageBreakBefore w:val="0"/>
        <w:numPr>
          <w:ilvl w:val="0"/>
          <w:numId w:val="0"/>
        </w:numPr>
        <w:kinsoku/>
        <w:wordWrap/>
        <w:overflowPunct/>
        <w:topLinePunct w:val="0"/>
        <w:bidi w:val="0"/>
        <w:spacing w:line="360" w:lineRule="auto"/>
        <w:ind w:left="0" w:leftChars="0" w:firstLine="419" w:firstLineChars="184"/>
        <w:rPr>
          <w:rFonts w:hint="eastAsia" w:ascii="宋体" w:hAnsi="宋体" w:eastAsia="宋体" w:cs="宋体"/>
          <w:bCs/>
          <w:color w:val="auto"/>
          <w:spacing w:val="-6"/>
          <w:kern w:val="2"/>
          <w:sz w:val="24"/>
          <w:szCs w:val="24"/>
        </w:rPr>
      </w:pPr>
      <w:r>
        <w:rPr>
          <w:rFonts w:hint="eastAsia" w:hAnsi="宋体" w:cs="宋体"/>
          <w:bCs/>
          <w:color w:val="auto"/>
          <w:spacing w:val="-6"/>
          <w:kern w:val="2"/>
          <w:sz w:val="24"/>
          <w:szCs w:val="24"/>
          <w:lang w:val="en-US" w:eastAsia="zh-CN"/>
        </w:rPr>
        <w:t>1、</w:t>
      </w:r>
      <w:r>
        <w:rPr>
          <w:rFonts w:hint="eastAsia" w:ascii="宋体" w:hAnsi="宋体" w:eastAsia="宋体" w:cs="宋体"/>
          <w:bCs/>
          <w:color w:val="auto"/>
          <w:spacing w:val="-6"/>
          <w:kern w:val="2"/>
          <w:sz w:val="24"/>
          <w:szCs w:val="24"/>
        </w:rPr>
        <w:t>质保期自合同设备终验收合格之日开始计算，</w:t>
      </w:r>
      <w:r>
        <w:rPr>
          <w:rFonts w:hint="eastAsia" w:ascii="宋体" w:hAnsi="宋体" w:eastAsia="宋体" w:cs="宋体"/>
          <w:bCs/>
          <w:sz w:val="24"/>
          <w:szCs w:val="24"/>
        </w:rPr>
        <w:t>本</w:t>
      </w:r>
      <w:r>
        <w:rPr>
          <w:rFonts w:hint="eastAsia" w:ascii="宋体" w:hAnsi="宋体" w:eastAsia="宋体" w:cs="宋体"/>
          <w:bCs/>
          <w:color w:val="auto"/>
          <w:spacing w:val="-6"/>
          <w:kern w:val="2"/>
          <w:sz w:val="24"/>
          <w:szCs w:val="24"/>
        </w:rPr>
        <w:t>项目整体质保期为</w:t>
      </w:r>
      <w:r>
        <w:rPr>
          <w:rFonts w:hint="eastAsia" w:ascii="宋体" w:hAnsi="宋体" w:eastAsia="宋体" w:cs="宋体"/>
          <w:bCs/>
          <w:color w:val="auto"/>
          <w:spacing w:val="-6"/>
          <w:kern w:val="2"/>
          <w:sz w:val="24"/>
          <w:szCs w:val="24"/>
          <w:lang w:val="en-US" w:eastAsia="zh-CN"/>
        </w:rPr>
        <w:t>3</w:t>
      </w:r>
      <w:r>
        <w:rPr>
          <w:rFonts w:hint="eastAsia" w:ascii="宋体" w:hAnsi="宋体" w:eastAsia="宋体" w:cs="宋体"/>
          <w:bCs/>
          <w:color w:val="auto"/>
          <w:spacing w:val="-6"/>
          <w:kern w:val="2"/>
          <w:sz w:val="24"/>
          <w:szCs w:val="24"/>
        </w:rPr>
        <w:t>年，软件</w:t>
      </w:r>
      <w:r>
        <w:rPr>
          <w:rFonts w:hint="eastAsia" w:ascii="宋体" w:hAnsi="宋体" w:eastAsia="宋体" w:cs="宋体"/>
          <w:bCs/>
          <w:color w:val="auto"/>
          <w:spacing w:val="-6"/>
          <w:kern w:val="2"/>
          <w:sz w:val="24"/>
          <w:szCs w:val="24"/>
          <w:lang w:val="en-US" w:eastAsia="zh-CN"/>
        </w:rPr>
        <w:t>3</w:t>
      </w:r>
      <w:r>
        <w:rPr>
          <w:rFonts w:hint="eastAsia" w:ascii="宋体" w:hAnsi="宋体" w:eastAsia="宋体" w:cs="宋体"/>
          <w:bCs/>
          <w:color w:val="auto"/>
          <w:spacing w:val="-6"/>
          <w:kern w:val="2"/>
          <w:sz w:val="24"/>
          <w:szCs w:val="24"/>
        </w:rPr>
        <w:t>年内免费维护升级（含重大版本升级）。在质保期内对产品质量实行三包，提供免费上门维修和技术支持服务，并进行终身维护。</w:t>
      </w:r>
    </w:p>
    <w:p>
      <w:pPr>
        <w:pStyle w:val="27"/>
        <w:pageBreakBefore w:val="0"/>
        <w:numPr>
          <w:ilvl w:val="0"/>
          <w:numId w:val="0"/>
        </w:numPr>
        <w:kinsoku/>
        <w:wordWrap/>
        <w:overflowPunct/>
        <w:topLinePunct w:val="0"/>
        <w:bidi w:val="0"/>
        <w:spacing w:line="360" w:lineRule="auto"/>
        <w:ind w:left="0" w:leftChars="0" w:firstLine="419" w:firstLineChars="184"/>
        <w:rPr>
          <w:rFonts w:hint="eastAsia" w:ascii="宋体" w:hAnsi="宋体" w:eastAsia="宋体" w:cs="宋体"/>
          <w:bCs/>
          <w:color w:val="auto"/>
          <w:spacing w:val="-6"/>
          <w:kern w:val="2"/>
          <w:sz w:val="24"/>
          <w:szCs w:val="24"/>
        </w:rPr>
      </w:pPr>
      <w:r>
        <w:rPr>
          <w:rFonts w:hint="eastAsia" w:hAnsi="宋体" w:cs="宋体"/>
          <w:bCs/>
          <w:color w:val="auto"/>
          <w:spacing w:val="-6"/>
          <w:kern w:val="2"/>
          <w:sz w:val="24"/>
          <w:szCs w:val="24"/>
          <w:lang w:val="en-US" w:eastAsia="zh-CN"/>
        </w:rPr>
        <w:t>2、</w:t>
      </w:r>
      <w:r>
        <w:rPr>
          <w:rFonts w:hint="eastAsia" w:ascii="宋体" w:hAnsi="宋体" w:eastAsia="宋体" w:cs="宋体"/>
          <w:bCs/>
          <w:color w:val="auto"/>
          <w:spacing w:val="-6"/>
          <w:kern w:val="2"/>
          <w:sz w:val="24"/>
          <w:szCs w:val="24"/>
        </w:rPr>
        <w:t>在保修期内免费提供零件及服务，并应及时有效。保修期后提供长期优质服务。在使用寿命期内，</w:t>
      </w:r>
      <w:r>
        <w:rPr>
          <w:rFonts w:hint="eastAsia" w:ascii="宋体" w:hAnsi="宋体" w:eastAsia="宋体" w:cs="宋体"/>
          <w:bCs/>
          <w:sz w:val="24"/>
          <w:szCs w:val="24"/>
        </w:rPr>
        <w:t>中标人</w:t>
      </w:r>
      <w:r>
        <w:rPr>
          <w:rFonts w:hint="eastAsia" w:ascii="宋体" w:hAnsi="宋体" w:eastAsia="宋体" w:cs="宋体"/>
          <w:bCs/>
          <w:color w:val="auto"/>
          <w:spacing w:val="-6"/>
          <w:kern w:val="2"/>
          <w:sz w:val="24"/>
          <w:szCs w:val="24"/>
        </w:rPr>
        <w:t>保证对设备的零件、易损件的供应。</w:t>
      </w:r>
    </w:p>
    <w:p>
      <w:pPr>
        <w:pStyle w:val="27"/>
        <w:pageBreakBefore w:val="0"/>
        <w:numPr>
          <w:ilvl w:val="0"/>
          <w:numId w:val="0"/>
        </w:numPr>
        <w:kinsoku/>
        <w:wordWrap/>
        <w:overflowPunct/>
        <w:topLinePunct w:val="0"/>
        <w:bidi w:val="0"/>
        <w:spacing w:line="360" w:lineRule="auto"/>
        <w:ind w:left="0" w:leftChars="0" w:firstLine="419" w:firstLineChars="184"/>
        <w:rPr>
          <w:rFonts w:hint="eastAsia" w:ascii="宋体" w:hAnsi="宋体" w:eastAsia="宋体" w:cs="宋体"/>
          <w:bCs/>
          <w:color w:val="auto"/>
          <w:spacing w:val="-6"/>
          <w:kern w:val="2"/>
          <w:sz w:val="24"/>
          <w:szCs w:val="24"/>
        </w:rPr>
      </w:pPr>
      <w:r>
        <w:rPr>
          <w:rFonts w:hint="eastAsia" w:hAnsi="宋体" w:cs="宋体"/>
          <w:bCs/>
          <w:color w:val="auto"/>
          <w:spacing w:val="-6"/>
          <w:kern w:val="2"/>
          <w:sz w:val="24"/>
          <w:szCs w:val="24"/>
          <w:lang w:val="en-US" w:eastAsia="zh-CN"/>
        </w:rPr>
        <w:t>3、</w:t>
      </w:r>
      <w:r>
        <w:rPr>
          <w:rFonts w:hint="eastAsia" w:ascii="宋体" w:hAnsi="宋体" w:eastAsia="宋体" w:cs="宋体"/>
          <w:bCs/>
          <w:color w:val="auto"/>
          <w:spacing w:val="-6"/>
          <w:kern w:val="2"/>
          <w:sz w:val="24"/>
          <w:szCs w:val="24"/>
        </w:rPr>
        <w:t>提供7×24小时的故障受理及技术咨询服务，接到报修电话通知后，在</w:t>
      </w:r>
      <w:r>
        <w:rPr>
          <w:rFonts w:hint="eastAsia" w:ascii="宋体" w:hAnsi="宋体" w:eastAsia="宋体" w:cs="宋体"/>
          <w:bCs/>
          <w:color w:val="auto"/>
          <w:spacing w:val="-6"/>
          <w:kern w:val="2"/>
          <w:sz w:val="24"/>
          <w:szCs w:val="24"/>
          <w:lang w:val="en-US" w:eastAsia="zh-CN"/>
        </w:rPr>
        <w:t>2</w:t>
      </w:r>
      <w:r>
        <w:rPr>
          <w:rFonts w:hint="eastAsia" w:ascii="宋体" w:hAnsi="宋体" w:eastAsia="宋体" w:cs="宋体"/>
          <w:bCs/>
          <w:color w:val="auto"/>
          <w:spacing w:val="-6"/>
          <w:kern w:val="2"/>
          <w:sz w:val="24"/>
          <w:szCs w:val="24"/>
        </w:rPr>
        <w:t>小时内响应并</w:t>
      </w:r>
      <w:r>
        <w:rPr>
          <w:rFonts w:hint="eastAsia" w:ascii="宋体" w:hAnsi="宋体" w:eastAsia="宋体" w:cs="宋体"/>
          <w:bCs/>
          <w:color w:val="auto"/>
          <w:spacing w:val="-6"/>
          <w:kern w:val="2"/>
          <w:sz w:val="24"/>
          <w:szCs w:val="24"/>
          <w:lang w:eastAsia="zh-CN"/>
        </w:rPr>
        <w:t>在</w:t>
      </w:r>
      <w:r>
        <w:rPr>
          <w:rFonts w:hint="eastAsia" w:ascii="宋体" w:hAnsi="宋体" w:eastAsia="宋体" w:cs="宋体"/>
          <w:bCs/>
          <w:color w:val="auto"/>
          <w:spacing w:val="-6"/>
          <w:kern w:val="2"/>
          <w:sz w:val="24"/>
          <w:szCs w:val="24"/>
          <w:lang w:val="en-US" w:eastAsia="zh-CN"/>
        </w:rPr>
        <w:t>24小时内</w:t>
      </w:r>
      <w:r>
        <w:rPr>
          <w:rFonts w:hint="eastAsia" w:ascii="宋体" w:hAnsi="宋体" w:eastAsia="宋体" w:cs="宋体"/>
          <w:bCs/>
          <w:color w:val="auto"/>
          <w:spacing w:val="-6"/>
          <w:kern w:val="2"/>
          <w:sz w:val="24"/>
          <w:szCs w:val="24"/>
        </w:rPr>
        <w:t>安排处理</w:t>
      </w:r>
      <w:r>
        <w:rPr>
          <w:rFonts w:hint="eastAsia" w:ascii="宋体" w:hAnsi="宋体" w:eastAsia="宋体" w:cs="宋体"/>
          <w:bCs/>
          <w:color w:val="auto"/>
          <w:spacing w:val="-6"/>
          <w:kern w:val="2"/>
          <w:sz w:val="24"/>
          <w:szCs w:val="24"/>
          <w:lang w:eastAsia="zh-CN"/>
        </w:rPr>
        <w:t>，对于七天内不能修复的设备，提供同型号或性能相近的备用设备。</w:t>
      </w:r>
    </w:p>
    <w:p>
      <w:pPr>
        <w:pStyle w:val="27"/>
        <w:pageBreakBefore w:val="0"/>
        <w:numPr>
          <w:ilvl w:val="0"/>
          <w:numId w:val="0"/>
        </w:numPr>
        <w:kinsoku/>
        <w:wordWrap/>
        <w:overflowPunct/>
        <w:topLinePunct w:val="0"/>
        <w:bidi w:val="0"/>
        <w:spacing w:line="360" w:lineRule="auto"/>
        <w:ind w:left="0" w:leftChars="0" w:firstLine="419" w:firstLineChars="184"/>
        <w:rPr>
          <w:rFonts w:hint="eastAsia" w:ascii="宋体" w:hAnsi="宋体" w:eastAsia="宋体" w:cs="宋体"/>
          <w:color w:val="auto"/>
          <w:sz w:val="24"/>
          <w:szCs w:val="24"/>
        </w:rPr>
      </w:pPr>
      <w:r>
        <w:rPr>
          <w:rFonts w:hint="eastAsia" w:hAnsi="宋体" w:cs="宋体"/>
          <w:bCs/>
          <w:color w:val="auto"/>
          <w:spacing w:val="-6"/>
          <w:kern w:val="2"/>
          <w:sz w:val="24"/>
          <w:szCs w:val="24"/>
          <w:lang w:val="en-US" w:eastAsia="zh-CN"/>
        </w:rPr>
        <w:t>4、</w:t>
      </w:r>
      <w:r>
        <w:rPr>
          <w:rFonts w:hint="eastAsia" w:ascii="宋体" w:hAnsi="宋体" w:eastAsia="宋体" w:cs="宋体"/>
          <w:bCs/>
          <w:color w:val="auto"/>
          <w:spacing w:val="-6"/>
          <w:kern w:val="2"/>
          <w:sz w:val="24"/>
          <w:szCs w:val="24"/>
        </w:rPr>
        <w:t>设备运行后，按用户指定免费培训操作人员及维修人员，在系统和设备的安装、检验、调试、使用和维护等方面对</w:t>
      </w:r>
      <w:r>
        <w:rPr>
          <w:rFonts w:hint="eastAsia" w:hAnsi="宋体" w:cs="宋体"/>
          <w:bCs/>
          <w:color w:val="auto"/>
          <w:spacing w:val="-6"/>
          <w:kern w:val="2"/>
          <w:sz w:val="24"/>
          <w:szCs w:val="24"/>
          <w:lang w:val="en-US" w:eastAsia="zh-CN"/>
        </w:rPr>
        <w:t>招标</w:t>
      </w:r>
      <w:r>
        <w:rPr>
          <w:rFonts w:hint="eastAsia" w:ascii="宋体" w:hAnsi="宋体" w:eastAsia="宋体" w:cs="宋体"/>
          <w:bCs/>
          <w:color w:val="auto"/>
          <w:spacing w:val="-6"/>
          <w:kern w:val="2"/>
          <w:sz w:val="24"/>
          <w:szCs w:val="24"/>
        </w:rPr>
        <w:t>人技术人员进行现场和专项技术培训，使其能够掌握设备的操作使用方法以及必要的维护技能</w:t>
      </w:r>
      <w:r>
        <w:rPr>
          <w:rFonts w:hint="eastAsia" w:ascii="宋体" w:hAnsi="宋体" w:eastAsia="宋体" w:cs="宋体"/>
          <w:bCs/>
          <w:color w:val="auto"/>
          <w:spacing w:val="-6"/>
          <w:kern w:val="2"/>
          <w:sz w:val="24"/>
          <w:szCs w:val="24"/>
          <w:lang w:eastAsia="zh-CN"/>
        </w:rPr>
        <w:t>，教会为止</w:t>
      </w:r>
      <w:r>
        <w:rPr>
          <w:rFonts w:hint="eastAsia" w:ascii="宋体" w:hAnsi="宋体" w:eastAsia="宋体" w:cs="宋体"/>
          <w:bCs/>
          <w:color w:val="auto"/>
          <w:spacing w:val="-6"/>
          <w:kern w:val="2"/>
          <w:sz w:val="24"/>
          <w:szCs w:val="24"/>
        </w:rPr>
        <w:t>。</w:t>
      </w:r>
    </w:p>
    <w:p>
      <w:pPr>
        <w:pStyle w:val="30"/>
        <w:pageBreakBefore w:val="0"/>
        <w:kinsoku/>
        <w:wordWrap/>
        <w:overflowPunct/>
        <w:topLinePunct w:val="0"/>
        <w:bidi w:val="0"/>
        <w:spacing w:line="360" w:lineRule="auto"/>
        <w:ind w:firstLine="0" w:firstLineChars="0"/>
        <w:outlineLvl w:val="2"/>
        <w:rPr>
          <w:rFonts w:hint="eastAsia" w:ascii="宋体" w:hAnsi="宋体" w:eastAsia="宋体" w:cs="宋体"/>
          <w:b/>
          <w:bCs/>
          <w:sz w:val="36"/>
          <w:szCs w:val="36"/>
        </w:rPr>
      </w:pPr>
      <w:bookmarkStart w:id="285" w:name="_Toc27887"/>
      <w:bookmarkStart w:id="286" w:name="_Toc28814"/>
      <w:bookmarkStart w:id="287" w:name="_Toc26025"/>
      <w:bookmarkStart w:id="288" w:name="_Toc26619"/>
      <w:bookmarkStart w:id="289" w:name="_Toc9816"/>
      <w:bookmarkStart w:id="290" w:name="_Toc30970"/>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、验收要求</w:t>
      </w:r>
      <w:bookmarkEnd w:id="285"/>
      <w:bookmarkEnd w:id="286"/>
      <w:bookmarkEnd w:id="287"/>
      <w:bookmarkEnd w:id="288"/>
      <w:bookmarkEnd w:id="289"/>
      <w:bookmarkEnd w:id="290"/>
    </w:p>
    <w:p>
      <w:pPr>
        <w:pStyle w:val="27"/>
        <w:pageBreakBefore w:val="0"/>
        <w:kinsoku/>
        <w:wordWrap/>
        <w:overflowPunct/>
        <w:topLinePunct w:val="0"/>
        <w:bidi w:val="0"/>
        <w:spacing w:line="360" w:lineRule="auto"/>
        <w:ind w:firstLine="456" w:firstLineChars="200"/>
        <w:rPr>
          <w:rFonts w:hint="eastAsia" w:ascii="宋体" w:hAnsi="宋体" w:eastAsia="宋体" w:cs="宋体"/>
          <w:color w:val="auto"/>
          <w:sz w:val="24"/>
          <w:szCs w:val="24"/>
        </w:rPr>
      </w:pPr>
      <w:r>
        <w:rPr>
          <w:rFonts w:hint="eastAsia" w:ascii="宋体" w:hAnsi="宋体" w:eastAsia="宋体" w:cs="宋体"/>
          <w:bCs/>
          <w:color w:val="auto"/>
          <w:spacing w:val="-6"/>
          <w:kern w:val="2"/>
          <w:sz w:val="24"/>
          <w:szCs w:val="24"/>
        </w:rPr>
        <w:t>根据招标文件、行业标准和国家的相关法律法规对产品进行验收。</w:t>
      </w:r>
    </w:p>
    <w:p>
      <w:pPr>
        <w:pStyle w:val="30"/>
        <w:pageBreakBefore w:val="0"/>
        <w:kinsoku/>
        <w:wordWrap/>
        <w:overflowPunct/>
        <w:topLinePunct w:val="0"/>
        <w:bidi w:val="0"/>
        <w:spacing w:line="360" w:lineRule="auto"/>
        <w:ind w:firstLine="0" w:firstLineChars="0"/>
        <w:outlineLvl w:val="2"/>
        <w:rPr>
          <w:rFonts w:hint="eastAsia" w:ascii="宋体" w:hAnsi="宋体" w:eastAsia="宋体" w:cs="宋体"/>
          <w:b/>
          <w:bCs/>
          <w:sz w:val="36"/>
          <w:szCs w:val="36"/>
        </w:rPr>
      </w:pPr>
      <w:bookmarkStart w:id="291" w:name="_Toc26840"/>
      <w:bookmarkStart w:id="292" w:name="_Toc23353"/>
      <w:bookmarkStart w:id="293" w:name="_Toc7163"/>
      <w:bookmarkStart w:id="294" w:name="_Toc402"/>
      <w:bookmarkStart w:id="295" w:name="_Toc12606"/>
      <w:bookmarkStart w:id="296" w:name="_Toc20577"/>
      <w:bookmarkStart w:id="297" w:name="_Toc493956030"/>
      <w:bookmarkStart w:id="298" w:name="_Toc540"/>
      <w:bookmarkStart w:id="299" w:name="_Toc493957142"/>
      <w:bookmarkStart w:id="300" w:name="_Toc486423880"/>
      <w:r>
        <w:rPr>
          <w:rFonts w:hint="eastAsia" w:ascii="宋体" w:hAnsi="宋体" w:eastAsia="宋体" w:cs="宋体"/>
          <w:b/>
          <w:bCs/>
          <w:sz w:val="36"/>
          <w:szCs w:val="36"/>
          <w:lang w:val="en-US" w:eastAsia="zh-CN"/>
        </w:rPr>
        <w:t>六</w:t>
      </w:r>
      <w:r>
        <w:rPr>
          <w:rFonts w:hint="eastAsia" w:ascii="宋体" w:hAnsi="宋体" w:eastAsia="宋体" w:cs="宋体"/>
          <w:b/>
          <w:bCs/>
          <w:sz w:val="36"/>
          <w:szCs w:val="36"/>
        </w:rPr>
        <w:t>、付款方式</w:t>
      </w:r>
      <w:bookmarkEnd w:id="291"/>
      <w:bookmarkEnd w:id="292"/>
      <w:bookmarkEnd w:id="293"/>
      <w:bookmarkEnd w:id="294"/>
      <w:bookmarkEnd w:id="295"/>
      <w:bookmarkEnd w:id="296"/>
    </w:p>
    <w:bookmarkEnd w:id="297"/>
    <w:bookmarkEnd w:id="298"/>
    <w:bookmarkEnd w:id="299"/>
    <w:bookmarkEnd w:id="300"/>
    <w:p>
      <w:pPr>
        <w:adjustRightInd w:val="0"/>
        <w:snapToGrid w:val="0"/>
        <w:spacing w:line="360" w:lineRule="auto"/>
        <w:ind w:firstLine="480" w:firstLineChars="200"/>
        <w:rPr>
          <w:rFonts w:ascii="宋体" w:hAnsi="宋体" w:cs="宋体"/>
          <w:sz w:val="24"/>
        </w:rPr>
      </w:pPr>
      <w:r>
        <w:rPr>
          <w:rFonts w:hint="eastAsia" w:ascii="宋体" w:hAnsi="宋体" w:cs="宋体"/>
          <w:sz w:val="24"/>
        </w:rPr>
        <w:t>签订合同具备实施条件且收到中标人</w:t>
      </w:r>
      <w:r>
        <w:rPr>
          <w:rFonts w:hint="eastAsia" w:ascii="宋体" w:hAnsi="宋体" w:cs="宋体"/>
          <w:color w:val="auto"/>
          <w:sz w:val="24"/>
        </w:rPr>
        <w:t>开具的足额正式发票后</w:t>
      </w:r>
      <w:r>
        <w:rPr>
          <w:rFonts w:hint="eastAsia" w:ascii="宋体" w:hAnsi="宋体" w:cs="宋体"/>
          <w:sz w:val="24"/>
        </w:rPr>
        <w:t>七个工作日内支付合同金额的</w:t>
      </w:r>
      <w:r>
        <w:rPr>
          <w:rFonts w:hint="eastAsia" w:ascii="宋体" w:hAnsi="宋体" w:cs="宋体"/>
          <w:sz w:val="24"/>
          <w:lang w:val="en-US" w:eastAsia="zh-CN"/>
        </w:rPr>
        <w:t>70</w:t>
      </w:r>
      <w:r>
        <w:rPr>
          <w:rFonts w:hint="eastAsia" w:ascii="宋体" w:hAnsi="宋体" w:cs="宋体"/>
          <w:sz w:val="24"/>
        </w:rPr>
        <w:t>%作为预付款</w:t>
      </w:r>
      <w:r>
        <w:rPr>
          <w:rFonts w:hint="eastAsia" w:ascii="宋体" w:hAnsi="宋体" w:eastAsia="宋体" w:cs="宋体"/>
          <w:color w:val="auto"/>
          <w:kern w:val="2"/>
          <w:sz w:val="24"/>
          <w:szCs w:val="24"/>
          <w:lang w:val="en-US" w:eastAsia="zh-CN" w:bidi="ar-SA"/>
        </w:rPr>
        <w:t>（投标人需在提供预付款发票的同时提供银行、保险公司出具的与预付款等额的保函）</w:t>
      </w:r>
      <w:r>
        <w:rPr>
          <w:rFonts w:hint="eastAsia" w:ascii="宋体" w:hAnsi="宋体" w:cs="宋体"/>
          <w:sz w:val="24"/>
          <w:lang w:eastAsia="zh-CN"/>
        </w:rPr>
        <w:t>；</w:t>
      </w:r>
      <w:r>
        <w:rPr>
          <w:rFonts w:hint="eastAsia" w:ascii="宋体" w:hAnsi="宋体" w:cs="宋体"/>
          <w:sz w:val="24"/>
        </w:rPr>
        <w:t>项目整体完成，经招标人验收合格后且收到中标人</w:t>
      </w:r>
      <w:r>
        <w:rPr>
          <w:rFonts w:hint="eastAsia" w:ascii="宋体" w:hAnsi="宋体" w:cs="宋体"/>
          <w:color w:val="auto"/>
          <w:sz w:val="24"/>
        </w:rPr>
        <w:t>开具的足额正式发票后</w:t>
      </w:r>
      <w:r>
        <w:rPr>
          <w:rFonts w:hint="eastAsia" w:ascii="宋体" w:hAnsi="宋体" w:cs="宋体"/>
          <w:sz w:val="24"/>
        </w:rPr>
        <w:t>七个工作日内支付剩余合同款项（合同金额的</w:t>
      </w:r>
      <w:r>
        <w:rPr>
          <w:rFonts w:hint="eastAsia" w:ascii="宋体" w:hAnsi="宋体" w:cs="宋体"/>
          <w:sz w:val="24"/>
          <w:lang w:val="en-US" w:eastAsia="zh-CN"/>
        </w:rPr>
        <w:t>30</w:t>
      </w:r>
      <w:r>
        <w:rPr>
          <w:rFonts w:hint="eastAsia" w:ascii="宋体" w:hAnsi="宋体" w:cs="宋体"/>
          <w:sz w:val="24"/>
        </w:rPr>
        <w:t>%）。</w:t>
      </w:r>
    </w:p>
    <w:p>
      <w:pPr>
        <w:pStyle w:val="3"/>
        <w:spacing w:line="360" w:lineRule="auto"/>
        <w:jc w:val="center"/>
        <w:rPr>
          <w:rFonts w:ascii="宋体" w:hAnsi="宋体"/>
          <w:sz w:val="32"/>
        </w:rPr>
      </w:pPr>
    </w:p>
    <w:p>
      <w:pPr>
        <w:pStyle w:val="2"/>
        <w:spacing w:before="0" w:after="0" w:line="240" w:lineRule="auto"/>
      </w:pPr>
    </w:p>
    <w:p>
      <w:pPr>
        <w:spacing w:line="360" w:lineRule="auto"/>
        <w:rPr>
          <w:rFonts w:ascii="宋体" w:hAnsi="宋体"/>
          <w:sz w:val="32"/>
        </w:rPr>
      </w:pPr>
    </w:p>
    <w:p>
      <w:pPr>
        <w:pStyle w:val="5"/>
        <w:spacing w:line="360" w:lineRule="auto"/>
      </w:pPr>
    </w:p>
    <w:p>
      <w:pPr>
        <w:spacing w:line="360" w:lineRule="auto"/>
        <w:rPr>
          <w:rFonts w:ascii="宋体" w:hAnsi="宋体"/>
          <w:sz w:val="32"/>
        </w:rPr>
      </w:pPr>
      <w:r>
        <w:rPr>
          <w:rFonts w:hint="eastAsia" w:ascii="宋体" w:hAnsi="宋体"/>
          <w:sz w:val="32"/>
        </w:rPr>
        <w:br w:type="page"/>
      </w:r>
    </w:p>
    <w:p>
      <w:pPr>
        <w:pStyle w:val="3"/>
        <w:spacing w:line="360" w:lineRule="auto"/>
        <w:jc w:val="center"/>
        <w:rPr>
          <w:rFonts w:ascii="宋体" w:hAnsi="宋体"/>
          <w:kern w:val="0"/>
          <w:sz w:val="24"/>
          <w:szCs w:val="22"/>
        </w:rPr>
      </w:pPr>
      <w:bookmarkStart w:id="301" w:name="_Toc27552"/>
      <w:bookmarkStart w:id="302" w:name="_Toc26339"/>
      <w:r>
        <w:rPr>
          <w:rFonts w:hint="eastAsia" w:ascii="宋体" w:hAnsi="宋体"/>
          <w:sz w:val="32"/>
        </w:rPr>
        <w:t>第四章　政府采购合同</w:t>
      </w:r>
      <w:bookmarkEnd w:id="264"/>
      <w:bookmarkEnd w:id="265"/>
      <w:bookmarkEnd w:id="266"/>
      <w:bookmarkEnd w:id="267"/>
      <w:bookmarkEnd w:id="268"/>
      <w:bookmarkEnd w:id="301"/>
      <w:bookmarkEnd w:id="302"/>
    </w:p>
    <w:p>
      <w:pPr>
        <w:widowControl/>
        <w:spacing w:line="360" w:lineRule="auto"/>
        <w:ind w:firstLine="5040" w:firstLineChars="2400"/>
        <w:jc w:val="left"/>
        <w:rPr>
          <w:rFonts w:ascii="宋体" w:hAnsi="宋体"/>
        </w:rPr>
      </w:pPr>
      <w:r>
        <w:rPr>
          <w:rFonts w:hint="eastAsia" w:ascii="宋体" w:hAnsi="宋体"/>
        </w:rPr>
        <w:t xml:space="preserve">                 合同编号：_________</w:t>
      </w:r>
    </w:p>
    <w:p>
      <w:pPr>
        <w:autoSpaceDE w:val="0"/>
        <w:autoSpaceDN w:val="0"/>
        <w:spacing w:line="360" w:lineRule="auto"/>
        <w:textAlignment w:val="bottom"/>
        <w:outlineLvl w:val="0"/>
        <w:rPr>
          <w:rFonts w:ascii="宋体" w:hAnsi="宋体"/>
          <w:b/>
          <w:sz w:val="24"/>
          <w:szCs w:val="21"/>
        </w:rPr>
      </w:pPr>
      <w:bookmarkStart w:id="303" w:name="_Toc32535"/>
      <w:bookmarkStart w:id="304" w:name="_Toc31688"/>
      <w:bookmarkStart w:id="305" w:name="_Toc20390"/>
      <w:bookmarkStart w:id="306" w:name="_Toc20084"/>
      <w:bookmarkStart w:id="307" w:name="_Toc17934"/>
      <w:bookmarkStart w:id="308" w:name="_Toc15924"/>
      <w:bookmarkStart w:id="309" w:name="_Toc13767"/>
      <w:bookmarkStart w:id="310" w:name="_Toc5209"/>
      <w:r>
        <w:rPr>
          <w:rFonts w:hint="eastAsia" w:ascii="宋体" w:hAnsi="宋体"/>
          <w:b/>
          <w:sz w:val="24"/>
          <w:szCs w:val="21"/>
        </w:rPr>
        <w:t>招标人（以下简称甲方）：</w:t>
      </w:r>
      <w:bookmarkEnd w:id="303"/>
      <w:r>
        <w:rPr>
          <w:rFonts w:hint="eastAsia" w:ascii="宋体" w:hAnsi="宋体"/>
          <w:b/>
          <w:sz w:val="24"/>
          <w:szCs w:val="21"/>
          <w:u w:val="single"/>
        </w:rPr>
        <w:t>丽水</w:t>
      </w:r>
      <w:bookmarkEnd w:id="304"/>
      <w:r>
        <w:rPr>
          <w:rFonts w:hint="eastAsia" w:ascii="宋体" w:hAnsi="宋体"/>
          <w:b/>
          <w:sz w:val="24"/>
          <w:szCs w:val="21"/>
          <w:u w:val="single"/>
        </w:rPr>
        <w:t>职业技术学院</w:t>
      </w:r>
      <w:bookmarkEnd w:id="305"/>
      <w:bookmarkEnd w:id="306"/>
      <w:bookmarkEnd w:id="307"/>
      <w:bookmarkEnd w:id="308"/>
      <w:bookmarkEnd w:id="309"/>
      <w:bookmarkEnd w:id="310"/>
    </w:p>
    <w:p>
      <w:pPr>
        <w:pStyle w:val="20"/>
        <w:spacing w:before="0" w:beforeAutospacing="0" w:after="0" w:afterAutospacing="0" w:line="360" w:lineRule="auto"/>
        <w:rPr>
          <w:rFonts w:hint="default" w:eastAsia="宋体" w:cs="宋体"/>
          <w:u w:val="single"/>
          <w:lang w:val="en-US" w:eastAsia="zh-CN"/>
        </w:rPr>
      </w:pPr>
      <w:r>
        <w:rPr>
          <w:rFonts w:hint="eastAsia" w:cs="宋体"/>
        </w:rPr>
        <w:t>中标人（以下称乙方）：</w:t>
      </w:r>
      <w:r>
        <w:rPr>
          <w:rFonts w:hint="eastAsia" w:cs="宋体"/>
          <w:u w:val="single"/>
          <w:lang w:val="en-US" w:eastAsia="zh-CN"/>
        </w:rPr>
        <w:t xml:space="preserve">                       </w:t>
      </w:r>
    </w:p>
    <w:p>
      <w:pPr>
        <w:pStyle w:val="20"/>
        <w:spacing w:before="0" w:beforeAutospacing="0" w:after="0" w:afterAutospacing="0" w:line="420" w:lineRule="exact"/>
        <w:rPr>
          <w:rFonts w:hint="eastAsia" w:cs="宋体"/>
        </w:rPr>
      </w:pPr>
      <w:r>
        <w:rPr>
          <w:rFonts w:hint="eastAsia" w:cs="宋体"/>
        </w:rPr>
        <w:t>成交人（以下称乙方）（牵头人、成员方) ：</w:t>
      </w:r>
      <w:r>
        <w:rPr>
          <w:rFonts w:hint="eastAsia" w:cs="宋体"/>
          <w:u w:val="single"/>
        </w:rPr>
        <w:t xml:space="preserve">             </w:t>
      </w:r>
      <w:r>
        <w:rPr>
          <w:rFonts w:hint="eastAsia" w:cs="宋体"/>
        </w:rPr>
        <w:t>（如联合体</w:t>
      </w:r>
      <w:r>
        <w:rPr>
          <w:rFonts w:hint="eastAsia" w:cs="宋体"/>
          <w:lang w:val="en-US" w:eastAsia="zh-CN"/>
        </w:rPr>
        <w:t>投标</w:t>
      </w:r>
      <w:r>
        <w:rPr>
          <w:rFonts w:hint="eastAsia" w:cs="宋体"/>
        </w:rPr>
        <w:t>时提供）</w:t>
      </w:r>
    </w:p>
    <w:p>
      <w:pPr>
        <w:pStyle w:val="20"/>
        <w:spacing w:before="0" w:beforeAutospacing="0" w:after="0" w:afterAutospacing="0" w:line="360" w:lineRule="auto"/>
        <w:rPr>
          <w:rFonts w:cs="宋体"/>
        </w:rPr>
      </w:pPr>
    </w:p>
    <w:p>
      <w:pPr>
        <w:spacing w:line="360" w:lineRule="auto"/>
        <w:ind w:firstLine="480" w:firstLineChars="200"/>
        <w:rPr>
          <w:rFonts w:ascii="宋体" w:hAnsi="宋体" w:cs="宋体"/>
        </w:rPr>
      </w:pPr>
      <w:r>
        <w:rPr>
          <w:rFonts w:hint="eastAsia" w:ascii="宋体" w:hAnsi="宋体" w:cs="宋体"/>
          <w:kern w:val="0"/>
          <w:sz w:val="24"/>
          <w:szCs w:val="22"/>
        </w:rPr>
        <w:t>根据招标文件（采购编号为），在年月日公开招标会上，经评标委员会评定</w:t>
      </w:r>
      <w:r>
        <w:rPr>
          <w:rFonts w:hint="eastAsia" w:ascii="宋体" w:hAnsi="宋体" w:cs="宋体"/>
          <w:kern w:val="0"/>
          <w:sz w:val="24"/>
          <w:szCs w:val="22"/>
          <w:u w:val="single"/>
        </w:rPr>
        <w:t xml:space="preserve"> 　　　  　  </w:t>
      </w:r>
      <w:r>
        <w:rPr>
          <w:rFonts w:hint="eastAsia" w:ascii="宋体" w:hAnsi="宋体" w:cs="宋体"/>
          <w:kern w:val="0"/>
          <w:sz w:val="24"/>
          <w:szCs w:val="22"/>
        </w:rPr>
        <w:t>(乙方)为中标人。甲、乙双方依据《中华人民共和国民法典》等相关法律法规和招标文件的要求，在平等自愿的基础上，同意按照下面的条款和条件，签署本合同。</w:t>
      </w:r>
    </w:p>
    <w:p>
      <w:pPr>
        <w:pStyle w:val="20"/>
        <w:spacing w:line="360" w:lineRule="auto"/>
        <w:rPr>
          <w:rFonts w:cs="宋体"/>
          <w:b/>
        </w:rPr>
      </w:pPr>
      <w:r>
        <w:rPr>
          <w:rFonts w:hint="eastAsia" w:cs="宋体"/>
          <w:b/>
          <w:szCs w:val="22"/>
        </w:rPr>
        <w:t>第</w:t>
      </w:r>
      <w:r>
        <w:rPr>
          <w:rFonts w:hint="eastAsia" w:cs="宋体"/>
          <w:b/>
          <w:szCs w:val="22"/>
          <w:lang w:val="en-US" w:eastAsia="zh-CN"/>
        </w:rPr>
        <w:t>一</w:t>
      </w:r>
      <w:r>
        <w:rPr>
          <w:rFonts w:hint="eastAsia" w:cs="宋体"/>
          <w:b/>
          <w:szCs w:val="22"/>
        </w:rPr>
        <w:t xml:space="preserve">条 </w:t>
      </w:r>
      <w:r>
        <w:rPr>
          <w:rFonts w:hint="eastAsia" w:cs="宋体"/>
          <w:b/>
        </w:rPr>
        <w:t>组成本合同的有关文件</w:t>
      </w:r>
    </w:p>
    <w:p>
      <w:pPr>
        <w:pStyle w:val="20"/>
        <w:spacing w:line="360" w:lineRule="auto"/>
        <w:rPr>
          <w:rFonts w:cs="宋体"/>
        </w:rPr>
      </w:pPr>
      <w:r>
        <w:rPr>
          <w:rFonts w:hint="eastAsia" w:cs="宋体"/>
        </w:rPr>
        <w:t xml:space="preserve">   下列文件构成本合同的组成部分，应该认为是一个整体，彼此相互解释，相互补充。组成合同的多个文件的优先支配地位的次序如下：</w:t>
      </w:r>
    </w:p>
    <w:p>
      <w:pPr>
        <w:pStyle w:val="20"/>
        <w:spacing w:line="360" w:lineRule="auto"/>
        <w:ind w:firstLine="480" w:firstLineChars="200"/>
        <w:rPr>
          <w:rFonts w:cs="宋体"/>
        </w:rPr>
      </w:pPr>
      <w:r>
        <w:rPr>
          <w:rFonts w:hint="eastAsia" w:cs="宋体"/>
          <w:lang w:val="en-US" w:eastAsia="zh-CN"/>
        </w:rPr>
        <w:t>1</w:t>
      </w:r>
      <w:r>
        <w:rPr>
          <w:rFonts w:hint="eastAsia" w:cs="宋体"/>
        </w:rPr>
        <w:t>.1本合同书　</w:t>
      </w:r>
    </w:p>
    <w:p>
      <w:pPr>
        <w:pStyle w:val="20"/>
        <w:spacing w:line="360" w:lineRule="auto"/>
        <w:ind w:firstLine="480" w:firstLineChars="200"/>
        <w:rPr>
          <w:rFonts w:cs="宋体"/>
        </w:rPr>
      </w:pPr>
      <w:r>
        <w:rPr>
          <w:rFonts w:hint="eastAsia" w:cs="宋体"/>
          <w:lang w:val="en-US" w:eastAsia="zh-CN"/>
        </w:rPr>
        <w:t>1</w:t>
      </w:r>
      <w:r>
        <w:rPr>
          <w:rFonts w:hint="eastAsia" w:cs="宋体"/>
        </w:rPr>
        <w:t>.2中标（成交）通知书</w:t>
      </w:r>
      <w:r>
        <w:rPr>
          <w:rFonts w:hint="eastAsia" w:cs="宋体"/>
        </w:rPr>
        <w:tab/>
      </w:r>
    </w:p>
    <w:p>
      <w:pPr>
        <w:pStyle w:val="20"/>
        <w:spacing w:line="360" w:lineRule="auto"/>
        <w:ind w:firstLine="480" w:firstLineChars="200"/>
        <w:rPr>
          <w:rFonts w:cs="宋体"/>
        </w:rPr>
      </w:pPr>
      <w:r>
        <w:rPr>
          <w:rFonts w:hint="eastAsia" w:cs="宋体"/>
          <w:lang w:val="en-US" w:eastAsia="zh-CN"/>
        </w:rPr>
        <w:t>1</w:t>
      </w:r>
      <w:r>
        <w:rPr>
          <w:rFonts w:hint="eastAsia" w:cs="宋体"/>
        </w:rPr>
        <w:t>.3中标（成交）人澄清修改文件</w:t>
      </w:r>
    </w:p>
    <w:p>
      <w:pPr>
        <w:pStyle w:val="20"/>
        <w:spacing w:line="360" w:lineRule="auto"/>
        <w:ind w:firstLine="480" w:firstLineChars="200"/>
        <w:rPr>
          <w:rFonts w:cs="宋体"/>
        </w:rPr>
      </w:pPr>
      <w:r>
        <w:rPr>
          <w:rFonts w:hint="eastAsia" w:cs="宋体"/>
          <w:lang w:val="en-US" w:eastAsia="zh-CN"/>
        </w:rPr>
        <w:t>1</w:t>
      </w:r>
      <w:r>
        <w:rPr>
          <w:rFonts w:hint="eastAsia" w:cs="宋体"/>
        </w:rPr>
        <w:t>.4中标（成交）人投标文件</w:t>
      </w:r>
    </w:p>
    <w:p>
      <w:pPr>
        <w:pStyle w:val="20"/>
        <w:spacing w:line="360" w:lineRule="auto"/>
        <w:ind w:firstLine="480" w:firstLineChars="200"/>
        <w:rPr>
          <w:rFonts w:cs="宋体"/>
        </w:rPr>
      </w:pPr>
      <w:r>
        <w:rPr>
          <w:rFonts w:hint="eastAsia" w:cs="宋体"/>
          <w:lang w:val="en-US" w:eastAsia="zh-CN"/>
        </w:rPr>
        <w:t>1</w:t>
      </w:r>
      <w:r>
        <w:rPr>
          <w:rFonts w:hint="eastAsia" w:cs="宋体"/>
        </w:rPr>
        <w:t>.5招标文件澄清修改文件</w:t>
      </w:r>
    </w:p>
    <w:p>
      <w:pPr>
        <w:pStyle w:val="20"/>
        <w:spacing w:line="360" w:lineRule="auto"/>
        <w:ind w:firstLine="480" w:firstLineChars="200"/>
        <w:rPr>
          <w:rFonts w:cs="宋体"/>
          <w:szCs w:val="21"/>
        </w:rPr>
      </w:pPr>
      <w:r>
        <w:rPr>
          <w:rFonts w:hint="eastAsia" w:cs="宋体"/>
          <w:lang w:val="en-US" w:eastAsia="zh-CN"/>
        </w:rPr>
        <w:t>1</w:t>
      </w:r>
      <w:r>
        <w:rPr>
          <w:rFonts w:hint="eastAsia" w:cs="宋体"/>
        </w:rPr>
        <w:t>.6招标文件</w:t>
      </w:r>
    </w:p>
    <w:p>
      <w:pPr>
        <w:widowControl/>
        <w:numPr>
          <w:ilvl w:val="0"/>
          <w:numId w:val="1"/>
        </w:numPr>
        <w:spacing w:line="360" w:lineRule="auto"/>
        <w:jc w:val="left"/>
        <w:rPr>
          <w:rFonts w:hint="eastAsia" w:ascii="宋体" w:hAnsi="宋体" w:cs="宋体"/>
          <w:b/>
          <w:kern w:val="0"/>
          <w:sz w:val="24"/>
          <w:szCs w:val="22"/>
          <w:lang w:val="en-US" w:eastAsia="zh-CN"/>
        </w:rPr>
      </w:pPr>
      <w:r>
        <w:rPr>
          <w:rFonts w:hint="eastAsia" w:ascii="宋体" w:hAnsi="宋体" w:cs="宋体"/>
          <w:b/>
          <w:kern w:val="0"/>
          <w:sz w:val="24"/>
          <w:szCs w:val="22"/>
          <w:lang w:val="en-US" w:eastAsia="zh-CN"/>
        </w:rPr>
        <w:t>服务要求</w:t>
      </w:r>
    </w:p>
    <w:p>
      <w:pPr>
        <w:widowControl/>
        <w:numPr>
          <w:ilvl w:val="0"/>
          <w:numId w:val="0"/>
        </w:numPr>
        <w:spacing w:line="360" w:lineRule="auto"/>
        <w:jc w:val="left"/>
        <w:rPr>
          <w:rFonts w:hint="eastAsia" w:ascii="宋体" w:hAnsi="宋体" w:cs="宋体"/>
          <w:b/>
          <w:kern w:val="0"/>
          <w:sz w:val="24"/>
          <w:szCs w:val="22"/>
        </w:rPr>
      </w:pPr>
      <w:r>
        <w:rPr>
          <w:rFonts w:hint="eastAsia" w:ascii="宋体" w:hAnsi="宋体" w:cs="仿宋_GB2312"/>
          <w:sz w:val="24"/>
        </w:rPr>
        <w:t>服务要求</w:t>
      </w:r>
      <w:r>
        <w:rPr>
          <w:rFonts w:hint="eastAsia" w:ascii="宋体" w:hAnsi="宋体"/>
          <w:b/>
          <w:sz w:val="24"/>
          <w:szCs w:val="21"/>
        </w:rPr>
        <w:t>同</w:t>
      </w:r>
      <w:r>
        <w:rPr>
          <w:rFonts w:hint="eastAsia" w:ascii="宋体" w:hAnsi="宋体"/>
          <w:b/>
          <w:sz w:val="24"/>
          <w:szCs w:val="21"/>
          <w:lang w:val="en-US" w:eastAsia="zh-CN"/>
        </w:rPr>
        <w:t>招标</w:t>
      </w:r>
      <w:r>
        <w:rPr>
          <w:rFonts w:hint="eastAsia" w:ascii="宋体" w:hAnsi="宋体"/>
          <w:b/>
          <w:sz w:val="24"/>
          <w:szCs w:val="21"/>
        </w:rPr>
        <w:t>文件。</w:t>
      </w:r>
    </w:p>
    <w:p>
      <w:pPr>
        <w:snapToGrid w:val="0"/>
        <w:spacing w:before="238" w:line="360" w:lineRule="auto"/>
        <w:rPr>
          <w:rFonts w:hint="eastAsia" w:ascii="宋体" w:hAnsi="宋体"/>
          <w:sz w:val="24"/>
          <w:szCs w:val="21"/>
        </w:rPr>
      </w:pPr>
      <w:r>
        <w:rPr>
          <w:rFonts w:hint="eastAsia" w:ascii="宋体" w:hAnsi="宋体"/>
          <w:b/>
          <w:sz w:val="24"/>
          <w:szCs w:val="21"/>
          <w:lang w:eastAsia="zh-CN"/>
        </w:rPr>
        <w:t>第三条</w:t>
      </w:r>
      <w:r>
        <w:rPr>
          <w:rFonts w:hint="eastAsia" w:ascii="宋体" w:hAnsi="宋体"/>
          <w:b/>
          <w:sz w:val="24"/>
          <w:szCs w:val="21"/>
          <w:lang w:val="en-US" w:eastAsia="zh-CN"/>
        </w:rPr>
        <w:t xml:space="preserve"> </w:t>
      </w:r>
      <w:r>
        <w:rPr>
          <w:rFonts w:hint="eastAsia" w:ascii="宋体" w:hAnsi="宋体"/>
          <w:b/>
          <w:sz w:val="24"/>
          <w:szCs w:val="21"/>
        </w:rPr>
        <w:t>合同总价</w:t>
      </w:r>
    </w:p>
    <w:p>
      <w:pPr>
        <w:spacing w:line="360" w:lineRule="auto"/>
        <w:ind w:firstLine="480" w:firstLineChars="200"/>
        <w:rPr>
          <w:rFonts w:hint="eastAsia" w:ascii="宋体" w:hAnsi="宋体" w:cs="宋体"/>
        </w:rPr>
      </w:pPr>
      <w:r>
        <w:rPr>
          <w:rFonts w:hint="eastAsia" w:ascii="宋体" w:hAnsi="宋体" w:cs="宋体"/>
          <w:sz w:val="24"/>
        </w:rPr>
        <w:t>本合同含税金额为（大写）：</w:t>
      </w:r>
      <w:r>
        <w:rPr>
          <w:rFonts w:hint="eastAsia" w:ascii="宋体" w:hAnsi="宋体" w:cs="宋体"/>
          <w:sz w:val="24"/>
          <w:u w:val="single"/>
        </w:rPr>
        <w:t xml:space="preserve">人民币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w:t>
      </w:r>
    </w:p>
    <w:p>
      <w:pPr>
        <w:numPr>
          <w:ilvl w:val="0"/>
          <w:numId w:val="0"/>
        </w:numPr>
        <w:snapToGrid w:val="0"/>
        <w:spacing w:before="238" w:line="360" w:lineRule="auto"/>
        <w:rPr>
          <w:rFonts w:hint="eastAsia" w:ascii="宋体" w:hAnsi="宋体"/>
          <w:b/>
          <w:sz w:val="24"/>
          <w:szCs w:val="21"/>
        </w:rPr>
      </w:pPr>
      <w:r>
        <w:rPr>
          <w:rFonts w:hint="eastAsia" w:ascii="宋体" w:hAnsi="宋体"/>
          <w:b/>
          <w:sz w:val="24"/>
          <w:szCs w:val="21"/>
          <w:lang w:eastAsia="zh-CN"/>
        </w:rPr>
        <w:t>第四条</w:t>
      </w:r>
      <w:r>
        <w:rPr>
          <w:rFonts w:hint="eastAsia" w:ascii="宋体" w:hAnsi="宋体"/>
          <w:b/>
          <w:sz w:val="24"/>
          <w:szCs w:val="21"/>
          <w:lang w:val="en-US" w:eastAsia="zh-CN"/>
        </w:rPr>
        <w:t xml:space="preserve"> </w:t>
      </w:r>
      <w:r>
        <w:rPr>
          <w:rFonts w:hint="eastAsia" w:ascii="宋体" w:hAnsi="宋体"/>
          <w:b/>
          <w:sz w:val="24"/>
          <w:szCs w:val="21"/>
        </w:rPr>
        <w:t>付款方式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签订合同具备实施条件且收到</w:t>
      </w:r>
      <w:r>
        <w:rPr>
          <w:rFonts w:hint="eastAsia" w:ascii="宋体" w:hAnsi="宋体" w:cs="宋体"/>
          <w:sz w:val="24"/>
          <w:lang w:val="en-US" w:eastAsia="zh-CN"/>
        </w:rPr>
        <w:t>乙方</w:t>
      </w:r>
      <w:r>
        <w:rPr>
          <w:rFonts w:hint="eastAsia" w:ascii="宋体" w:hAnsi="宋体" w:cs="宋体"/>
          <w:color w:val="auto"/>
          <w:sz w:val="24"/>
        </w:rPr>
        <w:t>开具的足额正式发票后</w:t>
      </w:r>
      <w:r>
        <w:rPr>
          <w:rFonts w:hint="eastAsia" w:ascii="宋体" w:hAnsi="宋体" w:cs="宋体"/>
          <w:sz w:val="24"/>
        </w:rPr>
        <w:t>七个工作日内支付合同金额的</w:t>
      </w:r>
      <w:r>
        <w:rPr>
          <w:rFonts w:hint="eastAsia" w:ascii="宋体" w:hAnsi="宋体" w:cs="宋体"/>
          <w:sz w:val="24"/>
          <w:lang w:val="en-US" w:eastAsia="zh-CN"/>
        </w:rPr>
        <w:t>70</w:t>
      </w:r>
      <w:r>
        <w:rPr>
          <w:rFonts w:hint="eastAsia" w:ascii="宋体" w:hAnsi="宋体" w:cs="宋体"/>
          <w:sz w:val="24"/>
        </w:rPr>
        <w:t>%作为预付款</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乙方</w:t>
      </w:r>
      <w:r>
        <w:rPr>
          <w:rFonts w:hint="eastAsia" w:ascii="宋体" w:hAnsi="宋体" w:eastAsia="宋体" w:cs="宋体"/>
          <w:color w:val="auto"/>
          <w:kern w:val="2"/>
          <w:sz w:val="24"/>
          <w:szCs w:val="24"/>
          <w:lang w:val="en-US" w:eastAsia="zh-CN" w:bidi="ar-SA"/>
        </w:rPr>
        <w:t>需在提供预付款发票的同时提供银行、保险公司出具的与预付款等额的保函）</w:t>
      </w:r>
      <w:r>
        <w:rPr>
          <w:rFonts w:hint="eastAsia" w:ascii="宋体" w:hAnsi="宋体" w:cs="宋体"/>
          <w:sz w:val="24"/>
          <w:lang w:eastAsia="zh-CN"/>
        </w:rPr>
        <w:t>；</w:t>
      </w:r>
      <w:r>
        <w:rPr>
          <w:rFonts w:hint="eastAsia" w:ascii="宋体" w:hAnsi="宋体" w:cs="宋体"/>
          <w:sz w:val="24"/>
        </w:rPr>
        <w:t>项目整体完成，经</w:t>
      </w:r>
      <w:r>
        <w:rPr>
          <w:rFonts w:hint="eastAsia" w:ascii="宋体" w:hAnsi="宋体" w:cs="宋体"/>
          <w:sz w:val="24"/>
          <w:lang w:val="en-US" w:eastAsia="zh-CN"/>
        </w:rPr>
        <w:t>甲方</w:t>
      </w:r>
      <w:r>
        <w:rPr>
          <w:rFonts w:hint="eastAsia" w:ascii="宋体" w:hAnsi="宋体" w:cs="宋体"/>
          <w:sz w:val="24"/>
        </w:rPr>
        <w:t>验收合格后且收到</w:t>
      </w:r>
      <w:r>
        <w:rPr>
          <w:rFonts w:hint="eastAsia" w:ascii="宋体" w:hAnsi="宋体" w:cs="宋体"/>
          <w:sz w:val="24"/>
          <w:lang w:val="en-US" w:eastAsia="zh-CN"/>
        </w:rPr>
        <w:t>乙方</w:t>
      </w:r>
      <w:r>
        <w:rPr>
          <w:rFonts w:hint="eastAsia" w:ascii="宋体" w:hAnsi="宋体" w:cs="宋体"/>
          <w:color w:val="auto"/>
          <w:sz w:val="24"/>
        </w:rPr>
        <w:t>开具的足额正式发票后</w:t>
      </w:r>
      <w:r>
        <w:rPr>
          <w:rFonts w:hint="eastAsia" w:ascii="宋体" w:hAnsi="宋体" w:cs="宋体"/>
          <w:sz w:val="24"/>
        </w:rPr>
        <w:t>七个工作日内支付剩余合同款项（合同金额的</w:t>
      </w:r>
      <w:r>
        <w:rPr>
          <w:rFonts w:hint="eastAsia" w:ascii="宋体" w:hAnsi="宋体" w:cs="宋体"/>
          <w:sz w:val="24"/>
          <w:lang w:val="en-US" w:eastAsia="zh-CN"/>
        </w:rPr>
        <w:t>30</w:t>
      </w:r>
      <w:r>
        <w:rPr>
          <w:rFonts w:hint="eastAsia" w:ascii="宋体" w:hAnsi="宋体" w:cs="宋体"/>
          <w:sz w:val="24"/>
        </w:rPr>
        <w:t>%）。</w:t>
      </w:r>
    </w:p>
    <w:p>
      <w:pPr>
        <w:pStyle w:val="30"/>
        <w:pageBreakBefore w:val="0"/>
        <w:kinsoku/>
        <w:wordWrap/>
        <w:overflowPunct/>
        <w:topLinePunct w:val="0"/>
        <w:bidi w:val="0"/>
        <w:spacing w:line="360" w:lineRule="auto"/>
        <w:ind w:firstLine="0" w:firstLineChars="0"/>
        <w:outlineLvl w:val="2"/>
        <w:rPr>
          <w:rFonts w:hint="eastAsia" w:ascii="宋体" w:hAnsi="宋体" w:eastAsia="宋体" w:cs="Times New Roman"/>
          <w:b/>
          <w:kern w:val="2"/>
          <w:sz w:val="24"/>
          <w:szCs w:val="21"/>
          <w:lang w:val="en-US" w:eastAsia="zh-CN" w:bidi="ar-SA"/>
        </w:rPr>
      </w:pPr>
      <w:r>
        <w:rPr>
          <w:rFonts w:hint="eastAsia" w:ascii="宋体" w:hAnsi="宋体" w:eastAsia="宋体" w:cs="Times New Roman"/>
          <w:b/>
          <w:kern w:val="2"/>
          <w:sz w:val="24"/>
          <w:szCs w:val="21"/>
          <w:lang w:val="en-US" w:eastAsia="zh-CN" w:bidi="ar-SA"/>
        </w:rPr>
        <w:t>第五条 工期及供货地点要求</w:t>
      </w:r>
    </w:p>
    <w:p>
      <w:pPr>
        <w:pStyle w:val="5"/>
        <w:pageBreakBefore w:val="0"/>
        <w:kinsoku/>
        <w:wordWrap/>
        <w:overflowPunct/>
        <w:topLinePunct w:val="0"/>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1、工期要求：</w:t>
      </w:r>
      <w:r>
        <w:rPr>
          <w:rFonts w:hint="eastAsia" w:ascii="宋体" w:hAnsi="宋体" w:eastAsia="宋体" w:cs="宋体"/>
          <w:bCs/>
          <w:kern w:val="0"/>
          <w:sz w:val="24"/>
          <w:szCs w:val="24"/>
        </w:rPr>
        <w:t>中标人必须在合同签订后</w:t>
      </w:r>
      <w:r>
        <w:rPr>
          <w:rFonts w:hint="eastAsia" w:ascii="宋体" w:hAnsi="宋体" w:eastAsia="宋体" w:cs="宋体"/>
          <w:bCs/>
          <w:kern w:val="0"/>
          <w:sz w:val="24"/>
          <w:szCs w:val="24"/>
          <w:lang w:val="en-US" w:eastAsia="zh-CN"/>
        </w:rPr>
        <w:t>15</w:t>
      </w:r>
      <w:r>
        <w:rPr>
          <w:rFonts w:hint="eastAsia" w:ascii="宋体" w:hAnsi="宋体" w:eastAsia="宋体" w:cs="宋体"/>
          <w:bCs/>
          <w:kern w:val="0"/>
          <w:sz w:val="24"/>
          <w:szCs w:val="24"/>
        </w:rPr>
        <w:t>个日历天内完成所有工作。</w:t>
      </w:r>
    </w:p>
    <w:p>
      <w:pPr>
        <w:pageBreakBefore w:val="0"/>
        <w:kinsoku/>
        <w:wordWrap/>
        <w:overflowPunct/>
        <w:topLinePunct w:val="0"/>
        <w:bidi w:val="0"/>
        <w:spacing w:line="360" w:lineRule="auto"/>
        <w:ind w:left="480"/>
        <w:rPr>
          <w:rFonts w:hint="eastAsia" w:ascii="宋体" w:hAnsi="宋体" w:eastAsia="宋体" w:cs="宋体"/>
          <w:bCs/>
          <w:kern w:val="0"/>
          <w:sz w:val="24"/>
          <w:szCs w:val="24"/>
        </w:rPr>
      </w:pPr>
      <w:r>
        <w:rPr>
          <w:rFonts w:hint="eastAsia" w:ascii="宋体" w:hAnsi="宋体" w:cs="宋体"/>
          <w:bCs/>
          <w:sz w:val="24"/>
          <w:szCs w:val="24"/>
          <w:lang w:val="en-US" w:eastAsia="zh-CN"/>
        </w:rPr>
        <w:t>2</w:t>
      </w:r>
      <w:r>
        <w:rPr>
          <w:rFonts w:hint="eastAsia" w:ascii="宋体" w:hAnsi="宋体" w:eastAsia="宋体" w:cs="宋体"/>
          <w:bCs/>
          <w:sz w:val="24"/>
          <w:szCs w:val="24"/>
        </w:rPr>
        <w:t>、供货（安装）地点要求：</w:t>
      </w:r>
      <w:r>
        <w:rPr>
          <w:rFonts w:hint="eastAsia" w:ascii="宋体" w:hAnsi="宋体" w:eastAsia="宋体" w:cs="宋体"/>
          <w:bCs/>
          <w:kern w:val="0"/>
          <w:sz w:val="24"/>
          <w:szCs w:val="24"/>
        </w:rPr>
        <w:t>招标人指定地点（</w:t>
      </w:r>
      <w:r>
        <w:rPr>
          <w:rFonts w:hint="eastAsia" w:ascii="宋体" w:hAnsi="宋体" w:eastAsia="宋体" w:cs="宋体"/>
          <w:sz w:val="24"/>
          <w:szCs w:val="24"/>
          <w:lang w:val="en-US" w:eastAsia="zh-CN"/>
        </w:rPr>
        <w:t>7号</w:t>
      </w:r>
      <w:r>
        <w:rPr>
          <w:rFonts w:hint="eastAsia" w:ascii="宋体" w:hAnsi="宋体" w:eastAsia="宋体" w:cs="宋体"/>
          <w:sz w:val="24"/>
          <w:szCs w:val="24"/>
        </w:rPr>
        <w:t>楼</w:t>
      </w:r>
      <w:r>
        <w:rPr>
          <w:rFonts w:hint="eastAsia" w:ascii="宋体" w:hAnsi="宋体" w:eastAsia="宋体" w:cs="宋体"/>
          <w:sz w:val="24"/>
          <w:szCs w:val="24"/>
          <w:lang w:val="en-US" w:eastAsia="zh-CN"/>
        </w:rPr>
        <w:t>各机房</w:t>
      </w:r>
      <w:r>
        <w:rPr>
          <w:rFonts w:hint="eastAsia" w:ascii="宋体" w:hAnsi="宋体" w:eastAsia="宋体" w:cs="宋体"/>
          <w:bCs/>
          <w:kern w:val="0"/>
          <w:sz w:val="24"/>
          <w:szCs w:val="24"/>
        </w:rPr>
        <w:t>）。</w:t>
      </w:r>
    </w:p>
    <w:p>
      <w:pPr>
        <w:pStyle w:val="30"/>
        <w:pageBreakBefore w:val="0"/>
        <w:kinsoku/>
        <w:wordWrap/>
        <w:overflowPunct/>
        <w:topLinePunct w:val="0"/>
        <w:bidi w:val="0"/>
        <w:spacing w:line="360" w:lineRule="auto"/>
        <w:ind w:firstLine="0" w:firstLineChars="0"/>
        <w:outlineLvl w:val="2"/>
        <w:rPr>
          <w:rFonts w:hint="eastAsia" w:ascii="宋体" w:hAnsi="宋体" w:eastAsia="宋体" w:cs="Times New Roman"/>
          <w:b/>
          <w:kern w:val="2"/>
          <w:sz w:val="24"/>
          <w:szCs w:val="21"/>
          <w:lang w:val="en-US" w:eastAsia="zh-CN" w:bidi="ar-SA"/>
        </w:rPr>
      </w:pPr>
      <w:r>
        <w:rPr>
          <w:rFonts w:hint="eastAsia" w:ascii="宋体" w:hAnsi="宋体" w:eastAsia="宋体" w:cs="Times New Roman"/>
          <w:b/>
          <w:kern w:val="2"/>
          <w:sz w:val="24"/>
          <w:szCs w:val="21"/>
          <w:lang w:val="en-US" w:eastAsia="zh-CN" w:bidi="ar-SA"/>
        </w:rPr>
        <w:t>第六条 维保期及售后技术服务要求</w:t>
      </w:r>
    </w:p>
    <w:p>
      <w:pPr>
        <w:pStyle w:val="27"/>
        <w:pageBreakBefore w:val="0"/>
        <w:numPr>
          <w:ilvl w:val="0"/>
          <w:numId w:val="0"/>
        </w:numPr>
        <w:kinsoku/>
        <w:wordWrap/>
        <w:overflowPunct/>
        <w:topLinePunct w:val="0"/>
        <w:bidi w:val="0"/>
        <w:spacing w:line="360" w:lineRule="auto"/>
        <w:ind w:left="0" w:leftChars="0" w:firstLine="419" w:firstLineChars="184"/>
        <w:rPr>
          <w:rFonts w:hint="eastAsia" w:ascii="宋体" w:hAnsi="宋体" w:eastAsia="宋体" w:cs="宋体"/>
          <w:bCs/>
          <w:color w:val="auto"/>
          <w:spacing w:val="-6"/>
          <w:kern w:val="2"/>
          <w:sz w:val="24"/>
          <w:szCs w:val="24"/>
        </w:rPr>
      </w:pPr>
      <w:r>
        <w:rPr>
          <w:rFonts w:hint="eastAsia" w:hAnsi="宋体" w:cs="宋体"/>
          <w:bCs/>
          <w:color w:val="auto"/>
          <w:spacing w:val="-6"/>
          <w:kern w:val="2"/>
          <w:sz w:val="24"/>
          <w:szCs w:val="24"/>
          <w:lang w:val="en-US" w:eastAsia="zh-CN"/>
        </w:rPr>
        <w:t>1、</w:t>
      </w:r>
      <w:r>
        <w:rPr>
          <w:rFonts w:hint="eastAsia" w:ascii="宋体" w:hAnsi="宋体" w:eastAsia="宋体" w:cs="宋体"/>
          <w:bCs/>
          <w:color w:val="auto"/>
          <w:spacing w:val="-6"/>
          <w:kern w:val="2"/>
          <w:sz w:val="24"/>
          <w:szCs w:val="24"/>
        </w:rPr>
        <w:t>质保期自合同设备终验收合格之日开始计算，</w:t>
      </w:r>
      <w:r>
        <w:rPr>
          <w:rFonts w:hint="eastAsia" w:ascii="宋体" w:hAnsi="宋体" w:eastAsia="宋体" w:cs="宋体"/>
          <w:bCs/>
          <w:sz w:val="24"/>
          <w:szCs w:val="24"/>
        </w:rPr>
        <w:t>本</w:t>
      </w:r>
      <w:r>
        <w:rPr>
          <w:rFonts w:hint="eastAsia" w:ascii="宋体" w:hAnsi="宋体" w:eastAsia="宋体" w:cs="宋体"/>
          <w:bCs/>
          <w:color w:val="auto"/>
          <w:spacing w:val="-6"/>
          <w:kern w:val="2"/>
          <w:sz w:val="24"/>
          <w:szCs w:val="24"/>
        </w:rPr>
        <w:t>项目整体质保期</w:t>
      </w:r>
      <w:r>
        <w:rPr>
          <w:rFonts w:hint="eastAsia" w:ascii="宋体" w:hAnsi="宋体" w:eastAsia="宋体" w:cs="宋体"/>
          <w:bCs/>
          <w:color w:val="auto"/>
          <w:spacing w:val="-6"/>
          <w:kern w:val="2"/>
          <w:sz w:val="24"/>
          <w:szCs w:val="24"/>
          <w:u w:val="single"/>
        </w:rPr>
        <w:t>为</w:t>
      </w:r>
      <w:r>
        <w:rPr>
          <w:rFonts w:hint="eastAsia" w:ascii="宋体" w:hAnsi="宋体" w:eastAsia="宋体" w:cs="宋体"/>
          <w:bCs/>
          <w:color w:val="auto"/>
          <w:spacing w:val="-6"/>
          <w:kern w:val="2"/>
          <w:sz w:val="24"/>
          <w:szCs w:val="24"/>
          <w:u w:val="single"/>
          <w:lang w:val="en-US" w:eastAsia="zh-CN"/>
        </w:rPr>
        <w:t xml:space="preserve">   </w:t>
      </w:r>
      <w:r>
        <w:rPr>
          <w:rFonts w:hint="eastAsia" w:ascii="宋体" w:hAnsi="宋体" w:eastAsia="宋体" w:cs="宋体"/>
          <w:bCs/>
          <w:color w:val="auto"/>
          <w:spacing w:val="-6"/>
          <w:kern w:val="2"/>
          <w:sz w:val="24"/>
          <w:szCs w:val="24"/>
          <w:u w:val="single"/>
        </w:rPr>
        <w:t>年</w:t>
      </w:r>
      <w:r>
        <w:rPr>
          <w:rFonts w:hint="eastAsia" w:ascii="宋体" w:hAnsi="宋体" w:eastAsia="宋体" w:cs="宋体"/>
          <w:bCs/>
          <w:color w:val="auto"/>
          <w:spacing w:val="-6"/>
          <w:kern w:val="2"/>
          <w:sz w:val="24"/>
          <w:szCs w:val="24"/>
        </w:rPr>
        <w:t>，</w:t>
      </w:r>
      <w:r>
        <w:rPr>
          <w:rFonts w:hint="eastAsia" w:ascii="宋体" w:hAnsi="宋体" w:eastAsia="宋体" w:cs="宋体"/>
          <w:bCs/>
          <w:color w:val="000000"/>
          <w:sz w:val="24"/>
          <w:szCs w:val="24"/>
        </w:rPr>
        <w:t>软件及课程资源</w:t>
      </w:r>
      <w:r>
        <w:rPr>
          <w:rFonts w:hint="eastAsia" w:ascii="宋体" w:hAnsi="宋体" w:eastAsia="宋体" w:cs="宋体"/>
          <w:bCs/>
          <w:color w:val="auto"/>
          <w:spacing w:val="-6"/>
          <w:kern w:val="2"/>
          <w:sz w:val="24"/>
          <w:szCs w:val="24"/>
          <w:lang w:val="en-US" w:eastAsia="zh-CN"/>
        </w:rPr>
        <w:t>3</w:t>
      </w:r>
      <w:r>
        <w:rPr>
          <w:rFonts w:hint="eastAsia" w:ascii="宋体" w:hAnsi="宋体" w:eastAsia="宋体" w:cs="宋体"/>
          <w:bCs/>
          <w:color w:val="auto"/>
          <w:spacing w:val="-6"/>
          <w:kern w:val="2"/>
          <w:sz w:val="24"/>
          <w:szCs w:val="24"/>
        </w:rPr>
        <w:t>年内免费维护升级（含重大版本升级）。在质保期内对产品质量实行三包，提供免费上门维修和技术支持服务，并进行终身维护。</w:t>
      </w:r>
    </w:p>
    <w:p>
      <w:pPr>
        <w:pStyle w:val="27"/>
        <w:pageBreakBefore w:val="0"/>
        <w:numPr>
          <w:ilvl w:val="0"/>
          <w:numId w:val="0"/>
        </w:numPr>
        <w:kinsoku/>
        <w:wordWrap/>
        <w:overflowPunct/>
        <w:topLinePunct w:val="0"/>
        <w:bidi w:val="0"/>
        <w:spacing w:line="360" w:lineRule="auto"/>
        <w:ind w:left="0" w:leftChars="0" w:firstLine="419" w:firstLineChars="184"/>
        <w:rPr>
          <w:rFonts w:hint="eastAsia" w:ascii="宋体" w:hAnsi="宋体" w:eastAsia="宋体" w:cs="宋体"/>
          <w:bCs/>
          <w:color w:val="auto"/>
          <w:spacing w:val="-6"/>
          <w:kern w:val="2"/>
          <w:sz w:val="24"/>
          <w:szCs w:val="24"/>
        </w:rPr>
      </w:pPr>
      <w:r>
        <w:rPr>
          <w:rFonts w:hint="eastAsia" w:hAnsi="宋体" w:cs="宋体"/>
          <w:bCs/>
          <w:color w:val="auto"/>
          <w:spacing w:val="-6"/>
          <w:kern w:val="2"/>
          <w:sz w:val="24"/>
          <w:szCs w:val="24"/>
          <w:lang w:val="en-US" w:eastAsia="zh-CN"/>
        </w:rPr>
        <w:t>2、</w:t>
      </w:r>
      <w:r>
        <w:rPr>
          <w:rFonts w:hint="eastAsia" w:ascii="宋体" w:hAnsi="宋体" w:eastAsia="宋体" w:cs="宋体"/>
          <w:bCs/>
          <w:color w:val="auto"/>
          <w:spacing w:val="-6"/>
          <w:kern w:val="2"/>
          <w:sz w:val="24"/>
          <w:szCs w:val="24"/>
        </w:rPr>
        <w:t>在保修期内免费提供零件及服务，并应及时有效。保修期后提供长期优质服务。在使用寿命期内，</w:t>
      </w:r>
      <w:r>
        <w:rPr>
          <w:rFonts w:hint="eastAsia" w:ascii="宋体" w:hAnsi="宋体" w:eastAsia="宋体" w:cs="宋体"/>
          <w:bCs/>
          <w:sz w:val="24"/>
          <w:szCs w:val="24"/>
        </w:rPr>
        <w:t>中标人</w:t>
      </w:r>
      <w:r>
        <w:rPr>
          <w:rFonts w:hint="eastAsia" w:ascii="宋体" w:hAnsi="宋体" w:eastAsia="宋体" w:cs="宋体"/>
          <w:bCs/>
          <w:color w:val="auto"/>
          <w:spacing w:val="-6"/>
          <w:kern w:val="2"/>
          <w:sz w:val="24"/>
          <w:szCs w:val="24"/>
        </w:rPr>
        <w:t>保证对设备的零件、易损件的供应。</w:t>
      </w:r>
    </w:p>
    <w:p>
      <w:pPr>
        <w:pStyle w:val="27"/>
        <w:pageBreakBefore w:val="0"/>
        <w:numPr>
          <w:ilvl w:val="0"/>
          <w:numId w:val="0"/>
        </w:numPr>
        <w:kinsoku/>
        <w:wordWrap/>
        <w:overflowPunct/>
        <w:topLinePunct w:val="0"/>
        <w:bidi w:val="0"/>
        <w:spacing w:line="360" w:lineRule="auto"/>
        <w:ind w:left="0" w:leftChars="0" w:firstLine="419" w:firstLineChars="184"/>
        <w:rPr>
          <w:rFonts w:hint="eastAsia" w:ascii="宋体" w:hAnsi="宋体" w:eastAsia="宋体" w:cs="宋体"/>
          <w:bCs/>
          <w:color w:val="auto"/>
          <w:spacing w:val="-6"/>
          <w:kern w:val="2"/>
          <w:sz w:val="24"/>
          <w:szCs w:val="24"/>
        </w:rPr>
      </w:pPr>
      <w:r>
        <w:rPr>
          <w:rFonts w:hint="eastAsia" w:hAnsi="宋体" w:cs="宋体"/>
          <w:bCs/>
          <w:color w:val="auto"/>
          <w:spacing w:val="-6"/>
          <w:kern w:val="2"/>
          <w:sz w:val="24"/>
          <w:szCs w:val="24"/>
          <w:lang w:val="en-US" w:eastAsia="zh-CN"/>
        </w:rPr>
        <w:t>3、</w:t>
      </w:r>
      <w:r>
        <w:rPr>
          <w:rFonts w:hint="eastAsia" w:ascii="宋体" w:hAnsi="宋体" w:eastAsia="宋体" w:cs="宋体"/>
          <w:bCs/>
          <w:color w:val="auto"/>
          <w:spacing w:val="-6"/>
          <w:kern w:val="2"/>
          <w:sz w:val="24"/>
          <w:szCs w:val="24"/>
        </w:rPr>
        <w:t>提供7×24小时的故障受理及技术咨询服务，接到报修电话通知后，在</w:t>
      </w:r>
      <w:r>
        <w:rPr>
          <w:rFonts w:hint="eastAsia" w:ascii="宋体" w:hAnsi="宋体" w:eastAsia="宋体" w:cs="宋体"/>
          <w:bCs/>
          <w:color w:val="auto"/>
          <w:spacing w:val="-6"/>
          <w:kern w:val="2"/>
          <w:sz w:val="24"/>
          <w:szCs w:val="24"/>
          <w:lang w:val="en-US" w:eastAsia="zh-CN"/>
        </w:rPr>
        <w:t>2</w:t>
      </w:r>
      <w:r>
        <w:rPr>
          <w:rFonts w:hint="eastAsia" w:ascii="宋体" w:hAnsi="宋体" w:eastAsia="宋体" w:cs="宋体"/>
          <w:bCs/>
          <w:color w:val="auto"/>
          <w:spacing w:val="-6"/>
          <w:kern w:val="2"/>
          <w:sz w:val="24"/>
          <w:szCs w:val="24"/>
        </w:rPr>
        <w:t>小时内响应并</w:t>
      </w:r>
      <w:r>
        <w:rPr>
          <w:rFonts w:hint="eastAsia" w:ascii="宋体" w:hAnsi="宋体" w:eastAsia="宋体" w:cs="宋体"/>
          <w:bCs/>
          <w:color w:val="auto"/>
          <w:spacing w:val="-6"/>
          <w:kern w:val="2"/>
          <w:sz w:val="24"/>
          <w:szCs w:val="24"/>
          <w:lang w:eastAsia="zh-CN"/>
        </w:rPr>
        <w:t>在</w:t>
      </w:r>
      <w:r>
        <w:rPr>
          <w:rFonts w:hint="eastAsia" w:ascii="宋体" w:hAnsi="宋体" w:eastAsia="宋体" w:cs="宋体"/>
          <w:bCs/>
          <w:color w:val="auto"/>
          <w:spacing w:val="-6"/>
          <w:kern w:val="2"/>
          <w:sz w:val="24"/>
          <w:szCs w:val="24"/>
          <w:lang w:val="en-US" w:eastAsia="zh-CN"/>
        </w:rPr>
        <w:t>24小时内</w:t>
      </w:r>
      <w:r>
        <w:rPr>
          <w:rFonts w:hint="eastAsia" w:ascii="宋体" w:hAnsi="宋体" w:eastAsia="宋体" w:cs="宋体"/>
          <w:bCs/>
          <w:color w:val="auto"/>
          <w:spacing w:val="-6"/>
          <w:kern w:val="2"/>
          <w:sz w:val="24"/>
          <w:szCs w:val="24"/>
        </w:rPr>
        <w:t>安排处理</w:t>
      </w:r>
      <w:r>
        <w:rPr>
          <w:rFonts w:hint="eastAsia" w:ascii="宋体" w:hAnsi="宋体" w:eastAsia="宋体" w:cs="宋体"/>
          <w:bCs/>
          <w:color w:val="auto"/>
          <w:spacing w:val="-6"/>
          <w:kern w:val="2"/>
          <w:sz w:val="24"/>
          <w:szCs w:val="24"/>
          <w:lang w:eastAsia="zh-CN"/>
        </w:rPr>
        <w:t>，对于七天内不能修复的设备，提供同型号或性能相近的备用设备。</w:t>
      </w:r>
    </w:p>
    <w:p>
      <w:pPr>
        <w:pStyle w:val="27"/>
        <w:pageBreakBefore w:val="0"/>
        <w:numPr>
          <w:ilvl w:val="0"/>
          <w:numId w:val="0"/>
        </w:numPr>
        <w:kinsoku/>
        <w:wordWrap/>
        <w:overflowPunct/>
        <w:topLinePunct w:val="0"/>
        <w:bidi w:val="0"/>
        <w:spacing w:line="360" w:lineRule="auto"/>
        <w:ind w:left="0" w:leftChars="0" w:firstLine="419" w:firstLineChars="184"/>
        <w:rPr>
          <w:rFonts w:hint="eastAsia" w:ascii="宋体" w:hAnsi="宋体" w:eastAsia="宋体" w:cs="宋体"/>
          <w:bCs/>
          <w:color w:val="auto"/>
          <w:spacing w:val="-6"/>
          <w:kern w:val="2"/>
          <w:sz w:val="24"/>
          <w:szCs w:val="24"/>
        </w:rPr>
      </w:pPr>
      <w:r>
        <w:rPr>
          <w:rFonts w:hint="eastAsia" w:hAnsi="宋体" w:cs="宋体"/>
          <w:bCs/>
          <w:color w:val="auto"/>
          <w:spacing w:val="-6"/>
          <w:kern w:val="2"/>
          <w:sz w:val="24"/>
          <w:szCs w:val="24"/>
          <w:lang w:val="en-US" w:eastAsia="zh-CN"/>
        </w:rPr>
        <w:t>4、</w:t>
      </w:r>
      <w:r>
        <w:rPr>
          <w:rFonts w:hint="eastAsia" w:ascii="宋体" w:hAnsi="宋体" w:eastAsia="宋体" w:cs="宋体"/>
          <w:bCs/>
          <w:color w:val="auto"/>
          <w:spacing w:val="-6"/>
          <w:kern w:val="2"/>
          <w:sz w:val="24"/>
          <w:szCs w:val="24"/>
        </w:rPr>
        <w:t>设备运行后，按用户指定免费培训操作人员及维修人员，在系统和设备的安装、检验、调试、使用和维护等方面对</w:t>
      </w:r>
      <w:r>
        <w:rPr>
          <w:rFonts w:hint="eastAsia" w:hAnsi="宋体" w:cs="宋体"/>
          <w:bCs/>
          <w:color w:val="auto"/>
          <w:spacing w:val="-6"/>
          <w:kern w:val="2"/>
          <w:sz w:val="24"/>
          <w:szCs w:val="24"/>
          <w:lang w:val="en-US" w:eastAsia="zh-CN"/>
        </w:rPr>
        <w:t>招标</w:t>
      </w:r>
      <w:r>
        <w:rPr>
          <w:rFonts w:hint="eastAsia" w:ascii="宋体" w:hAnsi="宋体" w:eastAsia="宋体" w:cs="宋体"/>
          <w:bCs/>
          <w:color w:val="auto"/>
          <w:spacing w:val="-6"/>
          <w:kern w:val="2"/>
          <w:sz w:val="24"/>
          <w:szCs w:val="24"/>
        </w:rPr>
        <w:t>人技术人员进行现场和专项技术培训，使其能够掌握设备的操作使用方法以及必要的维护技能</w:t>
      </w:r>
      <w:r>
        <w:rPr>
          <w:rFonts w:hint="eastAsia" w:ascii="宋体" w:hAnsi="宋体" w:eastAsia="宋体" w:cs="宋体"/>
          <w:bCs/>
          <w:color w:val="auto"/>
          <w:spacing w:val="-6"/>
          <w:kern w:val="2"/>
          <w:sz w:val="24"/>
          <w:szCs w:val="24"/>
          <w:lang w:eastAsia="zh-CN"/>
        </w:rPr>
        <w:t>，教会为止</w:t>
      </w:r>
      <w:r>
        <w:rPr>
          <w:rFonts w:hint="eastAsia" w:ascii="宋体" w:hAnsi="宋体" w:eastAsia="宋体" w:cs="宋体"/>
          <w:bCs/>
          <w:color w:val="auto"/>
          <w:spacing w:val="-6"/>
          <w:kern w:val="2"/>
          <w:sz w:val="24"/>
          <w:szCs w:val="24"/>
        </w:rPr>
        <w:t>。</w:t>
      </w:r>
    </w:p>
    <w:p>
      <w:pPr>
        <w:pStyle w:val="27"/>
        <w:pageBreakBefore w:val="0"/>
        <w:numPr>
          <w:ilvl w:val="0"/>
          <w:numId w:val="0"/>
        </w:numPr>
        <w:kinsoku/>
        <w:wordWrap/>
        <w:overflowPunct/>
        <w:topLinePunct w:val="0"/>
        <w:bidi w:val="0"/>
        <w:spacing w:line="360" w:lineRule="auto"/>
        <w:ind w:left="0" w:leftChars="0" w:firstLine="419" w:firstLineChars="184"/>
        <w:rPr>
          <w:rFonts w:hint="default" w:ascii="宋体" w:hAnsi="宋体" w:eastAsia="宋体" w:cs="宋体"/>
          <w:bCs/>
          <w:color w:val="auto"/>
          <w:spacing w:val="-6"/>
          <w:kern w:val="2"/>
          <w:sz w:val="24"/>
          <w:szCs w:val="24"/>
          <w:lang w:val="en-US" w:eastAsia="zh-CN"/>
        </w:rPr>
      </w:pPr>
      <w:r>
        <w:rPr>
          <w:rFonts w:hint="eastAsia" w:hAnsi="宋体" w:cs="宋体"/>
          <w:bCs/>
          <w:color w:val="auto"/>
          <w:spacing w:val="-6"/>
          <w:kern w:val="2"/>
          <w:sz w:val="24"/>
          <w:szCs w:val="24"/>
          <w:lang w:val="en-US" w:eastAsia="zh-CN"/>
        </w:rPr>
        <w:t>5.质保</w:t>
      </w:r>
      <w:r>
        <w:rPr>
          <w:rFonts w:hint="eastAsia" w:cs="仿宋" w:asciiTheme="minorEastAsia" w:hAnsiTheme="minorEastAsia" w:eastAsiaTheme="minorEastAsia"/>
          <w:kern w:val="0"/>
          <w:sz w:val="24"/>
          <w:szCs w:val="22"/>
        </w:rPr>
        <w:t>期内因不能排除的故障而影响工作的情况每发生一次，其</w:t>
      </w:r>
      <w:r>
        <w:rPr>
          <w:rFonts w:hint="eastAsia" w:cs="仿宋" w:asciiTheme="minorEastAsia" w:hAnsiTheme="minorEastAsia" w:eastAsiaTheme="minorEastAsia"/>
          <w:kern w:val="0"/>
          <w:sz w:val="24"/>
          <w:szCs w:val="22"/>
          <w:lang w:eastAsia="zh-CN"/>
        </w:rPr>
        <w:t>质保</w:t>
      </w:r>
      <w:r>
        <w:rPr>
          <w:rFonts w:hint="eastAsia" w:cs="仿宋" w:asciiTheme="minorEastAsia" w:hAnsiTheme="minorEastAsia" w:eastAsiaTheme="minorEastAsia"/>
          <w:kern w:val="0"/>
          <w:sz w:val="24"/>
          <w:szCs w:val="22"/>
        </w:rPr>
        <w:t>期相应延长60天。</w:t>
      </w:r>
    </w:p>
    <w:p>
      <w:pPr>
        <w:pStyle w:val="30"/>
        <w:pageBreakBefore w:val="0"/>
        <w:kinsoku/>
        <w:wordWrap/>
        <w:overflowPunct/>
        <w:topLinePunct w:val="0"/>
        <w:bidi w:val="0"/>
        <w:spacing w:line="360" w:lineRule="auto"/>
        <w:ind w:firstLine="0" w:firstLineChars="0"/>
        <w:outlineLvl w:val="2"/>
        <w:rPr>
          <w:rFonts w:hint="eastAsia" w:ascii="宋体" w:hAnsi="宋体" w:eastAsia="宋体" w:cs="Times New Roman"/>
          <w:b/>
          <w:kern w:val="2"/>
          <w:sz w:val="24"/>
          <w:szCs w:val="21"/>
          <w:lang w:val="en-US" w:eastAsia="zh-CN" w:bidi="ar-SA"/>
        </w:rPr>
      </w:pPr>
      <w:r>
        <w:rPr>
          <w:rFonts w:hint="eastAsia" w:ascii="宋体" w:hAnsi="宋体" w:eastAsia="宋体" w:cs="Times New Roman"/>
          <w:b/>
          <w:kern w:val="2"/>
          <w:sz w:val="24"/>
          <w:szCs w:val="21"/>
          <w:lang w:val="en-US" w:eastAsia="zh-CN" w:bidi="ar-SA"/>
        </w:rPr>
        <w:t>第七条 验收要求</w:t>
      </w:r>
    </w:p>
    <w:p>
      <w:pPr>
        <w:pStyle w:val="27"/>
        <w:pageBreakBefore w:val="0"/>
        <w:kinsoku/>
        <w:wordWrap/>
        <w:overflowPunct/>
        <w:topLinePunct w:val="0"/>
        <w:bidi w:val="0"/>
        <w:spacing w:line="360" w:lineRule="auto"/>
        <w:ind w:firstLine="456" w:firstLineChars="200"/>
        <w:rPr>
          <w:rFonts w:hint="eastAsia"/>
        </w:rPr>
      </w:pPr>
      <w:r>
        <w:rPr>
          <w:rFonts w:hint="eastAsia" w:ascii="宋体" w:hAnsi="宋体" w:eastAsia="宋体" w:cs="宋体"/>
          <w:bCs/>
          <w:color w:val="auto"/>
          <w:spacing w:val="-6"/>
          <w:kern w:val="2"/>
          <w:sz w:val="24"/>
          <w:szCs w:val="24"/>
        </w:rPr>
        <w:t>根据招标文件、行业标准和国家的相关法律法规对产品进行验收。</w:t>
      </w:r>
    </w:p>
    <w:p>
      <w:pPr>
        <w:snapToGrid w:val="0"/>
        <w:spacing w:before="238" w:line="360" w:lineRule="auto"/>
        <w:rPr>
          <w:rFonts w:hint="eastAsia" w:ascii="宋体" w:hAnsi="宋体"/>
          <w:b/>
          <w:sz w:val="24"/>
          <w:szCs w:val="21"/>
        </w:rPr>
      </w:pPr>
      <w:r>
        <w:rPr>
          <w:rFonts w:hint="eastAsia" w:ascii="宋体" w:hAnsi="宋体"/>
          <w:b/>
          <w:sz w:val="24"/>
          <w:szCs w:val="21"/>
          <w:lang w:eastAsia="zh-CN"/>
        </w:rPr>
        <w:t>第</w:t>
      </w:r>
      <w:r>
        <w:rPr>
          <w:rFonts w:hint="eastAsia" w:ascii="宋体" w:hAnsi="宋体"/>
          <w:b/>
          <w:sz w:val="24"/>
          <w:szCs w:val="21"/>
          <w:lang w:val="en-US" w:eastAsia="zh-CN"/>
        </w:rPr>
        <w:t>八</w:t>
      </w:r>
      <w:r>
        <w:rPr>
          <w:rFonts w:hint="eastAsia" w:ascii="宋体" w:hAnsi="宋体"/>
          <w:b/>
          <w:sz w:val="24"/>
          <w:szCs w:val="21"/>
          <w:lang w:eastAsia="zh-CN"/>
        </w:rPr>
        <w:t>条</w:t>
      </w:r>
      <w:r>
        <w:rPr>
          <w:rFonts w:hint="eastAsia" w:ascii="宋体" w:hAnsi="宋体"/>
          <w:b/>
          <w:sz w:val="24"/>
          <w:szCs w:val="21"/>
          <w:lang w:val="en-US" w:eastAsia="zh-CN"/>
        </w:rPr>
        <w:t xml:space="preserve"> </w:t>
      </w:r>
      <w:r>
        <w:rPr>
          <w:rFonts w:hint="eastAsia" w:ascii="宋体" w:hAnsi="宋体"/>
          <w:b/>
          <w:sz w:val="24"/>
          <w:szCs w:val="21"/>
        </w:rPr>
        <w:t>使用合同文件和资料：</w:t>
      </w:r>
    </w:p>
    <w:p>
      <w:pPr>
        <w:snapToGrid w:val="0"/>
        <w:spacing w:before="238" w:line="360" w:lineRule="auto"/>
        <w:ind w:firstLine="480" w:firstLineChars="200"/>
        <w:rPr>
          <w:rFonts w:hint="eastAsia" w:ascii="宋体" w:hAnsi="宋体"/>
          <w:sz w:val="24"/>
          <w:szCs w:val="21"/>
        </w:rPr>
      </w:pPr>
      <w:r>
        <w:rPr>
          <w:rFonts w:hint="eastAsia" w:ascii="宋体" w:hAnsi="宋体"/>
          <w:sz w:val="24"/>
          <w:szCs w:val="21"/>
          <w:lang w:val="en-US" w:eastAsia="zh-CN"/>
        </w:rPr>
        <w:t>8</w:t>
      </w:r>
      <w:r>
        <w:rPr>
          <w:rFonts w:hint="eastAsia" w:ascii="宋体" w:hAnsi="宋体"/>
          <w:sz w:val="24"/>
          <w:szCs w:val="21"/>
        </w:rPr>
        <w:t>.1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pPr>
        <w:snapToGrid w:val="0"/>
        <w:spacing w:before="238" w:line="360" w:lineRule="auto"/>
        <w:ind w:firstLine="480" w:firstLineChars="200"/>
        <w:rPr>
          <w:rFonts w:hint="eastAsia" w:ascii="宋体" w:hAnsi="宋体"/>
          <w:sz w:val="24"/>
          <w:szCs w:val="21"/>
        </w:rPr>
      </w:pPr>
      <w:r>
        <w:rPr>
          <w:rFonts w:hint="eastAsia" w:ascii="宋体" w:hAnsi="宋体"/>
          <w:sz w:val="24"/>
          <w:szCs w:val="21"/>
          <w:lang w:val="en-US" w:eastAsia="zh-CN"/>
        </w:rPr>
        <w:t>8</w:t>
      </w:r>
      <w:r>
        <w:rPr>
          <w:rFonts w:hint="eastAsia" w:ascii="宋体" w:hAnsi="宋体"/>
          <w:sz w:val="24"/>
          <w:szCs w:val="21"/>
        </w:rPr>
        <w:t>.2 没有甲方事先书面同意，除了履行本合同之外，乙方不应使用</w:t>
      </w:r>
      <w:r>
        <w:rPr>
          <w:rFonts w:hint="eastAsia" w:ascii="宋体" w:hAnsi="宋体"/>
          <w:sz w:val="24"/>
          <w:szCs w:val="21"/>
          <w:lang w:val="en-US" w:eastAsia="zh-CN"/>
        </w:rPr>
        <w:t>8</w:t>
      </w:r>
      <w:r>
        <w:rPr>
          <w:rFonts w:hint="eastAsia" w:ascii="宋体" w:hAnsi="宋体"/>
          <w:sz w:val="24"/>
          <w:szCs w:val="21"/>
        </w:rPr>
        <w:t>.1条款所列举的任何文件和资料。</w:t>
      </w:r>
    </w:p>
    <w:p>
      <w:pPr>
        <w:snapToGrid w:val="0"/>
        <w:spacing w:before="238" w:line="360" w:lineRule="auto"/>
        <w:ind w:firstLine="480" w:firstLineChars="200"/>
        <w:rPr>
          <w:rFonts w:hint="eastAsia" w:ascii="宋体" w:hAnsi="宋体"/>
          <w:sz w:val="24"/>
          <w:szCs w:val="21"/>
        </w:rPr>
      </w:pPr>
      <w:r>
        <w:rPr>
          <w:rFonts w:hint="eastAsia" w:ascii="宋体" w:hAnsi="宋体"/>
          <w:sz w:val="24"/>
          <w:szCs w:val="21"/>
          <w:lang w:val="en-US" w:eastAsia="zh-CN"/>
        </w:rPr>
        <w:t>8</w:t>
      </w:r>
      <w:r>
        <w:rPr>
          <w:rFonts w:hint="eastAsia" w:ascii="宋体" w:hAnsi="宋体"/>
          <w:sz w:val="24"/>
          <w:szCs w:val="21"/>
        </w:rPr>
        <w:t xml:space="preserve">.3 除了合同本身外， </w:t>
      </w:r>
      <w:r>
        <w:rPr>
          <w:rFonts w:hint="eastAsia" w:ascii="宋体" w:hAnsi="宋体"/>
          <w:sz w:val="24"/>
          <w:szCs w:val="21"/>
          <w:lang w:val="en-US" w:eastAsia="zh-CN"/>
        </w:rPr>
        <w:t>8</w:t>
      </w:r>
      <w:r>
        <w:rPr>
          <w:rFonts w:hint="eastAsia" w:ascii="宋体" w:hAnsi="宋体"/>
          <w:sz w:val="24"/>
          <w:szCs w:val="21"/>
        </w:rPr>
        <w:t>.1条款所列举的任何文件是甲方的财产。如果甲方有要求，乙方应在完成合同后将这些文件及全部复制件归还给甲方。</w:t>
      </w:r>
    </w:p>
    <w:p>
      <w:pPr>
        <w:snapToGrid w:val="0"/>
        <w:spacing w:before="238" w:line="360" w:lineRule="auto"/>
        <w:rPr>
          <w:rFonts w:hint="eastAsia" w:ascii="宋体" w:hAnsi="宋体"/>
          <w:b/>
          <w:sz w:val="24"/>
          <w:szCs w:val="21"/>
        </w:rPr>
      </w:pPr>
      <w:r>
        <w:rPr>
          <w:rFonts w:hint="eastAsia" w:ascii="宋体" w:hAnsi="宋体"/>
          <w:b/>
          <w:sz w:val="24"/>
          <w:szCs w:val="21"/>
          <w:lang w:eastAsia="zh-CN"/>
        </w:rPr>
        <w:t>第</w:t>
      </w:r>
      <w:r>
        <w:rPr>
          <w:rFonts w:hint="eastAsia" w:ascii="宋体" w:hAnsi="宋体"/>
          <w:b/>
          <w:sz w:val="24"/>
          <w:szCs w:val="21"/>
          <w:lang w:val="en-US" w:eastAsia="zh-CN"/>
        </w:rPr>
        <w:t>九</w:t>
      </w:r>
      <w:r>
        <w:rPr>
          <w:rFonts w:hint="eastAsia" w:ascii="宋体" w:hAnsi="宋体"/>
          <w:b/>
          <w:sz w:val="24"/>
          <w:szCs w:val="21"/>
          <w:lang w:eastAsia="zh-CN"/>
        </w:rPr>
        <w:t>条</w:t>
      </w:r>
      <w:r>
        <w:rPr>
          <w:rFonts w:hint="eastAsia" w:ascii="宋体" w:hAnsi="宋体"/>
          <w:b/>
          <w:sz w:val="24"/>
          <w:szCs w:val="21"/>
          <w:lang w:val="en-US" w:eastAsia="zh-CN"/>
        </w:rPr>
        <w:t xml:space="preserve"> </w:t>
      </w:r>
      <w:r>
        <w:rPr>
          <w:rFonts w:hint="eastAsia" w:ascii="宋体" w:hAnsi="宋体"/>
          <w:b/>
          <w:sz w:val="24"/>
          <w:szCs w:val="21"/>
        </w:rPr>
        <w:t>知识产权</w:t>
      </w:r>
    </w:p>
    <w:p>
      <w:pPr>
        <w:widowControl/>
        <w:spacing w:line="360" w:lineRule="auto"/>
        <w:jc w:val="left"/>
        <w:rPr>
          <w:rFonts w:ascii="宋体" w:hAnsi="宋体" w:cs="宋体"/>
          <w:kern w:val="0"/>
          <w:sz w:val="24"/>
          <w:szCs w:val="22"/>
        </w:rPr>
      </w:pPr>
      <w:r>
        <w:rPr>
          <w:rFonts w:hint="eastAsia" w:ascii="宋体" w:hAnsi="宋体" w:cs="宋体"/>
          <w:kern w:val="0"/>
          <w:sz w:val="24"/>
          <w:szCs w:val="22"/>
        </w:rPr>
        <w:t xml:space="preserve">    乙方保证提供的货物不存在对任何第三方侵权行为（包括商标、专利、著作权等知识产权）。若发生侵权行为，由乙方负全责，应承担由此发生的一切经济和法律责任。若甲方因此承担赔偿责任的，有权全额向乙方追偿，要求乙方支付因此产生的一切损失，包括但不限于赔偿金、律师费、诉讼费、保全费、差旅费等。乙方还应当承担违约责任，按照本合同金额的20%向甲方支付违约金。</w:t>
      </w:r>
    </w:p>
    <w:p>
      <w:pPr>
        <w:snapToGrid w:val="0"/>
        <w:spacing w:before="238" w:line="360" w:lineRule="auto"/>
        <w:rPr>
          <w:rFonts w:hint="eastAsia" w:ascii="宋体" w:hAnsi="宋体"/>
          <w:b/>
          <w:sz w:val="24"/>
          <w:szCs w:val="21"/>
        </w:rPr>
      </w:pPr>
      <w:r>
        <w:rPr>
          <w:rFonts w:hint="eastAsia" w:ascii="宋体" w:hAnsi="宋体"/>
          <w:b/>
          <w:sz w:val="24"/>
          <w:szCs w:val="21"/>
          <w:lang w:eastAsia="zh-CN"/>
        </w:rPr>
        <w:t>第</w:t>
      </w:r>
      <w:r>
        <w:rPr>
          <w:rFonts w:hint="eastAsia" w:ascii="宋体" w:hAnsi="宋体"/>
          <w:b/>
          <w:sz w:val="24"/>
          <w:szCs w:val="21"/>
          <w:lang w:val="en-US" w:eastAsia="zh-CN"/>
        </w:rPr>
        <w:t>十</w:t>
      </w:r>
      <w:r>
        <w:rPr>
          <w:rFonts w:hint="eastAsia" w:ascii="宋体" w:hAnsi="宋体"/>
          <w:b/>
          <w:sz w:val="24"/>
          <w:szCs w:val="21"/>
          <w:lang w:eastAsia="zh-CN"/>
        </w:rPr>
        <w:t>条</w:t>
      </w:r>
      <w:r>
        <w:rPr>
          <w:rFonts w:hint="eastAsia" w:ascii="宋体" w:hAnsi="宋体"/>
          <w:b/>
          <w:sz w:val="24"/>
          <w:szCs w:val="21"/>
          <w:lang w:val="en-US" w:eastAsia="zh-CN"/>
        </w:rPr>
        <w:t xml:space="preserve"> </w:t>
      </w:r>
      <w:r>
        <w:rPr>
          <w:rFonts w:hint="eastAsia" w:ascii="宋体" w:hAnsi="宋体"/>
          <w:b/>
          <w:sz w:val="24"/>
          <w:szCs w:val="21"/>
        </w:rPr>
        <w:t>不可抗力</w:t>
      </w:r>
    </w:p>
    <w:p>
      <w:pPr>
        <w:snapToGrid w:val="0"/>
        <w:spacing w:before="238" w:line="360" w:lineRule="auto"/>
        <w:rPr>
          <w:rFonts w:hint="eastAsia" w:ascii="宋体" w:hAnsi="宋体"/>
          <w:sz w:val="24"/>
          <w:szCs w:val="21"/>
        </w:rPr>
      </w:pPr>
      <w:r>
        <w:rPr>
          <w:rFonts w:hint="eastAsia" w:ascii="宋体" w:hAnsi="宋体"/>
          <w:sz w:val="24"/>
          <w:szCs w:val="21"/>
        </w:rPr>
        <w:t xml:space="preserve">   </w:t>
      </w:r>
      <w:r>
        <w:rPr>
          <w:rFonts w:hint="eastAsia" w:ascii="宋体" w:hAnsi="宋体"/>
          <w:sz w:val="24"/>
          <w:szCs w:val="21"/>
          <w:lang w:val="en-US" w:eastAsia="zh-CN"/>
        </w:rPr>
        <w:t>10</w:t>
      </w:r>
      <w:r>
        <w:rPr>
          <w:rFonts w:hint="eastAsia" w:ascii="宋体" w:hAnsi="宋体"/>
          <w:sz w:val="24"/>
          <w:szCs w:val="21"/>
        </w:rPr>
        <w:t>.1如果双方中任何一方由于战争、严重火灾、水灾、台风和地震以及其它经双方同意属于不可抗力的事故，致使合同履行受阻时，受不可抗力影响导致合同义务延迟或不能履行的一方不承担责任，但应尽快以书面方式将不可抗力事件结束或消除的情况通知另一方，并立即继续履行合同义务，合同的期限也应予相应延长。</w:t>
      </w:r>
    </w:p>
    <w:p>
      <w:pPr>
        <w:snapToGrid w:val="0"/>
        <w:spacing w:before="238" w:line="360" w:lineRule="auto"/>
        <w:ind w:firstLine="360" w:firstLineChars="150"/>
        <w:rPr>
          <w:rFonts w:hint="eastAsia" w:ascii="宋体" w:hAnsi="宋体"/>
          <w:sz w:val="24"/>
          <w:szCs w:val="21"/>
        </w:rPr>
      </w:pPr>
      <w:r>
        <w:rPr>
          <w:rFonts w:hint="eastAsia" w:ascii="宋体" w:hAnsi="宋体"/>
          <w:sz w:val="24"/>
          <w:szCs w:val="21"/>
          <w:lang w:val="en-US" w:eastAsia="zh-CN"/>
        </w:rPr>
        <w:t>10</w:t>
      </w:r>
      <w:r>
        <w:rPr>
          <w:rFonts w:hint="eastAsia" w:ascii="宋体" w:hAnsi="宋体"/>
          <w:sz w:val="24"/>
          <w:szCs w:val="21"/>
        </w:rPr>
        <w:t>.2受事故影响的一方应在不可抗力的事故发生后尽快以书面、或钉钉微信等方式通知另一方，并在事故发生后14天内，将有关部门出具的证明文件用挂号信邮寄或派人送达另一方。如果不可抗力影响时间超过合同规定的期限的，合同任何一方均有权以书面通知终止合同。</w:t>
      </w:r>
    </w:p>
    <w:p>
      <w:pPr>
        <w:snapToGrid w:val="0"/>
        <w:spacing w:before="238" w:line="360" w:lineRule="auto"/>
        <w:rPr>
          <w:rFonts w:hint="eastAsia" w:ascii="宋体" w:hAnsi="宋体"/>
          <w:b/>
          <w:sz w:val="24"/>
          <w:szCs w:val="21"/>
        </w:rPr>
      </w:pPr>
      <w:r>
        <w:rPr>
          <w:rFonts w:hint="eastAsia" w:ascii="宋体" w:hAnsi="宋体"/>
          <w:b/>
          <w:sz w:val="24"/>
          <w:szCs w:val="21"/>
          <w:lang w:eastAsia="zh-CN"/>
        </w:rPr>
        <w:t>第</w:t>
      </w:r>
      <w:r>
        <w:rPr>
          <w:rFonts w:hint="eastAsia" w:ascii="宋体" w:hAnsi="宋体"/>
          <w:b/>
          <w:sz w:val="24"/>
          <w:szCs w:val="21"/>
          <w:lang w:val="en-US" w:eastAsia="zh-CN"/>
        </w:rPr>
        <w:t>十一</w:t>
      </w:r>
      <w:r>
        <w:rPr>
          <w:rFonts w:hint="eastAsia" w:ascii="宋体" w:hAnsi="宋体"/>
          <w:b/>
          <w:sz w:val="24"/>
          <w:szCs w:val="21"/>
          <w:lang w:eastAsia="zh-CN"/>
        </w:rPr>
        <w:t>条</w:t>
      </w:r>
      <w:r>
        <w:rPr>
          <w:rFonts w:hint="eastAsia" w:ascii="宋体" w:hAnsi="宋体"/>
          <w:b/>
          <w:sz w:val="24"/>
          <w:szCs w:val="21"/>
          <w:lang w:val="en-US" w:eastAsia="zh-CN"/>
        </w:rPr>
        <w:t xml:space="preserve"> </w:t>
      </w:r>
      <w:r>
        <w:rPr>
          <w:rFonts w:hint="eastAsia" w:ascii="宋体" w:hAnsi="宋体"/>
          <w:b/>
          <w:sz w:val="24"/>
          <w:szCs w:val="21"/>
        </w:rPr>
        <w:t>税费</w:t>
      </w:r>
    </w:p>
    <w:p>
      <w:pPr>
        <w:snapToGrid w:val="0"/>
        <w:spacing w:before="238" w:line="360" w:lineRule="auto"/>
        <w:rPr>
          <w:rFonts w:hint="eastAsia" w:ascii="宋体" w:hAnsi="宋体"/>
          <w:sz w:val="24"/>
          <w:szCs w:val="21"/>
        </w:rPr>
      </w:pPr>
      <w:r>
        <w:rPr>
          <w:rFonts w:hint="eastAsia" w:ascii="宋体" w:hAnsi="宋体"/>
          <w:sz w:val="24"/>
          <w:szCs w:val="21"/>
        </w:rPr>
        <w:t xml:space="preserve">   </w:t>
      </w:r>
      <w:r>
        <w:rPr>
          <w:rFonts w:hint="eastAsia" w:ascii="宋体" w:hAnsi="宋体"/>
          <w:sz w:val="24"/>
          <w:szCs w:val="21"/>
          <w:lang w:val="en-US" w:eastAsia="zh-CN"/>
        </w:rPr>
        <w:t>11</w:t>
      </w:r>
      <w:r>
        <w:rPr>
          <w:rFonts w:hint="eastAsia" w:ascii="宋体" w:hAnsi="宋体"/>
          <w:sz w:val="24"/>
          <w:szCs w:val="21"/>
        </w:rPr>
        <w:t>.1根据国家现行税法对甲方征收的与合同有关的一切税费均由甲方负担。</w:t>
      </w:r>
    </w:p>
    <w:p>
      <w:pPr>
        <w:snapToGrid w:val="0"/>
        <w:spacing w:before="238" w:line="360" w:lineRule="auto"/>
        <w:rPr>
          <w:rFonts w:hint="eastAsia" w:ascii="宋体" w:hAnsi="宋体"/>
          <w:sz w:val="24"/>
          <w:szCs w:val="21"/>
        </w:rPr>
      </w:pPr>
      <w:r>
        <w:rPr>
          <w:rFonts w:hint="eastAsia" w:ascii="宋体" w:hAnsi="宋体"/>
          <w:sz w:val="24"/>
          <w:szCs w:val="21"/>
        </w:rPr>
        <w:t xml:space="preserve">   </w:t>
      </w:r>
      <w:r>
        <w:rPr>
          <w:rFonts w:hint="eastAsia" w:ascii="宋体" w:hAnsi="宋体"/>
          <w:sz w:val="24"/>
          <w:szCs w:val="21"/>
          <w:lang w:val="en-US" w:eastAsia="zh-CN"/>
        </w:rPr>
        <w:t>11</w:t>
      </w:r>
      <w:r>
        <w:rPr>
          <w:rFonts w:hint="eastAsia" w:ascii="宋体" w:hAnsi="宋体"/>
          <w:sz w:val="24"/>
          <w:szCs w:val="21"/>
        </w:rPr>
        <w:t>.2根据国家现行税法对乙方征收的与合同有关的一切税费均由乙方负担。</w:t>
      </w:r>
    </w:p>
    <w:p>
      <w:pPr>
        <w:snapToGrid w:val="0"/>
        <w:spacing w:before="238" w:line="360" w:lineRule="auto"/>
        <w:rPr>
          <w:rFonts w:hint="eastAsia" w:ascii="宋体" w:hAnsi="宋体"/>
          <w:b/>
          <w:sz w:val="24"/>
          <w:szCs w:val="21"/>
          <w:lang w:eastAsia="zh-CN"/>
        </w:rPr>
      </w:pPr>
      <w:r>
        <w:rPr>
          <w:rFonts w:hint="eastAsia" w:ascii="宋体" w:hAnsi="宋体"/>
          <w:b/>
          <w:sz w:val="24"/>
          <w:szCs w:val="21"/>
          <w:lang w:eastAsia="zh-CN"/>
        </w:rPr>
        <w:t>第</w:t>
      </w:r>
      <w:r>
        <w:rPr>
          <w:rFonts w:hint="eastAsia" w:ascii="宋体" w:hAnsi="宋体"/>
          <w:b/>
          <w:sz w:val="24"/>
          <w:szCs w:val="21"/>
        </w:rPr>
        <w:t>十</w:t>
      </w:r>
      <w:r>
        <w:rPr>
          <w:rFonts w:hint="eastAsia" w:ascii="宋体" w:hAnsi="宋体"/>
          <w:b/>
          <w:sz w:val="24"/>
          <w:szCs w:val="21"/>
          <w:lang w:val="en-US" w:eastAsia="zh-CN"/>
        </w:rPr>
        <w:t>二</w:t>
      </w:r>
      <w:r>
        <w:rPr>
          <w:rFonts w:hint="eastAsia" w:ascii="宋体" w:hAnsi="宋体"/>
          <w:b/>
          <w:sz w:val="24"/>
          <w:szCs w:val="21"/>
          <w:lang w:eastAsia="zh-CN"/>
        </w:rPr>
        <w:t>条</w:t>
      </w:r>
      <w:r>
        <w:rPr>
          <w:rFonts w:hint="eastAsia" w:ascii="宋体" w:hAnsi="宋体"/>
          <w:b/>
          <w:sz w:val="24"/>
          <w:szCs w:val="21"/>
          <w:lang w:val="en-US" w:eastAsia="zh-CN"/>
        </w:rPr>
        <w:t xml:space="preserve"> </w:t>
      </w:r>
      <w:r>
        <w:rPr>
          <w:rFonts w:hint="eastAsia" w:ascii="宋体" w:hAnsi="宋体"/>
          <w:b/>
          <w:sz w:val="24"/>
          <w:szCs w:val="21"/>
        </w:rPr>
        <w:t>违约</w:t>
      </w:r>
      <w:r>
        <w:rPr>
          <w:rFonts w:hint="eastAsia" w:ascii="宋体" w:hAnsi="宋体"/>
          <w:b/>
          <w:sz w:val="24"/>
          <w:szCs w:val="21"/>
          <w:lang w:eastAsia="zh-CN"/>
        </w:rPr>
        <w:t>责任</w:t>
      </w:r>
    </w:p>
    <w:p>
      <w:pPr>
        <w:pStyle w:val="31"/>
        <w:spacing w:before="0" w:beforeAutospacing="0" w:after="0" w:afterAutospacing="0" w:line="440" w:lineRule="exact"/>
        <w:ind w:firstLine="480" w:firstLineChars="200"/>
        <w:rPr>
          <w:rFonts w:cs="仿宋" w:asciiTheme="minorEastAsia" w:hAnsiTheme="minorEastAsia" w:eastAsiaTheme="minorEastAsia"/>
        </w:rPr>
      </w:pPr>
      <w:r>
        <w:rPr>
          <w:rFonts w:hint="eastAsia" w:cs="仿宋" w:asciiTheme="minorEastAsia" w:hAnsiTheme="minorEastAsia" w:eastAsiaTheme="minorEastAsia"/>
        </w:rPr>
        <w:t>1</w:t>
      </w:r>
      <w:r>
        <w:rPr>
          <w:rFonts w:hint="eastAsia" w:cs="仿宋" w:asciiTheme="minorEastAsia" w:hAnsiTheme="minorEastAsia" w:eastAsiaTheme="minorEastAsia"/>
          <w:lang w:val="en-US" w:eastAsia="zh-CN"/>
        </w:rPr>
        <w:t>2</w:t>
      </w:r>
      <w:r>
        <w:rPr>
          <w:rFonts w:hint="eastAsia" w:cs="仿宋" w:asciiTheme="minorEastAsia" w:hAnsiTheme="minorEastAsia" w:eastAsiaTheme="minorEastAsia"/>
        </w:rPr>
        <w:t>.1甲方无正当理由拒收、拒付货物款的，由甲方向乙方偿付合同总价的3%违约金。</w:t>
      </w:r>
    </w:p>
    <w:p>
      <w:pPr>
        <w:pStyle w:val="31"/>
        <w:spacing w:before="0" w:beforeAutospacing="0" w:after="0" w:afterAutospacing="0" w:line="440" w:lineRule="exact"/>
        <w:ind w:firstLine="480" w:firstLineChars="200"/>
        <w:rPr>
          <w:rFonts w:cs="仿宋" w:asciiTheme="minorEastAsia" w:hAnsiTheme="minorEastAsia" w:eastAsiaTheme="minorEastAsia"/>
        </w:rPr>
      </w:pPr>
      <w:r>
        <w:rPr>
          <w:rFonts w:hint="eastAsia" w:cs="仿宋" w:asciiTheme="minorEastAsia" w:hAnsiTheme="minorEastAsia" w:eastAsiaTheme="minorEastAsia"/>
        </w:rPr>
        <w:t>1</w:t>
      </w:r>
      <w:r>
        <w:rPr>
          <w:rFonts w:hint="eastAsia" w:cs="仿宋" w:asciiTheme="minorEastAsia" w:hAnsiTheme="minorEastAsia" w:eastAsiaTheme="minorEastAsia"/>
          <w:lang w:val="en-US" w:eastAsia="zh-CN"/>
        </w:rPr>
        <w:t>2</w:t>
      </w:r>
      <w:r>
        <w:rPr>
          <w:rFonts w:hint="eastAsia" w:cs="仿宋" w:asciiTheme="minorEastAsia" w:hAnsiTheme="minorEastAsia" w:eastAsiaTheme="minorEastAsia"/>
        </w:rPr>
        <w:t>.2</w:t>
      </w:r>
      <w:r>
        <w:rPr>
          <w:rFonts w:hint="eastAsia" w:cs="仿宋" w:asciiTheme="minorEastAsia" w:hAnsiTheme="minorEastAsia" w:eastAsiaTheme="minorEastAsia"/>
          <w:szCs w:val="28"/>
        </w:rPr>
        <w:t>甲方未按合同规定的期限向乙方支付货款的[非甲方原因除外]，每逾期1天甲方向乙方偿付欠款总额的0.5‰违约金，但累计违约金总额不超过欠款总额的5% 。</w:t>
      </w:r>
    </w:p>
    <w:p>
      <w:pPr>
        <w:pStyle w:val="31"/>
        <w:spacing w:before="0" w:beforeAutospacing="0" w:after="0" w:afterAutospacing="0" w:line="440" w:lineRule="exact"/>
        <w:ind w:firstLine="480" w:firstLineChars="200"/>
        <w:rPr>
          <w:rFonts w:cs="仿宋" w:asciiTheme="minorEastAsia" w:hAnsiTheme="minorEastAsia" w:eastAsiaTheme="minorEastAsia"/>
        </w:rPr>
      </w:pPr>
      <w:r>
        <w:rPr>
          <w:rFonts w:hint="eastAsia" w:cs="仿宋" w:asciiTheme="minorEastAsia" w:hAnsiTheme="minorEastAsia" w:eastAsiaTheme="minorEastAsia"/>
        </w:rPr>
        <w:t>1</w:t>
      </w:r>
      <w:r>
        <w:rPr>
          <w:rFonts w:hint="eastAsia" w:cs="仿宋" w:asciiTheme="minorEastAsia" w:hAnsiTheme="minorEastAsia" w:eastAsiaTheme="minorEastAsia"/>
          <w:lang w:val="en-US" w:eastAsia="zh-CN"/>
        </w:rPr>
        <w:t>2</w:t>
      </w:r>
      <w:r>
        <w:rPr>
          <w:rFonts w:hint="eastAsia" w:cs="仿宋" w:asciiTheme="minorEastAsia" w:hAnsiTheme="minorEastAsia" w:eastAsiaTheme="minorEastAsia"/>
        </w:rPr>
        <w:t>.3如乙方不能按照本合同约定交付的，乙方应向甲方支付合同总价5％的违约金。</w:t>
      </w:r>
    </w:p>
    <w:p>
      <w:pPr>
        <w:pStyle w:val="31"/>
        <w:spacing w:before="0" w:beforeAutospacing="0" w:after="0" w:afterAutospacing="0" w:line="440" w:lineRule="exact"/>
        <w:ind w:firstLine="480" w:firstLineChars="200"/>
        <w:rPr>
          <w:rFonts w:cs="仿宋" w:asciiTheme="minorEastAsia" w:hAnsiTheme="minorEastAsia" w:eastAsiaTheme="minorEastAsia"/>
        </w:rPr>
      </w:pPr>
      <w:r>
        <w:rPr>
          <w:rFonts w:hint="eastAsia" w:cs="仿宋" w:asciiTheme="minorEastAsia" w:hAnsiTheme="minorEastAsia" w:eastAsiaTheme="minorEastAsia"/>
        </w:rPr>
        <w:t>1</w:t>
      </w:r>
      <w:r>
        <w:rPr>
          <w:rFonts w:hint="eastAsia" w:cs="仿宋" w:asciiTheme="minorEastAsia" w:hAnsiTheme="minorEastAsia" w:eastAsiaTheme="minorEastAsia"/>
          <w:lang w:val="en-US" w:eastAsia="zh-CN"/>
        </w:rPr>
        <w:t>2</w:t>
      </w:r>
      <w:r>
        <w:rPr>
          <w:rFonts w:hint="eastAsia" w:cs="仿宋" w:asciiTheme="minorEastAsia" w:hAnsiTheme="minorEastAsia" w:eastAsiaTheme="minorEastAsia"/>
        </w:rPr>
        <w:t>.4乙方逾期交付使用的，每逾期1天，乙方向甲方偿付合同总额的3‰的违约金。如乙方逾期交</w:t>
      </w:r>
      <w:r>
        <w:rPr>
          <w:rFonts w:hint="eastAsia" w:cs="仿宋" w:asciiTheme="minorEastAsia" w:hAnsiTheme="minorEastAsia" w:eastAsiaTheme="minorEastAsia"/>
          <w:lang w:eastAsia="zh-CN"/>
        </w:rPr>
        <w:t>付使用</w:t>
      </w:r>
      <w:r>
        <w:rPr>
          <w:rFonts w:hint="eastAsia" w:cs="仿宋" w:asciiTheme="minorEastAsia" w:hAnsiTheme="minorEastAsia" w:eastAsiaTheme="minorEastAsia"/>
        </w:rPr>
        <w:t>达</w:t>
      </w:r>
      <w:r>
        <w:rPr>
          <w:rFonts w:cs="仿宋" w:asciiTheme="minorEastAsia" w:hAnsiTheme="minorEastAsia" w:eastAsiaTheme="minorEastAsia"/>
          <w:u w:val="single"/>
        </w:rPr>
        <w:t>30</w:t>
      </w:r>
      <w:r>
        <w:rPr>
          <w:rFonts w:hint="eastAsia" w:cs="仿宋" w:asciiTheme="minorEastAsia" w:hAnsiTheme="minorEastAsia" w:eastAsiaTheme="minorEastAsia"/>
        </w:rPr>
        <w:t>天，甲方有权解除合同</w:t>
      </w:r>
      <w:r>
        <w:rPr>
          <w:rFonts w:hint="eastAsia" w:cs="仿宋" w:asciiTheme="minorEastAsia" w:hAnsiTheme="minorEastAsia" w:eastAsiaTheme="minorEastAsia"/>
          <w:lang w:eastAsia="zh-CN"/>
        </w:rPr>
        <w:t>。</w:t>
      </w:r>
      <w:r>
        <w:rPr>
          <w:rFonts w:hint="eastAsia" w:cs="仿宋" w:asciiTheme="minorEastAsia" w:hAnsiTheme="minorEastAsia" w:eastAsiaTheme="minorEastAsia"/>
        </w:rPr>
        <w:t>合同解除后，甲方仍有权要求乙方承担相应的违约责任，并赔偿因此给甲方造成的全部损失。解除合同的通知自到达乙方时生效。</w:t>
      </w:r>
    </w:p>
    <w:p>
      <w:pPr>
        <w:pStyle w:val="31"/>
        <w:spacing w:before="0" w:beforeAutospacing="0" w:after="0" w:afterAutospacing="0" w:line="440" w:lineRule="exact"/>
        <w:ind w:firstLine="480" w:firstLineChars="200"/>
        <w:rPr>
          <w:rFonts w:cs="仿宋" w:asciiTheme="minorEastAsia" w:hAnsiTheme="minorEastAsia" w:eastAsiaTheme="minorEastAsia"/>
        </w:rPr>
      </w:pPr>
      <w:r>
        <w:rPr>
          <w:rFonts w:hint="eastAsia" w:cs="仿宋" w:asciiTheme="minorEastAsia" w:hAnsiTheme="minorEastAsia" w:eastAsiaTheme="minorEastAsia"/>
        </w:rPr>
        <w:t>在履行合同过程中，如果乙方遇到不能按时交</w:t>
      </w:r>
      <w:r>
        <w:rPr>
          <w:rFonts w:hint="eastAsia" w:cs="仿宋" w:asciiTheme="minorEastAsia" w:hAnsiTheme="minorEastAsia" w:eastAsiaTheme="minorEastAsia"/>
          <w:lang w:eastAsia="zh-CN"/>
        </w:rPr>
        <w:t>付使用</w:t>
      </w:r>
      <w:r>
        <w:rPr>
          <w:rFonts w:hint="eastAsia" w:cs="仿宋" w:asciiTheme="minorEastAsia" w:hAnsiTheme="minorEastAsia" w:eastAsiaTheme="minorEastAsia"/>
        </w:rPr>
        <w:t>情况，应及时以书面形式将不能按时交</w:t>
      </w:r>
      <w:r>
        <w:rPr>
          <w:rFonts w:hint="eastAsia" w:cs="仿宋" w:asciiTheme="minorEastAsia" w:hAnsiTheme="minorEastAsia" w:eastAsiaTheme="minorEastAsia"/>
          <w:lang w:eastAsia="zh-CN"/>
        </w:rPr>
        <w:t>付使用</w:t>
      </w:r>
      <w:r>
        <w:rPr>
          <w:rFonts w:hint="eastAsia" w:cs="仿宋" w:asciiTheme="minorEastAsia" w:hAnsiTheme="minorEastAsia" w:eastAsiaTheme="minorEastAsia"/>
        </w:rPr>
        <w:t>的理由、预期延误时间通知甲方。甲方收到乙方通知后，认为其理由正当的，可酌情延长交</w:t>
      </w:r>
      <w:r>
        <w:rPr>
          <w:rFonts w:hint="eastAsia" w:cs="仿宋" w:asciiTheme="minorEastAsia" w:hAnsiTheme="minorEastAsia" w:eastAsiaTheme="minorEastAsia"/>
          <w:lang w:eastAsia="zh-CN"/>
        </w:rPr>
        <w:t>付使用</w:t>
      </w:r>
      <w:r>
        <w:rPr>
          <w:rFonts w:hint="eastAsia" w:cs="仿宋" w:asciiTheme="minorEastAsia" w:hAnsiTheme="minorEastAsia" w:eastAsiaTheme="minorEastAsia"/>
        </w:rPr>
        <w:t>时间；不认可乙方不能按时交</w:t>
      </w:r>
      <w:r>
        <w:rPr>
          <w:rFonts w:hint="eastAsia" w:cs="仿宋" w:asciiTheme="minorEastAsia" w:hAnsiTheme="minorEastAsia" w:eastAsiaTheme="minorEastAsia"/>
          <w:lang w:eastAsia="zh-CN"/>
        </w:rPr>
        <w:t>付使用</w:t>
      </w:r>
      <w:r>
        <w:rPr>
          <w:rFonts w:hint="eastAsia" w:cs="仿宋" w:asciiTheme="minorEastAsia" w:hAnsiTheme="minorEastAsia" w:eastAsiaTheme="minorEastAsia"/>
        </w:rPr>
        <w:t>理由的，按逾期交付</w:t>
      </w:r>
      <w:r>
        <w:rPr>
          <w:rFonts w:hint="eastAsia" w:cs="仿宋" w:asciiTheme="minorEastAsia" w:hAnsiTheme="minorEastAsia" w:eastAsiaTheme="minorEastAsia"/>
          <w:lang w:eastAsia="zh-CN"/>
        </w:rPr>
        <w:t>使用</w:t>
      </w:r>
      <w:r>
        <w:rPr>
          <w:rFonts w:hint="eastAsia" w:cs="仿宋" w:asciiTheme="minorEastAsia" w:hAnsiTheme="minorEastAsia" w:eastAsiaTheme="minorEastAsia"/>
        </w:rPr>
        <w:t>处理。</w:t>
      </w:r>
    </w:p>
    <w:p>
      <w:pPr>
        <w:pStyle w:val="31"/>
        <w:spacing w:before="0" w:beforeAutospacing="0" w:after="0" w:afterAutospacing="0" w:line="440" w:lineRule="exact"/>
        <w:ind w:firstLine="480" w:firstLineChars="200"/>
        <w:rPr>
          <w:rFonts w:cs="仿宋" w:asciiTheme="minorEastAsia" w:hAnsiTheme="minorEastAsia" w:eastAsiaTheme="minorEastAsia"/>
        </w:rPr>
      </w:pPr>
      <w:r>
        <w:rPr>
          <w:rFonts w:hint="eastAsia" w:cs="仿宋" w:asciiTheme="minorEastAsia" w:hAnsiTheme="minorEastAsia" w:eastAsiaTheme="minorEastAsia"/>
        </w:rPr>
        <w:t>1</w:t>
      </w:r>
      <w:r>
        <w:rPr>
          <w:rFonts w:hint="eastAsia" w:cs="仿宋" w:asciiTheme="minorEastAsia" w:hAnsiTheme="minorEastAsia" w:eastAsiaTheme="minorEastAsia"/>
          <w:lang w:val="en-US" w:eastAsia="zh-CN"/>
        </w:rPr>
        <w:t>2</w:t>
      </w:r>
      <w:r>
        <w:rPr>
          <w:rFonts w:hint="eastAsia" w:cs="仿宋" w:asciiTheme="minorEastAsia" w:hAnsiTheme="minorEastAsia" w:eastAsiaTheme="minorEastAsia"/>
        </w:rPr>
        <w:t>.5乙方所交付的型号、规格、技术指标不符合合同规定的，甲方有权拒收。甲方拒收的，乙方应向甲方支付货款总额3%的违约金。</w:t>
      </w:r>
    </w:p>
    <w:p>
      <w:pPr>
        <w:pStyle w:val="31"/>
        <w:spacing w:before="0" w:beforeAutospacing="0" w:after="0" w:afterAutospacing="0" w:line="440" w:lineRule="exact"/>
        <w:ind w:firstLine="480" w:firstLineChars="200"/>
        <w:rPr>
          <w:rFonts w:cs="仿宋" w:asciiTheme="minorEastAsia" w:hAnsiTheme="minorEastAsia" w:eastAsiaTheme="minorEastAsia"/>
        </w:rPr>
      </w:pPr>
      <w:r>
        <w:rPr>
          <w:rFonts w:hint="eastAsia" w:cs="仿宋" w:asciiTheme="minorEastAsia" w:hAnsiTheme="minorEastAsia" w:eastAsiaTheme="minorEastAsia"/>
        </w:rPr>
        <w:t>1</w:t>
      </w:r>
      <w:r>
        <w:rPr>
          <w:rFonts w:hint="eastAsia" w:cs="仿宋" w:asciiTheme="minorEastAsia" w:hAnsiTheme="minorEastAsia" w:eastAsiaTheme="minorEastAsia"/>
          <w:lang w:val="en-US" w:eastAsia="zh-CN"/>
        </w:rPr>
        <w:t>2</w:t>
      </w:r>
      <w:r>
        <w:rPr>
          <w:rFonts w:hint="eastAsia" w:cs="仿宋" w:asciiTheme="minorEastAsia" w:hAnsiTheme="minorEastAsia" w:eastAsiaTheme="minorEastAsia"/>
        </w:rPr>
        <w:t>.6乙方应在本合同规定时间内完成工作量，如因乙方原因未在本合同规定时间内完成并造成损失的，应承担相应赔偿责任，但由于甲方原因而使乙方不能按照合同期限按时完成工作量，甲方应承担相应的工期赔偿责任。</w:t>
      </w:r>
    </w:p>
    <w:p>
      <w:pPr>
        <w:pStyle w:val="31"/>
        <w:spacing w:before="0" w:beforeAutospacing="0" w:after="0" w:afterAutospacing="0" w:line="440" w:lineRule="exact"/>
        <w:ind w:firstLine="480" w:firstLineChars="200"/>
        <w:rPr>
          <w:rFonts w:cs="仿宋" w:asciiTheme="minorEastAsia" w:hAnsiTheme="minorEastAsia" w:eastAsiaTheme="minorEastAsia"/>
        </w:rPr>
      </w:pPr>
      <w:r>
        <w:rPr>
          <w:rFonts w:hint="eastAsia" w:cs="仿宋" w:asciiTheme="minorEastAsia" w:hAnsiTheme="minorEastAsia" w:eastAsiaTheme="minorEastAsia"/>
        </w:rPr>
        <w:t>1</w:t>
      </w:r>
      <w:r>
        <w:rPr>
          <w:rFonts w:hint="eastAsia" w:cs="仿宋" w:asciiTheme="minorEastAsia" w:hAnsiTheme="minorEastAsia" w:eastAsiaTheme="minorEastAsia"/>
          <w:lang w:val="en-US" w:eastAsia="zh-CN"/>
        </w:rPr>
        <w:t>2</w:t>
      </w:r>
      <w:r>
        <w:rPr>
          <w:rFonts w:hint="eastAsia" w:cs="仿宋" w:asciiTheme="minorEastAsia" w:hAnsiTheme="minorEastAsia" w:eastAsiaTheme="minorEastAsia"/>
        </w:rPr>
        <w:t>.7在乙方承诺的或国家规定的质量保证期内（取两者中最长的期限），如经乙方两次维修或更换，仍不能达到合同约定的质量标准，甲方有权退货，乙方应退回全部货款，并按第13.3款处理，同时，乙方还须赔偿甲方因此遭受的损失。</w:t>
      </w:r>
    </w:p>
    <w:p>
      <w:pPr>
        <w:pStyle w:val="31"/>
        <w:spacing w:before="0" w:beforeAutospacing="0" w:after="0" w:afterAutospacing="0" w:line="440" w:lineRule="exact"/>
        <w:ind w:firstLine="480" w:firstLineChars="200"/>
        <w:rPr>
          <w:rFonts w:cs="仿宋" w:asciiTheme="minorEastAsia" w:hAnsiTheme="minorEastAsia" w:eastAsiaTheme="minorEastAsia"/>
        </w:rPr>
      </w:pPr>
      <w:r>
        <w:rPr>
          <w:rFonts w:hint="eastAsia" w:cs="仿宋" w:asciiTheme="minorEastAsia" w:hAnsiTheme="minorEastAsia" w:eastAsiaTheme="minorEastAsia"/>
        </w:rPr>
        <w:t>1</w:t>
      </w:r>
      <w:r>
        <w:rPr>
          <w:rFonts w:hint="eastAsia" w:cs="仿宋" w:asciiTheme="minorEastAsia" w:hAnsiTheme="minorEastAsia" w:eastAsiaTheme="minorEastAsia"/>
          <w:lang w:val="en-US" w:eastAsia="zh-CN"/>
        </w:rPr>
        <w:t>2</w:t>
      </w:r>
      <w:r>
        <w:rPr>
          <w:rFonts w:hint="eastAsia" w:cs="仿宋" w:asciiTheme="minorEastAsia" w:hAnsiTheme="minorEastAsia" w:eastAsiaTheme="minorEastAsia"/>
        </w:rPr>
        <w:t>.8乙方未按本合同的规定和“售后服务承诺”提供售后服务的，应按合同总价款的</w:t>
      </w:r>
      <w:r>
        <w:rPr>
          <w:rFonts w:hint="eastAsia" w:cs="仿宋" w:asciiTheme="minorEastAsia" w:hAnsiTheme="minorEastAsia" w:eastAsiaTheme="minorEastAsia"/>
          <w:u w:val="single"/>
        </w:rPr>
        <w:t xml:space="preserve">  5% </w:t>
      </w:r>
      <w:r>
        <w:rPr>
          <w:rFonts w:hint="eastAsia" w:cs="仿宋" w:asciiTheme="minorEastAsia" w:hAnsiTheme="minorEastAsia" w:eastAsiaTheme="minorEastAsia"/>
        </w:rPr>
        <w:t>向甲方承担违约责任，并且甲方将自行委托第三方进行服务，由此产生的费用全部由乙方承担，甲方并上报监管部门将乙方列入不良行为，由此产生的风险由乙方自行承担。</w:t>
      </w:r>
    </w:p>
    <w:p>
      <w:pPr>
        <w:pStyle w:val="31"/>
        <w:snapToGrid w:val="0"/>
        <w:spacing w:before="0" w:line="440" w:lineRule="exact"/>
        <w:ind w:firstLine="480" w:firstLineChars="200"/>
        <w:rPr>
          <w:rFonts w:hint="eastAsia" w:ascii="宋体" w:hAnsi="宋体" w:eastAsia="宋体"/>
          <w:sz w:val="24"/>
          <w:szCs w:val="21"/>
          <w:lang w:val="en-US" w:eastAsia="zh-CN"/>
        </w:rPr>
      </w:pPr>
      <w:r>
        <w:rPr>
          <w:rFonts w:hint="eastAsia" w:cs="仿宋" w:asciiTheme="minorEastAsia" w:hAnsiTheme="minorEastAsia" w:eastAsiaTheme="minorEastAsia"/>
        </w:rPr>
        <w:t>1</w:t>
      </w:r>
      <w:r>
        <w:rPr>
          <w:rFonts w:hint="eastAsia" w:cs="仿宋" w:asciiTheme="minorEastAsia" w:hAnsiTheme="minorEastAsia" w:eastAsiaTheme="minorEastAsia"/>
          <w:lang w:val="en-US" w:eastAsia="zh-CN"/>
        </w:rPr>
        <w:t>2</w:t>
      </w:r>
      <w:r>
        <w:rPr>
          <w:rFonts w:hint="eastAsia" w:cs="仿宋" w:asciiTheme="minorEastAsia" w:hAnsiTheme="minorEastAsia" w:eastAsiaTheme="minorEastAsia"/>
        </w:rPr>
        <w:t>.9乙方在承担上述13.3～13.7款一项或多项违约责任后，仍应继续履行合同规定的义务（甲方解除合同的除外）。甲方未能及时追究乙方的任何一项违约责任并不表明甲方放弃追究乙方该项或其他违约责任</w:t>
      </w:r>
      <w:r>
        <w:rPr>
          <w:rFonts w:hint="eastAsia" w:ascii="宋体" w:hAnsi="宋体"/>
          <w:sz w:val="24"/>
          <w:szCs w:val="21"/>
        </w:rPr>
        <w:t>。</w:t>
      </w:r>
    </w:p>
    <w:p>
      <w:pPr>
        <w:snapToGrid w:val="0"/>
        <w:spacing w:before="238" w:line="360" w:lineRule="auto"/>
        <w:rPr>
          <w:rFonts w:hint="eastAsia" w:ascii="宋体" w:hAnsi="宋体"/>
          <w:b/>
          <w:sz w:val="24"/>
          <w:szCs w:val="21"/>
        </w:rPr>
      </w:pPr>
      <w:r>
        <w:rPr>
          <w:rFonts w:hint="eastAsia" w:ascii="宋体" w:hAnsi="宋体"/>
          <w:b/>
          <w:sz w:val="24"/>
          <w:szCs w:val="21"/>
          <w:lang w:eastAsia="zh-CN"/>
        </w:rPr>
        <w:t>第</w:t>
      </w:r>
      <w:r>
        <w:rPr>
          <w:rFonts w:hint="eastAsia" w:ascii="宋体" w:hAnsi="宋体"/>
          <w:b/>
          <w:sz w:val="24"/>
          <w:szCs w:val="21"/>
        </w:rPr>
        <w:t>十</w:t>
      </w:r>
      <w:r>
        <w:rPr>
          <w:rFonts w:hint="eastAsia" w:ascii="宋体" w:hAnsi="宋体"/>
          <w:b/>
          <w:sz w:val="24"/>
          <w:szCs w:val="21"/>
          <w:lang w:val="en-US" w:eastAsia="zh-CN"/>
        </w:rPr>
        <w:t>三</w:t>
      </w:r>
      <w:r>
        <w:rPr>
          <w:rFonts w:hint="eastAsia" w:ascii="宋体" w:hAnsi="宋体"/>
          <w:b/>
          <w:sz w:val="24"/>
          <w:szCs w:val="21"/>
          <w:lang w:eastAsia="zh-CN"/>
        </w:rPr>
        <w:t>条</w:t>
      </w:r>
      <w:r>
        <w:rPr>
          <w:rFonts w:hint="eastAsia" w:ascii="宋体" w:hAnsi="宋体"/>
          <w:b/>
          <w:sz w:val="24"/>
          <w:szCs w:val="21"/>
          <w:lang w:val="en-US" w:eastAsia="zh-CN"/>
        </w:rPr>
        <w:t xml:space="preserve"> </w:t>
      </w:r>
      <w:r>
        <w:rPr>
          <w:rFonts w:hint="eastAsia" w:ascii="宋体" w:hAnsi="宋体"/>
          <w:b/>
          <w:sz w:val="24"/>
          <w:szCs w:val="21"/>
        </w:rPr>
        <w:t>其他情况终止合同</w:t>
      </w:r>
    </w:p>
    <w:p>
      <w:pPr>
        <w:snapToGrid w:val="0"/>
        <w:spacing w:before="238" w:line="360" w:lineRule="auto"/>
        <w:rPr>
          <w:rFonts w:hint="eastAsia" w:ascii="宋体" w:hAnsi="宋体"/>
          <w:sz w:val="24"/>
          <w:szCs w:val="21"/>
        </w:rPr>
      </w:pPr>
      <w:r>
        <w:rPr>
          <w:rFonts w:hint="eastAsia" w:ascii="宋体" w:hAnsi="宋体"/>
          <w:sz w:val="24"/>
          <w:szCs w:val="21"/>
        </w:rPr>
        <w:t xml:space="preserve">   1</w:t>
      </w:r>
      <w:r>
        <w:rPr>
          <w:rFonts w:hint="eastAsia" w:ascii="宋体" w:hAnsi="宋体"/>
          <w:sz w:val="24"/>
          <w:szCs w:val="21"/>
          <w:lang w:val="en-US" w:eastAsia="zh-CN"/>
        </w:rPr>
        <w:t>3</w:t>
      </w:r>
      <w:r>
        <w:rPr>
          <w:rFonts w:hint="eastAsia" w:ascii="宋体" w:hAnsi="宋体"/>
          <w:sz w:val="24"/>
          <w:szCs w:val="21"/>
        </w:rPr>
        <w:t>.1如果乙方破产或发生资不抵债的情况，甲方可在任何时候以书面通知终止合同，而不给对方补偿。该终止合同将不损害或影响甲方已经采取或将要采取的补救措施的权利。</w:t>
      </w:r>
    </w:p>
    <w:p>
      <w:pPr>
        <w:snapToGrid w:val="0"/>
        <w:spacing w:before="238" w:line="360" w:lineRule="auto"/>
        <w:rPr>
          <w:rFonts w:hint="eastAsia" w:ascii="宋体" w:hAnsi="宋体"/>
          <w:sz w:val="24"/>
          <w:szCs w:val="21"/>
        </w:rPr>
      </w:pPr>
      <w:r>
        <w:rPr>
          <w:rFonts w:hint="eastAsia" w:ascii="宋体" w:hAnsi="宋体"/>
          <w:sz w:val="24"/>
          <w:szCs w:val="21"/>
        </w:rPr>
        <w:t xml:space="preserve">   1</w:t>
      </w:r>
      <w:r>
        <w:rPr>
          <w:rFonts w:hint="eastAsia" w:ascii="宋体" w:hAnsi="宋体"/>
          <w:sz w:val="24"/>
          <w:szCs w:val="21"/>
          <w:lang w:val="en-US" w:eastAsia="zh-CN"/>
        </w:rPr>
        <w:t>3</w:t>
      </w:r>
      <w:r>
        <w:rPr>
          <w:rFonts w:hint="eastAsia" w:ascii="宋体" w:hAnsi="宋体"/>
          <w:sz w:val="24"/>
          <w:szCs w:val="21"/>
        </w:rPr>
        <w:t>.2 如果甲方认定乙方在竞标、采购和合同执行等过程中有腐败或欺诈行为，甲方有权在任何时候发出书面通知终止合同。</w:t>
      </w:r>
    </w:p>
    <w:p>
      <w:pPr>
        <w:snapToGrid w:val="0"/>
        <w:spacing w:before="238" w:line="360" w:lineRule="auto"/>
        <w:rPr>
          <w:rFonts w:hint="eastAsia" w:ascii="宋体" w:hAnsi="宋体"/>
          <w:sz w:val="24"/>
          <w:szCs w:val="21"/>
        </w:rPr>
      </w:pPr>
      <w:r>
        <w:rPr>
          <w:rFonts w:hint="eastAsia" w:ascii="宋体" w:hAnsi="宋体"/>
          <w:sz w:val="24"/>
          <w:szCs w:val="21"/>
        </w:rPr>
        <w:t xml:space="preserve">   1</w:t>
      </w:r>
      <w:r>
        <w:rPr>
          <w:rFonts w:hint="eastAsia" w:ascii="宋体" w:hAnsi="宋体"/>
          <w:sz w:val="24"/>
          <w:szCs w:val="21"/>
          <w:lang w:val="en-US" w:eastAsia="zh-CN"/>
        </w:rPr>
        <w:t>3</w:t>
      </w:r>
      <w:r>
        <w:rPr>
          <w:rFonts w:hint="eastAsia" w:ascii="宋体" w:hAnsi="宋体"/>
          <w:sz w:val="24"/>
          <w:szCs w:val="21"/>
        </w:rPr>
        <w:t>.3如果合同履行过程中出现危害国家利益和社会公众利益的，甲方有权在任何时候发出书面通知终止合同。</w:t>
      </w:r>
    </w:p>
    <w:p>
      <w:pPr>
        <w:snapToGrid w:val="0"/>
        <w:spacing w:before="238" w:line="360" w:lineRule="auto"/>
        <w:rPr>
          <w:rFonts w:hint="eastAsia" w:ascii="宋体" w:hAnsi="宋体"/>
          <w:b/>
          <w:sz w:val="24"/>
          <w:szCs w:val="21"/>
        </w:rPr>
      </w:pPr>
      <w:r>
        <w:rPr>
          <w:rFonts w:hint="eastAsia" w:ascii="宋体" w:hAnsi="宋体"/>
          <w:b/>
          <w:sz w:val="24"/>
          <w:szCs w:val="21"/>
          <w:lang w:eastAsia="zh-CN"/>
        </w:rPr>
        <w:t>第</w:t>
      </w:r>
      <w:r>
        <w:rPr>
          <w:rFonts w:hint="eastAsia" w:ascii="宋体" w:hAnsi="宋体"/>
          <w:b/>
          <w:sz w:val="24"/>
          <w:szCs w:val="21"/>
        </w:rPr>
        <w:t>十</w:t>
      </w:r>
      <w:r>
        <w:rPr>
          <w:rFonts w:hint="eastAsia" w:ascii="宋体" w:hAnsi="宋体"/>
          <w:b/>
          <w:sz w:val="24"/>
          <w:szCs w:val="21"/>
          <w:lang w:val="en-US" w:eastAsia="zh-CN"/>
        </w:rPr>
        <w:t>四</w:t>
      </w:r>
      <w:r>
        <w:rPr>
          <w:rFonts w:hint="eastAsia" w:ascii="宋体" w:hAnsi="宋体"/>
          <w:b/>
          <w:sz w:val="24"/>
          <w:szCs w:val="21"/>
          <w:lang w:eastAsia="zh-CN"/>
        </w:rPr>
        <w:t>条</w:t>
      </w:r>
      <w:r>
        <w:rPr>
          <w:rFonts w:hint="eastAsia" w:ascii="宋体" w:hAnsi="宋体"/>
          <w:b/>
          <w:sz w:val="24"/>
          <w:szCs w:val="21"/>
          <w:lang w:val="en-US" w:eastAsia="zh-CN"/>
        </w:rPr>
        <w:t xml:space="preserve"> </w:t>
      </w:r>
      <w:r>
        <w:rPr>
          <w:rFonts w:hint="eastAsia" w:ascii="宋体" w:hAnsi="宋体"/>
          <w:b/>
          <w:sz w:val="24"/>
          <w:szCs w:val="21"/>
        </w:rPr>
        <w:t>合同的协商变更与修改</w:t>
      </w:r>
    </w:p>
    <w:p>
      <w:pPr>
        <w:snapToGrid w:val="0"/>
        <w:spacing w:before="238" w:after="240" w:line="360" w:lineRule="auto"/>
        <w:ind w:firstLine="480" w:firstLineChars="200"/>
        <w:rPr>
          <w:rFonts w:hint="eastAsia" w:ascii="宋体" w:hAnsi="宋体"/>
          <w:sz w:val="24"/>
          <w:szCs w:val="21"/>
        </w:rPr>
      </w:pPr>
      <w:r>
        <w:rPr>
          <w:rFonts w:hint="eastAsia" w:ascii="宋体" w:hAnsi="宋体"/>
          <w:sz w:val="24"/>
          <w:szCs w:val="21"/>
        </w:rPr>
        <w:t>甲方可以以书面方式向乙方发出变更要求，协商在本合同的一般范围内变更事项，合同修改书应由双方授权代表签字，具有合同的法律效力。</w:t>
      </w:r>
    </w:p>
    <w:p>
      <w:pPr>
        <w:snapToGrid w:val="0"/>
        <w:spacing w:before="238" w:after="240" w:line="360" w:lineRule="auto"/>
        <w:rPr>
          <w:rFonts w:hint="eastAsia" w:ascii="宋体" w:hAnsi="宋体"/>
          <w:sz w:val="24"/>
          <w:szCs w:val="21"/>
        </w:rPr>
      </w:pPr>
      <w:r>
        <w:rPr>
          <w:rFonts w:hint="eastAsia" w:ascii="宋体" w:hAnsi="宋体"/>
          <w:b/>
          <w:sz w:val="24"/>
          <w:szCs w:val="21"/>
          <w:lang w:eastAsia="zh-CN"/>
        </w:rPr>
        <w:t>第</w:t>
      </w:r>
      <w:r>
        <w:rPr>
          <w:rFonts w:hint="eastAsia" w:ascii="宋体" w:hAnsi="宋体"/>
          <w:b/>
          <w:sz w:val="24"/>
          <w:szCs w:val="21"/>
        </w:rPr>
        <w:t>十</w:t>
      </w:r>
      <w:r>
        <w:rPr>
          <w:rFonts w:hint="eastAsia" w:ascii="宋体" w:hAnsi="宋体"/>
          <w:b/>
          <w:sz w:val="24"/>
          <w:szCs w:val="21"/>
          <w:lang w:val="en-US" w:eastAsia="zh-CN"/>
        </w:rPr>
        <w:t>五</w:t>
      </w:r>
      <w:r>
        <w:rPr>
          <w:rFonts w:hint="eastAsia" w:ascii="宋体" w:hAnsi="宋体"/>
          <w:b/>
          <w:sz w:val="24"/>
          <w:szCs w:val="21"/>
          <w:lang w:eastAsia="zh-CN"/>
        </w:rPr>
        <w:t>条</w:t>
      </w:r>
      <w:r>
        <w:rPr>
          <w:rFonts w:hint="eastAsia" w:ascii="宋体" w:hAnsi="宋体"/>
          <w:b/>
          <w:sz w:val="24"/>
          <w:szCs w:val="21"/>
          <w:lang w:val="en-US" w:eastAsia="zh-CN"/>
        </w:rPr>
        <w:t xml:space="preserve"> </w:t>
      </w:r>
      <w:r>
        <w:rPr>
          <w:rFonts w:hint="eastAsia" w:ascii="宋体" w:hAnsi="宋体"/>
          <w:b/>
          <w:sz w:val="24"/>
          <w:szCs w:val="21"/>
        </w:rPr>
        <w:t>争端的解决</w:t>
      </w:r>
    </w:p>
    <w:p>
      <w:pPr>
        <w:snapToGrid w:val="0"/>
        <w:spacing w:before="238" w:line="360" w:lineRule="auto"/>
        <w:rPr>
          <w:rFonts w:ascii="宋体" w:hAnsi="宋体"/>
          <w:sz w:val="24"/>
          <w:szCs w:val="21"/>
        </w:rPr>
      </w:pPr>
      <w:r>
        <w:rPr>
          <w:rFonts w:hint="eastAsia" w:ascii="宋体" w:hAnsi="宋体"/>
          <w:sz w:val="24"/>
          <w:szCs w:val="21"/>
        </w:rPr>
        <w:t xml:space="preserve">    </w:t>
      </w:r>
      <w:r>
        <w:rPr>
          <w:rFonts w:ascii="宋体" w:hAnsi="宋体"/>
          <w:sz w:val="24"/>
          <w:szCs w:val="21"/>
        </w:rPr>
        <w:t>1</w:t>
      </w:r>
      <w:r>
        <w:rPr>
          <w:rFonts w:hint="eastAsia" w:ascii="宋体" w:hAnsi="宋体"/>
          <w:sz w:val="24"/>
          <w:szCs w:val="21"/>
          <w:lang w:val="en-US" w:eastAsia="zh-CN"/>
        </w:rPr>
        <w:t>5</w:t>
      </w:r>
      <w:r>
        <w:rPr>
          <w:rFonts w:ascii="宋体" w:hAnsi="宋体"/>
          <w:sz w:val="24"/>
          <w:szCs w:val="21"/>
        </w:rPr>
        <w:t xml:space="preserve">.1 </w:t>
      </w:r>
      <w:r>
        <w:rPr>
          <w:rFonts w:hint="eastAsia" w:ascii="宋体" w:hAnsi="宋体"/>
          <w:sz w:val="24"/>
          <w:szCs w:val="21"/>
        </w:rPr>
        <w:t>合同实施或与合同有关的一切争端应依据《中华人民共和国民法典》并通过双方协商解决。如果协商不能解决争议，则采取以下第</w:t>
      </w:r>
      <w:r>
        <w:rPr>
          <w:rFonts w:ascii="宋体" w:hAnsi="宋体"/>
          <w:sz w:val="24"/>
          <w:szCs w:val="21"/>
        </w:rPr>
        <w:t xml:space="preserve"> </w:t>
      </w:r>
      <w:r>
        <w:rPr>
          <w:rFonts w:ascii="宋体" w:hAnsi="宋体"/>
          <w:sz w:val="24"/>
          <w:szCs w:val="21"/>
          <w:u w:val="single"/>
        </w:rPr>
        <w:t>1</w:t>
      </w:r>
      <w:r>
        <w:rPr>
          <w:rFonts w:hint="eastAsia" w:ascii="宋体" w:hAnsi="宋体"/>
          <w:sz w:val="24"/>
          <w:szCs w:val="21"/>
          <w:u w:val="single"/>
          <w:lang w:val="en-US" w:eastAsia="zh-CN"/>
        </w:rPr>
        <w:t>5</w:t>
      </w:r>
      <w:r>
        <w:rPr>
          <w:rFonts w:ascii="宋体" w:hAnsi="宋体"/>
          <w:sz w:val="24"/>
          <w:szCs w:val="21"/>
          <w:u w:val="single"/>
        </w:rPr>
        <w:t xml:space="preserve">.2.2 </w:t>
      </w:r>
      <w:r>
        <w:rPr>
          <w:rFonts w:hint="eastAsia" w:ascii="宋体" w:hAnsi="宋体"/>
          <w:sz w:val="24"/>
          <w:szCs w:val="21"/>
        </w:rPr>
        <w:t>种方式解决争议：</w:t>
      </w:r>
    </w:p>
    <w:p>
      <w:pPr>
        <w:snapToGrid w:val="0"/>
        <w:spacing w:before="238" w:line="360" w:lineRule="auto"/>
        <w:rPr>
          <w:rFonts w:ascii="宋体" w:hAnsi="宋体"/>
          <w:sz w:val="24"/>
          <w:szCs w:val="21"/>
        </w:rPr>
      </w:pPr>
      <w:r>
        <w:rPr>
          <w:rFonts w:hint="eastAsia" w:ascii="宋体" w:hAnsi="宋体"/>
          <w:sz w:val="24"/>
          <w:szCs w:val="21"/>
        </w:rPr>
        <w:t xml:space="preserve">    </w:t>
      </w:r>
      <w:r>
        <w:rPr>
          <w:rFonts w:ascii="宋体" w:hAnsi="宋体"/>
          <w:sz w:val="24"/>
          <w:szCs w:val="21"/>
        </w:rPr>
        <w:t>1</w:t>
      </w:r>
      <w:r>
        <w:rPr>
          <w:rFonts w:hint="eastAsia" w:ascii="宋体" w:hAnsi="宋体"/>
          <w:sz w:val="24"/>
          <w:szCs w:val="21"/>
          <w:lang w:val="en-US" w:eastAsia="zh-CN"/>
        </w:rPr>
        <w:t>5</w:t>
      </w:r>
      <w:r>
        <w:rPr>
          <w:rFonts w:ascii="宋体" w:hAnsi="宋体"/>
          <w:sz w:val="24"/>
          <w:szCs w:val="21"/>
        </w:rPr>
        <w:t>.2.1</w:t>
      </w:r>
      <w:r>
        <w:rPr>
          <w:rFonts w:hint="eastAsia" w:ascii="宋体" w:hAnsi="宋体"/>
          <w:sz w:val="24"/>
          <w:szCs w:val="21"/>
        </w:rPr>
        <w:t>向甲方所在地有管辖权的人民法院提起诉讼；</w:t>
      </w:r>
    </w:p>
    <w:p>
      <w:pPr>
        <w:snapToGrid w:val="0"/>
        <w:spacing w:before="238" w:line="360" w:lineRule="auto"/>
        <w:rPr>
          <w:rFonts w:ascii="宋体" w:hAnsi="宋体"/>
          <w:sz w:val="24"/>
          <w:szCs w:val="21"/>
        </w:rPr>
      </w:pPr>
      <w:r>
        <w:rPr>
          <w:rFonts w:hint="eastAsia" w:ascii="宋体" w:hAnsi="宋体"/>
          <w:sz w:val="24"/>
          <w:szCs w:val="21"/>
        </w:rPr>
        <w:t xml:space="preserve">    </w:t>
      </w:r>
      <w:r>
        <w:rPr>
          <w:rFonts w:ascii="宋体" w:hAnsi="宋体"/>
          <w:sz w:val="24"/>
          <w:szCs w:val="21"/>
        </w:rPr>
        <w:t>1</w:t>
      </w:r>
      <w:r>
        <w:rPr>
          <w:rFonts w:hint="eastAsia" w:ascii="宋体" w:hAnsi="宋体"/>
          <w:sz w:val="24"/>
          <w:szCs w:val="21"/>
          <w:lang w:val="en-US" w:eastAsia="zh-CN"/>
        </w:rPr>
        <w:t>5</w:t>
      </w:r>
      <w:r>
        <w:rPr>
          <w:rFonts w:ascii="宋体" w:hAnsi="宋体"/>
          <w:sz w:val="24"/>
          <w:szCs w:val="21"/>
        </w:rPr>
        <w:t>.2.2</w:t>
      </w:r>
      <w:r>
        <w:rPr>
          <w:rFonts w:hint="eastAsia" w:ascii="宋体" w:hAnsi="宋体"/>
          <w:sz w:val="24"/>
          <w:szCs w:val="21"/>
        </w:rPr>
        <w:t>向</w:t>
      </w:r>
      <w:r>
        <w:rPr>
          <w:rFonts w:ascii="宋体" w:hAnsi="宋体"/>
          <w:sz w:val="24"/>
          <w:szCs w:val="21"/>
          <w:u w:val="single"/>
        </w:rPr>
        <w:t xml:space="preserve"> </w:t>
      </w:r>
      <w:r>
        <w:rPr>
          <w:rFonts w:hint="eastAsia" w:ascii="宋体" w:hAnsi="宋体"/>
          <w:sz w:val="24"/>
          <w:szCs w:val="21"/>
          <w:u w:val="single"/>
        </w:rPr>
        <w:t xml:space="preserve">丽水 </w:t>
      </w:r>
      <w:r>
        <w:rPr>
          <w:rFonts w:hint="eastAsia" w:ascii="宋体" w:hAnsi="宋体"/>
          <w:sz w:val="24"/>
          <w:szCs w:val="21"/>
        </w:rPr>
        <w:t>仲裁委员会按其仲裁规则申请仲裁。</w:t>
      </w:r>
    </w:p>
    <w:p>
      <w:pPr>
        <w:snapToGrid w:val="0"/>
        <w:spacing w:before="238" w:line="360" w:lineRule="auto"/>
        <w:rPr>
          <w:rFonts w:hint="eastAsia" w:ascii="宋体" w:hAnsi="宋体"/>
          <w:sz w:val="24"/>
          <w:szCs w:val="21"/>
        </w:rPr>
      </w:pPr>
      <w:r>
        <w:rPr>
          <w:rFonts w:hint="eastAsia" w:ascii="宋体" w:hAnsi="宋体"/>
          <w:sz w:val="24"/>
          <w:szCs w:val="21"/>
        </w:rPr>
        <w:t xml:space="preserve">    </w:t>
      </w:r>
      <w:r>
        <w:rPr>
          <w:rFonts w:ascii="宋体" w:hAnsi="宋体"/>
          <w:sz w:val="24"/>
          <w:szCs w:val="21"/>
        </w:rPr>
        <w:t>1</w:t>
      </w:r>
      <w:r>
        <w:rPr>
          <w:rFonts w:hint="eastAsia" w:ascii="宋体" w:hAnsi="宋体"/>
          <w:sz w:val="24"/>
          <w:szCs w:val="21"/>
          <w:lang w:val="en-US" w:eastAsia="zh-CN"/>
        </w:rPr>
        <w:t>5</w:t>
      </w:r>
      <w:r>
        <w:rPr>
          <w:rFonts w:ascii="宋体" w:hAnsi="宋体"/>
          <w:sz w:val="24"/>
          <w:szCs w:val="21"/>
        </w:rPr>
        <w:t>.3</w:t>
      </w:r>
      <w:r>
        <w:rPr>
          <w:rFonts w:hint="eastAsia" w:ascii="宋体" w:hAnsi="宋体"/>
          <w:sz w:val="24"/>
          <w:szCs w:val="21"/>
        </w:rPr>
        <w:t>在仲裁或诉讼期间，除正在进行仲裁或诉讼的部分外，合同其他部分应继续执行。</w:t>
      </w:r>
    </w:p>
    <w:p>
      <w:pPr>
        <w:snapToGrid w:val="0"/>
        <w:spacing w:before="238" w:line="360" w:lineRule="auto"/>
        <w:rPr>
          <w:rFonts w:hint="eastAsia" w:ascii="宋体" w:hAnsi="宋体"/>
          <w:b/>
          <w:sz w:val="24"/>
          <w:szCs w:val="21"/>
        </w:rPr>
      </w:pPr>
      <w:r>
        <w:rPr>
          <w:rFonts w:hint="eastAsia" w:ascii="宋体" w:hAnsi="宋体"/>
          <w:b/>
          <w:sz w:val="24"/>
          <w:szCs w:val="21"/>
          <w:lang w:eastAsia="zh-CN"/>
        </w:rPr>
        <w:t>第</w:t>
      </w:r>
      <w:r>
        <w:rPr>
          <w:rFonts w:hint="eastAsia" w:ascii="宋体" w:hAnsi="宋体"/>
          <w:b/>
          <w:sz w:val="24"/>
          <w:szCs w:val="21"/>
        </w:rPr>
        <w:t>十</w:t>
      </w:r>
      <w:r>
        <w:rPr>
          <w:rFonts w:hint="eastAsia" w:ascii="宋体" w:hAnsi="宋体"/>
          <w:b/>
          <w:sz w:val="24"/>
          <w:szCs w:val="21"/>
          <w:lang w:val="en-US" w:eastAsia="zh-CN"/>
        </w:rPr>
        <w:t>六</w:t>
      </w:r>
      <w:r>
        <w:rPr>
          <w:rFonts w:hint="eastAsia" w:ascii="宋体" w:hAnsi="宋体"/>
          <w:b/>
          <w:sz w:val="24"/>
          <w:szCs w:val="21"/>
          <w:lang w:eastAsia="zh-CN"/>
        </w:rPr>
        <w:t>条</w:t>
      </w:r>
      <w:r>
        <w:rPr>
          <w:rFonts w:hint="eastAsia" w:ascii="宋体" w:hAnsi="宋体"/>
          <w:b/>
          <w:sz w:val="24"/>
          <w:szCs w:val="21"/>
          <w:lang w:val="en-US" w:eastAsia="zh-CN"/>
        </w:rPr>
        <w:t xml:space="preserve"> </w:t>
      </w:r>
      <w:r>
        <w:rPr>
          <w:rFonts w:hint="eastAsia" w:ascii="宋体" w:hAnsi="宋体"/>
          <w:b/>
          <w:sz w:val="24"/>
          <w:szCs w:val="21"/>
        </w:rPr>
        <w:t>通知</w:t>
      </w:r>
    </w:p>
    <w:p>
      <w:pPr>
        <w:snapToGrid w:val="0"/>
        <w:spacing w:before="238" w:line="360" w:lineRule="auto"/>
        <w:rPr>
          <w:rFonts w:hint="eastAsia" w:ascii="宋体" w:hAnsi="宋体"/>
          <w:sz w:val="24"/>
          <w:szCs w:val="21"/>
        </w:rPr>
      </w:pPr>
      <w:r>
        <w:rPr>
          <w:rFonts w:hint="eastAsia" w:ascii="宋体" w:hAnsi="宋体"/>
          <w:sz w:val="24"/>
          <w:szCs w:val="21"/>
        </w:rPr>
        <w:t xml:space="preserve">    1</w:t>
      </w:r>
      <w:r>
        <w:rPr>
          <w:rFonts w:hint="eastAsia" w:ascii="宋体" w:hAnsi="宋体"/>
          <w:sz w:val="24"/>
          <w:szCs w:val="21"/>
          <w:lang w:val="en-US" w:eastAsia="zh-CN"/>
        </w:rPr>
        <w:t>6</w:t>
      </w:r>
      <w:r>
        <w:rPr>
          <w:rFonts w:hint="eastAsia" w:ascii="宋体" w:hAnsi="宋体"/>
          <w:sz w:val="24"/>
          <w:szCs w:val="21"/>
        </w:rPr>
        <w:t>.1本合同任何一方给另一方的通知，都应以书面形式发送，而另一方应以书面形式确认，回复对方。</w:t>
      </w:r>
    </w:p>
    <w:p>
      <w:pPr>
        <w:snapToGrid w:val="0"/>
        <w:spacing w:before="238" w:line="360" w:lineRule="auto"/>
        <w:rPr>
          <w:rFonts w:hint="eastAsia" w:ascii="宋体" w:hAnsi="宋体"/>
          <w:sz w:val="24"/>
          <w:szCs w:val="21"/>
        </w:rPr>
      </w:pPr>
      <w:r>
        <w:rPr>
          <w:rFonts w:hint="eastAsia" w:ascii="宋体" w:hAnsi="宋体"/>
          <w:sz w:val="24"/>
          <w:szCs w:val="21"/>
        </w:rPr>
        <w:t xml:space="preserve">    1</w:t>
      </w:r>
      <w:r>
        <w:rPr>
          <w:rFonts w:hint="eastAsia" w:ascii="宋体" w:hAnsi="宋体"/>
          <w:sz w:val="24"/>
          <w:szCs w:val="21"/>
          <w:lang w:val="en-US" w:eastAsia="zh-CN"/>
        </w:rPr>
        <w:t>6</w:t>
      </w:r>
      <w:r>
        <w:rPr>
          <w:rFonts w:hint="eastAsia" w:ascii="宋体" w:hAnsi="宋体"/>
          <w:sz w:val="24"/>
          <w:szCs w:val="21"/>
        </w:rPr>
        <w:t>.2 通知以送到日期或通知书的生效日起为生效日期，两者中以较晚的一个日期为准。</w:t>
      </w:r>
    </w:p>
    <w:p>
      <w:pPr>
        <w:snapToGrid w:val="0"/>
        <w:spacing w:before="238" w:line="360" w:lineRule="auto"/>
        <w:rPr>
          <w:rFonts w:hint="eastAsia" w:ascii="宋体"/>
          <w:b/>
          <w:sz w:val="24"/>
          <w:szCs w:val="20"/>
        </w:rPr>
      </w:pPr>
      <w:r>
        <w:rPr>
          <w:rFonts w:hint="eastAsia" w:ascii="宋体"/>
          <w:b/>
          <w:sz w:val="24"/>
          <w:lang w:eastAsia="zh-CN"/>
        </w:rPr>
        <w:t>第</w:t>
      </w:r>
      <w:r>
        <w:rPr>
          <w:rFonts w:hint="eastAsia" w:ascii="宋体"/>
          <w:b/>
          <w:sz w:val="24"/>
        </w:rPr>
        <w:t>十</w:t>
      </w:r>
      <w:r>
        <w:rPr>
          <w:rFonts w:hint="eastAsia" w:ascii="宋体"/>
          <w:b/>
          <w:sz w:val="24"/>
          <w:lang w:val="en-US" w:eastAsia="zh-CN"/>
        </w:rPr>
        <w:t>七</w:t>
      </w:r>
      <w:r>
        <w:rPr>
          <w:rFonts w:hint="eastAsia" w:ascii="宋体"/>
          <w:b/>
          <w:sz w:val="24"/>
          <w:lang w:eastAsia="zh-CN"/>
        </w:rPr>
        <w:t>条</w:t>
      </w:r>
      <w:r>
        <w:rPr>
          <w:rFonts w:hint="eastAsia" w:ascii="宋体"/>
          <w:b/>
          <w:sz w:val="24"/>
          <w:lang w:val="en-US" w:eastAsia="zh-CN"/>
        </w:rPr>
        <w:t xml:space="preserve"> </w:t>
      </w:r>
      <w:r>
        <w:rPr>
          <w:rFonts w:hint="eastAsia" w:ascii="宋体"/>
          <w:b/>
          <w:sz w:val="24"/>
        </w:rPr>
        <w:t>其他约定事项：</w:t>
      </w:r>
      <w:r>
        <w:rPr>
          <w:rFonts w:hint="eastAsia" w:cs="仿宋" w:asciiTheme="minorEastAsia" w:hAnsiTheme="minorEastAsia" w:eastAsiaTheme="minorEastAsia"/>
          <w:kern w:val="0"/>
          <w:sz w:val="24"/>
          <w:szCs w:val="22"/>
          <w:lang w:eastAsia="zh-CN"/>
        </w:rPr>
        <w:t>质保</w:t>
      </w:r>
      <w:r>
        <w:rPr>
          <w:rFonts w:hint="eastAsia" w:cs="仿宋" w:asciiTheme="minorEastAsia" w:hAnsiTheme="minorEastAsia" w:eastAsiaTheme="minorEastAsia"/>
          <w:kern w:val="0"/>
          <w:sz w:val="24"/>
          <w:szCs w:val="22"/>
        </w:rPr>
        <w:t>期内因不能排除的故障而影响工作的情况每发生一次，其</w:t>
      </w:r>
      <w:r>
        <w:rPr>
          <w:rFonts w:hint="eastAsia" w:cs="仿宋" w:asciiTheme="minorEastAsia" w:hAnsiTheme="minorEastAsia" w:eastAsiaTheme="minorEastAsia"/>
          <w:kern w:val="0"/>
          <w:sz w:val="24"/>
          <w:szCs w:val="22"/>
          <w:lang w:eastAsia="zh-CN"/>
        </w:rPr>
        <w:t>质保</w:t>
      </w:r>
      <w:r>
        <w:rPr>
          <w:rFonts w:hint="eastAsia" w:cs="仿宋" w:asciiTheme="minorEastAsia" w:hAnsiTheme="minorEastAsia" w:eastAsiaTheme="minorEastAsia"/>
          <w:kern w:val="0"/>
          <w:sz w:val="24"/>
          <w:szCs w:val="22"/>
        </w:rPr>
        <w:t>期相应延长60天。</w:t>
      </w:r>
    </w:p>
    <w:p>
      <w:pPr>
        <w:snapToGrid w:val="0"/>
        <w:spacing w:before="238" w:line="360" w:lineRule="auto"/>
        <w:rPr>
          <w:rFonts w:hint="eastAsia" w:ascii="宋体" w:hAnsi="宋体"/>
          <w:b/>
          <w:sz w:val="24"/>
          <w:szCs w:val="21"/>
        </w:rPr>
      </w:pPr>
      <w:r>
        <w:rPr>
          <w:rFonts w:hint="eastAsia" w:ascii="宋体" w:hAnsi="宋体"/>
          <w:b/>
          <w:sz w:val="24"/>
          <w:szCs w:val="21"/>
          <w:lang w:eastAsia="zh-CN"/>
        </w:rPr>
        <w:t>第</w:t>
      </w:r>
      <w:r>
        <w:rPr>
          <w:rFonts w:hint="eastAsia" w:ascii="宋体" w:hAnsi="宋体"/>
          <w:b/>
          <w:sz w:val="24"/>
          <w:szCs w:val="21"/>
        </w:rPr>
        <w:t>十</w:t>
      </w:r>
      <w:r>
        <w:rPr>
          <w:rFonts w:hint="eastAsia" w:ascii="宋体" w:hAnsi="宋体"/>
          <w:b/>
          <w:sz w:val="24"/>
          <w:szCs w:val="21"/>
          <w:lang w:val="en-US" w:eastAsia="zh-CN"/>
        </w:rPr>
        <w:t>八</w:t>
      </w:r>
      <w:r>
        <w:rPr>
          <w:rFonts w:hint="eastAsia" w:ascii="宋体" w:hAnsi="宋体"/>
          <w:b/>
          <w:sz w:val="24"/>
          <w:szCs w:val="21"/>
          <w:lang w:eastAsia="zh-CN"/>
        </w:rPr>
        <w:t>条</w:t>
      </w:r>
      <w:r>
        <w:rPr>
          <w:rFonts w:hint="eastAsia" w:ascii="宋体" w:hAnsi="宋体"/>
          <w:b/>
          <w:sz w:val="24"/>
          <w:szCs w:val="21"/>
          <w:lang w:val="en-US" w:eastAsia="zh-CN"/>
        </w:rPr>
        <w:t xml:space="preserve"> </w:t>
      </w:r>
      <w:r>
        <w:rPr>
          <w:rFonts w:hint="eastAsia" w:ascii="宋体" w:hAnsi="宋体"/>
          <w:b/>
          <w:sz w:val="24"/>
          <w:szCs w:val="21"/>
        </w:rPr>
        <w:t>本合同未尽事宜，遵照《中华人民共和国民法典》有关条文执行。</w:t>
      </w:r>
    </w:p>
    <w:p>
      <w:pPr>
        <w:snapToGrid w:val="0"/>
        <w:spacing w:before="238" w:line="360" w:lineRule="auto"/>
        <w:rPr>
          <w:rFonts w:hint="eastAsia" w:ascii="宋体" w:hAnsi="宋体"/>
          <w:b/>
          <w:sz w:val="24"/>
          <w:szCs w:val="21"/>
        </w:rPr>
      </w:pPr>
      <w:r>
        <w:rPr>
          <w:rFonts w:hint="eastAsia" w:ascii="宋体" w:hAnsi="宋体"/>
          <w:b/>
          <w:sz w:val="24"/>
          <w:szCs w:val="21"/>
          <w:lang w:eastAsia="zh-CN"/>
        </w:rPr>
        <w:t>第</w:t>
      </w:r>
      <w:r>
        <w:rPr>
          <w:rFonts w:hint="eastAsia" w:ascii="宋体" w:hAnsi="宋体"/>
          <w:b/>
          <w:sz w:val="24"/>
          <w:szCs w:val="21"/>
        </w:rPr>
        <w:t>十</w:t>
      </w:r>
      <w:r>
        <w:rPr>
          <w:rFonts w:hint="eastAsia" w:ascii="宋体" w:hAnsi="宋体"/>
          <w:b/>
          <w:sz w:val="24"/>
          <w:szCs w:val="21"/>
          <w:lang w:val="en-US" w:eastAsia="zh-CN"/>
        </w:rPr>
        <w:t>九</w:t>
      </w:r>
      <w:r>
        <w:rPr>
          <w:rFonts w:hint="eastAsia" w:ascii="宋体" w:hAnsi="宋体"/>
          <w:b/>
          <w:sz w:val="24"/>
          <w:szCs w:val="21"/>
          <w:lang w:eastAsia="zh-CN"/>
        </w:rPr>
        <w:t>条</w:t>
      </w:r>
      <w:r>
        <w:rPr>
          <w:rFonts w:hint="eastAsia" w:ascii="宋体" w:hAnsi="宋体"/>
          <w:b/>
          <w:sz w:val="24"/>
          <w:szCs w:val="21"/>
          <w:lang w:val="en-US" w:eastAsia="zh-CN"/>
        </w:rPr>
        <w:t xml:space="preserve"> </w:t>
      </w:r>
      <w:r>
        <w:rPr>
          <w:rFonts w:hint="eastAsia" w:ascii="宋体" w:hAnsi="宋体"/>
          <w:b/>
          <w:sz w:val="24"/>
          <w:szCs w:val="21"/>
        </w:rPr>
        <w:t>合同经双方授权代表签署，甲乙双方加盖印章后生效。</w:t>
      </w:r>
    </w:p>
    <w:p>
      <w:pPr>
        <w:snapToGrid w:val="0"/>
        <w:spacing w:before="238" w:line="360" w:lineRule="auto"/>
        <w:rPr>
          <w:rFonts w:ascii="宋体" w:hAnsi="宋体"/>
          <w:b/>
          <w:sz w:val="24"/>
          <w:szCs w:val="21"/>
        </w:rPr>
      </w:pPr>
      <w:r>
        <w:rPr>
          <w:rFonts w:hint="eastAsia" w:ascii="宋体" w:hAnsi="宋体"/>
          <w:b/>
          <w:sz w:val="24"/>
          <w:szCs w:val="21"/>
          <w:lang w:eastAsia="zh-CN"/>
        </w:rPr>
        <w:t>第</w:t>
      </w:r>
      <w:r>
        <w:rPr>
          <w:rFonts w:hint="eastAsia" w:ascii="宋体" w:hAnsi="宋体"/>
          <w:b/>
          <w:sz w:val="24"/>
          <w:szCs w:val="21"/>
          <w:lang w:val="en-US" w:eastAsia="zh-CN"/>
        </w:rPr>
        <w:t>二十</w:t>
      </w:r>
      <w:r>
        <w:rPr>
          <w:rFonts w:hint="eastAsia" w:ascii="宋体" w:hAnsi="宋体"/>
          <w:b/>
          <w:sz w:val="24"/>
          <w:szCs w:val="21"/>
          <w:lang w:eastAsia="zh-CN"/>
        </w:rPr>
        <w:t>条</w:t>
      </w:r>
      <w:r>
        <w:rPr>
          <w:rFonts w:hint="eastAsia" w:ascii="宋体" w:hAnsi="宋体"/>
          <w:b/>
          <w:sz w:val="24"/>
          <w:szCs w:val="21"/>
          <w:lang w:val="en-US" w:eastAsia="zh-CN"/>
        </w:rPr>
        <w:t xml:space="preserve"> </w:t>
      </w:r>
      <w:r>
        <w:rPr>
          <w:rFonts w:hint="eastAsia" w:ascii="宋体" w:hAnsi="宋体"/>
          <w:b/>
          <w:sz w:val="24"/>
          <w:szCs w:val="21"/>
        </w:rPr>
        <w:t>本合同一式肆份，具同等法律效力。双方各执两份。</w:t>
      </w:r>
    </w:p>
    <w:p>
      <w:pPr>
        <w:pStyle w:val="8"/>
        <w:spacing w:line="360" w:lineRule="auto"/>
      </w:pPr>
    </w:p>
    <w:p>
      <w:pPr>
        <w:pStyle w:val="20"/>
        <w:keepNext w:val="0"/>
        <w:keepLines w:val="0"/>
        <w:pageBreakBefore w:val="0"/>
        <w:kinsoku/>
        <w:wordWrap/>
        <w:overflowPunct/>
        <w:topLinePunct w:val="0"/>
        <w:bidi w:val="0"/>
        <w:adjustRightInd/>
        <w:snapToGrid/>
        <w:spacing w:before="0" w:beforeAutospacing="0" w:after="0" w:afterAutospacing="0" w:line="360" w:lineRule="auto"/>
        <w:rPr>
          <w:rFonts w:hint="eastAsia" w:cs="宋体"/>
          <w:color w:val="auto"/>
          <w:highlight w:val="none"/>
          <w:u w:val="single"/>
        </w:rPr>
      </w:pPr>
      <w:r>
        <w:rPr>
          <w:rFonts w:hint="eastAsia" w:ascii="宋体" w:hAnsi="宋体"/>
          <w:color w:val="auto"/>
          <w:sz w:val="24"/>
          <w:szCs w:val="21"/>
          <w:highlight w:val="none"/>
        </w:rPr>
        <w:t>甲　方(</w:t>
      </w:r>
      <w:r>
        <w:rPr>
          <w:rFonts w:hint="eastAsia" w:ascii="宋体" w:hAnsi="宋体"/>
          <w:color w:val="auto"/>
          <w:sz w:val="24"/>
          <w:szCs w:val="21"/>
          <w:highlight w:val="none"/>
          <w:lang w:eastAsia="zh-CN"/>
        </w:rPr>
        <w:t>盖</w:t>
      </w:r>
      <w:r>
        <w:rPr>
          <w:rFonts w:hint="eastAsia" w:ascii="宋体" w:hAnsi="宋体"/>
          <w:color w:val="auto"/>
          <w:sz w:val="24"/>
          <w:szCs w:val="21"/>
          <w:highlight w:val="none"/>
        </w:rPr>
        <w:t>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 xml:space="preserve">   乙　方(</w:t>
      </w:r>
      <w:r>
        <w:rPr>
          <w:rFonts w:hint="eastAsia" w:ascii="宋体" w:hAnsi="宋体"/>
          <w:color w:val="auto"/>
          <w:sz w:val="24"/>
          <w:szCs w:val="21"/>
          <w:highlight w:val="none"/>
          <w:lang w:eastAsia="zh-CN"/>
        </w:rPr>
        <w:t>盖</w:t>
      </w:r>
      <w:r>
        <w:rPr>
          <w:rFonts w:hint="eastAsia" w:ascii="宋体" w:hAnsi="宋体"/>
          <w:color w:val="auto"/>
          <w:sz w:val="24"/>
          <w:szCs w:val="21"/>
          <w:highlight w:val="none"/>
        </w:rPr>
        <w:t>章)：</w:t>
      </w:r>
      <w:r>
        <w:rPr>
          <w:rFonts w:hint="eastAsia" w:ascii="宋体" w:hAnsi="宋体"/>
          <w:color w:val="auto"/>
          <w:sz w:val="24"/>
          <w:szCs w:val="21"/>
          <w:highlight w:val="none"/>
          <w:u w:val="single"/>
        </w:rPr>
        <w:t xml:space="preserve">    </w:t>
      </w:r>
      <w:r>
        <w:rPr>
          <w:rFonts w:hint="eastAsia" w:cs="宋体"/>
          <w:color w:val="auto"/>
          <w:highlight w:val="none"/>
          <w:u w:val="single"/>
        </w:rPr>
        <w:t>（如非联合体</w:t>
      </w:r>
      <w:r>
        <w:rPr>
          <w:rFonts w:hint="eastAsia" w:cs="宋体"/>
          <w:color w:val="auto"/>
          <w:highlight w:val="none"/>
          <w:u w:val="single"/>
          <w:lang w:val="en-US" w:eastAsia="zh-CN"/>
        </w:rPr>
        <w:t>投标</w:t>
      </w:r>
      <w:r>
        <w:rPr>
          <w:rFonts w:hint="eastAsia" w:cs="宋体"/>
          <w:color w:val="auto"/>
          <w:highlight w:val="none"/>
          <w:u w:val="single"/>
        </w:rPr>
        <w:t>时提供）</w:t>
      </w:r>
    </w:p>
    <w:p>
      <w:pPr>
        <w:snapToGrid w:val="0"/>
        <w:spacing w:before="119" w:line="360" w:lineRule="auto"/>
        <w:rPr>
          <w:rFonts w:hint="eastAsia" w:ascii="宋体" w:hAnsi="宋体"/>
          <w:color w:val="auto"/>
          <w:sz w:val="24"/>
          <w:szCs w:val="21"/>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eastAsia="zh-CN"/>
        </w:rPr>
        <w:t>或授权代表</w:t>
      </w:r>
      <w:r>
        <w:rPr>
          <w:rFonts w:hint="eastAsia" w:ascii="宋体" w:hAnsi="宋体" w:cs="宋体"/>
          <w:color w:val="auto"/>
          <w:sz w:val="24"/>
          <w:highlight w:val="none"/>
        </w:rPr>
        <w:t>：                 法定代表人</w:t>
      </w:r>
      <w:r>
        <w:rPr>
          <w:rFonts w:hint="eastAsia" w:ascii="宋体" w:hAnsi="宋体" w:cs="宋体"/>
          <w:color w:val="auto"/>
          <w:sz w:val="24"/>
          <w:highlight w:val="none"/>
          <w:lang w:eastAsia="zh-CN"/>
        </w:rPr>
        <w:t>或授权代表</w:t>
      </w:r>
      <w:r>
        <w:rPr>
          <w:rFonts w:hint="eastAsia" w:ascii="宋体" w:hAnsi="宋体" w:cs="宋体"/>
          <w:color w:val="auto"/>
          <w:sz w:val="24"/>
          <w:highlight w:val="none"/>
        </w:rPr>
        <w:t xml:space="preserve">： </w:t>
      </w:r>
    </w:p>
    <w:p>
      <w:pPr>
        <w:snapToGrid w:val="0"/>
        <w:spacing w:before="119" w:line="360" w:lineRule="auto"/>
        <w:rPr>
          <w:rFonts w:hint="eastAsia" w:ascii="宋体" w:hAnsi="宋体"/>
          <w:color w:val="auto"/>
          <w:sz w:val="24"/>
          <w:szCs w:val="21"/>
          <w:highlight w:val="none"/>
        </w:rPr>
      </w:pPr>
      <w:r>
        <w:rPr>
          <w:rFonts w:hint="eastAsia" w:ascii="宋体" w:hAnsi="宋体"/>
          <w:color w:val="auto"/>
          <w:sz w:val="24"/>
          <w:szCs w:val="21"/>
          <w:highlight w:val="none"/>
        </w:rPr>
        <w:t>(签字或盖章)：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 xml:space="preserve">    (签字或盖章)：</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 xml:space="preserve"> </w:t>
      </w:r>
    </w:p>
    <w:p>
      <w:pPr>
        <w:snapToGrid w:val="0"/>
        <w:spacing w:before="119" w:line="360" w:lineRule="auto"/>
        <w:rPr>
          <w:rFonts w:hint="eastAsia" w:ascii="宋体" w:hAnsi="宋体"/>
          <w:color w:val="auto"/>
          <w:sz w:val="24"/>
          <w:szCs w:val="21"/>
          <w:highlight w:val="none"/>
        </w:rPr>
      </w:pPr>
      <w:r>
        <w:rPr>
          <w:rFonts w:hint="eastAsia" w:ascii="宋体" w:hAnsi="宋体"/>
          <w:color w:val="auto"/>
          <w:sz w:val="24"/>
          <w:szCs w:val="21"/>
          <w:highlight w:val="none"/>
        </w:rPr>
        <w:t>地　　址：</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地　　址：</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p>
    <w:p>
      <w:pPr>
        <w:snapToGrid w:val="0"/>
        <w:spacing w:before="119" w:line="360" w:lineRule="auto"/>
        <w:rPr>
          <w:rFonts w:hint="eastAsia" w:ascii="宋体" w:hAnsi="宋体"/>
          <w:color w:val="auto"/>
          <w:sz w:val="24"/>
          <w:szCs w:val="21"/>
          <w:highlight w:val="none"/>
        </w:rPr>
      </w:pPr>
      <w:r>
        <w:rPr>
          <w:rFonts w:hint="eastAsia" w:ascii="宋体" w:hAnsi="宋体"/>
          <w:color w:val="auto"/>
          <w:sz w:val="24"/>
          <w:szCs w:val="21"/>
          <w:highlight w:val="none"/>
        </w:rPr>
        <w:t>邮政编码：</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邮政编码：</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p>
    <w:p>
      <w:pPr>
        <w:snapToGrid w:val="0"/>
        <w:spacing w:before="119" w:line="360" w:lineRule="auto"/>
        <w:rPr>
          <w:rFonts w:hint="eastAsia" w:ascii="宋体" w:hAnsi="宋体"/>
          <w:color w:val="auto"/>
          <w:sz w:val="24"/>
          <w:szCs w:val="21"/>
          <w:highlight w:val="none"/>
        </w:rPr>
      </w:pPr>
      <w:r>
        <w:rPr>
          <w:rFonts w:hint="eastAsia" w:ascii="宋体" w:hAnsi="宋体"/>
          <w:color w:val="auto"/>
          <w:sz w:val="24"/>
          <w:szCs w:val="21"/>
          <w:highlight w:val="none"/>
        </w:rPr>
        <w:t>电　　话：</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电　　话：</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p>
    <w:p>
      <w:pPr>
        <w:snapToGrid w:val="0"/>
        <w:spacing w:before="119" w:line="360" w:lineRule="auto"/>
        <w:rPr>
          <w:rFonts w:hint="eastAsia" w:ascii="宋体" w:hAnsi="宋体"/>
          <w:color w:val="auto"/>
          <w:sz w:val="24"/>
          <w:szCs w:val="21"/>
          <w:highlight w:val="none"/>
        </w:rPr>
      </w:pPr>
      <w:r>
        <w:rPr>
          <w:rFonts w:hint="eastAsia" w:ascii="宋体" w:hAnsi="宋体"/>
          <w:color w:val="auto"/>
          <w:sz w:val="24"/>
          <w:szCs w:val="21"/>
          <w:highlight w:val="none"/>
        </w:rPr>
        <w:t>开户银行：</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开户银行：</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p>
    <w:p>
      <w:pPr>
        <w:snapToGrid w:val="0"/>
        <w:spacing w:line="360" w:lineRule="auto"/>
        <w:rPr>
          <w:rFonts w:hint="eastAsia" w:ascii="宋体" w:hAnsi="宋体"/>
          <w:color w:val="auto"/>
          <w:sz w:val="24"/>
          <w:szCs w:val="21"/>
          <w:highlight w:val="none"/>
          <w:u w:val="single"/>
        </w:rPr>
      </w:pPr>
      <w:r>
        <w:rPr>
          <w:rFonts w:hint="eastAsia" w:ascii="宋体" w:hAnsi="宋体"/>
          <w:color w:val="auto"/>
          <w:sz w:val="24"/>
          <w:szCs w:val="21"/>
          <w:highlight w:val="none"/>
        </w:rPr>
        <w:t>账　　号：</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ab/>
      </w:r>
      <w:r>
        <w:rPr>
          <w:rFonts w:hint="eastAsia" w:ascii="宋体" w:hAnsi="宋体"/>
          <w:color w:val="auto"/>
          <w:sz w:val="24"/>
          <w:szCs w:val="21"/>
          <w:highlight w:val="none"/>
        </w:rPr>
        <w:t xml:space="preserve">    账　　号：</w:t>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ab/>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xml:space="preserve"> </w:t>
      </w:r>
    </w:p>
    <w:p>
      <w:pPr>
        <w:snapToGrid w:val="0"/>
        <w:spacing w:line="360" w:lineRule="auto"/>
        <w:rPr>
          <w:rFonts w:hint="eastAsia" w:ascii="宋体" w:hAnsi="宋体"/>
          <w:color w:val="auto"/>
          <w:sz w:val="24"/>
          <w:szCs w:val="21"/>
          <w:highlight w:val="none"/>
          <w:u w:val="single"/>
        </w:rPr>
      </w:pPr>
      <w:r>
        <w:rPr>
          <w:rFonts w:hint="eastAsia" w:hAnsi="宋体"/>
          <w:color w:val="auto"/>
          <w:sz w:val="24"/>
          <w:szCs w:val="21"/>
          <w:highlight w:val="none"/>
          <w:lang w:eastAsia="zh-CN"/>
        </w:rPr>
        <w:t>签订日期：</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年</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月</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日</w:t>
      </w:r>
      <w:r>
        <w:rPr>
          <w:rFonts w:hint="eastAsia" w:hAnsi="宋体"/>
          <w:color w:val="auto"/>
          <w:sz w:val="24"/>
          <w:szCs w:val="21"/>
          <w:highlight w:val="none"/>
          <w:u w:val="single"/>
          <w:lang w:val="en-US" w:eastAsia="zh-CN"/>
        </w:rPr>
        <w:t xml:space="preserve">   </w:t>
      </w:r>
      <w:r>
        <w:rPr>
          <w:rFonts w:hint="eastAsia" w:hAnsi="宋体"/>
          <w:color w:val="auto"/>
          <w:sz w:val="24"/>
          <w:szCs w:val="21"/>
          <w:highlight w:val="none"/>
          <w:lang w:val="en-US" w:eastAsia="zh-CN"/>
        </w:rPr>
        <w:t xml:space="preserve">     </w:t>
      </w:r>
      <w:r>
        <w:rPr>
          <w:rFonts w:hint="eastAsia" w:hAnsi="宋体"/>
          <w:color w:val="auto"/>
          <w:sz w:val="24"/>
          <w:szCs w:val="21"/>
          <w:highlight w:val="none"/>
          <w:lang w:eastAsia="zh-CN"/>
        </w:rPr>
        <w:t>签订日期：</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年</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月</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日</w:t>
      </w:r>
      <w:r>
        <w:rPr>
          <w:rFonts w:hint="eastAsia" w:hAnsi="宋体"/>
          <w:color w:val="auto"/>
          <w:sz w:val="24"/>
          <w:szCs w:val="21"/>
          <w:highlight w:val="none"/>
          <w:u w:val="single"/>
          <w:lang w:val="en-US" w:eastAsia="zh-CN"/>
        </w:rPr>
        <w:t xml:space="preserve"> </w:t>
      </w:r>
    </w:p>
    <w:p>
      <w:pPr>
        <w:pStyle w:val="21"/>
        <w:rPr>
          <w:rFonts w:hint="eastAsia"/>
          <w:color w:val="auto"/>
          <w:highlight w:val="none"/>
        </w:rPr>
      </w:pPr>
    </w:p>
    <w:p>
      <w:pPr>
        <w:rPr>
          <w:rFonts w:hint="eastAsia"/>
          <w:color w:val="auto"/>
          <w:highlight w:val="none"/>
        </w:rPr>
      </w:pPr>
    </w:p>
    <w:p>
      <w:pPr>
        <w:pStyle w:val="20"/>
        <w:spacing w:before="0" w:beforeAutospacing="0" w:after="0" w:afterAutospacing="0" w:line="360" w:lineRule="auto"/>
        <w:rPr>
          <w:rFonts w:cs="Tahoma"/>
          <w:color w:val="auto"/>
          <w:sz w:val="24"/>
          <w:szCs w:val="24"/>
          <w:highlight w:val="none"/>
        </w:rPr>
      </w:pPr>
      <w:r>
        <w:rPr>
          <w:rFonts w:cs="Tahoma"/>
          <w:color w:val="auto"/>
          <w:sz w:val="24"/>
          <w:szCs w:val="24"/>
          <w:highlight w:val="none"/>
        </w:rPr>
        <w:t>乙 方</w:t>
      </w:r>
      <w:r>
        <w:rPr>
          <w:rFonts w:hint="eastAsia" w:cs="Tahoma"/>
          <w:color w:val="auto"/>
          <w:sz w:val="24"/>
          <w:szCs w:val="24"/>
          <w:highlight w:val="none"/>
        </w:rPr>
        <w:t>（牵头人、成员方单位名称）</w:t>
      </w:r>
      <w:r>
        <w:rPr>
          <w:rFonts w:cs="Tahoma"/>
          <w:color w:val="auto"/>
          <w:sz w:val="24"/>
          <w:szCs w:val="24"/>
          <w:highlight w:val="none"/>
        </w:rPr>
        <w:t>：</w:t>
      </w:r>
      <w:r>
        <w:rPr>
          <w:rFonts w:cs="Tahoma"/>
          <w:color w:val="auto"/>
          <w:sz w:val="24"/>
          <w:szCs w:val="24"/>
          <w:highlight w:val="none"/>
          <w:u w:val="single"/>
        </w:rPr>
        <w:t xml:space="preserve">             </w:t>
      </w:r>
      <w:r>
        <w:rPr>
          <w:rFonts w:hint="eastAsia" w:cs="宋体"/>
          <w:color w:val="auto"/>
          <w:sz w:val="24"/>
          <w:szCs w:val="24"/>
          <w:highlight w:val="none"/>
        </w:rPr>
        <w:t>（如联合体</w:t>
      </w:r>
      <w:r>
        <w:rPr>
          <w:rFonts w:hint="eastAsia" w:cs="宋体"/>
          <w:color w:val="auto"/>
          <w:sz w:val="24"/>
          <w:szCs w:val="24"/>
          <w:highlight w:val="none"/>
          <w:lang w:val="en-US" w:eastAsia="zh-CN"/>
        </w:rPr>
        <w:t>投标</w:t>
      </w:r>
      <w:r>
        <w:rPr>
          <w:rFonts w:hint="eastAsia" w:cs="宋体"/>
          <w:color w:val="auto"/>
          <w:sz w:val="24"/>
          <w:szCs w:val="24"/>
          <w:highlight w:val="none"/>
        </w:rPr>
        <w:t>时提供）</w:t>
      </w:r>
      <w:r>
        <w:rPr>
          <w:rFonts w:cs="Tahoma"/>
          <w:color w:val="auto"/>
          <w:sz w:val="24"/>
          <w:szCs w:val="24"/>
          <w:highlight w:val="none"/>
        </w:rPr>
        <w:t xml:space="preserve">    </w:t>
      </w:r>
    </w:p>
    <w:p>
      <w:pPr>
        <w:snapToGrid w:val="0"/>
        <w:spacing w:before="119" w:line="360" w:lineRule="auto"/>
        <w:rPr>
          <w:rFonts w:hint="eastAsia" w:ascii="宋体" w:hAnsi="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lang w:eastAsia="zh-CN"/>
        </w:rPr>
        <w:t>或授权代表</w:t>
      </w:r>
      <w:r>
        <w:rPr>
          <w:rFonts w:hint="eastAsia" w:ascii="宋体" w:hAnsi="宋体" w:cs="宋体"/>
          <w:color w:val="auto"/>
          <w:sz w:val="24"/>
          <w:szCs w:val="24"/>
          <w:highlight w:val="none"/>
        </w:rPr>
        <w:t xml:space="preserve">：                 </w:t>
      </w:r>
    </w:p>
    <w:p>
      <w:pPr>
        <w:snapToGrid w:val="0"/>
        <w:spacing w:before="119" w:line="360" w:lineRule="auto"/>
        <w:rPr>
          <w:rFonts w:hint="eastAsia" w:ascii="宋体" w:hAnsi="宋体"/>
          <w:color w:val="auto"/>
          <w:sz w:val="24"/>
          <w:szCs w:val="24"/>
          <w:highlight w:val="none"/>
        </w:rPr>
      </w:pPr>
      <w:r>
        <w:rPr>
          <w:rFonts w:hint="eastAsia" w:ascii="宋体" w:hAnsi="宋体"/>
          <w:color w:val="auto"/>
          <w:sz w:val="24"/>
          <w:szCs w:val="24"/>
          <w:highlight w:val="none"/>
        </w:rPr>
        <w:t>(签字或盖章)：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 xml:space="preserve">   </w:t>
      </w:r>
    </w:p>
    <w:p>
      <w:pPr>
        <w:snapToGrid w:val="0"/>
        <w:spacing w:before="119" w:line="360" w:lineRule="auto"/>
        <w:rPr>
          <w:rFonts w:hint="eastAsia"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ab/>
      </w:r>
    </w:p>
    <w:p>
      <w:pPr>
        <w:snapToGrid w:val="0"/>
        <w:spacing w:before="119" w:line="360" w:lineRule="auto"/>
        <w:rPr>
          <w:rFonts w:hint="eastAsia" w:ascii="宋体" w:hAnsi="宋体"/>
          <w:color w:val="auto"/>
          <w:sz w:val="24"/>
          <w:szCs w:val="24"/>
          <w:highlight w:val="none"/>
        </w:rPr>
      </w:pP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ab/>
      </w:r>
    </w:p>
    <w:p>
      <w:pPr>
        <w:snapToGrid w:val="0"/>
        <w:spacing w:before="119" w:line="360" w:lineRule="auto"/>
        <w:rPr>
          <w:rFonts w:hint="eastAsia" w:ascii="宋体" w:hAnsi="宋体"/>
          <w:color w:val="auto"/>
          <w:sz w:val="24"/>
          <w:szCs w:val="24"/>
          <w:highlight w:val="none"/>
        </w:rPr>
      </w:pPr>
      <w:r>
        <w:rPr>
          <w:rFonts w:hint="eastAsia" w:ascii="宋体" w:hAnsi="宋体"/>
          <w:color w:val="auto"/>
          <w:sz w:val="24"/>
          <w:szCs w:val="24"/>
          <w:highlight w:val="none"/>
        </w:rPr>
        <w:t>电　　话：</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ab/>
      </w:r>
    </w:p>
    <w:p>
      <w:pPr>
        <w:snapToGrid w:val="0"/>
        <w:spacing w:before="119" w:line="360" w:lineRule="auto"/>
        <w:rPr>
          <w:rFonts w:hint="eastAsia" w:ascii="宋体" w:hAnsi="宋体"/>
          <w:color w:val="auto"/>
          <w:sz w:val="24"/>
          <w:szCs w:val="24"/>
          <w:highlight w:val="none"/>
        </w:rPr>
      </w:pPr>
      <w:r>
        <w:rPr>
          <w:rFonts w:hint="eastAsia" w:ascii="宋体" w:hAnsi="宋体"/>
          <w:color w:val="auto"/>
          <w:sz w:val="24"/>
          <w:szCs w:val="24"/>
          <w:highlight w:val="none"/>
        </w:rPr>
        <w:t>开户银行：</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ab/>
      </w:r>
    </w:p>
    <w:p>
      <w:pPr>
        <w:snapToGrid w:val="0"/>
        <w:spacing w:line="360" w:lineRule="auto"/>
        <w:rPr>
          <w:rFonts w:hint="eastAsia" w:ascii="宋体" w:hAnsi="宋体"/>
          <w:color w:val="auto"/>
          <w:sz w:val="24"/>
          <w:szCs w:val="24"/>
          <w:highlight w:val="none"/>
          <w:u w:val="single"/>
        </w:rPr>
      </w:pPr>
      <w:r>
        <w:rPr>
          <w:rFonts w:hint="eastAsia" w:ascii="宋体" w:hAnsi="宋体"/>
          <w:color w:val="auto"/>
          <w:sz w:val="24"/>
          <w:szCs w:val="24"/>
          <w:highlight w:val="none"/>
        </w:rPr>
        <w:t>账　　号：</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 xml:space="preserve">    </w:t>
      </w:r>
    </w:p>
    <w:p>
      <w:pPr>
        <w:pStyle w:val="8"/>
        <w:spacing w:line="360" w:lineRule="auto"/>
        <w:rPr>
          <w:rFonts w:hint="eastAsia" w:ascii="宋体" w:hAnsi="宋体"/>
          <w:color w:val="auto"/>
          <w:sz w:val="24"/>
          <w:szCs w:val="24"/>
          <w:highlight w:val="none"/>
        </w:rPr>
      </w:pPr>
      <w:r>
        <w:rPr>
          <w:rFonts w:hint="eastAsia" w:hAnsi="宋体"/>
          <w:color w:val="auto"/>
          <w:sz w:val="24"/>
          <w:szCs w:val="24"/>
          <w:highlight w:val="none"/>
          <w:lang w:eastAsia="zh-CN"/>
        </w:rPr>
        <w:t>签订日期：</w:t>
      </w:r>
      <w:r>
        <w:rPr>
          <w:rFonts w:hint="eastAsia"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年</w:t>
      </w:r>
      <w:r>
        <w:rPr>
          <w:rFonts w:hint="eastAsia"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w:t>
      </w:r>
      <w:r>
        <w:rPr>
          <w:rFonts w:hint="eastAsia"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月</w:t>
      </w:r>
      <w:r>
        <w:rPr>
          <w:rFonts w:hint="eastAsia"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w:t>
      </w:r>
      <w:r>
        <w:rPr>
          <w:rFonts w:hint="eastAsia"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日</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lang w:val="en-US" w:eastAsia="zh-CN"/>
        </w:rPr>
        <w:t xml:space="preserve">     </w:t>
      </w:r>
    </w:p>
    <w:p>
      <w:pPr>
        <w:pStyle w:val="8"/>
        <w:spacing w:line="360" w:lineRule="auto"/>
        <w:rPr>
          <w:rFonts w:hint="eastAsia"/>
        </w:rPr>
      </w:pPr>
      <w:r>
        <w:rPr>
          <w:rFonts w:hAnsi="宋体"/>
          <w:b/>
          <w:sz w:val="28"/>
          <w:szCs w:val="28"/>
        </w:rPr>
        <w:br w:type="page"/>
      </w:r>
    </w:p>
    <w:p>
      <w:pPr>
        <w:pStyle w:val="5"/>
        <w:spacing w:line="360" w:lineRule="auto"/>
        <w:rPr>
          <w:rFonts w:ascii="宋体" w:hAnsi="宋体"/>
        </w:rPr>
      </w:pPr>
    </w:p>
    <w:p>
      <w:pPr>
        <w:pStyle w:val="5"/>
        <w:spacing w:line="360" w:lineRule="auto"/>
        <w:rPr>
          <w:rFonts w:ascii="宋体" w:hAnsi="宋体"/>
        </w:rPr>
      </w:pPr>
    </w:p>
    <w:p>
      <w:pPr>
        <w:pStyle w:val="5"/>
        <w:spacing w:line="360" w:lineRule="auto"/>
        <w:rPr>
          <w:rFonts w:ascii="宋体" w:hAnsi="宋体"/>
        </w:rPr>
      </w:pPr>
    </w:p>
    <w:p>
      <w:pPr>
        <w:pStyle w:val="5"/>
        <w:spacing w:line="360" w:lineRule="auto"/>
        <w:rPr>
          <w:rFonts w:ascii="宋体" w:hAnsi="宋体"/>
        </w:rPr>
      </w:pPr>
    </w:p>
    <w:p>
      <w:pPr>
        <w:pStyle w:val="5"/>
        <w:spacing w:line="360" w:lineRule="auto"/>
        <w:rPr>
          <w:rFonts w:ascii="宋体" w:hAnsi="宋体"/>
        </w:rPr>
      </w:pPr>
    </w:p>
    <w:p>
      <w:pPr>
        <w:pStyle w:val="5"/>
        <w:spacing w:line="360" w:lineRule="auto"/>
        <w:rPr>
          <w:rFonts w:ascii="宋体" w:hAnsi="宋体"/>
        </w:rPr>
      </w:pPr>
    </w:p>
    <w:p>
      <w:pPr>
        <w:pStyle w:val="5"/>
        <w:spacing w:line="360" w:lineRule="auto"/>
        <w:ind w:left="0" w:leftChars="0" w:firstLine="0" w:firstLineChars="0"/>
        <w:rPr>
          <w:rFonts w:ascii="宋体" w:hAnsi="宋体"/>
        </w:rPr>
      </w:pPr>
    </w:p>
    <w:p>
      <w:pPr>
        <w:pStyle w:val="5"/>
        <w:spacing w:line="360" w:lineRule="auto"/>
        <w:rPr>
          <w:rFonts w:ascii="宋体" w:hAnsi="宋体"/>
        </w:rPr>
      </w:pPr>
    </w:p>
    <w:p>
      <w:pPr>
        <w:pStyle w:val="5"/>
        <w:spacing w:line="360" w:lineRule="auto"/>
        <w:rPr>
          <w:rFonts w:ascii="宋体" w:hAnsi="宋体"/>
        </w:rPr>
      </w:pPr>
    </w:p>
    <w:p>
      <w:pPr>
        <w:pStyle w:val="5"/>
        <w:spacing w:line="360" w:lineRule="auto"/>
        <w:rPr>
          <w:rFonts w:ascii="宋体" w:hAnsi="宋体"/>
        </w:rPr>
      </w:pPr>
    </w:p>
    <w:p>
      <w:pPr>
        <w:pStyle w:val="5"/>
        <w:spacing w:line="360" w:lineRule="auto"/>
        <w:rPr>
          <w:rFonts w:ascii="宋体" w:hAnsi="宋体"/>
        </w:rPr>
      </w:pPr>
    </w:p>
    <w:p>
      <w:pPr>
        <w:pStyle w:val="5"/>
        <w:spacing w:line="360" w:lineRule="auto"/>
        <w:rPr>
          <w:rFonts w:ascii="宋体" w:hAnsi="宋体"/>
        </w:rPr>
      </w:pPr>
    </w:p>
    <w:p>
      <w:pPr>
        <w:pStyle w:val="5"/>
        <w:spacing w:line="360" w:lineRule="auto"/>
        <w:rPr>
          <w:rFonts w:ascii="宋体" w:hAnsi="宋体"/>
        </w:rPr>
      </w:pPr>
    </w:p>
    <w:p>
      <w:pPr>
        <w:pStyle w:val="3"/>
        <w:spacing w:line="360" w:lineRule="auto"/>
        <w:jc w:val="center"/>
        <w:rPr>
          <w:rFonts w:ascii="宋体" w:hAnsi="宋体"/>
        </w:rPr>
      </w:pPr>
      <w:bookmarkStart w:id="311" w:name="_Toc14298"/>
      <w:bookmarkStart w:id="312" w:name="_Toc83312454"/>
      <w:bookmarkStart w:id="313" w:name="_Toc27381"/>
      <w:bookmarkStart w:id="314" w:name="_Toc18753"/>
      <w:bookmarkStart w:id="315" w:name="_Toc19795"/>
      <w:bookmarkStart w:id="316" w:name="_Toc17355"/>
      <w:bookmarkStart w:id="317" w:name="_Toc18725"/>
      <w:r>
        <w:rPr>
          <w:rFonts w:hint="eastAsia" w:ascii="宋体" w:hAnsi="宋体"/>
        </w:rPr>
        <w:t>第五章　投标相关文件格式</w:t>
      </w:r>
      <w:bookmarkEnd w:id="311"/>
      <w:bookmarkEnd w:id="312"/>
      <w:bookmarkEnd w:id="313"/>
      <w:bookmarkEnd w:id="314"/>
      <w:bookmarkEnd w:id="315"/>
      <w:bookmarkEnd w:id="316"/>
      <w:bookmarkEnd w:id="317"/>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4"/>
        <w:spacing w:line="360" w:lineRule="auto"/>
        <w:ind w:firstLine="600"/>
        <w:jc w:val="center"/>
        <w:rPr>
          <w:rFonts w:ascii="宋体" w:hAnsi="宋体"/>
          <w:b w:val="0"/>
          <w:bCs w:val="0"/>
        </w:rPr>
      </w:pPr>
      <w:bookmarkStart w:id="318" w:name="_Toc19733"/>
      <w:bookmarkStart w:id="319" w:name="_Toc13727"/>
      <w:bookmarkStart w:id="320" w:name="_Toc26933"/>
      <w:bookmarkStart w:id="321" w:name="_Toc23414"/>
      <w:bookmarkStart w:id="322" w:name="_Toc5439"/>
      <w:bookmarkStart w:id="323" w:name="_Toc83312455"/>
      <w:bookmarkStart w:id="324" w:name="_Toc9336"/>
      <w:r>
        <w:rPr>
          <w:rFonts w:hint="eastAsia" w:ascii="宋体" w:hAnsi="宋体"/>
          <w:b w:val="0"/>
          <w:bCs w:val="0"/>
        </w:rPr>
        <w:t>一   资格审查文件格式</w:t>
      </w:r>
      <w:bookmarkEnd w:id="318"/>
      <w:bookmarkEnd w:id="319"/>
      <w:bookmarkEnd w:id="320"/>
      <w:bookmarkEnd w:id="321"/>
      <w:bookmarkEnd w:id="322"/>
      <w:bookmarkEnd w:id="323"/>
      <w:bookmarkEnd w:id="324"/>
    </w:p>
    <w:p>
      <w:pPr>
        <w:spacing w:line="360" w:lineRule="auto"/>
        <w:jc w:val="center"/>
        <w:rPr>
          <w:rFonts w:ascii="宋体" w:hAnsi="宋体"/>
          <w:b/>
          <w:sz w:val="30"/>
        </w:rPr>
      </w:pPr>
      <w:r>
        <w:rPr>
          <w:rFonts w:ascii="宋体" w:hAnsi="宋体"/>
        </w:rPr>
        <w:br w:type="page"/>
      </w:r>
    </w:p>
    <w:p>
      <w:pPr>
        <w:spacing w:line="360" w:lineRule="auto"/>
        <w:jc w:val="center"/>
        <w:rPr>
          <w:rFonts w:hint="eastAsia" w:ascii="宋体" w:hAnsi="宋体"/>
          <w:b/>
          <w:sz w:val="36"/>
        </w:rPr>
      </w:pPr>
    </w:p>
    <w:p>
      <w:pPr>
        <w:spacing w:line="360" w:lineRule="auto"/>
        <w:jc w:val="center"/>
        <w:rPr>
          <w:rFonts w:hint="eastAsia" w:ascii="宋体" w:hAnsi="宋体"/>
          <w:b/>
          <w:sz w:val="36"/>
        </w:rPr>
      </w:pPr>
    </w:p>
    <w:p>
      <w:pPr>
        <w:spacing w:line="360" w:lineRule="auto"/>
        <w:jc w:val="center"/>
        <w:rPr>
          <w:rFonts w:hint="eastAsia" w:ascii="宋体" w:hAnsi="宋体"/>
          <w:b/>
          <w:sz w:val="36"/>
        </w:rPr>
      </w:pPr>
    </w:p>
    <w:p>
      <w:pPr>
        <w:spacing w:line="360" w:lineRule="auto"/>
        <w:jc w:val="center"/>
        <w:rPr>
          <w:rFonts w:ascii="宋体" w:hAnsi="宋体"/>
          <w:b/>
          <w:sz w:val="30"/>
        </w:rPr>
      </w:pPr>
      <w:r>
        <w:rPr>
          <w:rFonts w:hint="eastAsia" w:ascii="宋体" w:hAnsi="宋体"/>
          <w:b/>
          <w:sz w:val="36"/>
        </w:rPr>
        <w:t>资格审查文件封面</w:t>
      </w:r>
    </w:p>
    <w:p>
      <w:pPr>
        <w:pStyle w:val="5"/>
        <w:spacing w:line="360" w:lineRule="auto"/>
        <w:ind w:firstLine="1497" w:firstLineChars="416"/>
        <w:rPr>
          <w:rFonts w:ascii="宋体" w:hAnsi="宋体"/>
          <w:sz w:val="36"/>
        </w:rPr>
      </w:pPr>
    </w:p>
    <w:p>
      <w:pPr>
        <w:pStyle w:val="5"/>
        <w:spacing w:line="360" w:lineRule="auto"/>
        <w:ind w:left="0" w:leftChars="0" w:firstLine="0" w:firstLineChars="0"/>
        <w:rPr>
          <w:rFonts w:ascii="宋体" w:hAnsi="宋体"/>
          <w:sz w:val="36"/>
          <w:szCs w:val="32"/>
        </w:rPr>
      </w:pPr>
    </w:p>
    <w:p>
      <w:pPr>
        <w:pStyle w:val="5"/>
        <w:spacing w:line="360" w:lineRule="auto"/>
        <w:ind w:firstLine="1497" w:firstLineChars="416"/>
        <w:rPr>
          <w:rFonts w:ascii="宋体" w:hAnsi="宋体"/>
        </w:rPr>
      </w:pPr>
      <w:r>
        <w:rPr>
          <w:rFonts w:ascii="宋体" w:hAnsi="宋体"/>
          <w:sz w:val="36"/>
          <w:szCs w:val="32"/>
        </w:rPr>
        <w:t>采购编号：</w:t>
      </w:r>
    </w:p>
    <w:p>
      <w:pPr>
        <w:pStyle w:val="5"/>
        <w:spacing w:line="360" w:lineRule="auto"/>
        <w:ind w:firstLine="1497" w:firstLineChars="416"/>
        <w:rPr>
          <w:rFonts w:ascii="宋体" w:hAnsi="宋体"/>
          <w:sz w:val="36"/>
          <w:szCs w:val="32"/>
        </w:rPr>
      </w:pPr>
    </w:p>
    <w:p/>
    <w:p>
      <w:pPr>
        <w:pStyle w:val="5"/>
        <w:spacing w:line="360" w:lineRule="auto"/>
        <w:ind w:firstLine="1497" w:firstLineChars="416"/>
        <w:rPr>
          <w:rFonts w:ascii="宋体" w:hAnsi="宋体"/>
        </w:rPr>
      </w:pPr>
      <w:r>
        <w:rPr>
          <w:rFonts w:ascii="宋体" w:hAnsi="宋体"/>
          <w:sz w:val="36"/>
          <w:szCs w:val="32"/>
        </w:rPr>
        <w:t>项目名称</w:t>
      </w:r>
      <w:r>
        <w:rPr>
          <w:rFonts w:hint="eastAsia" w:ascii="宋体" w:hAnsi="宋体"/>
          <w:sz w:val="36"/>
          <w:szCs w:val="32"/>
        </w:rPr>
        <w:t xml:space="preserve">：            </w:t>
      </w:r>
    </w:p>
    <w:p>
      <w:pPr>
        <w:pStyle w:val="5"/>
        <w:spacing w:line="360" w:lineRule="auto"/>
        <w:ind w:firstLine="1497" w:firstLineChars="416"/>
        <w:rPr>
          <w:rFonts w:ascii="宋体" w:hAnsi="宋体"/>
          <w:sz w:val="36"/>
          <w:szCs w:val="32"/>
        </w:rPr>
      </w:pPr>
    </w:p>
    <w:p/>
    <w:p>
      <w:pPr>
        <w:pStyle w:val="5"/>
        <w:spacing w:line="360" w:lineRule="auto"/>
        <w:ind w:firstLine="1497" w:firstLineChars="416"/>
        <w:rPr>
          <w:rFonts w:ascii="宋体" w:hAnsi="宋体"/>
        </w:rPr>
      </w:pPr>
      <w:r>
        <w:rPr>
          <w:rFonts w:ascii="宋体" w:hAnsi="宋体"/>
          <w:sz w:val="36"/>
          <w:szCs w:val="32"/>
        </w:rPr>
        <w:t>投标文件名称：</w:t>
      </w:r>
      <w:r>
        <w:rPr>
          <w:rFonts w:hint="eastAsia" w:ascii="宋体" w:hAnsi="宋体"/>
          <w:sz w:val="36"/>
          <w:szCs w:val="32"/>
        </w:rPr>
        <w:t>资格审查文件</w:t>
      </w:r>
    </w:p>
    <w:p>
      <w:pPr>
        <w:pStyle w:val="5"/>
        <w:spacing w:line="360" w:lineRule="auto"/>
        <w:ind w:firstLine="1497" w:firstLineChars="416"/>
        <w:rPr>
          <w:rFonts w:ascii="宋体" w:hAnsi="宋体"/>
          <w:sz w:val="36"/>
          <w:szCs w:val="32"/>
        </w:rPr>
      </w:pPr>
    </w:p>
    <w:p/>
    <w:p>
      <w:pPr>
        <w:pStyle w:val="5"/>
        <w:spacing w:line="360" w:lineRule="auto"/>
        <w:ind w:firstLine="900" w:firstLineChars="250"/>
        <w:rPr>
          <w:rFonts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CA签章</w:t>
      </w:r>
      <w:r>
        <w:rPr>
          <w:rFonts w:ascii="宋体" w:hAnsi="宋体"/>
          <w:sz w:val="36"/>
        </w:rPr>
        <w:t>）</w:t>
      </w:r>
      <w:r>
        <w:rPr>
          <w:rFonts w:hint="eastAsia" w:ascii="宋体" w:hAnsi="宋体"/>
          <w:sz w:val="36"/>
        </w:rPr>
        <w:t>（如联合体参加，加盖牵头人CA章）</w:t>
      </w:r>
      <w:r>
        <w:rPr>
          <w:rFonts w:ascii="宋体" w:hAnsi="宋体"/>
          <w:sz w:val="36"/>
        </w:rPr>
        <w:t>：</w:t>
      </w:r>
    </w:p>
    <w:p>
      <w:pPr>
        <w:pStyle w:val="5"/>
        <w:spacing w:line="360" w:lineRule="auto"/>
        <w:ind w:firstLine="1497" w:firstLineChars="416"/>
        <w:rPr>
          <w:rFonts w:ascii="宋体" w:hAnsi="宋体"/>
          <w:sz w:val="36"/>
          <w:szCs w:val="32"/>
        </w:rPr>
      </w:pPr>
    </w:p>
    <w:p/>
    <w:p>
      <w:pPr>
        <w:pStyle w:val="5"/>
        <w:spacing w:line="360" w:lineRule="auto"/>
        <w:ind w:firstLine="1497" w:firstLineChars="416"/>
        <w:rPr>
          <w:rFonts w:ascii="宋体" w:hAnsi="宋体"/>
          <w:sz w:val="36"/>
          <w:szCs w:val="32"/>
        </w:rPr>
      </w:pPr>
      <w:r>
        <w:rPr>
          <w:rFonts w:ascii="宋体" w:hAnsi="宋体"/>
          <w:sz w:val="36"/>
          <w:szCs w:val="32"/>
        </w:rPr>
        <w:t>投标人地址：</w:t>
      </w:r>
    </w:p>
    <w:p>
      <w:pPr>
        <w:pStyle w:val="5"/>
        <w:spacing w:line="360" w:lineRule="auto"/>
        <w:ind w:firstLine="0"/>
        <w:rPr>
          <w:rFonts w:ascii="宋体" w:hAnsi="宋体"/>
          <w:sz w:val="36"/>
        </w:rPr>
      </w:pPr>
    </w:p>
    <w:p>
      <w:pPr>
        <w:pStyle w:val="5"/>
        <w:spacing w:line="360" w:lineRule="auto"/>
        <w:ind w:firstLine="0"/>
        <w:rPr>
          <w:rFonts w:ascii="宋体" w:hAnsi="宋体"/>
          <w:sz w:val="36"/>
        </w:rPr>
      </w:pPr>
    </w:p>
    <w:p>
      <w:pPr>
        <w:spacing w:line="360" w:lineRule="auto"/>
        <w:rPr>
          <w:rFonts w:ascii="宋体" w:hAnsi="宋体"/>
          <w:sz w:val="36"/>
        </w:rPr>
      </w:pPr>
    </w:p>
    <w:p>
      <w:pPr>
        <w:spacing w:line="360" w:lineRule="auto"/>
        <w:jc w:val="both"/>
        <w:rPr>
          <w:rFonts w:ascii="宋体" w:hAnsi="宋体"/>
          <w:sz w:val="30"/>
        </w:rPr>
      </w:pPr>
    </w:p>
    <w:p>
      <w:pPr>
        <w:spacing w:line="360" w:lineRule="auto"/>
        <w:jc w:val="center"/>
        <w:rPr>
          <w:rFonts w:ascii="宋体" w:hAnsi="宋体"/>
          <w:sz w:val="30"/>
        </w:rPr>
      </w:pPr>
      <w:r>
        <w:rPr>
          <w:rFonts w:hint="eastAsia" w:ascii="宋体" w:hAnsi="宋体"/>
          <w:sz w:val="30"/>
        </w:rPr>
        <w:t>▲1、投标人有效营业执照</w:t>
      </w:r>
    </w:p>
    <w:p>
      <w:pPr>
        <w:spacing w:line="360" w:lineRule="auto"/>
        <w:ind w:firstLine="480" w:firstLineChars="200"/>
        <w:rPr>
          <w:rFonts w:hint="eastAsia" w:hAnsi="宋体"/>
          <w:b/>
          <w:sz w:val="32"/>
        </w:rPr>
      </w:pPr>
      <w:r>
        <w:rPr>
          <w:rFonts w:hint="eastAsia" w:ascii="宋体" w:hAnsi="宋体"/>
          <w:sz w:val="24"/>
        </w:rPr>
        <w:t>要求：提供</w:t>
      </w:r>
      <w:r>
        <w:rPr>
          <w:rFonts w:ascii="宋体" w:hAnsi="宋体"/>
          <w:sz w:val="24"/>
        </w:rPr>
        <w:t>有效的营业执照</w:t>
      </w:r>
      <w:r>
        <w:rPr>
          <w:rFonts w:hint="eastAsia" w:ascii="宋体" w:hAnsi="宋体"/>
          <w:sz w:val="24"/>
        </w:rPr>
        <w:t>扫描件，图像清晰。</w:t>
      </w:r>
      <w:r>
        <w:rPr>
          <w:rFonts w:hint="eastAsia" w:ascii="宋体" w:hAnsi="宋体"/>
          <w:b/>
          <w:sz w:val="24"/>
        </w:rPr>
        <w:t>（若为联合体参与</w:t>
      </w:r>
      <w:r>
        <w:rPr>
          <w:rFonts w:hint="eastAsia" w:ascii="宋体" w:hAnsi="宋体"/>
          <w:b/>
          <w:sz w:val="24"/>
          <w:lang w:val="en-US" w:eastAsia="zh-CN"/>
        </w:rPr>
        <w:t>投标</w:t>
      </w:r>
      <w:r>
        <w:rPr>
          <w:rFonts w:hint="eastAsia" w:ascii="宋体" w:hAnsi="宋体"/>
          <w:b/>
          <w:sz w:val="24"/>
        </w:rPr>
        <w:t>的，须提供联合体各方有效的营业执照扫描件）</w:t>
      </w:r>
    </w:p>
    <w:p>
      <w:pPr>
        <w:spacing w:line="360" w:lineRule="auto"/>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hint="eastAsia"/>
        </w:rPr>
      </w:pPr>
      <w:r>
        <w:rPr>
          <w:rFonts w:ascii="宋体" w:hAnsi="宋体"/>
          <w:sz w:val="24"/>
        </w:rPr>
        <w:br w:type="page"/>
      </w:r>
      <w:r>
        <w:rPr>
          <w:rFonts w:hint="eastAsia" w:ascii="宋体" w:hAnsi="宋体"/>
          <w:b/>
          <w:sz w:val="32"/>
          <w:szCs w:val="20"/>
        </w:rPr>
        <w:t>2.1联合体协议书（联合体</w:t>
      </w:r>
      <w:r>
        <w:rPr>
          <w:rFonts w:hint="eastAsia" w:ascii="宋体" w:hAnsi="宋体"/>
          <w:b/>
          <w:sz w:val="32"/>
          <w:szCs w:val="20"/>
          <w:lang w:val="en-US" w:eastAsia="zh-CN"/>
        </w:rPr>
        <w:t>投标</w:t>
      </w:r>
      <w:r>
        <w:rPr>
          <w:rFonts w:hint="eastAsia" w:ascii="宋体" w:hAnsi="宋体"/>
          <w:b/>
          <w:sz w:val="32"/>
          <w:szCs w:val="20"/>
        </w:rPr>
        <w:t>时提供）</w:t>
      </w:r>
    </w:p>
    <w:p>
      <w:pPr>
        <w:spacing w:line="360" w:lineRule="auto"/>
        <w:jc w:val="center"/>
        <w:rPr>
          <w:rFonts w:hint="eastAsia"/>
        </w:rPr>
      </w:pPr>
    </w:p>
    <w:p>
      <w:pPr>
        <w:pStyle w:val="32"/>
        <w:autoSpaceDE w:val="0"/>
        <w:autoSpaceDN w:val="0"/>
        <w:spacing w:line="360" w:lineRule="auto"/>
        <w:textAlignment w:val="bottom"/>
        <w:rPr>
          <w:rFonts w:ascii="宋体" w:hAnsi="宋体"/>
          <w:sz w:val="24"/>
          <w:szCs w:val="20"/>
        </w:rPr>
      </w:pPr>
      <w:r>
        <w:rPr>
          <w:rFonts w:hint="eastAsia" w:ascii="宋体" w:hAnsi="宋体"/>
          <w:sz w:val="24"/>
          <w:szCs w:val="20"/>
        </w:rPr>
        <w:t>甲方全称：</w:t>
      </w:r>
    </w:p>
    <w:p>
      <w:pPr>
        <w:spacing w:line="360" w:lineRule="auto"/>
        <w:rPr>
          <w:rFonts w:hint="eastAsia" w:ascii="宋体" w:hAnsi="宋体"/>
          <w:sz w:val="24"/>
          <w:szCs w:val="20"/>
        </w:rPr>
      </w:pPr>
      <w:r>
        <w:rPr>
          <w:rFonts w:hint="eastAsia" w:ascii="宋体" w:hAnsi="宋体"/>
          <w:sz w:val="24"/>
          <w:szCs w:val="20"/>
        </w:rPr>
        <w:t>乙方全称：</w:t>
      </w:r>
    </w:p>
    <w:p>
      <w:pPr>
        <w:spacing w:line="360" w:lineRule="auto"/>
        <w:rPr>
          <w:rFonts w:ascii="宋体" w:hAnsi="宋体"/>
          <w:color w:val="000000"/>
        </w:rPr>
      </w:pPr>
      <w:r>
        <w:rPr>
          <w:rFonts w:hint="eastAsia" w:ascii="宋体" w:hAnsi="宋体"/>
          <w:color w:val="000000"/>
          <w:sz w:val="24"/>
        </w:rPr>
        <w:t>（</w:t>
      </w:r>
      <w:r>
        <w:rPr>
          <w:rFonts w:hint="eastAsia"/>
          <w:color w:val="000000"/>
          <w:sz w:val="24"/>
        </w:rPr>
        <w:t>如成员方为多个的</w:t>
      </w:r>
      <w:r>
        <w:rPr>
          <w:rFonts w:hint="eastAsia" w:ascii="宋体" w:hAnsi="宋体"/>
          <w:color w:val="000000"/>
          <w:sz w:val="24"/>
        </w:rPr>
        <w:t>，可按甲、乙、丙、丁…序列增加）</w:t>
      </w:r>
    </w:p>
    <w:p>
      <w:pPr>
        <w:pStyle w:val="32"/>
        <w:autoSpaceDE w:val="0"/>
        <w:autoSpaceDN w:val="0"/>
        <w:spacing w:line="360" w:lineRule="auto"/>
        <w:textAlignment w:val="bottom"/>
        <w:rPr>
          <w:rFonts w:ascii="宋体" w:hAnsi="宋体"/>
          <w:sz w:val="24"/>
          <w:szCs w:val="20"/>
        </w:rPr>
      </w:pPr>
    </w:p>
    <w:p>
      <w:pPr>
        <w:pStyle w:val="32"/>
        <w:autoSpaceDE w:val="0"/>
        <w:autoSpaceDN w:val="0"/>
        <w:spacing w:line="360" w:lineRule="auto"/>
        <w:ind w:firstLine="720" w:firstLineChars="300"/>
        <w:textAlignment w:val="bottom"/>
        <w:rPr>
          <w:rFonts w:ascii="宋体" w:hAnsi="宋体"/>
          <w:sz w:val="24"/>
          <w:szCs w:val="20"/>
        </w:rPr>
      </w:pPr>
      <w:r>
        <w:rPr>
          <w:rFonts w:hint="eastAsia" w:ascii="宋体" w:hAnsi="宋体"/>
          <w:sz w:val="24"/>
          <w:szCs w:val="20"/>
          <w:u w:val="single"/>
        </w:rPr>
        <w:t>（甲方全称）、（乙方全称）</w:t>
      </w:r>
      <w:r>
        <w:rPr>
          <w:rFonts w:hint="eastAsia" w:ascii="宋体" w:hAnsi="宋体"/>
          <w:sz w:val="24"/>
          <w:szCs w:val="20"/>
        </w:rPr>
        <w:t>自愿组成联合体，以一个供应商的身份共同参加</w:t>
      </w:r>
      <w:r>
        <w:rPr>
          <w:rFonts w:hint="eastAsia" w:ascii="宋体" w:hAnsi="宋体"/>
          <w:sz w:val="24"/>
          <w:szCs w:val="20"/>
          <w:u w:val="single"/>
        </w:rPr>
        <w:t>（采购项目名称）（采购项目编号）</w:t>
      </w:r>
      <w:r>
        <w:rPr>
          <w:rFonts w:hint="eastAsia" w:ascii="宋体" w:hAnsi="宋体"/>
          <w:sz w:val="24"/>
          <w:szCs w:val="20"/>
        </w:rPr>
        <w:t>的</w:t>
      </w:r>
      <w:r>
        <w:rPr>
          <w:rFonts w:hint="eastAsia" w:ascii="宋体" w:hAnsi="宋体"/>
          <w:sz w:val="24"/>
          <w:szCs w:val="20"/>
          <w:lang w:val="en-US" w:eastAsia="zh-CN"/>
        </w:rPr>
        <w:t>投标</w:t>
      </w:r>
      <w:r>
        <w:rPr>
          <w:rFonts w:hint="eastAsia" w:ascii="宋体" w:hAnsi="宋体"/>
          <w:sz w:val="24"/>
          <w:szCs w:val="20"/>
        </w:rPr>
        <w:t>活动。经各方充分协商一致，就项目的</w:t>
      </w:r>
      <w:r>
        <w:rPr>
          <w:rFonts w:hint="eastAsia" w:ascii="宋体" w:hAnsi="宋体"/>
          <w:sz w:val="24"/>
          <w:szCs w:val="20"/>
          <w:lang w:val="en-US" w:eastAsia="zh-CN"/>
        </w:rPr>
        <w:t>投标</w:t>
      </w:r>
      <w:r>
        <w:rPr>
          <w:rFonts w:hint="eastAsia" w:ascii="宋体" w:hAnsi="宋体"/>
          <w:sz w:val="24"/>
          <w:szCs w:val="20"/>
        </w:rPr>
        <w:t>响应和合同实施阶段的有关事务协商一致订立协议如下：</w:t>
      </w:r>
    </w:p>
    <w:p>
      <w:pPr>
        <w:pStyle w:val="32"/>
        <w:autoSpaceDE w:val="0"/>
        <w:autoSpaceDN w:val="0"/>
        <w:spacing w:line="360" w:lineRule="auto"/>
        <w:ind w:firstLine="480" w:firstLineChars="200"/>
        <w:textAlignment w:val="bottom"/>
        <w:rPr>
          <w:rFonts w:ascii="宋体" w:hAnsi="宋体"/>
          <w:sz w:val="24"/>
          <w:szCs w:val="20"/>
        </w:rPr>
      </w:pPr>
      <w:r>
        <w:rPr>
          <w:rFonts w:hint="eastAsia" w:ascii="宋体" w:hAnsi="宋体"/>
          <w:sz w:val="24"/>
          <w:szCs w:val="20"/>
        </w:rPr>
        <w:t>一、联合体各方关系</w:t>
      </w:r>
    </w:p>
    <w:p>
      <w:pPr>
        <w:pStyle w:val="32"/>
        <w:autoSpaceDE w:val="0"/>
        <w:autoSpaceDN w:val="0"/>
        <w:spacing w:line="360" w:lineRule="auto"/>
        <w:ind w:firstLine="480" w:firstLineChars="200"/>
        <w:textAlignment w:val="bottom"/>
        <w:rPr>
          <w:rFonts w:ascii="宋体" w:hAnsi="宋体"/>
          <w:sz w:val="24"/>
          <w:szCs w:val="20"/>
        </w:rPr>
      </w:pPr>
      <w:r>
        <w:rPr>
          <w:rFonts w:hint="eastAsia" w:ascii="宋体" w:hAnsi="宋体"/>
          <w:sz w:val="24"/>
          <w:szCs w:val="20"/>
          <w:u w:val="single"/>
        </w:rPr>
        <w:t>（甲方全称）、（乙方全称）共</w:t>
      </w:r>
      <w:r>
        <w:rPr>
          <w:rFonts w:hint="eastAsia" w:ascii="宋体" w:hAnsi="宋体"/>
          <w:sz w:val="24"/>
          <w:szCs w:val="20"/>
        </w:rPr>
        <w:t>同组成一个联合体，以一个供应商的身份共同参加本项目的</w:t>
      </w:r>
      <w:r>
        <w:rPr>
          <w:rFonts w:hint="eastAsia" w:ascii="宋体" w:hAnsi="宋体"/>
          <w:sz w:val="24"/>
          <w:szCs w:val="20"/>
          <w:lang w:val="en-US" w:eastAsia="zh-CN"/>
        </w:rPr>
        <w:t>投标</w:t>
      </w:r>
      <w:r>
        <w:rPr>
          <w:rFonts w:hint="eastAsia" w:ascii="宋体" w:hAnsi="宋体"/>
          <w:sz w:val="24"/>
          <w:szCs w:val="20"/>
        </w:rPr>
        <w:t>，其中</w:t>
      </w:r>
      <w:r>
        <w:rPr>
          <w:rFonts w:hint="eastAsia" w:ascii="宋体" w:hAnsi="宋体"/>
          <w:sz w:val="24"/>
          <w:szCs w:val="20"/>
          <w:u w:val="single"/>
        </w:rPr>
        <w:t xml:space="preserve"> （甲方全称）</w:t>
      </w:r>
      <w:r>
        <w:rPr>
          <w:rFonts w:hint="eastAsia" w:ascii="宋体" w:hAnsi="宋体"/>
          <w:sz w:val="24"/>
          <w:szCs w:val="20"/>
        </w:rPr>
        <w:t>为此次联合体的牵头单位。</w:t>
      </w:r>
      <w:r>
        <w:rPr>
          <w:rFonts w:hint="eastAsia" w:ascii="宋体" w:hAnsi="宋体"/>
          <w:sz w:val="24"/>
          <w:szCs w:val="20"/>
          <w:u w:val="single"/>
        </w:rPr>
        <w:t>（甲方全称）、（乙方全称）</w:t>
      </w:r>
      <w:r>
        <w:rPr>
          <w:rFonts w:hint="eastAsia" w:ascii="宋体" w:hAnsi="宋体"/>
          <w:sz w:val="24"/>
          <w:szCs w:val="20"/>
        </w:rPr>
        <w:t>作为联合体成员,若成交，联合体各方共同与（采购人）签订采购合同。</w:t>
      </w:r>
    </w:p>
    <w:p>
      <w:pPr>
        <w:pStyle w:val="32"/>
        <w:autoSpaceDE w:val="0"/>
        <w:autoSpaceDN w:val="0"/>
        <w:spacing w:line="360" w:lineRule="auto"/>
        <w:ind w:firstLine="360" w:firstLineChars="150"/>
        <w:textAlignment w:val="bottom"/>
        <w:rPr>
          <w:rFonts w:ascii="宋体" w:hAnsi="宋体"/>
          <w:sz w:val="24"/>
          <w:szCs w:val="20"/>
        </w:rPr>
      </w:pPr>
      <w:r>
        <w:rPr>
          <w:rFonts w:hint="eastAsia" w:ascii="宋体" w:hAnsi="宋体"/>
          <w:sz w:val="24"/>
          <w:szCs w:val="20"/>
        </w:rPr>
        <w:t>二、联合体内部有关事项约定如下：</w:t>
      </w:r>
    </w:p>
    <w:p>
      <w:pPr>
        <w:pStyle w:val="32"/>
        <w:autoSpaceDE w:val="0"/>
        <w:autoSpaceDN w:val="0"/>
        <w:spacing w:line="360" w:lineRule="auto"/>
        <w:ind w:firstLine="360" w:firstLineChars="150"/>
        <w:textAlignment w:val="bottom"/>
        <w:rPr>
          <w:rFonts w:ascii="宋体" w:hAnsi="宋体"/>
          <w:sz w:val="24"/>
          <w:szCs w:val="20"/>
        </w:rPr>
      </w:pPr>
      <w:r>
        <w:rPr>
          <w:rFonts w:hint="eastAsia" w:ascii="宋体" w:hAnsi="宋体"/>
          <w:sz w:val="24"/>
          <w:szCs w:val="20"/>
        </w:rPr>
        <w:t>1.联合体由联合体共同授权人员负责与采购单位联系。</w:t>
      </w:r>
    </w:p>
    <w:p>
      <w:pPr>
        <w:pStyle w:val="32"/>
        <w:autoSpaceDE w:val="0"/>
        <w:autoSpaceDN w:val="0"/>
        <w:spacing w:line="360" w:lineRule="auto"/>
        <w:ind w:firstLine="360" w:firstLineChars="150"/>
        <w:textAlignment w:val="bottom"/>
        <w:rPr>
          <w:rFonts w:ascii="宋体" w:hAnsi="宋体"/>
          <w:sz w:val="24"/>
          <w:szCs w:val="20"/>
        </w:rPr>
      </w:pPr>
      <w:r>
        <w:rPr>
          <w:rFonts w:hint="eastAsia" w:ascii="宋体" w:hAnsi="宋体"/>
          <w:sz w:val="24"/>
          <w:szCs w:val="20"/>
        </w:rPr>
        <w:t>2.联合体</w:t>
      </w:r>
      <w:r>
        <w:rPr>
          <w:rFonts w:hint="eastAsia" w:ascii="宋体" w:hAnsi="宋体"/>
          <w:sz w:val="24"/>
          <w:szCs w:val="20"/>
          <w:lang w:val="en-US" w:eastAsia="zh-CN"/>
        </w:rPr>
        <w:t>投标</w:t>
      </w:r>
      <w:r>
        <w:rPr>
          <w:rFonts w:hint="eastAsia" w:ascii="宋体" w:hAnsi="宋体"/>
          <w:sz w:val="24"/>
          <w:szCs w:val="20"/>
        </w:rPr>
        <w:t>工作由联合体共同负责，由联合体各方组成的投标小组具体实施。</w:t>
      </w:r>
    </w:p>
    <w:p>
      <w:pPr>
        <w:pStyle w:val="32"/>
        <w:autoSpaceDE w:val="0"/>
        <w:autoSpaceDN w:val="0"/>
        <w:spacing w:line="360" w:lineRule="auto"/>
        <w:ind w:firstLine="360" w:firstLineChars="150"/>
        <w:textAlignment w:val="bottom"/>
        <w:rPr>
          <w:rFonts w:ascii="宋体" w:hAnsi="宋体"/>
          <w:sz w:val="24"/>
          <w:szCs w:val="20"/>
        </w:rPr>
      </w:pPr>
      <w:r>
        <w:rPr>
          <w:rFonts w:hint="eastAsia" w:ascii="宋体" w:hAnsi="宋体"/>
          <w:sz w:val="24"/>
          <w:szCs w:val="20"/>
        </w:rPr>
        <w:t>3.联合体将严格按照</w:t>
      </w:r>
      <w:r>
        <w:rPr>
          <w:rFonts w:hint="eastAsia" w:ascii="宋体" w:hAnsi="宋体"/>
          <w:sz w:val="24"/>
          <w:szCs w:val="20"/>
          <w:lang w:val="en-US" w:eastAsia="zh-CN"/>
        </w:rPr>
        <w:t>采购</w:t>
      </w:r>
      <w:r>
        <w:rPr>
          <w:rFonts w:hint="eastAsia" w:ascii="宋体" w:hAnsi="宋体"/>
          <w:sz w:val="24"/>
          <w:szCs w:val="20"/>
        </w:rPr>
        <w:t>文件的各项要求，递交响应文件，切实执行一切合同文件，共同承担合同规定的一切义务和责任，同时按照内部职责的划分，承担自身所负的责任和风险，在法律</w:t>
      </w:r>
      <w:r>
        <w:rPr>
          <w:rFonts w:hint="eastAsia" w:ascii="宋体" w:hAnsi="宋体"/>
          <w:sz w:val="24"/>
          <w:szCs w:val="20"/>
          <w:lang w:val="en-US" w:eastAsia="zh-CN"/>
        </w:rPr>
        <w:t>上</w:t>
      </w:r>
      <w:r>
        <w:rPr>
          <w:rFonts w:hint="eastAsia" w:ascii="宋体" w:hAnsi="宋体"/>
          <w:sz w:val="24"/>
          <w:szCs w:val="20"/>
        </w:rPr>
        <w:t>承担连带责任。</w:t>
      </w:r>
    </w:p>
    <w:p>
      <w:pPr>
        <w:pStyle w:val="32"/>
        <w:autoSpaceDE w:val="0"/>
        <w:autoSpaceDN w:val="0"/>
        <w:spacing w:line="360" w:lineRule="auto"/>
        <w:ind w:firstLine="360" w:firstLineChars="150"/>
        <w:textAlignment w:val="bottom"/>
        <w:rPr>
          <w:rFonts w:hint="eastAsia" w:ascii="宋体" w:hAnsi="宋体"/>
          <w:sz w:val="24"/>
          <w:szCs w:val="20"/>
        </w:rPr>
      </w:pPr>
      <w:r>
        <w:rPr>
          <w:rFonts w:hint="eastAsia" w:ascii="宋体" w:hAnsi="宋体"/>
          <w:sz w:val="24"/>
          <w:szCs w:val="20"/>
        </w:rPr>
        <w:t>4.如成交，联合体各方共同与</w:t>
      </w:r>
      <w:r>
        <w:rPr>
          <w:rFonts w:hint="eastAsia" w:ascii="宋体" w:hAnsi="宋体"/>
          <w:sz w:val="24"/>
          <w:szCs w:val="20"/>
          <w:u w:val="single"/>
        </w:rPr>
        <w:t>（采购人）</w:t>
      </w:r>
      <w:r>
        <w:rPr>
          <w:rFonts w:hint="eastAsia" w:ascii="宋体" w:hAnsi="宋体"/>
          <w:sz w:val="24"/>
          <w:szCs w:val="20"/>
        </w:rPr>
        <w:t>签订合同书，并就成交项目向采购人负责有连带的和各自的法律责任。</w:t>
      </w:r>
    </w:p>
    <w:p>
      <w:pPr>
        <w:pStyle w:val="32"/>
        <w:autoSpaceDE w:val="0"/>
        <w:autoSpaceDN w:val="0"/>
        <w:spacing w:line="360" w:lineRule="auto"/>
        <w:ind w:firstLine="480" w:firstLineChars="200"/>
        <w:textAlignment w:val="bottom"/>
        <w:rPr>
          <w:rFonts w:ascii="宋体" w:hAnsi="宋体"/>
          <w:sz w:val="24"/>
          <w:szCs w:val="20"/>
        </w:rPr>
      </w:pPr>
      <w:r>
        <w:rPr>
          <w:rFonts w:hint="eastAsia" w:ascii="宋体" w:hAnsi="宋体"/>
          <w:sz w:val="24"/>
          <w:szCs w:val="20"/>
        </w:rPr>
        <w:t>三、联合体各方不得再以自己名义参与本项目</w:t>
      </w:r>
      <w:r>
        <w:rPr>
          <w:rFonts w:hint="eastAsia" w:ascii="宋体" w:hAnsi="宋体"/>
          <w:sz w:val="24"/>
          <w:szCs w:val="20"/>
          <w:lang w:val="en-US" w:eastAsia="zh-CN"/>
        </w:rPr>
        <w:t>投标</w:t>
      </w:r>
      <w:r>
        <w:rPr>
          <w:rFonts w:hint="eastAsia" w:ascii="宋体" w:hAnsi="宋体"/>
          <w:sz w:val="24"/>
          <w:szCs w:val="20"/>
        </w:rPr>
        <w:t>，联合体各方不能作为其它联合体或单独投标单位的项目组成员参加本项目</w:t>
      </w:r>
      <w:r>
        <w:rPr>
          <w:rFonts w:hint="eastAsia" w:ascii="宋体" w:hAnsi="宋体"/>
          <w:sz w:val="24"/>
          <w:szCs w:val="20"/>
          <w:lang w:val="en-US" w:eastAsia="zh-CN"/>
        </w:rPr>
        <w:t>投标</w:t>
      </w:r>
      <w:r>
        <w:rPr>
          <w:rFonts w:hint="eastAsia" w:ascii="宋体" w:hAnsi="宋体"/>
          <w:sz w:val="24"/>
          <w:szCs w:val="20"/>
        </w:rPr>
        <w:t>。因发生上述问题导致联合体</w:t>
      </w:r>
      <w:r>
        <w:rPr>
          <w:rFonts w:hint="eastAsia" w:ascii="宋体" w:hAnsi="宋体"/>
          <w:sz w:val="24"/>
          <w:szCs w:val="20"/>
          <w:lang w:val="en-US" w:eastAsia="zh-CN"/>
        </w:rPr>
        <w:t>投标</w:t>
      </w:r>
      <w:r>
        <w:rPr>
          <w:rFonts w:hint="eastAsia" w:ascii="宋体" w:hAnsi="宋体"/>
          <w:sz w:val="24"/>
          <w:szCs w:val="20"/>
        </w:rPr>
        <w:t>成为废标，联合体的其他成员可追究其违约责任和经济损失。</w:t>
      </w:r>
    </w:p>
    <w:p>
      <w:pPr>
        <w:pStyle w:val="32"/>
        <w:autoSpaceDE w:val="0"/>
        <w:autoSpaceDN w:val="0"/>
        <w:spacing w:line="360" w:lineRule="auto"/>
        <w:ind w:firstLine="600" w:firstLineChars="250"/>
        <w:textAlignment w:val="bottom"/>
        <w:rPr>
          <w:rFonts w:ascii="宋体" w:hAnsi="宋体"/>
          <w:sz w:val="24"/>
          <w:szCs w:val="20"/>
        </w:rPr>
      </w:pPr>
      <w:r>
        <w:rPr>
          <w:rFonts w:hint="eastAsia" w:ascii="宋体" w:hAnsi="宋体"/>
          <w:sz w:val="24"/>
          <w:szCs w:val="20"/>
        </w:rPr>
        <w:t>四、联合体如因违约过失责任而导致采购人经济损失或被索赔时，本联合体任何一方均同意无条件优先清偿采购人的一切债务和经济赔偿。</w:t>
      </w:r>
    </w:p>
    <w:p>
      <w:pPr>
        <w:pStyle w:val="31"/>
        <w:spacing w:before="0" w:beforeAutospacing="0" w:after="0" w:afterAutospacing="0" w:line="360" w:lineRule="auto"/>
        <w:ind w:firstLine="480" w:firstLineChars="200"/>
        <w:rPr>
          <w:rFonts w:hint="eastAsia"/>
          <w:szCs w:val="20"/>
        </w:rPr>
      </w:pPr>
      <w:r>
        <w:rPr>
          <w:rFonts w:hint="eastAsia"/>
          <w:szCs w:val="20"/>
        </w:rPr>
        <w:t>五、联合体各成员单位内部的职责分工如下：</w:t>
      </w:r>
    </w:p>
    <w:p>
      <w:pPr>
        <w:pStyle w:val="31"/>
        <w:spacing w:before="0" w:beforeAutospacing="0" w:after="0" w:afterAutospacing="0" w:line="360" w:lineRule="auto"/>
        <w:ind w:firstLine="480" w:firstLineChars="200"/>
        <w:rPr>
          <w:rFonts w:hint="eastAsia"/>
          <w:color w:val="000000"/>
          <w:szCs w:val="24"/>
          <w:u w:val="single"/>
        </w:rPr>
      </w:pPr>
      <w:r>
        <w:rPr>
          <w:rFonts w:hint="eastAsia"/>
          <w:color w:val="000000"/>
          <w:szCs w:val="24"/>
        </w:rPr>
        <w:t>甲方承担的工作和义务为：</w:t>
      </w:r>
      <w:r>
        <w:rPr>
          <w:rFonts w:hint="eastAsia"/>
          <w:color w:val="000000"/>
          <w:szCs w:val="24"/>
          <w:u w:val="single"/>
        </w:rPr>
        <w:t xml:space="preserve">                     </w:t>
      </w:r>
    </w:p>
    <w:p>
      <w:pPr>
        <w:pStyle w:val="31"/>
        <w:spacing w:before="0" w:beforeAutospacing="0" w:after="0" w:afterAutospacing="0" w:line="360" w:lineRule="auto"/>
        <w:ind w:firstLine="480" w:firstLineChars="200"/>
        <w:rPr>
          <w:color w:val="000000"/>
          <w:szCs w:val="24"/>
          <w:u w:val="single"/>
        </w:rPr>
      </w:pPr>
      <w:r>
        <w:rPr>
          <w:rFonts w:hint="eastAsia"/>
          <w:color w:val="000000"/>
          <w:szCs w:val="24"/>
        </w:rPr>
        <w:t>甲方承担本项目的合同金额占合同总金额的</w:t>
      </w:r>
      <w:r>
        <w:rPr>
          <w:rFonts w:hint="eastAsia"/>
          <w:color w:val="000000"/>
          <w:szCs w:val="24"/>
          <w:u w:val="single"/>
        </w:rPr>
        <w:t xml:space="preserve">      %</w:t>
      </w:r>
    </w:p>
    <w:p>
      <w:pPr>
        <w:pStyle w:val="31"/>
        <w:spacing w:before="0" w:beforeAutospacing="0" w:after="0" w:afterAutospacing="0" w:line="360" w:lineRule="auto"/>
        <w:ind w:firstLine="480" w:firstLineChars="200"/>
        <w:rPr>
          <w:rFonts w:hint="eastAsia"/>
          <w:color w:val="000000"/>
          <w:szCs w:val="24"/>
          <w:u w:val="single"/>
        </w:rPr>
      </w:pPr>
      <w:r>
        <w:rPr>
          <w:rFonts w:hint="eastAsia"/>
          <w:color w:val="000000"/>
          <w:szCs w:val="24"/>
        </w:rPr>
        <w:t>乙方承担的工作和义务为：</w:t>
      </w:r>
      <w:r>
        <w:rPr>
          <w:rFonts w:hint="eastAsia"/>
          <w:color w:val="000000"/>
          <w:szCs w:val="24"/>
          <w:u w:val="single"/>
        </w:rPr>
        <w:t xml:space="preserve">                      </w:t>
      </w:r>
    </w:p>
    <w:p>
      <w:pPr>
        <w:pStyle w:val="31"/>
        <w:spacing w:before="0" w:beforeAutospacing="0" w:after="0" w:afterAutospacing="0" w:line="360" w:lineRule="auto"/>
        <w:ind w:firstLine="480" w:firstLineChars="200"/>
        <w:rPr>
          <w:color w:val="000000"/>
          <w:szCs w:val="24"/>
          <w:u w:val="single"/>
        </w:rPr>
      </w:pPr>
      <w:r>
        <w:rPr>
          <w:rFonts w:hint="eastAsia"/>
          <w:color w:val="000000"/>
          <w:szCs w:val="24"/>
        </w:rPr>
        <w:t>乙方承担本项目的合同金额占合同总金额的</w:t>
      </w:r>
      <w:r>
        <w:rPr>
          <w:rFonts w:hint="eastAsia"/>
          <w:color w:val="000000"/>
          <w:szCs w:val="24"/>
          <w:u w:val="single"/>
        </w:rPr>
        <w:t xml:space="preserve">      %</w:t>
      </w:r>
    </w:p>
    <w:p>
      <w:pPr>
        <w:pStyle w:val="31"/>
        <w:spacing w:before="0" w:beforeAutospacing="0" w:after="0" w:afterAutospacing="0" w:line="360" w:lineRule="auto"/>
        <w:ind w:firstLine="480" w:firstLineChars="200"/>
        <w:rPr>
          <w:color w:val="000000"/>
          <w:szCs w:val="24"/>
        </w:rPr>
      </w:pPr>
      <w:r>
        <w:rPr>
          <w:rFonts w:hint="eastAsia"/>
          <w:color w:val="000000"/>
          <w:szCs w:val="24"/>
        </w:rPr>
        <w:t xml:space="preserve"> （</w:t>
      </w:r>
      <w:r>
        <w:rPr>
          <w:rFonts w:hint="eastAsia"/>
          <w:color w:val="000000"/>
        </w:rPr>
        <w:t>如成员方为多个的</w:t>
      </w:r>
      <w:r>
        <w:rPr>
          <w:rFonts w:hint="eastAsia"/>
          <w:color w:val="000000"/>
          <w:szCs w:val="24"/>
        </w:rPr>
        <w:t>，可按甲、乙、丙、丁…序列增加）</w:t>
      </w:r>
    </w:p>
    <w:p>
      <w:pPr>
        <w:pStyle w:val="31"/>
        <w:spacing w:before="0" w:beforeAutospacing="0" w:after="0" w:afterAutospacing="0" w:line="360" w:lineRule="auto"/>
        <w:ind w:firstLine="480" w:firstLineChars="200"/>
        <w:rPr>
          <w:szCs w:val="20"/>
          <w:u w:val="single"/>
        </w:rPr>
      </w:pPr>
      <w:r>
        <w:rPr>
          <w:rFonts w:hint="eastAsia"/>
          <w:color w:val="000000"/>
          <w:szCs w:val="24"/>
        </w:rPr>
        <w:t>其中小微企业合同金额达到</w:t>
      </w:r>
      <w:r>
        <w:rPr>
          <w:rFonts w:hint="eastAsia"/>
          <w:color w:val="000000"/>
          <w:szCs w:val="24"/>
          <w:u w:val="single"/>
        </w:rPr>
        <w:t xml:space="preserve">   %。</w:t>
      </w:r>
    </w:p>
    <w:p>
      <w:pPr>
        <w:pStyle w:val="32"/>
        <w:autoSpaceDE w:val="0"/>
        <w:autoSpaceDN w:val="0"/>
        <w:spacing w:line="360" w:lineRule="auto"/>
        <w:ind w:firstLine="480" w:firstLineChars="200"/>
        <w:textAlignment w:val="bottom"/>
        <w:rPr>
          <w:rFonts w:ascii="宋体" w:hAnsi="宋体"/>
          <w:sz w:val="24"/>
          <w:szCs w:val="20"/>
        </w:rPr>
      </w:pPr>
      <w:r>
        <w:rPr>
          <w:rFonts w:hint="eastAsia" w:ascii="宋体" w:hAnsi="宋体"/>
          <w:sz w:val="24"/>
          <w:szCs w:val="20"/>
        </w:rPr>
        <w:t>六、本协议在自签署之日起生效，</w:t>
      </w:r>
      <w:r>
        <w:rPr>
          <w:rFonts w:hint="eastAsia" w:ascii="宋体" w:hAnsi="宋体"/>
          <w:sz w:val="24"/>
          <w:szCs w:val="20"/>
          <w:lang w:val="en-US" w:eastAsia="zh-CN"/>
        </w:rPr>
        <w:t>投标</w:t>
      </w:r>
      <w:r>
        <w:rPr>
          <w:rFonts w:hint="eastAsia" w:ascii="宋体" w:hAnsi="宋体"/>
          <w:sz w:val="24"/>
          <w:szCs w:val="20"/>
        </w:rPr>
        <w:t>有效期内有效，如获成交资格，合同有效期</w:t>
      </w:r>
    </w:p>
    <w:p>
      <w:pPr>
        <w:pStyle w:val="32"/>
        <w:autoSpaceDE w:val="0"/>
        <w:autoSpaceDN w:val="0"/>
        <w:spacing w:line="360" w:lineRule="auto"/>
        <w:textAlignment w:val="bottom"/>
        <w:rPr>
          <w:rFonts w:ascii="宋体" w:hAnsi="宋体"/>
          <w:sz w:val="24"/>
          <w:szCs w:val="20"/>
        </w:rPr>
      </w:pPr>
      <w:r>
        <w:rPr>
          <w:rFonts w:hint="eastAsia" w:ascii="宋体" w:hAnsi="宋体"/>
          <w:sz w:val="24"/>
          <w:szCs w:val="20"/>
        </w:rPr>
        <w:t>延续至合同履行完毕之日。</w:t>
      </w:r>
    </w:p>
    <w:p>
      <w:pPr>
        <w:pStyle w:val="32"/>
        <w:autoSpaceDE w:val="0"/>
        <w:autoSpaceDN w:val="0"/>
        <w:spacing w:line="360" w:lineRule="auto"/>
        <w:ind w:firstLine="480" w:firstLineChars="200"/>
        <w:textAlignment w:val="bottom"/>
        <w:rPr>
          <w:rFonts w:hint="eastAsia" w:ascii="宋体" w:hAnsi="宋体"/>
          <w:sz w:val="24"/>
          <w:szCs w:val="20"/>
        </w:rPr>
      </w:pPr>
      <w:r>
        <w:rPr>
          <w:rFonts w:hint="eastAsia" w:ascii="宋体" w:hAnsi="宋体"/>
          <w:sz w:val="24"/>
          <w:szCs w:val="20"/>
        </w:rPr>
        <w:t>七、本协议书正本一式</w:t>
      </w:r>
      <w:r>
        <w:rPr>
          <w:rFonts w:hint="eastAsia" w:ascii="宋体" w:hAnsi="宋体"/>
          <w:sz w:val="24"/>
          <w:szCs w:val="20"/>
          <w:u w:val="single"/>
        </w:rPr>
        <w:t xml:space="preserve">     </w:t>
      </w:r>
      <w:r>
        <w:rPr>
          <w:rFonts w:hint="eastAsia" w:ascii="宋体" w:hAnsi="宋体"/>
          <w:sz w:val="24"/>
          <w:szCs w:val="20"/>
        </w:rPr>
        <w:t>份，随响应文件装订</w:t>
      </w:r>
      <w:r>
        <w:rPr>
          <w:rFonts w:hint="eastAsia" w:ascii="宋体" w:hAnsi="宋体"/>
          <w:sz w:val="24"/>
          <w:szCs w:val="20"/>
          <w:u w:val="single"/>
        </w:rPr>
        <w:t xml:space="preserve">    </w:t>
      </w:r>
      <w:r>
        <w:rPr>
          <w:rFonts w:hint="eastAsia" w:ascii="宋体" w:hAnsi="宋体"/>
          <w:sz w:val="24"/>
          <w:szCs w:val="20"/>
        </w:rPr>
        <w:t>份，送采购人</w:t>
      </w:r>
      <w:r>
        <w:rPr>
          <w:rFonts w:hint="eastAsia" w:ascii="宋体" w:hAnsi="宋体"/>
          <w:sz w:val="24"/>
          <w:szCs w:val="20"/>
          <w:u w:val="single"/>
        </w:rPr>
        <w:t xml:space="preserve">     </w:t>
      </w:r>
      <w:r>
        <w:rPr>
          <w:rFonts w:hint="eastAsia" w:ascii="宋体" w:hAnsi="宋体"/>
          <w:sz w:val="24"/>
          <w:szCs w:val="20"/>
        </w:rPr>
        <w:t>份，联合体成员各一份；副本一式</w:t>
      </w:r>
      <w:r>
        <w:rPr>
          <w:rFonts w:hint="eastAsia" w:ascii="宋体" w:hAnsi="宋体"/>
          <w:sz w:val="24"/>
          <w:szCs w:val="20"/>
          <w:u w:val="single"/>
        </w:rPr>
        <w:t xml:space="preserve">     </w:t>
      </w:r>
      <w:r>
        <w:rPr>
          <w:rFonts w:hint="eastAsia" w:ascii="宋体" w:hAnsi="宋体"/>
          <w:sz w:val="24"/>
          <w:szCs w:val="20"/>
        </w:rPr>
        <w:t>份，联合体成员各执</w:t>
      </w:r>
      <w:r>
        <w:rPr>
          <w:rFonts w:hint="eastAsia" w:ascii="宋体" w:hAnsi="宋体"/>
          <w:sz w:val="24"/>
          <w:szCs w:val="20"/>
          <w:u w:val="single"/>
        </w:rPr>
        <w:t xml:space="preserve">    </w:t>
      </w:r>
      <w:r>
        <w:rPr>
          <w:rFonts w:hint="eastAsia" w:ascii="宋体" w:hAnsi="宋体"/>
          <w:sz w:val="24"/>
          <w:szCs w:val="20"/>
        </w:rPr>
        <w:t>份。</w:t>
      </w:r>
    </w:p>
    <w:p>
      <w:pPr>
        <w:pStyle w:val="32"/>
        <w:autoSpaceDE w:val="0"/>
        <w:autoSpaceDN w:val="0"/>
        <w:spacing w:line="360" w:lineRule="auto"/>
        <w:textAlignment w:val="bottom"/>
        <w:rPr>
          <w:rFonts w:hint="eastAsia" w:ascii="宋体" w:hAnsi="宋体"/>
          <w:sz w:val="24"/>
          <w:szCs w:val="20"/>
        </w:rPr>
      </w:pPr>
    </w:p>
    <w:p>
      <w:pPr>
        <w:pStyle w:val="32"/>
        <w:autoSpaceDE w:val="0"/>
        <w:autoSpaceDN w:val="0"/>
        <w:spacing w:line="360" w:lineRule="auto"/>
        <w:textAlignment w:val="bottom"/>
        <w:rPr>
          <w:rFonts w:hint="eastAsia" w:ascii="宋体" w:hAnsi="宋体"/>
          <w:sz w:val="24"/>
          <w:szCs w:val="20"/>
        </w:rPr>
      </w:pPr>
    </w:p>
    <w:p>
      <w:pPr>
        <w:pStyle w:val="32"/>
        <w:autoSpaceDE w:val="0"/>
        <w:autoSpaceDN w:val="0"/>
        <w:spacing w:line="360" w:lineRule="auto"/>
        <w:textAlignment w:val="bottom"/>
        <w:rPr>
          <w:rFonts w:ascii="宋体" w:hAnsi="宋体"/>
          <w:sz w:val="24"/>
          <w:szCs w:val="20"/>
        </w:rPr>
      </w:pPr>
      <w:r>
        <w:rPr>
          <w:rFonts w:hint="eastAsia" w:ascii="宋体" w:hAnsi="宋体"/>
          <w:sz w:val="24"/>
          <w:szCs w:val="20"/>
        </w:rPr>
        <w:t>甲方全称：（盖章）</w:t>
      </w:r>
    </w:p>
    <w:p>
      <w:pPr>
        <w:pStyle w:val="32"/>
        <w:autoSpaceDE w:val="0"/>
        <w:autoSpaceDN w:val="0"/>
        <w:spacing w:line="360" w:lineRule="auto"/>
        <w:textAlignment w:val="bottom"/>
        <w:rPr>
          <w:rFonts w:ascii="宋体" w:hAnsi="宋体"/>
          <w:sz w:val="24"/>
          <w:szCs w:val="20"/>
        </w:rPr>
      </w:pPr>
      <w:r>
        <w:rPr>
          <w:rFonts w:hint="eastAsia" w:ascii="宋体" w:hAnsi="宋体"/>
          <w:sz w:val="24"/>
          <w:szCs w:val="20"/>
        </w:rPr>
        <w:t>法定代表人（或主要负责人）：（签字）</w:t>
      </w:r>
    </w:p>
    <w:p>
      <w:pPr>
        <w:pStyle w:val="32"/>
        <w:autoSpaceDE w:val="0"/>
        <w:autoSpaceDN w:val="0"/>
        <w:spacing w:line="360" w:lineRule="auto"/>
        <w:textAlignment w:val="bottom"/>
        <w:rPr>
          <w:rFonts w:hint="eastAsia" w:ascii="宋体" w:hAnsi="宋体"/>
          <w:sz w:val="24"/>
          <w:szCs w:val="20"/>
        </w:rPr>
      </w:pPr>
      <w:r>
        <w:rPr>
          <w:rFonts w:hint="eastAsia" w:ascii="宋体" w:hAnsi="宋体"/>
          <w:sz w:val="24"/>
          <w:szCs w:val="20"/>
        </w:rPr>
        <w:t>年 月 日</w:t>
      </w:r>
    </w:p>
    <w:p>
      <w:pPr>
        <w:pStyle w:val="32"/>
        <w:autoSpaceDE w:val="0"/>
        <w:autoSpaceDN w:val="0"/>
        <w:spacing w:line="360" w:lineRule="auto"/>
        <w:textAlignment w:val="bottom"/>
        <w:rPr>
          <w:rFonts w:hint="eastAsia" w:ascii="宋体" w:hAnsi="宋体"/>
          <w:sz w:val="24"/>
          <w:szCs w:val="20"/>
        </w:rPr>
      </w:pPr>
    </w:p>
    <w:p>
      <w:pPr>
        <w:pStyle w:val="32"/>
        <w:autoSpaceDE w:val="0"/>
        <w:autoSpaceDN w:val="0"/>
        <w:spacing w:line="360" w:lineRule="auto"/>
        <w:textAlignment w:val="bottom"/>
        <w:rPr>
          <w:rFonts w:hint="eastAsia" w:ascii="宋体" w:hAnsi="宋体"/>
          <w:sz w:val="24"/>
          <w:szCs w:val="20"/>
        </w:rPr>
      </w:pPr>
    </w:p>
    <w:p>
      <w:pPr>
        <w:pStyle w:val="32"/>
        <w:autoSpaceDE w:val="0"/>
        <w:autoSpaceDN w:val="0"/>
        <w:spacing w:line="360" w:lineRule="auto"/>
        <w:textAlignment w:val="bottom"/>
        <w:rPr>
          <w:rFonts w:ascii="宋体" w:hAnsi="宋体"/>
          <w:sz w:val="24"/>
          <w:szCs w:val="20"/>
        </w:rPr>
      </w:pPr>
    </w:p>
    <w:p>
      <w:pPr>
        <w:pStyle w:val="32"/>
        <w:autoSpaceDE w:val="0"/>
        <w:autoSpaceDN w:val="0"/>
        <w:spacing w:line="360" w:lineRule="auto"/>
        <w:textAlignment w:val="bottom"/>
        <w:rPr>
          <w:rFonts w:ascii="宋体" w:hAnsi="宋体"/>
          <w:sz w:val="24"/>
          <w:szCs w:val="20"/>
        </w:rPr>
      </w:pPr>
      <w:r>
        <w:rPr>
          <w:rFonts w:hint="eastAsia" w:ascii="宋体" w:hAnsi="宋体"/>
          <w:sz w:val="24"/>
          <w:szCs w:val="20"/>
        </w:rPr>
        <w:t>乙方全称：（盖章）</w:t>
      </w:r>
    </w:p>
    <w:p>
      <w:pPr>
        <w:pStyle w:val="32"/>
        <w:autoSpaceDE w:val="0"/>
        <w:autoSpaceDN w:val="0"/>
        <w:spacing w:line="360" w:lineRule="auto"/>
        <w:textAlignment w:val="bottom"/>
        <w:rPr>
          <w:rFonts w:ascii="宋体" w:hAnsi="宋体"/>
          <w:sz w:val="24"/>
          <w:szCs w:val="20"/>
        </w:rPr>
      </w:pPr>
      <w:r>
        <w:rPr>
          <w:rFonts w:hint="eastAsia" w:ascii="宋体" w:hAnsi="宋体"/>
          <w:sz w:val="24"/>
          <w:szCs w:val="20"/>
        </w:rPr>
        <w:t>法定代表人（或主要负责人）：（签字）</w:t>
      </w:r>
    </w:p>
    <w:p>
      <w:pPr>
        <w:pStyle w:val="32"/>
        <w:autoSpaceDE w:val="0"/>
        <w:autoSpaceDN w:val="0"/>
        <w:spacing w:line="360" w:lineRule="auto"/>
        <w:textAlignment w:val="bottom"/>
        <w:rPr>
          <w:rFonts w:hint="eastAsia" w:ascii="宋体" w:hAnsi="宋体"/>
          <w:sz w:val="24"/>
          <w:szCs w:val="20"/>
        </w:rPr>
      </w:pPr>
      <w:r>
        <w:rPr>
          <w:rFonts w:hint="eastAsia" w:ascii="宋体" w:hAnsi="宋体"/>
          <w:sz w:val="24"/>
          <w:szCs w:val="20"/>
        </w:rPr>
        <w:t>年 月 日</w:t>
      </w:r>
    </w:p>
    <w:p>
      <w:pPr>
        <w:pStyle w:val="13"/>
        <w:spacing w:line="360" w:lineRule="auto"/>
        <w:ind w:firstLine="3373" w:firstLineChars="1050"/>
        <w:rPr>
          <w:rFonts w:hint="eastAsia" w:hAnsi="宋体"/>
          <w:b/>
          <w:sz w:val="32"/>
        </w:rPr>
      </w:pPr>
    </w:p>
    <w:p>
      <w:pPr>
        <w:pStyle w:val="13"/>
        <w:spacing w:line="360" w:lineRule="auto"/>
        <w:ind w:firstLine="3373" w:firstLineChars="1050"/>
        <w:rPr>
          <w:rFonts w:hint="eastAsia" w:hAnsi="宋体"/>
          <w:b/>
          <w:sz w:val="32"/>
        </w:rPr>
      </w:pPr>
    </w:p>
    <w:p>
      <w:pPr>
        <w:pStyle w:val="13"/>
        <w:spacing w:line="360" w:lineRule="auto"/>
        <w:ind w:firstLine="3373" w:firstLineChars="1050"/>
        <w:rPr>
          <w:rFonts w:hint="eastAsia" w:hAnsi="宋体"/>
          <w:b/>
          <w:sz w:val="32"/>
        </w:rPr>
      </w:pPr>
    </w:p>
    <w:p>
      <w:pPr>
        <w:pStyle w:val="13"/>
        <w:spacing w:line="360" w:lineRule="auto"/>
        <w:ind w:firstLine="3373" w:firstLineChars="1050"/>
        <w:rPr>
          <w:rFonts w:hint="eastAsia" w:hAnsi="宋体"/>
          <w:b/>
          <w:sz w:val="32"/>
        </w:rPr>
      </w:pPr>
    </w:p>
    <w:p>
      <w:pPr>
        <w:pStyle w:val="13"/>
        <w:spacing w:line="360" w:lineRule="auto"/>
        <w:ind w:firstLine="3373" w:firstLineChars="1050"/>
        <w:rPr>
          <w:rFonts w:hint="eastAsia" w:hAnsi="宋体"/>
          <w:b/>
          <w:sz w:val="32"/>
        </w:rPr>
      </w:pPr>
    </w:p>
    <w:p>
      <w:pPr>
        <w:pStyle w:val="13"/>
        <w:spacing w:line="360" w:lineRule="auto"/>
        <w:ind w:firstLine="3373" w:firstLineChars="1050"/>
        <w:rPr>
          <w:rFonts w:hint="eastAsia" w:hAnsi="宋体"/>
          <w:b/>
          <w:sz w:val="32"/>
        </w:rPr>
      </w:pPr>
    </w:p>
    <w:p>
      <w:pPr>
        <w:pStyle w:val="13"/>
        <w:spacing w:line="560" w:lineRule="exact"/>
        <w:ind w:firstLine="420"/>
        <w:jc w:val="center"/>
        <w:rPr>
          <w:rFonts w:hint="eastAsia" w:hAnsi="宋体"/>
          <w:sz w:val="30"/>
        </w:rPr>
      </w:pPr>
    </w:p>
    <w:p>
      <w:pPr>
        <w:snapToGrid w:val="0"/>
        <w:spacing w:line="360" w:lineRule="auto"/>
        <w:jc w:val="center"/>
        <w:rPr>
          <w:rFonts w:hint="eastAsia" w:ascii="宋体" w:hAnsi="宋体"/>
          <w:b/>
          <w:bCs/>
          <w:sz w:val="30"/>
          <w:szCs w:val="22"/>
        </w:rPr>
      </w:pPr>
      <w:r>
        <w:rPr>
          <w:rFonts w:hint="eastAsia" w:ascii="宋体" w:hAnsi="宋体"/>
          <w:b/>
          <w:bCs/>
          <w:sz w:val="30"/>
          <w:szCs w:val="22"/>
        </w:rPr>
        <w:t>2.2联合体法定代表人授权委托书</w:t>
      </w:r>
    </w:p>
    <w:p>
      <w:pPr>
        <w:snapToGrid w:val="0"/>
        <w:spacing w:line="360" w:lineRule="auto"/>
        <w:jc w:val="center"/>
        <w:rPr>
          <w:rFonts w:hint="eastAsia" w:ascii="宋体" w:hAnsi="宋体"/>
          <w:sz w:val="30"/>
          <w:szCs w:val="22"/>
        </w:rPr>
      </w:pPr>
    </w:p>
    <w:p>
      <w:pPr>
        <w:spacing w:line="480" w:lineRule="auto"/>
        <w:ind w:firstLine="480" w:firstLineChars="200"/>
        <w:rPr>
          <w:rFonts w:hint="eastAsia" w:ascii="宋体" w:hAnsi="宋体" w:cs="仿宋"/>
          <w:sz w:val="24"/>
        </w:rPr>
      </w:pPr>
      <w:r>
        <w:rPr>
          <w:rFonts w:hint="eastAsia" w:ascii="宋体" w:hAnsi="宋体" w:cs="仿宋"/>
          <w:sz w:val="24"/>
        </w:rPr>
        <w:t>本授权委托书声明：我</w:t>
      </w:r>
      <w:r>
        <w:rPr>
          <w:rFonts w:hint="eastAsia" w:ascii="宋体" w:hAnsi="宋体" w:cs="仿宋"/>
          <w:sz w:val="24"/>
          <w:u w:val="single"/>
        </w:rPr>
        <w:t xml:space="preserve">         （姓名）</w:t>
      </w:r>
      <w:r>
        <w:rPr>
          <w:rFonts w:hint="eastAsia" w:ascii="宋体" w:hAnsi="宋体" w:cs="仿宋"/>
          <w:sz w:val="24"/>
        </w:rPr>
        <w:t>系</w:t>
      </w:r>
      <w:r>
        <w:rPr>
          <w:rFonts w:hint="eastAsia" w:ascii="宋体" w:hAnsi="宋体" w:cs="仿宋"/>
          <w:sz w:val="24"/>
          <w:u w:val="single"/>
        </w:rPr>
        <w:t xml:space="preserve">                         （单位名称）</w:t>
      </w:r>
      <w:r>
        <w:rPr>
          <w:rFonts w:hint="eastAsia" w:ascii="宋体" w:hAnsi="宋体" w:cs="仿宋"/>
          <w:sz w:val="24"/>
        </w:rPr>
        <w:t>的法定代表人，现授权委托</w:t>
      </w:r>
      <w:r>
        <w:rPr>
          <w:rFonts w:hint="eastAsia" w:ascii="宋体" w:hAnsi="宋体" w:cs="仿宋"/>
          <w:sz w:val="24"/>
          <w:u w:val="single"/>
        </w:rPr>
        <w:t xml:space="preserve">                 （联合体主办人的单位名称）</w:t>
      </w:r>
      <w:r>
        <w:rPr>
          <w:rFonts w:hint="eastAsia" w:ascii="宋体" w:hAnsi="宋体" w:cs="仿宋"/>
          <w:sz w:val="24"/>
        </w:rPr>
        <w:t>的</w:t>
      </w:r>
      <w:r>
        <w:rPr>
          <w:rFonts w:hint="eastAsia" w:ascii="宋体" w:hAnsi="宋体" w:cs="仿宋"/>
          <w:sz w:val="24"/>
          <w:u w:val="single"/>
        </w:rPr>
        <w:t xml:space="preserve">      （姓名）</w:t>
      </w:r>
      <w:r>
        <w:rPr>
          <w:rFonts w:hint="eastAsia" w:ascii="宋体" w:hAnsi="宋体" w:cs="仿宋"/>
          <w:sz w:val="24"/>
        </w:rPr>
        <w:t>为联合体全权代表，以</w:t>
      </w:r>
      <w:r>
        <w:rPr>
          <w:rFonts w:hint="eastAsia" w:ascii="宋体" w:hAnsi="宋体" w:cs="仿宋"/>
          <w:sz w:val="24"/>
          <w:u w:val="single"/>
        </w:rPr>
        <w:t xml:space="preserve">                     </w:t>
      </w:r>
      <w:r>
        <w:rPr>
          <w:rFonts w:hint="eastAsia" w:ascii="宋体" w:hAnsi="宋体" w:cs="仿宋"/>
          <w:sz w:val="24"/>
        </w:rPr>
        <w:t>（联合体名称：主办单位简称加成员单位简称）联合体的名义参加</w:t>
      </w:r>
      <w:r>
        <w:rPr>
          <w:rFonts w:hint="eastAsia" w:ascii="宋体" w:hAnsi="宋体" w:cs="仿宋"/>
          <w:sz w:val="24"/>
          <w:u w:val="single"/>
        </w:rPr>
        <w:t xml:space="preserve">                （采购人）</w:t>
      </w:r>
      <w:r>
        <w:rPr>
          <w:rFonts w:hint="eastAsia" w:ascii="宋体" w:hAnsi="宋体" w:cs="仿宋"/>
          <w:sz w:val="24"/>
          <w:u w:val="single"/>
          <w:lang w:val="en-US" w:eastAsia="zh-CN"/>
        </w:rPr>
        <w:t xml:space="preserve">                                    （项目名称）</w:t>
      </w:r>
      <w:r>
        <w:rPr>
          <w:rFonts w:hint="eastAsia" w:ascii="宋体" w:hAnsi="宋体" w:cs="仿宋"/>
          <w:sz w:val="24"/>
        </w:rPr>
        <w:t>的</w:t>
      </w:r>
      <w:r>
        <w:rPr>
          <w:rFonts w:hint="eastAsia" w:ascii="宋体" w:hAnsi="宋体"/>
          <w:sz w:val="24"/>
          <w:szCs w:val="20"/>
          <w:lang w:val="en-US" w:eastAsia="zh-CN"/>
        </w:rPr>
        <w:t>采购</w:t>
      </w:r>
      <w:r>
        <w:rPr>
          <w:rFonts w:hint="eastAsia" w:ascii="宋体" w:hAnsi="宋体" w:cs="仿宋"/>
          <w:sz w:val="24"/>
        </w:rPr>
        <w:t>活动。全权代表在开标、评标、询标、合同谈判过程中所签署的一切文件和处理与之有关的一切事务，我均以承认。 代理人无转委托权。特此委托。</w:t>
      </w:r>
    </w:p>
    <w:p>
      <w:pPr>
        <w:spacing w:line="360" w:lineRule="auto"/>
        <w:rPr>
          <w:rFonts w:hint="eastAsia" w:ascii="宋体" w:hAnsi="宋体" w:cs="仿宋"/>
          <w:sz w:val="24"/>
        </w:rPr>
      </w:pPr>
    </w:p>
    <w:p>
      <w:pPr>
        <w:spacing w:line="360" w:lineRule="auto"/>
        <w:rPr>
          <w:rFonts w:hint="eastAsia" w:ascii="宋体" w:hAnsi="宋体" w:cs="仿宋"/>
          <w:sz w:val="24"/>
        </w:rPr>
      </w:pPr>
      <w:r>
        <w:rPr>
          <w:rFonts w:hint="eastAsia" w:ascii="宋体" w:hAnsi="宋体" w:cs="仿宋"/>
          <w:sz w:val="24"/>
        </w:rPr>
        <w:t>代理人：           性别：         年龄：</w:t>
      </w:r>
    </w:p>
    <w:p>
      <w:pPr>
        <w:spacing w:line="360" w:lineRule="auto"/>
        <w:rPr>
          <w:rFonts w:hint="eastAsia" w:ascii="宋体" w:hAnsi="宋体" w:cs="仿宋"/>
          <w:sz w:val="24"/>
        </w:rPr>
      </w:pPr>
      <w:r>
        <w:rPr>
          <w:rFonts w:hint="eastAsia" w:ascii="宋体" w:hAnsi="宋体" w:cs="仿宋"/>
          <w:sz w:val="24"/>
        </w:rPr>
        <w:t>身份证号码：</w:t>
      </w:r>
    </w:p>
    <w:p>
      <w:pPr>
        <w:spacing w:line="360" w:lineRule="auto"/>
        <w:rPr>
          <w:rFonts w:hint="eastAsia" w:ascii="宋体" w:hAnsi="宋体" w:cs="仿宋"/>
          <w:sz w:val="24"/>
        </w:rPr>
      </w:pPr>
      <w:r>
        <w:rPr>
          <w:rFonts w:hint="eastAsia" w:ascii="宋体" w:hAnsi="宋体" w:cs="仿宋"/>
          <w:sz w:val="24"/>
        </w:rPr>
        <w:t>单位：              部门：         职务：</w:t>
      </w:r>
    </w:p>
    <w:p>
      <w:pPr>
        <w:spacing w:line="360" w:lineRule="auto"/>
        <w:rPr>
          <w:rFonts w:hint="eastAsia" w:ascii="宋体" w:hAnsi="宋体" w:cs="仿宋"/>
          <w:sz w:val="24"/>
        </w:rPr>
      </w:pPr>
    </w:p>
    <w:p>
      <w:pPr>
        <w:spacing w:line="360" w:lineRule="auto"/>
        <w:rPr>
          <w:rFonts w:hint="eastAsia" w:ascii="宋体" w:hAnsi="宋体" w:cs="仿宋"/>
          <w:sz w:val="24"/>
        </w:rPr>
      </w:pPr>
      <w:r>
        <w:rPr>
          <w:rFonts w:hint="eastAsia" w:ascii="宋体" w:hAnsi="宋体" w:cs="仿宋"/>
          <w:sz w:val="24"/>
        </w:rPr>
        <w:t>联合体成员（盖章）：</w:t>
      </w:r>
    </w:p>
    <w:p>
      <w:pPr>
        <w:spacing w:line="360" w:lineRule="auto"/>
        <w:rPr>
          <w:rFonts w:hint="eastAsia" w:ascii="宋体" w:hAnsi="宋体" w:cs="仿宋"/>
          <w:sz w:val="24"/>
        </w:rPr>
      </w:pPr>
      <w:r>
        <w:rPr>
          <w:rFonts w:hint="eastAsia" w:ascii="宋体" w:hAnsi="宋体" w:cs="仿宋"/>
          <w:sz w:val="24"/>
        </w:rPr>
        <w:t>法定代表人（签字盖章）：</w:t>
      </w:r>
    </w:p>
    <w:p>
      <w:pPr>
        <w:spacing w:line="360" w:lineRule="auto"/>
        <w:rPr>
          <w:rFonts w:hint="eastAsia" w:ascii="宋体" w:hAnsi="宋体" w:cs="仿宋"/>
          <w:sz w:val="24"/>
        </w:rPr>
      </w:pPr>
      <w:r>
        <w:rPr>
          <w:rFonts w:hint="eastAsia" w:ascii="宋体" w:hAnsi="宋体" w:cs="仿宋"/>
          <w:sz w:val="24"/>
        </w:rPr>
        <w:t xml:space="preserve">日期：      年    月   日   </w:t>
      </w:r>
    </w:p>
    <w:p>
      <w:pPr>
        <w:spacing w:line="360" w:lineRule="auto"/>
        <w:rPr>
          <w:rFonts w:hint="eastAsia" w:ascii="宋体" w:hAnsi="宋体" w:cs="仿宋"/>
          <w:sz w:val="24"/>
        </w:rPr>
      </w:pPr>
    </w:p>
    <w:p>
      <w:pPr>
        <w:spacing w:line="360" w:lineRule="auto"/>
        <w:rPr>
          <w:rFonts w:hint="eastAsia" w:ascii="宋体" w:hAnsi="宋体" w:cs="仿宋"/>
          <w:sz w:val="24"/>
        </w:rPr>
      </w:pPr>
    </w:p>
    <w:p>
      <w:pPr>
        <w:spacing w:line="360" w:lineRule="auto"/>
        <w:rPr>
          <w:rFonts w:hint="eastAsia" w:ascii="宋体" w:hAnsi="宋体" w:cs="仿宋"/>
          <w:sz w:val="24"/>
        </w:rPr>
      </w:pPr>
      <w:r>
        <w:rPr>
          <w:rFonts w:hint="eastAsia" w:ascii="宋体" w:hAnsi="宋体" w:cs="仿宋"/>
          <w:sz w:val="24"/>
        </w:rPr>
        <w:t xml:space="preserve">说明：联合体各方均应填写以上授权委托书，联合体每一成员均须单独出具委托书，共同委托一名全权代表。 </w:t>
      </w:r>
    </w:p>
    <w:p>
      <w:pPr>
        <w:spacing w:line="360" w:lineRule="auto"/>
        <w:jc w:val="both"/>
        <w:rPr>
          <w:rFonts w:hint="eastAsia" w:ascii="宋体" w:hAnsi="宋体"/>
          <w:b/>
          <w:sz w:val="32"/>
          <w:szCs w:val="20"/>
        </w:rPr>
      </w:pPr>
    </w:p>
    <w:p>
      <w:pPr>
        <w:pStyle w:val="25"/>
        <w:rPr>
          <w:rFonts w:hint="eastAsia" w:ascii="宋体" w:hAnsi="宋体"/>
          <w:b/>
          <w:sz w:val="32"/>
          <w:szCs w:val="20"/>
        </w:rPr>
      </w:pPr>
    </w:p>
    <w:p>
      <w:pPr>
        <w:pStyle w:val="25"/>
        <w:rPr>
          <w:rFonts w:hint="eastAsia" w:ascii="宋体" w:hAnsi="宋体"/>
          <w:b/>
          <w:sz w:val="32"/>
          <w:szCs w:val="20"/>
        </w:rPr>
      </w:pPr>
    </w:p>
    <w:p>
      <w:pPr>
        <w:spacing w:line="360" w:lineRule="auto"/>
        <w:jc w:val="center"/>
        <w:rPr>
          <w:rFonts w:hAnsi="宋体"/>
          <w:b/>
          <w:sz w:val="32"/>
        </w:rPr>
      </w:pPr>
      <w:r>
        <w:rPr>
          <w:rFonts w:hint="eastAsia" w:ascii="宋体" w:hAnsi="宋体"/>
          <w:b/>
          <w:sz w:val="32"/>
          <w:szCs w:val="20"/>
        </w:rPr>
        <w:t>3</w:t>
      </w:r>
      <w:r>
        <w:rPr>
          <w:rFonts w:hint="eastAsia" w:ascii="宋体" w:hAnsi="宋体"/>
          <w:sz w:val="32"/>
        </w:rPr>
        <w:t>、</w:t>
      </w:r>
      <w:r>
        <w:rPr>
          <w:rFonts w:hint="eastAsia" w:ascii="宋体" w:hAnsi="宋体" w:cs="宋体"/>
          <w:b/>
          <w:sz w:val="32"/>
          <w:szCs w:val="20"/>
        </w:rPr>
        <w:t>委派书</w:t>
      </w:r>
      <w:r>
        <w:rPr>
          <w:rFonts w:hint="eastAsia" w:hAnsi="宋体"/>
          <w:b/>
          <w:sz w:val="32"/>
        </w:rPr>
        <w:t>（非联合体</w:t>
      </w:r>
      <w:r>
        <w:rPr>
          <w:rFonts w:hint="eastAsia" w:hAnsi="宋体"/>
          <w:b/>
          <w:sz w:val="32"/>
          <w:lang w:val="en-US" w:eastAsia="zh-CN"/>
        </w:rPr>
        <w:t>投标</w:t>
      </w:r>
      <w:r>
        <w:rPr>
          <w:rFonts w:hint="eastAsia" w:hAnsi="宋体"/>
          <w:b/>
          <w:sz w:val="32"/>
        </w:rPr>
        <w:t>时提供）</w:t>
      </w:r>
    </w:p>
    <w:p>
      <w:pPr>
        <w:spacing w:line="440" w:lineRule="exact"/>
        <w:rPr>
          <w:rFonts w:hint="eastAsia" w:ascii="宋体" w:hAnsi="宋体"/>
          <w:sz w:val="24"/>
          <w:u w:val="single"/>
        </w:rPr>
      </w:pPr>
    </w:p>
    <w:p>
      <w:pPr>
        <w:spacing w:line="440" w:lineRule="exact"/>
        <w:rPr>
          <w:rFonts w:ascii="宋体" w:hAnsi="宋体"/>
          <w:b/>
          <w:sz w:val="24"/>
        </w:rPr>
      </w:pPr>
      <w:r>
        <w:rPr>
          <w:rFonts w:hint="eastAsia" w:ascii="宋体" w:hAnsi="宋体"/>
          <w:sz w:val="24"/>
          <w:u w:val="single"/>
        </w:rPr>
        <w:t xml:space="preserve">（代理机构名称）     </w:t>
      </w:r>
      <w:r>
        <w:rPr>
          <w:rFonts w:hint="eastAsia" w:ascii="宋体" w:hAnsi="宋体"/>
          <w:sz w:val="24"/>
        </w:rPr>
        <w:t>：</w:t>
      </w:r>
    </w:p>
    <w:p>
      <w:pPr>
        <w:autoSpaceDE w:val="0"/>
        <w:autoSpaceDN w:val="0"/>
        <w:spacing w:line="440" w:lineRule="exact"/>
        <w:textAlignment w:val="bottom"/>
        <w:rPr>
          <w:rFonts w:ascii="宋体" w:hAnsi="宋体"/>
          <w:sz w:val="24"/>
        </w:rPr>
      </w:pPr>
      <w:r>
        <w:rPr>
          <w:rFonts w:hint="eastAsia" w:ascii="宋体" w:hAnsi="宋体"/>
          <w:sz w:val="24"/>
        </w:rPr>
        <w:t xml:space="preserve">    本单位委派在职工作人员</w:t>
      </w:r>
      <w:r>
        <w:rPr>
          <w:rFonts w:hint="eastAsia" w:ascii="宋体" w:hAnsi="宋体"/>
          <w:sz w:val="24"/>
          <w:u w:val="single"/>
        </w:rPr>
        <w:t xml:space="preserve">    （姓名</w:t>
      </w:r>
      <w:r>
        <w:rPr>
          <w:rFonts w:hint="eastAsia" w:ascii="宋体" w:hAnsi="宋体"/>
          <w:sz w:val="24"/>
          <w:u w:val="single"/>
          <w:lang w:val="en-US" w:eastAsia="zh-CN"/>
        </w:rPr>
        <w:t>+号码</w:t>
      </w:r>
      <w:r>
        <w:rPr>
          <w:rFonts w:hint="eastAsia" w:ascii="宋体" w:hAnsi="宋体"/>
          <w:sz w:val="24"/>
          <w:u w:val="single"/>
        </w:rPr>
        <w:t xml:space="preserve">）  </w:t>
      </w:r>
      <w:r>
        <w:rPr>
          <w:rFonts w:hint="eastAsia" w:ascii="宋体" w:hAnsi="宋体"/>
          <w:sz w:val="24"/>
        </w:rPr>
        <w:t xml:space="preserve"> 以我方名义参加贵公司组织的</w:t>
      </w:r>
      <w:r>
        <w:rPr>
          <w:rFonts w:hint="eastAsia" w:ascii="宋体" w:hAnsi="宋体"/>
          <w:sz w:val="24"/>
          <w:u w:val="single"/>
        </w:rPr>
        <w:t xml:space="preserve">                           （采购项目名称） </w:t>
      </w:r>
      <w:r>
        <w:rPr>
          <w:rFonts w:hint="eastAsia" w:ascii="宋体" w:hAnsi="宋体"/>
          <w:sz w:val="24"/>
        </w:rPr>
        <w:t>（采购编号：</w:t>
      </w:r>
      <w:r>
        <w:rPr>
          <w:rFonts w:hint="eastAsia" w:ascii="宋体" w:hAnsi="宋体"/>
          <w:sz w:val="24"/>
          <w:u w:val="single"/>
        </w:rPr>
        <w:t>　　　　</w:t>
      </w:r>
      <w:r>
        <w:rPr>
          <w:rFonts w:hint="eastAsia" w:ascii="宋体" w:hAnsi="宋体"/>
          <w:sz w:val="24"/>
        </w:rPr>
        <w:t>）项目的</w:t>
      </w:r>
      <w:r>
        <w:rPr>
          <w:rFonts w:hint="eastAsia" w:ascii="宋体" w:hAnsi="宋体"/>
          <w:sz w:val="24"/>
          <w:lang w:val="en-US" w:eastAsia="zh-CN"/>
        </w:rPr>
        <w:t>采购</w:t>
      </w:r>
      <w:r>
        <w:rPr>
          <w:rFonts w:hint="eastAsia" w:ascii="宋体" w:hAnsi="宋体"/>
          <w:sz w:val="24"/>
        </w:rPr>
        <w:t>活动，并代表我单位全权办理针对上述项目的开标、评审、签约等具体事务和签署相关文件，且对签字或盖章事项负全部责任。</w:t>
      </w:r>
    </w:p>
    <w:p>
      <w:pPr>
        <w:spacing w:line="440" w:lineRule="exact"/>
        <w:ind w:firstLine="480"/>
        <w:rPr>
          <w:rFonts w:ascii="宋体" w:hAnsi="宋体"/>
          <w:sz w:val="24"/>
        </w:rPr>
      </w:pPr>
      <w:r>
        <w:rPr>
          <w:rFonts w:hint="eastAsia" w:ascii="宋体" w:hAnsi="宋体"/>
          <w:sz w:val="24"/>
        </w:rPr>
        <w:t>本委派书自盖章之日起生效，在撤销委派的书面通知送达贵方以前，本委派书一直有效。供应商代表在委派书有效期内签署的所有文件不因委派的撤销而失效。</w:t>
      </w:r>
    </w:p>
    <w:p>
      <w:pPr>
        <w:spacing w:line="440" w:lineRule="exact"/>
        <w:ind w:firstLine="480"/>
        <w:rPr>
          <w:rFonts w:ascii="宋体" w:hAnsi="宋体"/>
          <w:sz w:val="24"/>
        </w:rPr>
      </w:pPr>
      <w:r>
        <w:rPr>
          <w:rFonts w:hint="eastAsia" w:ascii="宋体" w:hAnsi="宋体"/>
          <w:sz w:val="24"/>
        </w:rPr>
        <w:t>供应商代表无转委派权，特此声明。</w:t>
      </w:r>
    </w:p>
    <w:p>
      <w:pPr>
        <w:spacing w:line="440" w:lineRule="exact"/>
        <w:ind w:firstLine="3512" w:firstLineChars="1250"/>
        <w:rPr>
          <w:rFonts w:ascii="宋体" w:hAnsi="宋体"/>
          <w:b/>
          <w:spacing w:val="20"/>
          <w:sz w:val="24"/>
        </w:rPr>
      </w:pPr>
    </w:p>
    <w:p>
      <w:pPr>
        <w:spacing w:line="440" w:lineRule="exact"/>
        <w:ind w:firstLine="3512" w:firstLineChars="1250"/>
        <w:rPr>
          <w:rFonts w:ascii="宋体" w:hAnsi="宋体"/>
          <w:b/>
          <w:spacing w:val="20"/>
          <w:sz w:val="24"/>
        </w:rPr>
      </w:pPr>
    </w:p>
    <w:p>
      <w:pPr>
        <w:spacing w:line="440" w:lineRule="exact"/>
        <w:ind w:firstLine="3512" w:firstLineChars="1250"/>
        <w:rPr>
          <w:rFonts w:ascii="宋体" w:hAnsi="宋体"/>
          <w:b/>
          <w:spacing w:val="20"/>
          <w:sz w:val="24"/>
        </w:rPr>
      </w:pPr>
    </w:p>
    <w:p>
      <w:pPr>
        <w:pStyle w:val="32"/>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供应商盖章：</w:t>
      </w:r>
    </w:p>
    <w:p>
      <w:pPr>
        <w:pStyle w:val="32"/>
        <w:spacing w:line="440" w:lineRule="exact"/>
        <w:ind w:firstLine="5320" w:firstLineChars="1900"/>
        <w:rPr>
          <w:rFonts w:hint="eastAsia" w:ascii="宋体" w:hAnsi="宋体" w:cs="宋体"/>
          <w:spacing w:val="20"/>
          <w:sz w:val="24"/>
          <w:szCs w:val="21"/>
          <w:u w:val="single"/>
        </w:rPr>
      </w:pPr>
      <w:r>
        <w:rPr>
          <w:rFonts w:hint="eastAsia" w:ascii="宋体" w:hAnsi="宋体" w:cs="宋体"/>
          <w:spacing w:val="20"/>
          <w:sz w:val="24"/>
          <w:szCs w:val="21"/>
        </w:rPr>
        <w:t>日     期：</w:t>
      </w:r>
    </w:p>
    <w:p>
      <w:pPr>
        <w:spacing w:line="440" w:lineRule="exact"/>
        <w:rPr>
          <w:rFonts w:ascii="宋体" w:hAnsi="宋体"/>
          <w:sz w:val="24"/>
        </w:rPr>
      </w:pPr>
      <w:r>
        <w:rPr>
          <w:rFonts w:ascii="宋体" w:hAnsi="宋体"/>
          <w:sz w:val="24"/>
        </w:rPr>
        <w:t>___________________________________________________________________</w:t>
      </w:r>
    </w:p>
    <w:p>
      <w:pPr>
        <w:spacing w:line="360" w:lineRule="auto"/>
        <w:ind w:firstLine="420"/>
        <w:rPr>
          <w:rFonts w:ascii="宋体" w:hAnsi="宋体"/>
          <w:sz w:val="24"/>
        </w:rPr>
      </w:pPr>
      <w:r>
        <w:rPr>
          <w:rFonts w:hint="eastAsia" w:ascii="宋体" w:hAnsi="宋体"/>
          <w:b/>
          <w:sz w:val="24"/>
        </w:rPr>
        <w:t>注：本“委派书”应附供应商代表身份证扫描件，如扫描件不清晰或错误的，后果由供应商自行承担。</w:t>
      </w:r>
    </w:p>
    <w:p>
      <w:pPr>
        <w:spacing w:line="440" w:lineRule="exact"/>
        <w:rPr>
          <w:rFonts w:ascii="宋体" w:hAnsi="宋体" w:cs="宋体"/>
          <w:bCs/>
          <w:sz w:val="24"/>
        </w:rPr>
      </w:pPr>
      <w:r>
        <w:rPr>
          <w:rFonts w:hint="eastAsia" w:ascii="宋体" w:hAnsi="宋体" w:cs="宋体"/>
          <w:sz w:val="24"/>
        </w:rPr>
        <w:t>供应商代表</w:t>
      </w:r>
      <w:r>
        <w:rPr>
          <w:rFonts w:hint="eastAsia" w:ascii="宋体" w:hAnsi="宋体" w:cs="宋体"/>
          <w:bCs/>
          <w:sz w:val="24"/>
        </w:rPr>
        <w:t>身份证件扫描件：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jc w:val="center"/>
        </w:trPr>
        <w:tc>
          <w:tcPr>
            <w:tcW w:w="8490" w:type="dxa"/>
            <w:noWrap/>
            <w:vAlign w:val="top"/>
          </w:tcPr>
          <w:p>
            <w:pPr>
              <w:keepNext w:val="0"/>
              <w:keepLines w:val="0"/>
              <w:suppressLineNumbers w:val="0"/>
              <w:spacing w:before="0" w:beforeAutospacing="0" w:after="0" w:afterAutospacing="0" w:line="440" w:lineRule="exact"/>
              <w:ind w:left="0" w:right="0"/>
              <w:rPr>
                <w:rFonts w:ascii="宋体" w:hAnsi="宋体" w:cs="宋体"/>
                <w:bCs/>
                <w:sz w:val="24"/>
                <w:szCs w:val="21"/>
              </w:rPr>
            </w:pPr>
            <w:r>
              <w:rPr>
                <w:rFonts w:hint="eastAsia" w:ascii="宋体" w:hAnsi="宋体" w:cs="宋体"/>
                <w:bCs/>
                <w:sz w:val="24"/>
                <w:szCs w:val="21"/>
              </w:rPr>
              <w:t>正面</w:t>
            </w:r>
            <w:r>
              <w:rPr>
                <w:rFonts w:ascii="宋体" w:hAnsi="宋体" w:cs="宋体"/>
                <w:bCs/>
                <w:sz w:val="24"/>
                <w:szCs w:val="21"/>
              </w:rPr>
              <w:t>：</w:t>
            </w:r>
            <w:r>
              <w:rPr>
                <w:rFonts w:hint="eastAsia" w:ascii="宋体" w:hAnsi="宋体" w:cs="宋体"/>
                <w:bCs/>
                <w:sz w:val="24"/>
                <w:szCs w:val="21"/>
              </w:rPr>
              <w:t xml:space="preserve">                                 反面</w:t>
            </w:r>
            <w:r>
              <w:rPr>
                <w:rFonts w:ascii="宋体" w:hAnsi="宋体" w:cs="宋体"/>
                <w:bCs/>
                <w:sz w:val="24"/>
                <w:szCs w:val="21"/>
              </w:rPr>
              <w:t>：</w:t>
            </w:r>
          </w:p>
          <w:p>
            <w:pPr>
              <w:keepNext w:val="0"/>
              <w:keepLines w:val="0"/>
              <w:suppressLineNumbers w:val="0"/>
              <w:tabs>
                <w:tab w:val="left" w:pos="1560"/>
              </w:tabs>
              <w:spacing w:before="0" w:beforeAutospacing="0" w:after="0" w:afterAutospacing="0" w:line="440" w:lineRule="exact"/>
              <w:ind w:left="0" w:right="0"/>
              <w:rPr>
                <w:rFonts w:ascii="宋体" w:hAnsi="宋体" w:cs="宋体"/>
                <w:bCs/>
                <w:sz w:val="24"/>
                <w:szCs w:val="21"/>
              </w:rPr>
            </w:pPr>
            <w:r>
              <w:rPr>
                <w:rFonts w:ascii="宋体" w:hAnsi="宋体" w:cs="宋体"/>
                <w:bCs/>
                <w:sz w:val="24"/>
                <w:szCs w:val="21"/>
              </w:rPr>
              <w:tab/>
            </w:r>
          </w:p>
        </w:tc>
      </w:tr>
    </w:tbl>
    <w:p>
      <w:pPr>
        <w:pStyle w:val="33"/>
        <w:spacing w:line="360" w:lineRule="auto"/>
        <w:ind w:firstLine="4480" w:firstLineChars="1600"/>
        <w:rPr>
          <w:rFonts w:hAnsi="宋体"/>
          <w:spacing w:val="20"/>
          <w:sz w:val="24"/>
        </w:rPr>
      </w:pPr>
    </w:p>
    <w:p>
      <w:pPr>
        <w:spacing w:line="360" w:lineRule="auto"/>
        <w:jc w:val="both"/>
        <w:rPr>
          <w:rFonts w:ascii="宋体" w:hAnsi="宋体"/>
          <w:sz w:val="32"/>
        </w:rPr>
      </w:pPr>
      <w:bookmarkStart w:id="325" w:name="_Toc493956056"/>
    </w:p>
    <w:p>
      <w:pPr>
        <w:spacing w:line="360" w:lineRule="auto"/>
        <w:jc w:val="center"/>
        <w:rPr>
          <w:rFonts w:ascii="宋体" w:hAnsi="宋体"/>
          <w:b/>
          <w:bCs/>
          <w:sz w:val="32"/>
        </w:rPr>
      </w:pPr>
      <w:r>
        <w:rPr>
          <w:rFonts w:hint="eastAsia" w:ascii="宋体" w:hAnsi="宋体"/>
          <w:b/>
          <w:bCs/>
          <w:sz w:val="32"/>
        </w:rPr>
        <w:t>▲</w:t>
      </w:r>
      <w:r>
        <w:rPr>
          <w:rFonts w:hint="eastAsia" w:ascii="宋体" w:hAnsi="宋体"/>
          <w:b/>
          <w:bCs/>
          <w:sz w:val="32"/>
          <w:lang w:val="en-US" w:eastAsia="zh-CN"/>
        </w:rPr>
        <w:t>4</w:t>
      </w:r>
      <w:r>
        <w:rPr>
          <w:rFonts w:hint="eastAsia" w:ascii="宋体" w:hAnsi="宋体"/>
          <w:b/>
          <w:bCs/>
          <w:sz w:val="32"/>
        </w:rPr>
        <w:t>、采购资格承诺函</w:t>
      </w:r>
      <w:r>
        <w:rPr>
          <w:rFonts w:hint="eastAsia" w:hAnsi="宋体"/>
          <w:b/>
          <w:sz w:val="32"/>
        </w:rPr>
        <w:t>（</w:t>
      </w:r>
      <w:r>
        <w:rPr>
          <w:rFonts w:hint="eastAsia" w:hAnsi="宋体"/>
          <w:b/>
          <w:sz w:val="30"/>
        </w:rPr>
        <w:t>如为联合体，各方均须提供</w:t>
      </w:r>
      <w:r>
        <w:rPr>
          <w:rFonts w:hint="eastAsia" w:hAnsi="宋体"/>
          <w:b/>
          <w:sz w:val="32"/>
        </w:rPr>
        <w:t>）</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我单位——</w:t>
      </w:r>
      <w:r>
        <w:rPr>
          <w:rFonts w:hint="eastAsia" w:ascii="宋体" w:hAnsi="宋体" w:cs="宋体"/>
          <w:sz w:val="24"/>
          <w:u w:val="single"/>
        </w:rPr>
        <w:t xml:space="preserve">                  （投标人全称）</w:t>
      </w:r>
      <w:r>
        <w:rPr>
          <w:rFonts w:hint="eastAsia" w:ascii="宋体" w:hAnsi="宋体" w:cs="宋体"/>
          <w:bCs/>
          <w:sz w:val="24"/>
        </w:rPr>
        <w:t>参与</w:t>
      </w:r>
      <w:r>
        <w:rPr>
          <w:rFonts w:hint="eastAsia" w:ascii="宋体" w:hAnsi="宋体" w:cs="宋体"/>
          <w:sz w:val="24"/>
          <w:u w:val="single"/>
        </w:rPr>
        <w:t>（项目名称）</w:t>
      </w:r>
      <w:r>
        <w:rPr>
          <w:rFonts w:hint="eastAsia" w:ascii="宋体" w:hAnsi="宋体" w:cs="宋体"/>
          <w:bCs/>
          <w:sz w:val="24"/>
        </w:rPr>
        <w:t>（项目编号：）投标活动，郑重</w:t>
      </w:r>
      <w:r>
        <w:rPr>
          <w:rFonts w:hint="eastAsia" w:ascii="宋体" w:hAnsi="宋体" w:cs="宋体"/>
          <w:sz w:val="24"/>
        </w:rPr>
        <w:t>承诺具备下列条件：</w:t>
      </w:r>
    </w:p>
    <w:p>
      <w:pPr>
        <w:spacing w:line="360" w:lineRule="auto"/>
        <w:ind w:firstLine="480" w:firstLineChars="200"/>
        <w:rPr>
          <w:rFonts w:ascii="宋体" w:hAnsi="宋体" w:cs="宋体"/>
          <w:bCs/>
          <w:sz w:val="24"/>
        </w:rPr>
      </w:pPr>
      <w:r>
        <w:rPr>
          <w:rFonts w:hint="eastAsia" w:ascii="宋体" w:hAnsi="宋体" w:cs="宋体"/>
          <w:bCs/>
          <w:sz w:val="24"/>
        </w:rPr>
        <w:t>1.具有独立承担民事责任的能力；</w:t>
      </w:r>
    </w:p>
    <w:p>
      <w:pPr>
        <w:spacing w:line="360" w:lineRule="auto"/>
        <w:ind w:firstLine="480" w:firstLineChars="200"/>
        <w:rPr>
          <w:rFonts w:ascii="宋体" w:hAnsi="宋体" w:cs="宋体"/>
          <w:bCs/>
          <w:sz w:val="24"/>
        </w:rPr>
      </w:pPr>
      <w:r>
        <w:rPr>
          <w:rFonts w:hint="eastAsia" w:ascii="宋体" w:hAnsi="宋体" w:cs="宋体"/>
          <w:bCs/>
          <w:sz w:val="24"/>
        </w:rPr>
        <w:t>2.具有良好的商业信誉和健全的财务会计制度；</w:t>
      </w:r>
    </w:p>
    <w:p>
      <w:pPr>
        <w:spacing w:line="360" w:lineRule="auto"/>
        <w:ind w:firstLine="480" w:firstLineChars="200"/>
        <w:rPr>
          <w:rFonts w:ascii="宋体" w:hAnsi="宋体" w:cs="宋体"/>
          <w:bCs/>
          <w:sz w:val="24"/>
        </w:rPr>
      </w:pPr>
      <w:r>
        <w:rPr>
          <w:rFonts w:hint="eastAsia" w:ascii="宋体" w:hAnsi="宋体" w:cs="宋体"/>
          <w:bCs/>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bCs/>
          <w:sz w:val="24"/>
        </w:rPr>
        <w:t>4.有依法缴纳税收和社会保障资金的良好记</w:t>
      </w:r>
      <w:r>
        <w:rPr>
          <w:rFonts w:hint="eastAsia" w:ascii="宋体" w:hAnsi="宋体" w:cs="宋体"/>
          <w:sz w:val="24"/>
        </w:rPr>
        <w:t>录；</w:t>
      </w:r>
    </w:p>
    <w:p>
      <w:pPr>
        <w:snapToGrid w:val="0"/>
        <w:spacing w:line="360" w:lineRule="auto"/>
        <w:ind w:firstLine="480" w:firstLineChars="200"/>
        <w:rPr>
          <w:rFonts w:ascii="宋体" w:hAnsi="宋体" w:cs="宋体"/>
          <w:sz w:val="24"/>
        </w:rPr>
      </w:pPr>
      <w:r>
        <w:rPr>
          <w:rFonts w:hint="eastAsia" w:ascii="宋体" w:hAnsi="宋体" w:cs="宋体"/>
          <w:sz w:val="24"/>
        </w:rPr>
        <w:t>5.参加</w:t>
      </w:r>
      <w:r>
        <w:rPr>
          <w:rFonts w:hint="eastAsia" w:ascii="宋体" w:hAnsi="宋体" w:cs="宋体"/>
          <w:bCs/>
          <w:sz w:val="24"/>
        </w:rPr>
        <w:t>本项目采购活动前三</w:t>
      </w:r>
      <w:r>
        <w:rPr>
          <w:rFonts w:hint="eastAsia" w:ascii="宋体" w:hAnsi="宋体" w:cs="宋体"/>
          <w:sz w:val="24"/>
        </w:rPr>
        <w:t>年内,在经营活动中没有重大违法记录（包括行贿犯罪记录）。</w:t>
      </w:r>
    </w:p>
    <w:p>
      <w:pPr>
        <w:snapToGrid w:val="0"/>
        <w:spacing w:line="360" w:lineRule="auto"/>
        <w:ind w:firstLine="480" w:firstLineChars="200"/>
        <w:rPr>
          <w:rFonts w:ascii="宋体" w:hAnsi="宋体"/>
          <w:sz w:val="24"/>
        </w:rPr>
      </w:pPr>
      <w:r>
        <w:rPr>
          <w:rFonts w:hint="eastAsia" w:ascii="宋体" w:hAnsi="宋体" w:cs="宋体"/>
          <w:sz w:val="24"/>
        </w:rPr>
        <w:t>6.</w:t>
      </w:r>
      <w:r>
        <w:rPr>
          <w:rFonts w:hint="eastAsia" w:ascii="宋体" w:hAnsi="宋体"/>
          <w:sz w:val="24"/>
        </w:rPr>
        <w:t>投标截止时间前未被“信用中国”网站（www.creditchina.gov.cn）、中国政府采购网（www.ccgp.gov.cn）列入失信被执行人、税收违法黑名单、政府采购严重违法失信行为记录名单</w:t>
      </w:r>
      <w:r>
        <w:rPr>
          <w:rFonts w:hint="eastAsia" w:ascii="宋体" w:hAnsi="宋体"/>
          <w:b/>
          <w:sz w:val="24"/>
        </w:rPr>
        <w:t>（注：本项内容以代理机构在资格审查现场查询为准）。</w:t>
      </w:r>
    </w:p>
    <w:p>
      <w:pPr>
        <w:snapToGrid w:val="0"/>
        <w:spacing w:line="360" w:lineRule="auto"/>
        <w:ind w:firstLine="480" w:firstLineChars="200"/>
        <w:rPr>
          <w:rFonts w:ascii="宋体" w:hAnsi="宋体" w:cs="宋体"/>
          <w:sz w:val="24"/>
        </w:rPr>
      </w:pPr>
    </w:p>
    <w:p>
      <w:pPr>
        <w:snapToGrid w:val="0"/>
        <w:spacing w:line="360" w:lineRule="auto"/>
        <w:ind w:firstLine="482" w:firstLineChars="200"/>
        <w:rPr>
          <w:rFonts w:ascii="宋体" w:hAnsi="宋体" w:cs="宋体"/>
          <w:b/>
          <w:sz w:val="24"/>
        </w:rPr>
      </w:pPr>
    </w:p>
    <w:p>
      <w:pPr>
        <w:snapToGrid w:val="0"/>
        <w:spacing w:line="360" w:lineRule="auto"/>
        <w:ind w:firstLine="482" w:firstLineChars="200"/>
        <w:rPr>
          <w:rFonts w:ascii="宋体" w:hAnsi="宋体" w:cs="宋体"/>
          <w:b/>
          <w:sz w:val="24"/>
        </w:rPr>
      </w:pPr>
      <w:r>
        <w:rPr>
          <w:rFonts w:hint="eastAsia" w:ascii="宋体" w:hAnsi="宋体" w:cs="宋体"/>
          <w:b/>
          <w:sz w:val="24"/>
        </w:rPr>
        <w:t>如有虚假，招标人可取消我单位任何资格（投标/中标（成交）/签订合同），我单位对此无任何异议。</w:t>
      </w:r>
    </w:p>
    <w:p>
      <w:pPr>
        <w:snapToGrid w:val="0"/>
        <w:spacing w:line="360" w:lineRule="auto"/>
        <w:ind w:firstLine="482" w:firstLineChars="200"/>
        <w:rPr>
          <w:rFonts w:ascii="宋体" w:hAnsi="宋体" w:cs="宋体"/>
          <w:b/>
          <w:sz w:val="24"/>
        </w:rPr>
      </w:pPr>
    </w:p>
    <w:p>
      <w:pPr>
        <w:snapToGrid w:val="0"/>
        <w:spacing w:line="360" w:lineRule="auto"/>
        <w:ind w:firstLine="482" w:firstLineChars="200"/>
        <w:rPr>
          <w:rFonts w:ascii="宋体" w:hAnsi="宋体" w:cs="宋体"/>
          <w:b/>
          <w:sz w:val="24"/>
        </w:rPr>
      </w:pPr>
      <w:r>
        <w:rPr>
          <w:rFonts w:hint="eastAsia" w:ascii="宋体" w:hAnsi="宋体" w:cs="宋体"/>
          <w:b/>
          <w:sz w:val="24"/>
        </w:rPr>
        <w:t>特此承诺！</w:t>
      </w:r>
    </w:p>
    <w:p>
      <w:pPr>
        <w:tabs>
          <w:tab w:val="left" w:pos="9180"/>
        </w:tabs>
        <w:spacing w:line="360" w:lineRule="auto"/>
        <w:ind w:firstLine="480" w:firstLineChars="200"/>
        <w:rPr>
          <w:rFonts w:ascii="宋体" w:hAnsi="宋体" w:cs="宋体"/>
          <w:snapToGrid w:val="0"/>
          <w:sz w:val="24"/>
        </w:rPr>
      </w:pPr>
    </w:p>
    <w:p>
      <w:pPr>
        <w:tabs>
          <w:tab w:val="left" w:pos="9180"/>
        </w:tabs>
        <w:spacing w:line="360" w:lineRule="auto"/>
        <w:ind w:firstLine="480" w:firstLineChars="200"/>
        <w:rPr>
          <w:rFonts w:ascii="宋体" w:hAnsi="宋体" w:cs="宋体"/>
          <w:snapToGrid w:val="0"/>
          <w:sz w:val="24"/>
        </w:rPr>
      </w:pPr>
      <w:r>
        <w:rPr>
          <w:rFonts w:hint="eastAsia" w:ascii="宋体" w:hAnsi="宋体" w:cs="宋体"/>
          <w:snapToGrid w:val="0"/>
          <w:sz w:val="24"/>
        </w:rPr>
        <w:t>注：（1）参加采购活动的时间是指投标人参加本项目的政府采购活动时间（具体以投标截止时间为准）。</w:t>
      </w:r>
    </w:p>
    <w:p>
      <w:pPr>
        <w:spacing w:line="360" w:lineRule="auto"/>
        <w:ind w:firstLine="840" w:firstLineChars="350"/>
        <w:rPr>
          <w:rFonts w:ascii="宋体" w:hAnsi="宋体"/>
          <w:sz w:val="30"/>
        </w:rPr>
      </w:pPr>
      <w:r>
        <w:rPr>
          <w:rFonts w:hint="eastAsia" w:ascii="宋体" w:hAnsi="宋体" w:cs="宋体"/>
          <w:snapToGrid w:val="0"/>
          <w:sz w:val="24"/>
        </w:rPr>
        <w:t>（2）本承诺函必须提供。</w:t>
      </w:r>
    </w:p>
    <w:p>
      <w:pPr>
        <w:pStyle w:val="32"/>
        <w:spacing w:line="360" w:lineRule="auto"/>
        <w:ind w:firstLine="5320" w:firstLineChars="1900"/>
        <w:rPr>
          <w:rFonts w:ascii="宋体" w:hAnsi="宋体"/>
          <w:spacing w:val="20"/>
          <w:sz w:val="24"/>
          <w:szCs w:val="21"/>
          <w:u w:val="single"/>
        </w:rPr>
      </w:pPr>
      <w:r>
        <w:rPr>
          <w:rFonts w:hint="eastAsia" w:ascii="宋体" w:hAnsi="宋体"/>
          <w:spacing w:val="20"/>
          <w:sz w:val="24"/>
          <w:szCs w:val="21"/>
        </w:rPr>
        <w:t>投标人盖章</w:t>
      </w:r>
      <w:r>
        <w:rPr>
          <w:rFonts w:ascii="宋体" w:hAnsi="宋体"/>
          <w:spacing w:val="20"/>
          <w:sz w:val="24"/>
          <w:szCs w:val="21"/>
        </w:rPr>
        <w:t>：</w:t>
      </w:r>
    </w:p>
    <w:p>
      <w:pPr>
        <w:spacing w:line="360" w:lineRule="auto"/>
        <w:jc w:val="center"/>
        <w:rPr>
          <w:rFonts w:ascii="宋体" w:hAnsi="宋体"/>
          <w:sz w:val="30"/>
        </w:rPr>
      </w:pPr>
      <w:r>
        <w:rPr>
          <w:rFonts w:hint="eastAsia" w:ascii="宋体" w:hAnsi="宋体"/>
          <w:spacing w:val="20"/>
          <w:sz w:val="24"/>
          <w:szCs w:val="21"/>
          <w:lang w:val="en-US" w:eastAsia="zh-CN"/>
        </w:rPr>
        <w:t xml:space="preserve">                   </w:t>
      </w:r>
      <w:r>
        <w:rPr>
          <w:rFonts w:ascii="宋体" w:hAnsi="宋体"/>
          <w:spacing w:val="20"/>
          <w:sz w:val="24"/>
          <w:szCs w:val="21"/>
        </w:rPr>
        <w:t>日     期：</w:t>
      </w:r>
    </w:p>
    <w:p>
      <w:pPr>
        <w:spacing w:line="360" w:lineRule="auto"/>
        <w:jc w:val="center"/>
        <w:rPr>
          <w:rFonts w:ascii="宋体" w:hAnsi="宋体"/>
          <w:sz w:val="30"/>
        </w:rPr>
      </w:pPr>
    </w:p>
    <w:p>
      <w:pPr>
        <w:spacing w:line="360" w:lineRule="auto"/>
        <w:jc w:val="both"/>
        <w:rPr>
          <w:rFonts w:ascii="宋体" w:hAnsi="宋体"/>
          <w:sz w:val="32"/>
        </w:rPr>
      </w:pPr>
    </w:p>
    <w:p>
      <w:pPr>
        <w:spacing w:line="360" w:lineRule="auto"/>
        <w:jc w:val="center"/>
        <w:rPr>
          <w:rFonts w:hint="eastAsia" w:ascii="宋体" w:hAnsi="宋体" w:eastAsia="宋体" w:cs="Times New Roman"/>
          <w:b/>
          <w:bCs/>
          <w:sz w:val="32"/>
        </w:rPr>
      </w:pPr>
      <w:r>
        <w:rPr>
          <w:rFonts w:hint="eastAsia" w:ascii="宋体" w:hAnsi="宋体" w:eastAsia="宋体" w:cs="Times New Roman"/>
          <w:b/>
          <w:bCs/>
          <w:sz w:val="32"/>
        </w:rPr>
        <w:t>▲</w:t>
      </w:r>
      <w:r>
        <w:rPr>
          <w:rFonts w:hint="eastAsia" w:ascii="宋体" w:hAnsi="宋体" w:eastAsia="宋体" w:cs="Times New Roman"/>
          <w:b/>
          <w:bCs/>
          <w:sz w:val="32"/>
          <w:lang w:val="en-US" w:eastAsia="zh-CN"/>
        </w:rPr>
        <w:t>5</w:t>
      </w:r>
      <w:r>
        <w:rPr>
          <w:rFonts w:hint="eastAsia" w:ascii="宋体" w:hAnsi="宋体" w:eastAsia="宋体" w:cs="Times New Roman"/>
          <w:b/>
          <w:bCs/>
          <w:sz w:val="32"/>
        </w:rPr>
        <w:t>、资格声明</w:t>
      </w:r>
      <w:r>
        <w:rPr>
          <w:rFonts w:hint="eastAsia" w:hAnsi="宋体"/>
          <w:b/>
          <w:sz w:val="32"/>
        </w:rPr>
        <w:t>（</w:t>
      </w:r>
      <w:r>
        <w:rPr>
          <w:rFonts w:hint="eastAsia" w:hAnsi="宋体"/>
          <w:b/>
          <w:sz w:val="30"/>
        </w:rPr>
        <w:t>如为联合体，各方均须提供</w:t>
      </w:r>
      <w:r>
        <w:rPr>
          <w:rFonts w:hint="eastAsia" w:hAnsi="宋体"/>
          <w:b/>
          <w:sz w:val="32"/>
        </w:rPr>
        <w:t>）</w:t>
      </w:r>
    </w:p>
    <w:p>
      <w:pPr>
        <w:pStyle w:val="32"/>
        <w:spacing w:line="360" w:lineRule="auto"/>
        <w:rPr>
          <w:rFonts w:ascii="宋体" w:hAnsi="宋体"/>
          <w:b/>
          <w:sz w:val="24"/>
          <w:szCs w:val="21"/>
        </w:rPr>
      </w:pPr>
      <w:r>
        <w:rPr>
          <w:rFonts w:hint="eastAsia" w:ascii="宋体" w:hAnsi="宋体"/>
          <w:sz w:val="24"/>
          <w:szCs w:val="21"/>
          <w:u w:val="single"/>
        </w:rPr>
        <w:t>（代理机构名称）</w:t>
      </w:r>
      <w:r>
        <w:rPr>
          <w:rFonts w:hint="eastAsia" w:ascii="宋体" w:hAnsi="宋体"/>
          <w:sz w:val="24"/>
          <w:szCs w:val="21"/>
        </w:rPr>
        <w:t>：</w:t>
      </w:r>
    </w:p>
    <w:p>
      <w:pPr>
        <w:pStyle w:val="34"/>
        <w:spacing w:line="360" w:lineRule="auto"/>
        <w:ind w:firstLine="480" w:firstLineChars="200"/>
        <w:rPr>
          <w:rFonts w:hAnsi="宋体"/>
          <w:sz w:val="24"/>
          <w:szCs w:val="21"/>
        </w:rPr>
      </w:pPr>
      <w:r>
        <w:rPr>
          <w:rFonts w:hint="eastAsia" w:hAnsi="宋体"/>
          <w:sz w:val="24"/>
          <w:szCs w:val="21"/>
          <w:u w:val="single"/>
        </w:rPr>
        <w:t xml:space="preserve">(投标人全称) </w:t>
      </w:r>
      <w:r>
        <w:rPr>
          <w:rFonts w:hint="eastAsia" w:hAnsi="宋体"/>
          <w:sz w:val="24"/>
          <w:szCs w:val="21"/>
        </w:rPr>
        <w:t>系中华人民共和国合法企业，经营地址。</w:t>
      </w:r>
    </w:p>
    <w:p>
      <w:pPr>
        <w:pStyle w:val="5"/>
        <w:spacing w:line="360" w:lineRule="auto"/>
        <w:rPr>
          <w:rFonts w:ascii="宋体" w:hAnsi="宋体"/>
          <w:sz w:val="24"/>
          <w:szCs w:val="24"/>
        </w:rPr>
      </w:pPr>
      <w:r>
        <w:rPr>
          <w:rFonts w:hint="eastAsia" w:ascii="宋体" w:hAnsi="宋体"/>
          <w:sz w:val="24"/>
          <w:szCs w:val="21"/>
        </w:rPr>
        <w:t>我</w:t>
      </w:r>
      <w:r>
        <w:rPr>
          <w:rFonts w:ascii="宋体" w:hAnsi="宋体"/>
          <w:sz w:val="24"/>
          <w:szCs w:val="21"/>
          <w:u w:val="single"/>
        </w:rPr>
        <w:t>(</w:t>
      </w:r>
      <w:r>
        <w:rPr>
          <w:rFonts w:hint="eastAsia" w:ascii="宋体" w:hAnsi="宋体"/>
          <w:sz w:val="24"/>
          <w:szCs w:val="21"/>
          <w:u w:val="single"/>
        </w:rPr>
        <w:t>法定代表人或负责人名字</w:t>
      </w:r>
      <w:r>
        <w:rPr>
          <w:rFonts w:ascii="宋体" w:hAnsi="宋体"/>
          <w:sz w:val="24"/>
          <w:szCs w:val="21"/>
          <w:u w:val="single"/>
        </w:rPr>
        <w:t>)</w:t>
      </w:r>
      <w:r>
        <w:rPr>
          <w:rFonts w:hint="eastAsia" w:ascii="宋体" w:hAnsi="宋体"/>
          <w:sz w:val="24"/>
          <w:szCs w:val="21"/>
        </w:rPr>
        <w:t>系</w:t>
      </w:r>
      <w:r>
        <w:rPr>
          <w:rFonts w:ascii="宋体" w:hAnsi="宋体"/>
          <w:sz w:val="24"/>
          <w:szCs w:val="21"/>
          <w:u w:val="single"/>
        </w:rPr>
        <w:t>(</w:t>
      </w:r>
      <w:r>
        <w:rPr>
          <w:rFonts w:hint="eastAsia" w:ascii="宋体" w:hAnsi="宋体"/>
          <w:sz w:val="24"/>
          <w:szCs w:val="21"/>
          <w:u w:val="single"/>
        </w:rPr>
        <w:t>投标人名称</w:t>
      </w:r>
      <w:r>
        <w:rPr>
          <w:rFonts w:ascii="宋体" w:hAnsi="宋体"/>
          <w:sz w:val="24"/>
          <w:szCs w:val="21"/>
          <w:u w:val="single"/>
        </w:rPr>
        <w:t>)</w:t>
      </w:r>
      <w:r>
        <w:rPr>
          <w:rFonts w:hint="eastAsia" w:ascii="宋体" w:hAnsi="宋体"/>
          <w:sz w:val="24"/>
          <w:szCs w:val="21"/>
        </w:rPr>
        <w:t>的负责人，我方愿意参加贵方组织的</w:t>
      </w:r>
      <w:r>
        <w:rPr>
          <w:rFonts w:hint="eastAsia" w:ascii="宋体" w:hAnsi="宋体"/>
          <w:sz w:val="24"/>
          <w:szCs w:val="21"/>
          <w:u w:val="single"/>
        </w:rPr>
        <w:t xml:space="preserve">    （</w:t>
      </w:r>
      <w:r>
        <w:rPr>
          <w:rFonts w:ascii="宋体" w:hAnsi="宋体"/>
          <w:sz w:val="24"/>
          <w:szCs w:val="21"/>
          <w:u w:val="single"/>
        </w:rPr>
        <w:t>项目名称</w:t>
      </w:r>
      <w:r>
        <w:rPr>
          <w:rFonts w:hint="eastAsia" w:ascii="宋体" w:hAnsi="宋体"/>
          <w:sz w:val="24"/>
          <w:szCs w:val="21"/>
          <w:u w:val="single"/>
        </w:rPr>
        <w:t>）（采购编号：   ）</w:t>
      </w:r>
      <w:r>
        <w:rPr>
          <w:rFonts w:hint="eastAsia" w:ascii="宋体" w:hAnsi="宋体"/>
          <w:sz w:val="24"/>
          <w:szCs w:val="21"/>
        </w:rPr>
        <w:t>的投标。为便于贵方公正、择优地确定中标人以及投标产品和服务，我方就本次投标有关事项证明如下：</w:t>
      </w:r>
    </w:p>
    <w:p>
      <w:pPr>
        <w:pStyle w:val="35"/>
        <w:spacing w:line="360" w:lineRule="auto"/>
        <w:ind w:firstLine="420"/>
        <w:rPr>
          <w:rFonts w:hAnsi="宋体"/>
          <w:sz w:val="24"/>
          <w:szCs w:val="21"/>
        </w:rPr>
      </w:pPr>
      <w:r>
        <w:rPr>
          <w:rFonts w:hint="eastAsia" w:hAnsi="宋体"/>
          <w:sz w:val="24"/>
          <w:szCs w:val="21"/>
        </w:rPr>
        <w:t>（一）名称及概况：</w:t>
      </w:r>
    </w:p>
    <w:p>
      <w:pPr>
        <w:pStyle w:val="35"/>
        <w:spacing w:line="360" w:lineRule="auto"/>
        <w:ind w:firstLine="420"/>
        <w:rPr>
          <w:rFonts w:hAnsi="宋体"/>
          <w:sz w:val="24"/>
          <w:szCs w:val="21"/>
        </w:rPr>
      </w:pPr>
      <w:r>
        <w:rPr>
          <w:rFonts w:hint="eastAsia" w:hAnsi="宋体"/>
          <w:sz w:val="24"/>
          <w:szCs w:val="21"/>
        </w:rPr>
        <w:t xml:space="preserve">1．企业名称：________________________________________________ </w:t>
      </w:r>
    </w:p>
    <w:p>
      <w:pPr>
        <w:pStyle w:val="35"/>
        <w:spacing w:line="360" w:lineRule="auto"/>
        <w:ind w:firstLine="420"/>
        <w:rPr>
          <w:rFonts w:hAnsi="宋体"/>
          <w:b/>
          <w:bCs/>
          <w:sz w:val="24"/>
        </w:rPr>
      </w:pPr>
      <w:r>
        <w:rPr>
          <w:rFonts w:hint="eastAsia" w:hAnsi="宋体"/>
          <w:sz w:val="24"/>
          <w:szCs w:val="21"/>
        </w:rPr>
        <w:t>银行开户名称：________________________________________________</w:t>
      </w:r>
    </w:p>
    <w:p>
      <w:pPr>
        <w:pStyle w:val="35"/>
        <w:spacing w:line="360" w:lineRule="auto"/>
        <w:ind w:firstLine="420"/>
        <w:rPr>
          <w:rFonts w:hAnsi="宋体"/>
          <w:sz w:val="24"/>
          <w:szCs w:val="21"/>
        </w:rPr>
      </w:pPr>
      <w:r>
        <w:rPr>
          <w:rFonts w:hint="eastAsia" w:hAnsi="宋体"/>
          <w:sz w:val="24"/>
          <w:szCs w:val="21"/>
        </w:rPr>
        <w:t xml:space="preserve">    开户银行：_________________________________________________ </w:t>
      </w:r>
    </w:p>
    <w:p>
      <w:pPr>
        <w:pStyle w:val="35"/>
        <w:spacing w:line="360" w:lineRule="auto"/>
        <w:ind w:firstLine="420"/>
        <w:rPr>
          <w:rFonts w:hAnsi="宋体"/>
          <w:sz w:val="24"/>
          <w:szCs w:val="21"/>
        </w:rPr>
      </w:pPr>
      <w:r>
        <w:rPr>
          <w:rFonts w:hint="eastAsia" w:hAnsi="宋体"/>
          <w:sz w:val="24"/>
          <w:szCs w:val="21"/>
        </w:rPr>
        <w:t xml:space="preserve">    账    号：________________________________________________ </w:t>
      </w:r>
    </w:p>
    <w:p>
      <w:pPr>
        <w:pStyle w:val="35"/>
        <w:spacing w:line="360" w:lineRule="auto"/>
        <w:ind w:firstLine="420"/>
        <w:rPr>
          <w:rFonts w:hAnsi="宋体"/>
          <w:sz w:val="24"/>
          <w:szCs w:val="21"/>
        </w:rPr>
      </w:pPr>
      <w:r>
        <w:rPr>
          <w:rFonts w:hint="eastAsia" w:hAnsi="宋体"/>
          <w:sz w:val="24"/>
          <w:szCs w:val="21"/>
        </w:rPr>
        <w:t xml:space="preserve">企业详细地址：________________________________________________ </w:t>
      </w:r>
    </w:p>
    <w:p>
      <w:pPr>
        <w:pStyle w:val="35"/>
        <w:spacing w:line="360" w:lineRule="auto"/>
        <w:ind w:firstLine="420"/>
        <w:rPr>
          <w:rFonts w:hAnsi="宋体"/>
          <w:sz w:val="24"/>
          <w:szCs w:val="21"/>
        </w:rPr>
      </w:pPr>
      <w:r>
        <w:rPr>
          <w:rFonts w:hint="eastAsia" w:hAnsi="宋体"/>
          <w:sz w:val="24"/>
          <w:szCs w:val="21"/>
        </w:rPr>
        <w:t xml:space="preserve">    传    真： ________________________________________________</w:t>
      </w:r>
    </w:p>
    <w:p>
      <w:pPr>
        <w:pStyle w:val="35"/>
        <w:spacing w:line="360" w:lineRule="auto"/>
        <w:ind w:firstLine="420"/>
        <w:rPr>
          <w:rFonts w:hAnsi="宋体"/>
          <w:sz w:val="24"/>
          <w:szCs w:val="21"/>
        </w:rPr>
      </w:pPr>
      <w:r>
        <w:rPr>
          <w:rFonts w:hint="eastAsia" w:hAnsi="宋体"/>
          <w:sz w:val="24"/>
          <w:szCs w:val="21"/>
        </w:rPr>
        <w:t xml:space="preserve">    电    话： ________________________________________________</w:t>
      </w:r>
    </w:p>
    <w:p>
      <w:pPr>
        <w:pStyle w:val="35"/>
        <w:spacing w:line="360" w:lineRule="auto"/>
        <w:ind w:firstLine="420"/>
        <w:rPr>
          <w:rFonts w:hAnsi="宋体"/>
          <w:sz w:val="24"/>
          <w:szCs w:val="21"/>
        </w:rPr>
      </w:pPr>
      <w:r>
        <w:rPr>
          <w:rFonts w:hint="eastAsia" w:hAnsi="宋体"/>
          <w:sz w:val="24"/>
          <w:szCs w:val="21"/>
        </w:rPr>
        <w:t xml:space="preserve">2．负责人姓名：___________________________________________ </w:t>
      </w:r>
    </w:p>
    <w:p>
      <w:pPr>
        <w:pStyle w:val="35"/>
        <w:spacing w:line="360" w:lineRule="auto"/>
        <w:ind w:firstLine="420"/>
        <w:rPr>
          <w:rFonts w:hAnsi="宋体"/>
          <w:sz w:val="24"/>
          <w:szCs w:val="21"/>
        </w:rPr>
      </w:pPr>
      <w:r>
        <w:rPr>
          <w:rFonts w:hint="eastAsia" w:hAnsi="宋体"/>
          <w:sz w:val="24"/>
          <w:szCs w:val="21"/>
        </w:rPr>
        <w:t>3．项目联系人：姓名__________职务：______电话______手机______</w:t>
      </w:r>
    </w:p>
    <w:p>
      <w:pPr>
        <w:pStyle w:val="35"/>
        <w:spacing w:line="360" w:lineRule="auto"/>
        <w:ind w:firstLine="420"/>
        <w:rPr>
          <w:rFonts w:hAnsi="宋体"/>
          <w:sz w:val="24"/>
        </w:rPr>
      </w:pPr>
      <w:r>
        <w:rPr>
          <w:rFonts w:hint="eastAsia" w:hAnsi="宋体"/>
          <w:sz w:val="24"/>
          <w:szCs w:val="21"/>
        </w:rPr>
        <w:t>4．注册地址：________________________________________________</w:t>
      </w:r>
    </w:p>
    <w:p>
      <w:pPr>
        <w:pStyle w:val="35"/>
        <w:spacing w:line="360" w:lineRule="auto"/>
        <w:ind w:firstLine="420"/>
        <w:rPr>
          <w:rFonts w:hAnsi="宋体"/>
          <w:sz w:val="24"/>
          <w:szCs w:val="21"/>
        </w:rPr>
      </w:pPr>
      <w:r>
        <w:rPr>
          <w:rFonts w:hint="eastAsia" w:hAnsi="宋体"/>
          <w:sz w:val="24"/>
          <w:szCs w:val="21"/>
        </w:rPr>
        <w:t xml:space="preserve">5．注册资金：________________________________________________ </w:t>
      </w:r>
    </w:p>
    <w:p>
      <w:pPr>
        <w:pStyle w:val="35"/>
        <w:spacing w:line="360" w:lineRule="auto"/>
        <w:ind w:firstLine="735"/>
        <w:rPr>
          <w:rFonts w:hAnsi="宋体"/>
          <w:sz w:val="24"/>
          <w:szCs w:val="21"/>
        </w:rPr>
      </w:pPr>
      <w:r>
        <w:rPr>
          <w:rFonts w:hint="eastAsia" w:hAnsi="宋体"/>
          <w:sz w:val="24"/>
          <w:szCs w:val="21"/>
        </w:rPr>
        <w:t>自有资金：________________________________________________</w:t>
      </w:r>
    </w:p>
    <w:p>
      <w:pPr>
        <w:pStyle w:val="35"/>
        <w:spacing w:line="360" w:lineRule="auto"/>
        <w:ind w:firstLine="735"/>
        <w:rPr>
          <w:rFonts w:hAnsi="宋体"/>
          <w:sz w:val="24"/>
          <w:szCs w:val="21"/>
        </w:rPr>
      </w:pPr>
      <w:r>
        <w:rPr>
          <w:rFonts w:hint="eastAsia" w:hAnsi="宋体"/>
          <w:sz w:val="24"/>
          <w:szCs w:val="21"/>
        </w:rPr>
        <w:t>企业人数：_______</w:t>
      </w:r>
      <w:r>
        <w:rPr>
          <w:rFonts w:hint="eastAsia" w:hAnsi="宋体"/>
          <w:b/>
          <w:bCs/>
          <w:sz w:val="24"/>
          <w:szCs w:val="21"/>
        </w:rPr>
        <w:t>_</w:t>
      </w:r>
      <w:r>
        <w:rPr>
          <w:rFonts w:hint="eastAsia" w:hAnsi="宋体"/>
          <w:sz w:val="24"/>
          <w:szCs w:val="21"/>
        </w:rPr>
        <w:t>人</w:t>
      </w:r>
    </w:p>
    <w:p>
      <w:pPr>
        <w:pStyle w:val="35"/>
        <w:spacing w:line="360" w:lineRule="auto"/>
        <w:ind w:firstLine="420"/>
        <w:rPr>
          <w:rFonts w:hAnsi="宋体"/>
          <w:sz w:val="24"/>
          <w:szCs w:val="21"/>
        </w:rPr>
      </w:pPr>
      <w:r>
        <w:rPr>
          <w:rFonts w:hint="eastAsia" w:hAnsi="宋体"/>
          <w:sz w:val="24"/>
          <w:szCs w:val="21"/>
        </w:rPr>
        <w:t>6．企业性质：____________</w:t>
      </w:r>
      <w:r>
        <w:rPr>
          <w:rFonts w:hint="eastAsia" w:hAnsi="宋体"/>
          <w:sz w:val="24"/>
        </w:rPr>
        <w:t>有限公司</w:t>
      </w:r>
    </w:p>
    <w:p>
      <w:pPr>
        <w:pStyle w:val="35"/>
        <w:spacing w:line="360" w:lineRule="auto"/>
        <w:ind w:firstLine="420"/>
        <w:rPr>
          <w:rFonts w:hAnsi="宋体"/>
          <w:sz w:val="24"/>
          <w:szCs w:val="21"/>
        </w:rPr>
      </w:pPr>
      <w:r>
        <w:rPr>
          <w:rFonts w:hint="eastAsia" w:hAnsi="宋体"/>
          <w:sz w:val="24"/>
          <w:szCs w:val="21"/>
        </w:rPr>
        <w:t xml:space="preserve">7．主要经营地点：_______________________________________________ </w:t>
      </w:r>
    </w:p>
    <w:p>
      <w:pPr>
        <w:pStyle w:val="35"/>
        <w:spacing w:line="360" w:lineRule="auto"/>
        <w:ind w:firstLine="420"/>
        <w:rPr>
          <w:rFonts w:hAnsi="宋体"/>
          <w:sz w:val="24"/>
          <w:szCs w:val="21"/>
        </w:rPr>
      </w:pPr>
      <w:r>
        <w:rPr>
          <w:rFonts w:hint="eastAsia" w:hAnsi="宋体"/>
          <w:sz w:val="24"/>
          <w:szCs w:val="21"/>
        </w:rPr>
        <w:t>如有派出机构，请列出名称及详细通讯地址如下：</w:t>
      </w:r>
    </w:p>
    <w:p>
      <w:pPr>
        <w:spacing w:line="360" w:lineRule="auto"/>
        <w:jc w:val="center"/>
        <w:rPr>
          <w:rFonts w:ascii="宋体" w:hAnsi="宋体"/>
          <w:sz w:val="30"/>
        </w:rPr>
      </w:pPr>
      <w:r>
        <w:rPr>
          <w:rFonts w:ascii="宋体" w:hAnsi="宋体"/>
          <w:sz w:val="30"/>
        </w:rPr>
        <w:br w:type="page"/>
      </w:r>
      <w:r>
        <w:rPr>
          <w:rFonts w:hint="eastAsia" w:ascii="宋体" w:hAnsi="宋体" w:eastAsia="宋体" w:cs="Times New Roman"/>
          <w:b/>
          <w:bCs/>
          <w:sz w:val="32"/>
        </w:rPr>
        <w:t>▲</w:t>
      </w:r>
      <w:r>
        <w:rPr>
          <w:rFonts w:hint="eastAsia" w:ascii="宋体" w:hAnsi="宋体" w:eastAsia="宋体" w:cs="Times New Roman"/>
          <w:b/>
          <w:bCs/>
          <w:sz w:val="32"/>
          <w:lang w:val="en-US" w:eastAsia="zh-CN"/>
        </w:rPr>
        <w:t>6</w:t>
      </w:r>
      <w:r>
        <w:rPr>
          <w:rFonts w:hint="eastAsia" w:ascii="宋体" w:hAnsi="宋体" w:eastAsia="宋体" w:cs="Times New Roman"/>
          <w:b/>
          <w:bCs/>
          <w:sz w:val="32"/>
        </w:rPr>
        <w:t>、无重大违法记录声明书</w:t>
      </w:r>
      <w:bookmarkEnd w:id="325"/>
      <w:r>
        <w:rPr>
          <w:rFonts w:hint="eastAsia" w:hAnsi="宋体"/>
          <w:b/>
          <w:sz w:val="32"/>
        </w:rPr>
        <w:t>（</w:t>
      </w:r>
      <w:r>
        <w:rPr>
          <w:rFonts w:hint="eastAsia" w:hAnsi="宋体"/>
          <w:b/>
          <w:sz w:val="30"/>
        </w:rPr>
        <w:t>如为联合体，各方均须提供</w:t>
      </w:r>
      <w:r>
        <w:rPr>
          <w:rFonts w:hint="eastAsia" w:hAnsi="宋体"/>
          <w:b/>
          <w:sz w:val="32"/>
        </w:rPr>
        <w:t>）</w:t>
      </w:r>
    </w:p>
    <w:p>
      <w:pPr>
        <w:pStyle w:val="32"/>
        <w:spacing w:line="360" w:lineRule="auto"/>
        <w:rPr>
          <w:rFonts w:ascii="宋体" w:hAnsi="宋体"/>
          <w:spacing w:val="6"/>
          <w:sz w:val="28"/>
          <w:szCs w:val="28"/>
          <w:u w:val="single"/>
        </w:rPr>
      </w:pPr>
    </w:p>
    <w:p>
      <w:pPr>
        <w:pStyle w:val="32"/>
        <w:spacing w:line="360" w:lineRule="auto"/>
        <w:rPr>
          <w:rFonts w:ascii="宋体" w:hAnsi="宋体"/>
          <w:spacing w:val="6"/>
          <w:sz w:val="24"/>
          <w:szCs w:val="24"/>
          <w:u w:val="single"/>
        </w:rPr>
      </w:pPr>
      <w:r>
        <w:rPr>
          <w:rFonts w:hint="eastAsia" w:ascii="宋体" w:hAnsi="宋体"/>
          <w:spacing w:val="6"/>
          <w:sz w:val="24"/>
          <w:szCs w:val="24"/>
          <w:u w:val="single"/>
        </w:rPr>
        <w:t>（代理机构名称）：</w:t>
      </w:r>
    </w:p>
    <w:p>
      <w:pPr>
        <w:pStyle w:val="36"/>
        <w:spacing w:before="120" w:beforeLines="50" w:line="360" w:lineRule="auto"/>
        <w:ind w:firstLine="504" w:firstLineChars="200"/>
        <w:rPr>
          <w:rFonts w:ascii="宋体" w:hAnsi="宋体"/>
          <w:spacing w:val="6"/>
          <w:sz w:val="24"/>
          <w:szCs w:val="24"/>
        </w:rPr>
      </w:pPr>
      <w:r>
        <w:rPr>
          <w:rFonts w:hint="eastAsia" w:ascii="宋体" w:hAnsi="宋体"/>
          <w:spacing w:val="6"/>
          <w:sz w:val="24"/>
          <w:szCs w:val="24"/>
        </w:rPr>
        <w:t xml:space="preserve"> 我方参与的（采购项目名称）（采购编号：</w:t>
      </w:r>
      <w:r>
        <w:rPr>
          <w:rFonts w:hint="eastAsia" w:ascii="宋体" w:hAnsi="宋体"/>
          <w:spacing w:val="6"/>
          <w:sz w:val="24"/>
          <w:szCs w:val="24"/>
          <w:u w:val="single"/>
        </w:rPr>
        <w:t>　　  　　</w:t>
      </w:r>
      <w:r>
        <w:rPr>
          <w:rFonts w:hint="eastAsia" w:ascii="宋体" w:hAnsi="宋体"/>
          <w:spacing w:val="6"/>
          <w:sz w:val="24"/>
          <w:szCs w:val="24"/>
        </w:rPr>
        <w:t>）项目的投标活动，我方郑重声明，我方参加本项目投标活动前三年内无重大违法记录（</w:t>
      </w:r>
      <w:r>
        <w:rPr>
          <w:rFonts w:hint="eastAsia" w:ascii="宋体" w:hAnsi="宋体"/>
          <w:b/>
          <w:spacing w:val="6"/>
          <w:sz w:val="24"/>
          <w:szCs w:val="24"/>
        </w:rPr>
        <w:t>重大违法记录是指投标人因违法经营受到刑事处罚或者责令停产停业、吊销许可证或者执照、较大数额罚款等行政处罚）</w:t>
      </w:r>
      <w:r>
        <w:rPr>
          <w:rFonts w:hint="eastAsia" w:ascii="宋体" w:hAnsi="宋体"/>
          <w:spacing w:val="6"/>
          <w:sz w:val="24"/>
          <w:szCs w:val="24"/>
        </w:rPr>
        <w:t>，符合《中华人民共和国政府采购法》《中华人民共和国政府采购法实施条例》的规定。我方对此声明负全部法律责任。</w:t>
      </w:r>
    </w:p>
    <w:p>
      <w:pPr>
        <w:pStyle w:val="36"/>
        <w:spacing w:line="360" w:lineRule="auto"/>
        <w:ind w:firstLine="504" w:firstLineChars="200"/>
        <w:rPr>
          <w:rFonts w:ascii="宋体" w:hAnsi="宋体"/>
          <w:spacing w:val="6"/>
          <w:sz w:val="24"/>
          <w:szCs w:val="24"/>
        </w:rPr>
      </w:pPr>
      <w:r>
        <w:rPr>
          <w:rFonts w:hint="eastAsia" w:ascii="宋体" w:hAnsi="宋体"/>
          <w:spacing w:val="6"/>
          <w:sz w:val="24"/>
          <w:szCs w:val="24"/>
        </w:rPr>
        <w:tab/>
      </w:r>
      <w:r>
        <w:rPr>
          <w:rFonts w:hint="eastAsia" w:ascii="宋体" w:hAnsi="宋体"/>
          <w:spacing w:val="6"/>
          <w:sz w:val="24"/>
          <w:szCs w:val="24"/>
        </w:rPr>
        <w:t>特此声明。</w:t>
      </w:r>
    </w:p>
    <w:p>
      <w:pPr>
        <w:pStyle w:val="37"/>
        <w:spacing w:line="360" w:lineRule="auto"/>
        <w:jc w:val="center"/>
        <w:rPr>
          <w:rFonts w:hAnsi="宋体"/>
          <w:sz w:val="30"/>
        </w:rPr>
      </w:pPr>
    </w:p>
    <w:p>
      <w:pPr>
        <w:pStyle w:val="37"/>
        <w:spacing w:line="360" w:lineRule="auto"/>
        <w:jc w:val="center"/>
        <w:rPr>
          <w:rFonts w:hAnsi="宋体"/>
          <w:sz w:val="30"/>
        </w:rPr>
      </w:pPr>
    </w:p>
    <w:p>
      <w:pPr>
        <w:pStyle w:val="37"/>
        <w:spacing w:line="360" w:lineRule="auto"/>
        <w:jc w:val="center"/>
        <w:rPr>
          <w:rFonts w:hAnsi="宋体"/>
          <w:sz w:val="30"/>
        </w:rPr>
      </w:pPr>
    </w:p>
    <w:p>
      <w:pPr>
        <w:pStyle w:val="37"/>
        <w:spacing w:line="360" w:lineRule="auto"/>
        <w:jc w:val="center"/>
        <w:rPr>
          <w:rFonts w:hAnsi="宋体"/>
          <w:sz w:val="30"/>
        </w:rPr>
      </w:pPr>
    </w:p>
    <w:p>
      <w:pPr>
        <w:pStyle w:val="32"/>
        <w:spacing w:line="360" w:lineRule="auto"/>
        <w:ind w:firstLine="5320" w:firstLineChars="1900"/>
        <w:rPr>
          <w:rFonts w:ascii="宋体" w:hAnsi="宋体"/>
          <w:spacing w:val="20"/>
          <w:sz w:val="24"/>
          <w:u w:val="single"/>
        </w:rPr>
      </w:pPr>
      <w:r>
        <w:rPr>
          <w:rFonts w:hint="eastAsia" w:ascii="宋体" w:hAnsi="宋体"/>
          <w:spacing w:val="20"/>
          <w:sz w:val="24"/>
        </w:rPr>
        <w:t>投标人盖章</w:t>
      </w:r>
      <w:r>
        <w:rPr>
          <w:rFonts w:ascii="宋体" w:hAnsi="宋体"/>
          <w:spacing w:val="20"/>
          <w:sz w:val="24"/>
        </w:rPr>
        <w:t>：</w:t>
      </w:r>
    </w:p>
    <w:p>
      <w:pPr>
        <w:pStyle w:val="35"/>
        <w:spacing w:line="360" w:lineRule="auto"/>
        <w:ind w:firstLine="5320" w:firstLineChars="1900"/>
        <w:rPr>
          <w:rFonts w:hAnsi="宋体"/>
          <w:spacing w:val="20"/>
          <w:sz w:val="24"/>
          <w:u w:val="single"/>
        </w:rPr>
      </w:pPr>
      <w:r>
        <w:rPr>
          <w:rFonts w:hAnsi="宋体"/>
          <w:spacing w:val="20"/>
          <w:sz w:val="24"/>
          <w:szCs w:val="24"/>
        </w:rPr>
        <w:t>日     期：</w:t>
      </w:r>
    </w:p>
    <w:p>
      <w:pPr>
        <w:pStyle w:val="35"/>
        <w:spacing w:line="360" w:lineRule="auto"/>
        <w:ind w:firstLine="5850" w:firstLineChars="1950"/>
        <w:rPr>
          <w:rFonts w:hAnsi="宋体"/>
          <w:sz w:val="30"/>
        </w:rPr>
      </w:pPr>
    </w:p>
    <w:p>
      <w:pPr>
        <w:pStyle w:val="35"/>
        <w:spacing w:line="360" w:lineRule="auto"/>
        <w:ind w:firstLine="5850" w:firstLineChars="1950"/>
        <w:rPr>
          <w:rFonts w:hAnsi="宋体"/>
          <w:sz w:val="30"/>
        </w:rPr>
      </w:pPr>
    </w:p>
    <w:p>
      <w:pPr>
        <w:pStyle w:val="35"/>
        <w:spacing w:line="360" w:lineRule="auto"/>
        <w:ind w:firstLine="5850" w:firstLineChars="1950"/>
        <w:rPr>
          <w:rFonts w:hAnsi="宋体"/>
          <w:sz w:val="30"/>
        </w:rPr>
      </w:pPr>
    </w:p>
    <w:p>
      <w:pPr>
        <w:pStyle w:val="35"/>
        <w:spacing w:line="360" w:lineRule="auto"/>
        <w:ind w:firstLine="5850" w:firstLineChars="1950"/>
        <w:rPr>
          <w:rFonts w:hAnsi="宋体"/>
          <w:sz w:val="30"/>
        </w:rPr>
      </w:pPr>
    </w:p>
    <w:p>
      <w:pPr>
        <w:pStyle w:val="35"/>
        <w:spacing w:line="360" w:lineRule="auto"/>
        <w:ind w:firstLine="5850" w:firstLineChars="1950"/>
        <w:rPr>
          <w:rFonts w:hAnsi="宋体"/>
          <w:sz w:val="30"/>
        </w:rPr>
      </w:pPr>
    </w:p>
    <w:p>
      <w:pPr>
        <w:pStyle w:val="35"/>
        <w:spacing w:line="360" w:lineRule="auto"/>
        <w:ind w:firstLine="5850" w:firstLineChars="1950"/>
        <w:rPr>
          <w:rFonts w:hAnsi="宋体"/>
          <w:sz w:val="30"/>
        </w:rPr>
      </w:pPr>
    </w:p>
    <w:p>
      <w:pPr>
        <w:pStyle w:val="35"/>
        <w:spacing w:line="360" w:lineRule="auto"/>
        <w:ind w:firstLine="5850" w:firstLineChars="1950"/>
        <w:rPr>
          <w:rFonts w:hAnsi="宋体"/>
          <w:sz w:val="30"/>
        </w:rPr>
      </w:pPr>
    </w:p>
    <w:p>
      <w:pPr>
        <w:pStyle w:val="35"/>
        <w:spacing w:line="360" w:lineRule="auto"/>
        <w:rPr>
          <w:rFonts w:hAnsi="宋体"/>
          <w:sz w:val="30"/>
        </w:rPr>
      </w:pPr>
    </w:p>
    <w:p>
      <w:pPr>
        <w:spacing w:line="360" w:lineRule="auto"/>
        <w:rPr>
          <w:rFonts w:ascii="宋体" w:hAnsi="宋体"/>
          <w:sz w:val="28"/>
          <w:szCs w:val="28"/>
        </w:rPr>
      </w:pPr>
    </w:p>
    <w:p>
      <w:pPr>
        <w:spacing w:line="360" w:lineRule="auto"/>
        <w:rPr>
          <w:rFonts w:ascii="宋体" w:hAnsi="宋体"/>
          <w:b/>
          <w:sz w:val="32"/>
        </w:rPr>
      </w:pPr>
    </w:p>
    <w:p>
      <w:pPr>
        <w:pStyle w:val="35"/>
        <w:spacing w:line="360" w:lineRule="auto"/>
        <w:rPr>
          <w:rFonts w:hAnsi="宋体"/>
          <w:sz w:val="30"/>
        </w:rPr>
      </w:pPr>
    </w:p>
    <w:p>
      <w:pPr>
        <w:widowControl/>
        <w:spacing w:line="360" w:lineRule="auto"/>
        <w:jc w:val="center"/>
        <w:rPr>
          <w:rFonts w:ascii="宋体" w:hAnsi="宋体"/>
        </w:rPr>
      </w:pPr>
    </w:p>
    <w:p>
      <w:pPr>
        <w:widowControl/>
        <w:spacing w:line="360" w:lineRule="auto"/>
        <w:jc w:val="center"/>
        <w:rPr>
          <w:rFonts w:ascii="宋体" w:hAnsi="宋体"/>
        </w:rPr>
      </w:pPr>
    </w:p>
    <w:p>
      <w:pPr>
        <w:widowControl/>
        <w:spacing w:line="360" w:lineRule="auto"/>
        <w:jc w:val="center"/>
        <w:rPr>
          <w:rFonts w:ascii="宋体" w:hAnsi="宋体"/>
          <w:sz w:val="28"/>
          <w:szCs w:val="28"/>
        </w:rPr>
      </w:pPr>
    </w:p>
    <w:p>
      <w:pPr>
        <w:pStyle w:val="4"/>
        <w:spacing w:line="360" w:lineRule="auto"/>
        <w:ind w:firstLine="0" w:firstLineChars="0"/>
        <w:jc w:val="center"/>
        <w:rPr>
          <w:rFonts w:ascii="宋体" w:hAnsi="宋体"/>
          <w:b w:val="0"/>
          <w:bCs w:val="0"/>
        </w:rPr>
      </w:pPr>
      <w:bookmarkStart w:id="326" w:name="_Toc15420"/>
      <w:bookmarkStart w:id="327" w:name="_Toc28888"/>
      <w:bookmarkStart w:id="328" w:name="_Toc1565"/>
      <w:bookmarkStart w:id="329" w:name="_Toc24891"/>
      <w:bookmarkStart w:id="330" w:name="_Toc14417"/>
      <w:bookmarkStart w:id="331" w:name="_Toc83312456"/>
      <w:bookmarkStart w:id="332" w:name="_Toc17896"/>
      <w:r>
        <w:rPr>
          <w:rFonts w:hint="eastAsia" w:ascii="宋体" w:hAnsi="宋体"/>
          <w:b w:val="0"/>
          <w:bCs w:val="0"/>
        </w:rPr>
        <w:t>二   资信商务及技术文件格式</w:t>
      </w:r>
      <w:bookmarkEnd w:id="326"/>
      <w:bookmarkEnd w:id="327"/>
      <w:bookmarkEnd w:id="328"/>
      <w:bookmarkEnd w:id="329"/>
      <w:bookmarkEnd w:id="330"/>
      <w:bookmarkEnd w:id="331"/>
      <w:bookmarkEnd w:id="332"/>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p>
    <w:p>
      <w:pPr>
        <w:pStyle w:val="25"/>
        <w:rPr>
          <w:rFonts w:ascii="宋体" w:hAnsi="宋体"/>
          <w:sz w:val="30"/>
        </w:rPr>
      </w:pPr>
    </w:p>
    <w:p>
      <w:pPr>
        <w:pStyle w:val="25"/>
        <w:rPr>
          <w:rFonts w:ascii="宋体" w:hAnsi="宋体"/>
          <w:sz w:val="30"/>
        </w:rPr>
      </w:pPr>
    </w:p>
    <w:p>
      <w:pPr>
        <w:pStyle w:val="25"/>
        <w:rPr>
          <w:rFonts w:ascii="宋体" w:hAnsi="宋体"/>
          <w:sz w:val="30"/>
        </w:rPr>
      </w:pPr>
    </w:p>
    <w:p>
      <w:pPr>
        <w:pStyle w:val="25"/>
      </w:pPr>
    </w:p>
    <w:p>
      <w:pPr>
        <w:spacing w:line="360" w:lineRule="auto"/>
        <w:jc w:val="center"/>
        <w:rPr>
          <w:rFonts w:ascii="宋体" w:hAnsi="宋体"/>
          <w:sz w:val="32"/>
        </w:rPr>
      </w:pPr>
      <w:r>
        <w:rPr>
          <w:rFonts w:hint="eastAsia" w:ascii="宋体" w:hAnsi="宋体"/>
          <w:sz w:val="36"/>
        </w:rPr>
        <w:t>资信商务及技术文件封面</w:t>
      </w:r>
    </w:p>
    <w:p>
      <w:pPr>
        <w:pStyle w:val="5"/>
        <w:spacing w:line="360" w:lineRule="auto"/>
        <w:ind w:firstLine="1497" w:firstLineChars="416"/>
        <w:rPr>
          <w:rFonts w:ascii="宋体" w:hAnsi="宋体"/>
          <w:sz w:val="36"/>
          <w:szCs w:val="32"/>
        </w:rPr>
      </w:pPr>
    </w:p>
    <w:p>
      <w:pPr>
        <w:pStyle w:val="5"/>
        <w:spacing w:line="360" w:lineRule="auto"/>
        <w:ind w:firstLine="1497" w:firstLineChars="416"/>
        <w:rPr>
          <w:rFonts w:ascii="宋体" w:hAnsi="宋体"/>
          <w:sz w:val="36"/>
          <w:szCs w:val="32"/>
        </w:rPr>
      </w:pPr>
    </w:p>
    <w:p>
      <w:pPr>
        <w:pStyle w:val="5"/>
        <w:spacing w:line="360" w:lineRule="auto"/>
        <w:ind w:firstLine="1497" w:firstLineChars="416"/>
        <w:rPr>
          <w:rFonts w:ascii="宋体" w:hAnsi="宋体"/>
          <w:sz w:val="36"/>
          <w:szCs w:val="32"/>
        </w:rPr>
      </w:pPr>
      <w:r>
        <w:rPr>
          <w:rFonts w:ascii="宋体" w:hAnsi="宋体"/>
          <w:sz w:val="36"/>
          <w:szCs w:val="32"/>
        </w:rPr>
        <w:t>采购编号：</w:t>
      </w:r>
    </w:p>
    <w:p>
      <w:pPr>
        <w:pStyle w:val="5"/>
        <w:spacing w:line="360" w:lineRule="auto"/>
        <w:ind w:firstLine="1497" w:firstLineChars="416"/>
        <w:rPr>
          <w:rFonts w:ascii="宋体" w:hAnsi="宋体"/>
          <w:sz w:val="36"/>
          <w:szCs w:val="32"/>
        </w:rPr>
      </w:pPr>
    </w:p>
    <w:p>
      <w:pPr>
        <w:pStyle w:val="5"/>
        <w:spacing w:line="360" w:lineRule="auto"/>
        <w:ind w:firstLine="1497" w:firstLineChars="416"/>
        <w:rPr>
          <w:rFonts w:ascii="宋体" w:hAnsi="宋体"/>
          <w:sz w:val="36"/>
          <w:szCs w:val="32"/>
        </w:rPr>
      </w:pPr>
    </w:p>
    <w:p>
      <w:pPr>
        <w:pStyle w:val="5"/>
        <w:spacing w:line="360" w:lineRule="auto"/>
        <w:ind w:firstLine="1497" w:firstLineChars="416"/>
        <w:rPr>
          <w:rFonts w:ascii="宋体" w:hAnsi="宋体"/>
          <w:sz w:val="36"/>
          <w:szCs w:val="32"/>
        </w:rPr>
      </w:pPr>
      <w:r>
        <w:rPr>
          <w:rFonts w:ascii="宋体" w:hAnsi="宋体"/>
          <w:sz w:val="36"/>
          <w:szCs w:val="32"/>
        </w:rPr>
        <w:t>项目名称</w:t>
      </w:r>
      <w:r>
        <w:rPr>
          <w:rFonts w:hint="eastAsia" w:ascii="宋体" w:hAnsi="宋体"/>
          <w:sz w:val="36"/>
          <w:szCs w:val="32"/>
        </w:rPr>
        <w:t xml:space="preserve">：                </w:t>
      </w:r>
    </w:p>
    <w:p>
      <w:pPr>
        <w:pStyle w:val="5"/>
        <w:spacing w:line="360" w:lineRule="auto"/>
        <w:ind w:firstLine="0"/>
        <w:rPr>
          <w:rFonts w:ascii="宋体" w:hAnsi="宋体"/>
          <w:sz w:val="36"/>
          <w:szCs w:val="32"/>
        </w:rPr>
      </w:pPr>
    </w:p>
    <w:p>
      <w:pPr>
        <w:spacing w:line="360" w:lineRule="auto"/>
        <w:rPr>
          <w:rFonts w:ascii="宋体" w:hAnsi="宋体"/>
        </w:rPr>
      </w:pPr>
    </w:p>
    <w:p>
      <w:pPr>
        <w:spacing w:line="360" w:lineRule="auto"/>
        <w:rPr>
          <w:rFonts w:ascii="宋体" w:hAnsi="宋体"/>
        </w:rPr>
      </w:pPr>
    </w:p>
    <w:p>
      <w:pPr>
        <w:pStyle w:val="5"/>
        <w:spacing w:line="360" w:lineRule="auto"/>
        <w:ind w:firstLine="1497" w:firstLineChars="416"/>
        <w:rPr>
          <w:rFonts w:ascii="宋体" w:hAnsi="宋体"/>
          <w:sz w:val="36"/>
          <w:szCs w:val="32"/>
        </w:rPr>
      </w:pPr>
      <w:r>
        <w:rPr>
          <w:rFonts w:ascii="宋体" w:hAnsi="宋体"/>
          <w:sz w:val="36"/>
          <w:szCs w:val="32"/>
        </w:rPr>
        <w:t>投标文件名称：</w:t>
      </w:r>
      <w:r>
        <w:rPr>
          <w:rFonts w:hint="eastAsia" w:ascii="宋体" w:hAnsi="宋体"/>
          <w:sz w:val="36"/>
          <w:szCs w:val="32"/>
        </w:rPr>
        <w:t>资信商务及技术文件</w:t>
      </w:r>
    </w:p>
    <w:p>
      <w:pPr>
        <w:pStyle w:val="5"/>
        <w:spacing w:line="360" w:lineRule="auto"/>
        <w:ind w:firstLine="0"/>
        <w:rPr>
          <w:rFonts w:ascii="宋体" w:hAnsi="宋体"/>
          <w:sz w:val="36"/>
          <w:szCs w:val="32"/>
        </w:rPr>
      </w:pPr>
    </w:p>
    <w:p>
      <w:pPr>
        <w:pStyle w:val="5"/>
        <w:spacing w:line="360" w:lineRule="auto"/>
        <w:ind w:firstLine="1497" w:firstLineChars="416"/>
        <w:rPr>
          <w:rFonts w:ascii="宋体" w:hAnsi="宋体"/>
          <w:sz w:val="36"/>
          <w:szCs w:val="32"/>
        </w:rPr>
      </w:pPr>
    </w:p>
    <w:p>
      <w:pPr>
        <w:pStyle w:val="5"/>
        <w:spacing w:line="360" w:lineRule="auto"/>
        <w:ind w:firstLine="900" w:firstLineChars="250"/>
        <w:rPr>
          <w:rFonts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CA签章</w:t>
      </w:r>
      <w:r>
        <w:rPr>
          <w:rFonts w:ascii="宋体" w:hAnsi="宋体"/>
          <w:sz w:val="36"/>
        </w:rPr>
        <w:t>）</w:t>
      </w:r>
      <w:r>
        <w:rPr>
          <w:rFonts w:hint="eastAsia" w:ascii="宋体" w:hAnsi="宋体"/>
          <w:sz w:val="36"/>
        </w:rPr>
        <w:t>（如联合体参加，加盖牵头人CA章）</w:t>
      </w:r>
      <w:r>
        <w:rPr>
          <w:rFonts w:ascii="宋体" w:hAnsi="宋体"/>
          <w:sz w:val="36"/>
        </w:rPr>
        <w:t>：</w:t>
      </w:r>
    </w:p>
    <w:p>
      <w:pPr>
        <w:pStyle w:val="5"/>
        <w:spacing w:line="360" w:lineRule="auto"/>
        <w:ind w:firstLine="1497" w:firstLineChars="416"/>
        <w:rPr>
          <w:rFonts w:ascii="宋体" w:hAnsi="宋体"/>
          <w:sz w:val="36"/>
          <w:szCs w:val="32"/>
        </w:rPr>
      </w:pPr>
    </w:p>
    <w:p>
      <w:pPr>
        <w:pStyle w:val="5"/>
        <w:spacing w:line="360" w:lineRule="auto"/>
        <w:ind w:firstLine="0"/>
        <w:rPr>
          <w:rFonts w:ascii="宋体" w:hAnsi="宋体"/>
          <w:sz w:val="36"/>
          <w:szCs w:val="32"/>
        </w:rPr>
      </w:pPr>
    </w:p>
    <w:p>
      <w:pPr>
        <w:pStyle w:val="5"/>
        <w:spacing w:line="360" w:lineRule="auto"/>
        <w:ind w:firstLine="1497" w:firstLineChars="416"/>
        <w:rPr>
          <w:rFonts w:ascii="宋体" w:hAnsi="宋体"/>
          <w:sz w:val="36"/>
          <w:szCs w:val="32"/>
        </w:rPr>
      </w:pPr>
      <w:r>
        <w:rPr>
          <w:rFonts w:ascii="宋体" w:hAnsi="宋体"/>
          <w:sz w:val="36"/>
          <w:szCs w:val="32"/>
        </w:rPr>
        <w:t>投标人地址：</w:t>
      </w:r>
    </w:p>
    <w:p>
      <w:pPr>
        <w:pStyle w:val="5"/>
        <w:spacing w:line="360" w:lineRule="auto"/>
        <w:rPr>
          <w:rFonts w:ascii="宋体" w:hAnsi="宋体"/>
        </w:rPr>
      </w:pP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p>
    <w:p>
      <w:pPr>
        <w:pStyle w:val="27"/>
        <w:spacing w:line="360" w:lineRule="auto"/>
        <w:rPr>
          <w:rFonts w:hAnsi="宋体"/>
          <w:color w:val="auto"/>
          <w:sz w:val="30"/>
        </w:rPr>
      </w:pPr>
    </w:p>
    <w:p>
      <w:pPr>
        <w:pStyle w:val="27"/>
        <w:spacing w:line="360" w:lineRule="auto"/>
        <w:rPr>
          <w:rFonts w:hAnsi="宋体"/>
          <w:color w:val="auto"/>
          <w:sz w:val="30"/>
        </w:rPr>
      </w:pPr>
    </w:p>
    <w:p>
      <w:pPr>
        <w:pStyle w:val="27"/>
        <w:spacing w:line="360" w:lineRule="auto"/>
        <w:rPr>
          <w:rFonts w:hAnsi="宋体"/>
          <w:color w:val="auto"/>
          <w:sz w:val="30"/>
        </w:rPr>
      </w:pP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p>
    <w:p>
      <w:pPr>
        <w:spacing w:line="360" w:lineRule="auto"/>
        <w:jc w:val="center"/>
        <w:rPr>
          <w:rFonts w:ascii="宋体" w:hAnsi="宋体"/>
          <w:sz w:val="30"/>
        </w:rPr>
      </w:pPr>
      <w:r>
        <w:rPr>
          <w:rFonts w:hint="eastAsia" w:ascii="宋体" w:hAnsi="宋体"/>
          <w:sz w:val="30"/>
        </w:rPr>
        <w:t>（一）资信商务部分</w:t>
      </w:r>
    </w:p>
    <w:p>
      <w:pPr>
        <w:spacing w:line="360" w:lineRule="auto"/>
        <w:jc w:val="left"/>
        <w:rPr>
          <w:rFonts w:ascii="宋体" w:hAnsi="宋体"/>
          <w:sz w:val="30"/>
        </w:rPr>
      </w:pPr>
    </w:p>
    <w:p>
      <w:pPr>
        <w:spacing w:line="360" w:lineRule="auto"/>
        <w:jc w:val="left"/>
        <w:rPr>
          <w:rFonts w:ascii="宋体" w:hAnsi="宋体"/>
          <w:sz w:val="30"/>
        </w:rPr>
      </w:pPr>
    </w:p>
    <w:p>
      <w:pPr>
        <w:spacing w:line="360" w:lineRule="auto"/>
        <w:jc w:val="left"/>
        <w:rPr>
          <w:rFonts w:ascii="宋体" w:hAnsi="宋体"/>
          <w:sz w:val="30"/>
        </w:rPr>
      </w:pPr>
    </w:p>
    <w:p>
      <w:pPr>
        <w:spacing w:line="360" w:lineRule="auto"/>
        <w:jc w:val="left"/>
        <w:rPr>
          <w:rFonts w:ascii="宋体" w:hAnsi="宋体"/>
          <w:sz w:val="30"/>
        </w:rPr>
      </w:pPr>
    </w:p>
    <w:p>
      <w:pPr>
        <w:spacing w:line="360" w:lineRule="auto"/>
        <w:jc w:val="left"/>
        <w:rPr>
          <w:rFonts w:ascii="宋体" w:hAnsi="宋体"/>
          <w:sz w:val="30"/>
        </w:rPr>
      </w:pPr>
    </w:p>
    <w:p>
      <w:pPr>
        <w:numPr>
          <w:ilvl w:val="0"/>
          <w:numId w:val="2"/>
        </w:numPr>
        <w:spacing w:line="360" w:lineRule="auto"/>
        <w:jc w:val="center"/>
        <w:rPr>
          <w:rFonts w:hint="eastAsia" w:hAnsi="宋体"/>
          <w:b/>
          <w:sz w:val="32"/>
        </w:rPr>
      </w:pPr>
      <w:bookmarkStart w:id="333" w:name="_Toc173728539"/>
      <w:bookmarkStart w:id="334" w:name="_Toc105230662"/>
      <w:r>
        <w:rPr>
          <w:rFonts w:ascii="宋体" w:hAnsi="宋体"/>
          <w:b/>
          <w:sz w:val="30"/>
        </w:rPr>
        <w:br w:type="page"/>
      </w:r>
      <w:r>
        <w:rPr>
          <w:rFonts w:ascii="宋体" w:hAnsi="宋体"/>
          <w:b/>
          <w:sz w:val="30"/>
        </w:rPr>
        <w:t>投标声明书</w:t>
      </w:r>
      <w:r>
        <w:rPr>
          <w:rFonts w:hint="eastAsia" w:hAnsi="宋体"/>
          <w:b/>
          <w:sz w:val="32"/>
        </w:rPr>
        <w:t>（</w:t>
      </w:r>
      <w:r>
        <w:rPr>
          <w:rFonts w:hint="eastAsia" w:hAnsi="宋体"/>
          <w:b/>
          <w:sz w:val="30"/>
        </w:rPr>
        <w:t>如为联合体，各方均须提供</w:t>
      </w:r>
      <w:r>
        <w:rPr>
          <w:rFonts w:hint="eastAsia" w:hAnsi="宋体"/>
          <w:b/>
          <w:sz w:val="32"/>
        </w:rPr>
        <w:t>）</w:t>
      </w:r>
    </w:p>
    <w:p>
      <w:pPr>
        <w:numPr>
          <w:ilvl w:val="0"/>
          <w:numId w:val="0"/>
        </w:numPr>
        <w:spacing w:line="360" w:lineRule="auto"/>
        <w:jc w:val="both"/>
        <w:rPr>
          <w:rFonts w:ascii="宋体" w:hAnsi="宋体"/>
          <w:kern w:val="0"/>
          <w:sz w:val="24"/>
          <w:szCs w:val="21"/>
          <w:u w:val="single"/>
        </w:rPr>
      </w:pPr>
      <w:r>
        <w:rPr>
          <w:rFonts w:hint="eastAsia" w:ascii="宋体" w:hAnsi="宋体"/>
          <w:kern w:val="0"/>
          <w:sz w:val="24"/>
          <w:szCs w:val="21"/>
          <w:u w:val="single"/>
        </w:rPr>
        <w:t>卓正招标咨询（丽水）有限公司：</w:t>
      </w:r>
    </w:p>
    <w:p>
      <w:pPr>
        <w:pStyle w:val="34"/>
        <w:spacing w:line="360" w:lineRule="auto"/>
        <w:ind w:firstLine="480" w:firstLineChars="200"/>
        <w:rPr>
          <w:rFonts w:hAnsi="宋体"/>
          <w:sz w:val="24"/>
          <w:szCs w:val="21"/>
        </w:rPr>
      </w:pPr>
      <w:r>
        <w:rPr>
          <w:rFonts w:hint="eastAsia" w:hAnsi="宋体"/>
          <w:sz w:val="24"/>
          <w:szCs w:val="21"/>
          <w:u w:val="single"/>
        </w:rPr>
        <w:t xml:space="preserve"> (投标人全称</w:t>
      </w:r>
      <w:r>
        <w:rPr>
          <w:rFonts w:hint="eastAsia" w:hAnsi="宋体"/>
          <w:sz w:val="24"/>
          <w:szCs w:val="21"/>
        </w:rPr>
        <w:t>)系中华人民共和国合法企业，经营地址。</w:t>
      </w:r>
    </w:p>
    <w:p>
      <w:pPr>
        <w:pStyle w:val="34"/>
        <w:spacing w:line="360" w:lineRule="auto"/>
        <w:ind w:firstLine="480" w:firstLineChars="200"/>
        <w:rPr>
          <w:rFonts w:hAnsi="宋体"/>
          <w:sz w:val="24"/>
          <w:szCs w:val="21"/>
        </w:rPr>
      </w:pPr>
      <w:r>
        <w:rPr>
          <w:rFonts w:hint="eastAsia" w:hAnsi="宋体"/>
          <w:sz w:val="24"/>
          <w:szCs w:val="21"/>
        </w:rPr>
        <w:t>我</w:t>
      </w:r>
      <w:r>
        <w:rPr>
          <w:rFonts w:hAnsi="宋体"/>
          <w:sz w:val="24"/>
          <w:szCs w:val="21"/>
          <w:u w:val="single"/>
        </w:rPr>
        <w:t>(</w:t>
      </w:r>
      <w:r>
        <w:rPr>
          <w:rFonts w:hint="eastAsia" w:hAnsi="宋体"/>
          <w:sz w:val="24"/>
          <w:szCs w:val="21"/>
          <w:u w:val="single"/>
        </w:rPr>
        <w:t>法定代表人或负责人名字</w:t>
      </w:r>
      <w:r>
        <w:rPr>
          <w:rFonts w:hAnsi="宋体"/>
          <w:sz w:val="24"/>
          <w:szCs w:val="21"/>
          <w:u w:val="single"/>
        </w:rPr>
        <w:t>)</w:t>
      </w:r>
      <w:r>
        <w:rPr>
          <w:rFonts w:hint="eastAsia" w:hAnsi="宋体"/>
          <w:sz w:val="24"/>
          <w:szCs w:val="21"/>
        </w:rPr>
        <w:t>系</w:t>
      </w:r>
      <w:r>
        <w:rPr>
          <w:rFonts w:hAnsi="宋体"/>
          <w:sz w:val="24"/>
          <w:szCs w:val="21"/>
          <w:u w:val="single"/>
        </w:rPr>
        <w:t>(</w:t>
      </w:r>
      <w:r>
        <w:rPr>
          <w:rFonts w:hint="eastAsia" w:hAnsi="宋体"/>
          <w:sz w:val="24"/>
          <w:szCs w:val="21"/>
          <w:u w:val="single"/>
        </w:rPr>
        <w:t>投标人名称</w:t>
      </w:r>
      <w:r>
        <w:rPr>
          <w:rFonts w:hAnsi="宋体"/>
          <w:sz w:val="24"/>
          <w:szCs w:val="21"/>
          <w:u w:val="single"/>
        </w:rPr>
        <w:t>)</w:t>
      </w:r>
      <w:r>
        <w:rPr>
          <w:rFonts w:hint="eastAsia" w:hAnsi="宋体"/>
          <w:sz w:val="24"/>
          <w:szCs w:val="21"/>
        </w:rPr>
        <w:t>的负责人，我方愿意参加贵方组织的</w:t>
      </w:r>
      <w:r>
        <w:rPr>
          <w:rFonts w:hint="eastAsia" w:hAnsi="宋体"/>
          <w:sz w:val="24"/>
          <w:szCs w:val="21"/>
          <w:u w:val="single"/>
        </w:rPr>
        <w:t xml:space="preserve">    （</w:t>
      </w:r>
      <w:r>
        <w:rPr>
          <w:rFonts w:hAnsi="宋体"/>
          <w:sz w:val="24"/>
          <w:szCs w:val="21"/>
          <w:u w:val="single"/>
        </w:rPr>
        <w:t>项目名称</w:t>
      </w:r>
      <w:r>
        <w:rPr>
          <w:rFonts w:hint="eastAsia" w:hAnsi="宋体"/>
          <w:sz w:val="24"/>
          <w:szCs w:val="21"/>
          <w:u w:val="single"/>
        </w:rPr>
        <w:t>）（采购编号：   ）</w:t>
      </w:r>
      <w:r>
        <w:rPr>
          <w:rFonts w:hint="eastAsia" w:hAnsi="宋体"/>
          <w:sz w:val="24"/>
          <w:szCs w:val="21"/>
        </w:rPr>
        <w:t>的投标。为便于贵方公正、择优地确定中标人以及投标产品和服务，我方就本次投标有关事项郑重承诺如下：</w:t>
      </w:r>
    </w:p>
    <w:p>
      <w:pPr>
        <w:pStyle w:val="34"/>
        <w:spacing w:line="360" w:lineRule="auto"/>
        <w:ind w:firstLine="480" w:firstLineChars="200"/>
        <w:rPr>
          <w:rFonts w:hAnsi="宋体"/>
          <w:sz w:val="24"/>
          <w:szCs w:val="21"/>
        </w:rPr>
      </w:pPr>
      <w:r>
        <w:rPr>
          <w:rFonts w:hint="eastAsia" w:hAnsi="宋体"/>
          <w:sz w:val="24"/>
          <w:szCs w:val="21"/>
        </w:rPr>
        <w:t>1、我方向贵方提交的所有投标文件、资料都是准确的和真实的。</w:t>
      </w:r>
    </w:p>
    <w:p>
      <w:pPr>
        <w:pStyle w:val="34"/>
        <w:spacing w:line="360" w:lineRule="auto"/>
        <w:ind w:firstLine="480" w:firstLineChars="200"/>
        <w:rPr>
          <w:rFonts w:hAnsi="宋体"/>
          <w:sz w:val="24"/>
          <w:szCs w:val="21"/>
        </w:rPr>
      </w:pPr>
      <w:r>
        <w:rPr>
          <w:rFonts w:hint="eastAsia" w:hAnsi="宋体"/>
          <w:sz w:val="24"/>
          <w:szCs w:val="21"/>
        </w:rPr>
        <w:t>2、我方承诺已经具备《中华人民共和国政府采购法》、《中华人民共和国政府采购法实施条例》中规定的参加政府采购活动的投标人应当具备的条件，并真实提供相关材料。</w:t>
      </w:r>
    </w:p>
    <w:p>
      <w:pPr>
        <w:pStyle w:val="34"/>
        <w:spacing w:line="360" w:lineRule="auto"/>
        <w:ind w:firstLine="480" w:firstLineChars="200"/>
        <w:rPr>
          <w:rFonts w:hAnsi="宋体"/>
          <w:sz w:val="24"/>
          <w:szCs w:val="21"/>
        </w:rPr>
      </w:pPr>
      <w:r>
        <w:rPr>
          <w:rFonts w:hint="eastAsia" w:hAnsi="宋体"/>
          <w:sz w:val="24"/>
          <w:szCs w:val="21"/>
        </w:rPr>
        <w:t>3、提供投标人须知规定的全部投标文件，包括：</w:t>
      </w:r>
    </w:p>
    <w:p>
      <w:pPr>
        <w:pStyle w:val="34"/>
        <w:spacing w:line="360" w:lineRule="auto"/>
        <w:ind w:firstLine="480" w:firstLineChars="200"/>
        <w:rPr>
          <w:rFonts w:hAnsi="宋体"/>
          <w:sz w:val="24"/>
          <w:szCs w:val="21"/>
        </w:rPr>
      </w:pPr>
      <w:r>
        <w:rPr>
          <w:rFonts w:hint="eastAsia" w:hAnsi="宋体"/>
          <w:sz w:val="24"/>
          <w:szCs w:val="21"/>
        </w:rPr>
        <w:t>①电子投标</w:t>
      </w:r>
      <w:r>
        <w:rPr>
          <w:rFonts w:hAnsi="宋体"/>
          <w:sz w:val="24"/>
          <w:szCs w:val="21"/>
        </w:rPr>
        <w:t>文件</w:t>
      </w:r>
      <w:r>
        <w:rPr>
          <w:rFonts w:hint="eastAsia" w:hAnsi="宋体"/>
          <w:sz w:val="24"/>
          <w:szCs w:val="21"/>
        </w:rPr>
        <w:t>；</w:t>
      </w:r>
    </w:p>
    <w:p>
      <w:pPr>
        <w:pStyle w:val="34"/>
        <w:spacing w:line="360" w:lineRule="auto"/>
        <w:ind w:firstLine="480" w:firstLineChars="200"/>
        <w:rPr>
          <w:rFonts w:hAnsi="宋体"/>
          <w:sz w:val="24"/>
          <w:szCs w:val="21"/>
        </w:rPr>
      </w:pPr>
      <w:r>
        <w:rPr>
          <w:rFonts w:hint="eastAsia" w:hAnsi="宋体"/>
          <w:sz w:val="24"/>
          <w:szCs w:val="21"/>
        </w:rPr>
        <w:t>②备份投标文件（注：是否提交由投标人自行决定，如不提交，本条可删除）。</w:t>
      </w:r>
    </w:p>
    <w:p>
      <w:pPr>
        <w:pStyle w:val="34"/>
        <w:spacing w:line="360" w:lineRule="auto"/>
        <w:ind w:firstLine="480" w:firstLineChars="200"/>
        <w:rPr>
          <w:rFonts w:hAnsi="宋体"/>
          <w:sz w:val="24"/>
          <w:szCs w:val="21"/>
        </w:rPr>
      </w:pPr>
      <w:r>
        <w:rPr>
          <w:rFonts w:hint="eastAsia" w:hAnsi="宋体"/>
          <w:sz w:val="24"/>
          <w:szCs w:val="21"/>
        </w:rPr>
        <w:t>4、如果我方中标，将派出</w:t>
      </w:r>
      <w:r>
        <w:rPr>
          <w:rFonts w:hint="eastAsia" w:hAnsi="宋体"/>
          <w:sz w:val="24"/>
          <w:szCs w:val="21"/>
          <w:u w:val="single"/>
        </w:rPr>
        <w:t xml:space="preserve">  （姓名及身份证号码）</w:t>
      </w:r>
      <w:r>
        <w:rPr>
          <w:rFonts w:hint="eastAsia" w:hAnsi="宋体"/>
          <w:sz w:val="24"/>
          <w:szCs w:val="21"/>
        </w:rPr>
        <w:t>，作为本项目与招标人联系的项目实施负责人，联系手机号码：。在项目实施过程中，并承诺项目实施负责人不更换，若确需要更换的，书面征得招标人同意后才准予更换。</w:t>
      </w:r>
    </w:p>
    <w:p>
      <w:pPr>
        <w:pStyle w:val="34"/>
        <w:spacing w:line="360" w:lineRule="auto"/>
        <w:ind w:firstLine="480" w:firstLineChars="200"/>
        <w:rPr>
          <w:rFonts w:hAnsi="宋体"/>
          <w:sz w:val="24"/>
          <w:szCs w:val="21"/>
        </w:rPr>
      </w:pPr>
      <w:r>
        <w:rPr>
          <w:rFonts w:hint="eastAsia" w:hAnsi="宋体"/>
          <w:sz w:val="24"/>
          <w:szCs w:val="21"/>
        </w:rPr>
        <w:t>5、我方的投标有效期自</w:t>
      </w:r>
      <w:r>
        <w:rPr>
          <w:rFonts w:hint="eastAsia" w:hAnsi="宋体"/>
          <w:bCs/>
          <w:snapToGrid w:val="0"/>
          <w:sz w:val="24"/>
          <w:szCs w:val="24"/>
        </w:rPr>
        <w:t>提交投标文件的截止之日起</w:t>
      </w:r>
      <w:r>
        <w:rPr>
          <w:rFonts w:hint="eastAsia" w:hAnsi="宋体"/>
          <w:sz w:val="24"/>
          <w:szCs w:val="21"/>
          <w:u w:val="single"/>
        </w:rPr>
        <w:t>90</w:t>
      </w:r>
      <w:r>
        <w:rPr>
          <w:rFonts w:hint="eastAsia" w:hAnsi="宋体"/>
          <w:sz w:val="24"/>
          <w:szCs w:val="21"/>
        </w:rPr>
        <w:t>天内有效。</w:t>
      </w:r>
    </w:p>
    <w:p>
      <w:pPr>
        <w:pStyle w:val="34"/>
        <w:spacing w:line="360" w:lineRule="auto"/>
        <w:ind w:firstLine="480" w:firstLineChars="200"/>
        <w:rPr>
          <w:rFonts w:hAnsi="宋体"/>
          <w:sz w:val="24"/>
          <w:szCs w:val="21"/>
        </w:rPr>
      </w:pPr>
      <w:r>
        <w:rPr>
          <w:rFonts w:hint="eastAsia" w:hAnsi="宋体"/>
          <w:sz w:val="24"/>
          <w:szCs w:val="21"/>
        </w:rPr>
        <w:t>6、我方在投标之前已经与贵方进行了充分的沟通，完全理解并接受招标文件的各项规定和要求，对招标文件的合理性、合法性不再有异议。</w:t>
      </w:r>
    </w:p>
    <w:p>
      <w:pPr>
        <w:pStyle w:val="34"/>
        <w:spacing w:line="360" w:lineRule="auto"/>
        <w:ind w:firstLine="480" w:firstLineChars="200"/>
        <w:rPr>
          <w:rFonts w:hAnsi="宋体"/>
          <w:sz w:val="24"/>
          <w:szCs w:val="21"/>
        </w:rPr>
      </w:pPr>
      <w:r>
        <w:rPr>
          <w:rFonts w:hint="eastAsia" w:hAnsi="宋体"/>
          <w:sz w:val="24"/>
          <w:szCs w:val="21"/>
        </w:rPr>
        <w:t>我方愿意向贵方提供真实完整的任何与该项投标有关的数据、情况和技术资料。若贵方需要，我方愿意提供我方作出的一切承诺的证明材料。</w:t>
      </w:r>
    </w:p>
    <w:p>
      <w:pPr>
        <w:pStyle w:val="34"/>
        <w:spacing w:line="360" w:lineRule="auto"/>
        <w:ind w:firstLine="480" w:firstLineChars="200"/>
        <w:rPr>
          <w:rFonts w:hAnsi="宋体"/>
          <w:sz w:val="24"/>
          <w:szCs w:val="21"/>
        </w:rPr>
      </w:pPr>
      <w:r>
        <w:rPr>
          <w:rFonts w:hint="eastAsia" w:hAnsi="宋体"/>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pPr>
        <w:pStyle w:val="34"/>
        <w:spacing w:line="360" w:lineRule="auto"/>
        <w:ind w:firstLine="480" w:firstLineChars="200"/>
        <w:rPr>
          <w:rFonts w:hAnsi="宋体"/>
          <w:sz w:val="24"/>
          <w:szCs w:val="21"/>
        </w:rPr>
      </w:pPr>
      <w:r>
        <w:rPr>
          <w:rFonts w:hint="eastAsia" w:hAnsi="宋体"/>
          <w:sz w:val="24"/>
          <w:szCs w:val="21"/>
        </w:rPr>
        <w:t>8、我方不是招标人的附属机构，并未为本项目提供整体设计、规范编制或者项目管理、监理、监测等服务。</w:t>
      </w:r>
    </w:p>
    <w:p>
      <w:pPr>
        <w:pStyle w:val="34"/>
        <w:spacing w:line="360" w:lineRule="auto"/>
        <w:ind w:firstLine="480" w:firstLineChars="200"/>
        <w:rPr>
          <w:rFonts w:hAnsi="宋体"/>
          <w:sz w:val="24"/>
          <w:szCs w:val="21"/>
        </w:rPr>
      </w:pPr>
      <w:r>
        <w:rPr>
          <w:rFonts w:hint="eastAsia" w:hAnsi="宋体"/>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34"/>
        <w:spacing w:line="360" w:lineRule="auto"/>
        <w:ind w:firstLine="240" w:firstLineChars="100"/>
        <w:rPr>
          <w:rFonts w:hAnsi="宋体"/>
          <w:sz w:val="24"/>
          <w:szCs w:val="21"/>
        </w:rPr>
      </w:pPr>
      <w:r>
        <w:rPr>
          <w:rFonts w:hint="eastAsia" w:hAnsi="宋体"/>
          <w:sz w:val="24"/>
          <w:szCs w:val="21"/>
        </w:rPr>
        <w:t>（一）提供虚假材料谋取中标、中标的；</w:t>
      </w:r>
    </w:p>
    <w:p>
      <w:pPr>
        <w:pStyle w:val="34"/>
        <w:spacing w:line="360" w:lineRule="auto"/>
        <w:ind w:firstLine="240" w:firstLineChars="100"/>
        <w:rPr>
          <w:rFonts w:hAnsi="宋体"/>
          <w:sz w:val="24"/>
          <w:szCs w:val="21"/>
        </w:rPr>
      </w:pPr>
      <w:r>
        <w:rPr>
          <w:rFonts w:hint="eastAsia" w:hAnsi="宋体"/>
          <w:sz w:val="24"/>
          <w:szCs w:val="21"/>
        </w:rPr>
        <w:t>（二）采取不正当手段诋毁、排挤其他投标人的；</w:t>
      </w:r>
    </w:p>
    <w:p>
      <w:pPr>
        <w:pStyle w:val="34"/>
        <w:spacing w:line="360" w:lineRule="auto"/>
        <w:ind w:firstLine="240" w:firstLineChars="100"/>
        <w:rPr>
          <w:rFonts w:hAnsi="宋体"/>
          <w:sz w:val="24"/>
          <w:szCs w:val="21"/>
        </w:rPr>
      </w:pPr>
      <w:r>
        <w:rPr>
          <w:rFonts w:hint="eastAsia" w:hAnsi="宋体"/>
          <w:sz w:val="24"/>
          <w:szCs w:val="21"/>
        </w:rPr>
        <w:t>（三）与招标人、其它投标人或者招标代理机构恶意串通的；</w:t>
      </w:r>
    </w:p>
    <w:p>
      <w:pPr>
        <w:pStyle w:val="34"/>
        <w:spacing w:line="360" w:lineRule="auto"/>
        <w:ind w:firstLine="240" w:firstLineChars="100"/>
        <w:rPr>
          <w:rFonts w:hAnsi="宋体"/>
          <w:sz w:val="24"/>
          <w:szCs w:val="21"/>
        </w:rPr>
      </w:pPr>
      <w:r>
        <w:rPr>
          <w:rFonts w:hint="eastAsia" w:hAnsi="宋体"/>
          <w:sz w:val="24"/>
          <w:szCs w:val="21"/>
        </w:rPr>
        <w:t>（四）向招标人、招标代理机构行贿或者提供其他不正当利益的；</w:t>
      </w:r>
    </w:p>
    <w:p>
      <w:pPr>
        <w:pStyle w:val="34"/>
        <w:spacing w:line="360" w:lineRule="auto"/>
        <w:ind w:firstLine="240" w:firstLineChars="100"/>
        <w:rPr>
          <w:rFonts w:hAnsi="宋体"/>
          <w:sz w:val="24"/>
          <w:szCs w:val="21"/>
        </w:rPr>
      </w:pPr>
      <w:r>
        <w:rPr>
          <w:rFonts w:hint="eastAsia" w:hAnsi="宋体"/>
          <w:sz w:val="24"/>
          <w:szCs w:val="21"/>
        </w:rPr>
        <w:t>（五）在招标采购过程中与招标人进行协商谈判的；</w:t>
      </w:r>
    </w:p>
    <w:p>
      <w:pPr>
        <w:pStyle w:val="34"/>
        <w:spacing w:line="360" w:lineRule="auto"/>
        <w:ind w:firstLine="240" w:firstLineChars="100"/>
        <w:rPr>
          <w:rFonts w:hAnsi="宋体"/>
          <w:sz w:val="24"/>
          <w:szCs w:val="21"/>
        </w:rPr>
      </w:pPr>
      <w:r>
        <w:rPr>
          <w:rFonts w:hint="eastAsia" w:hAnsi="宋体"/>
          <w:sz w:val="24"/>
          <w:szCs w:val="21"/>
        </w:rPr>
        <w:t>（六）拒绝有关部门监督检查或提供虚假情况的。</w:t>
      </w:r>
    </w:p>
    <w:p>
      <w:pPr>
        <w:pStyle w:val="34"/>
        <w:spacing w:line="360" w:lineRule="auto"/>
        <w:ind w:firstLine="240" w:firstLineChars="100"/>
        <w:rPr>
          <w:rFonts w:hAnsi="宋体"/>
          <w:sz w:val="24"/>
          <w:szCs w:val="21"/>
        </w:rPr>
      </w:pPr>
      <w:r>
        <w:rPr>
          <w:rFonts w:hint="eastAsia" w:hAnsi="宋体"/>
          <w:sz w:val="24"/>
          <w:szCs w:val="21"/>
        </w:rPr>
        <w:t>10、如中标，本投标文件至本项目合同履行完毕止均保持有效，我方将按招标文件及政府采购法律、法规的规定履行合同责任和义务。</w:t>
      </w:r>
    </w:p>
    <w:p>
      <w:pPr>
        <w:pStyle w:val="34"/>
        <w:spacing w:line="360" w:lineRule="auto"/>
        <w:ind w:firstLine="240" w:firstLineChars="100"/>
        <w:rPr>
          <w:rFonts w:hAnsi="宋体"/>
          <w:sz w:val="24"/>
          <w:szCs w:val="21"/>
        </w:rPr>
      </w:pPr>
      <w:r>
        <w:rPr>
          <w:rFonts w:hint="eastAsia" w:hAnsi="宋体"/>
          <w:sz w:val="24"/>
          <w:szCs w:val="21"/>
        </w:rPr>
        <w:t>11、以上事项如有虚假或隐瞒，我方愿意承担一切不利后果，并不再寻求任何旨在减轻或免除法律责任。</w:t>
      </w:r>
    </w:p>
    <w:p>
      <w:pPr>
        <w:pStyle w:val="34"/>
        <w:spacing w:line="360" w:lineRule="auto"/>
        <w:ind w:firstLine="480"/>
        <w:rPr>
          <w:rFonts w:hAnsi="宋体"/>
          <w:sz w:val="24"/>
          <w:szCs w:val="21"/>
        </w:rPr>
      </w:pPr>
      <w:r>
        <w:rPr>
          <w:rFonts w:hint="eastAsia" w:hAnsi="宋体"/>
          <w:sz w:val="24"/>
          <w:szCs w:val="21"/>
        </w:rPr>
        <w:t>与本次投标有关的一切正式往来信函请寄：</w:t>
      </w:r>
    </w:p>
    <w:p>
      <w:pPr>
        <w:pStyle w:val="34"/>
        <w:spacing w:line="360" w:lineRule="auto"/>
        <w:ind w:firstLine="480"/>
        <w:rPr>
          <w:rFonts w:hAnsi="宋体"/>
          <w:sz w:val="24"/>
          <w:szCs w:val="21"/>
        </w:rPr>
      </w:pPr>
      <w:r>
        <w:rPr>
          <w:rFonts w:hAnsi="宋体"/>
          <w:sz w:val="24"/>
          <w:szCs w:val="21"/>
        </w:rPr>
        <w:t>地址：     邮编：　</w:t>
      </w:r>
    </w:p>
    <w:p>
      <w:pPr>
        <w:pStyle w:val="13"/>
        <w:spacing w:line="360" w:lineRule="auto"/>
        <w:ind w:firstLine="480" w:firstLineChars="200"/>
        <w:rPr>
          <w:rFonts w:hAnsi="宋体"/>
          <w:sz w:val="24"/>
          <w:szCs w:val="21"/>
        </w:rPr>
      </w:pPr>
      <w:r>
        <w:rPr>
          <w:rFonts w:hAnsi="宋体"/>
          <w:sz w:val="24"/>
          <w:szCs w:val="21"/>
        </w:rPr>
        <w:t>电话：     传真：</w:t>
      </w:r>
    </w:p>
    <w:p>
      <w:pPr>
        <w:pStyle w:val="34"/>
        <w:spacing w:line="360" w:lineRule="auto"/>
        <w:rPr>
          <w:rFonts w:hAnsi="宋体"/>
          <w:sz w:val="24"/>
          <w:szCs w:val="21"/>
        </w:rPr>
      </w:pPr>
    </w:p>
    <w:p>
      <w:pPr>
        <w:pStyle w:val="35"/>
        <w:spacing w:line="360" w:lineRule="auto"/>
        <w:rPr>
          <w:rFonts w:hAnsi="宋体"/>
          <w:spacing w:val="20"/>
          <w:sz w:val="24"/>
        </w:rPr>
      </w:pPr>
    </w:p>
    <w:p>
      <w:pPr>
        <w:pStyle w:val="35"/>
        <w:spacing w:line="360" w:lineRule="auto"/>
        <w:ind w:firstLine="5320" w:firstLineChars="1900"/>
        <w:rPr>
          <w:rFonts w:hAnsi="宋体"/>
          <w:spacing w:val="20"/>
          <w:sz w:val="24"/>
          <w:u w:val="single"/>
        </w:rPr>
      </w:pPr>
    </w:p>
    <w:p>
      <w:pPr>
        <w:pStyle w:val="35"/>
        <w:spacing w:line="360" w:lineRule="auto"/>
        <w:ind w:firstLine="5320" w:firstLineChars="1900"/>
        <w:rPr>
          <w:rFonts w:hAnsi="宋体"/>
          <w:spacing w:val="20"/>
          <w:sz w:val="24"/>
          <w:u w:val="single"/>
        </w:rPr>
      </w:pPr>
    </w:p>
    <w:p>
      <w:pPr>
        <w:pStyle w:val="32"/>
        <w:spacing w:line="360" w:lineRule="auto"/>
        <w:ind w:firstLine="5320" w:firstLineChars="1900"/>
        <w:rPr>
          <w:rFonts w:ascii="宋体" w:hAnsi="宋体"/>
          <w:spacing w:val="20"/>
          <w:sz w:val="24"/>
          <w:szCs w:val="21"/>
          <w:u w:val="single"/>
        </w:rPr>
      </w:pPr>
      <w:r>
        <w:rPr>
          <w:rFonts w:hint="eastAsia" w:ascii="宋体" w:hAnsi="宋体"/>
          <w:spacing w:val="20"/>
          <w:sz w:val="24"/>
          <w:szCs w:val="21"/>
        </w:rPr>
        <w:t>投标人盖章</w:t>
      </w:r>
      <w:r>
        <w:rPr>
          <w:rFonts w:ascii="宋体" w:hAnsi="宋体"/>
          <w:spacing w:val="20"/>
          <w:sz w:val="24"/>
          <w:szCs w:val="21"/>
        </w:rPr>
        <w:t>：</w:t>
      </w:r>
    </w:p>
    <w:p>
      <w:pPr>
        <w:pStyle w:val="32"/>
        <w:spacing w:line="360" w:lineRule="auto"/>
        <w:ind w:firstLine="5320" w:firstLineChars="1900"/>
        <w:rPr>
          <w:rFonts w:ascii="宋体" w:hAnsi="宋体"/>
          <w:spacing w:val="20"/>
          <w:sz w:val="24"/>
          <w:szCs w:val="21"/>
          <w:u w:val="single"/>
        </w:rPr>
      </w:pPr>
      <w:r>
        <w:rPr>
          <w:rFonts w:ascii="宋体" w:hAnsi="宋体"/>
          <w:spacing w:val="20"/>
          <w:sz w:val="24"/>
          <w:szCs w:val="21"/>
        </w:rPr>
        <w:t>日     期：</w:t>
      </w:r>
    </w:p>
    <w:p>
      <w:pPr>
        <w:pStyle w:val="35"/>
        <w:spacing w:line="360" w:lineRule="auto"/>
        <w:ind w:firstLine="5320" w:firstLineChars="1900"/>
        <w:rPr>
          <w:rFonts w:hAnsi="宋体"/>
          <w:spacing w:val="20"/>
          <w:sz w:val="24"/>
          <w:u w:val="single"/>
        </w:rPr>
      </w:pPr>
    </w:p>
    <w:p>
      <w:pPr>
        <w:pStyle w:val="35"/>
        <w:spacing w:line="360" w:lineRule="auto"/>
        <w:ind w:firstLine="5320" w:firstLineChars="1900"/>
        <w:rPr>
          <w:rFonts w:hAnsi="宋体"/>
          <w:spacing w:val="20"/>
          <w:sz w:val="24"/>
          <w:u w:val="single"/>
        </w:rPr>
      </w:pPr>
    </w:p>
    <w:p>
      <w:pPr>
        <w:pStyle w:val="35"/>
        <w:spacing w:line="360" w:lineRule="auto"/>
        <w:ind w:firstLine="5320" w:firstLineChars="1900"/>
        <w:rPr>
          <w:rFonts w:hAnsi="宋体"/>
          <w:spacing w:val="20"/>
          <w:sz w:val="24"/>
          <w:u w:val="single"/>
        </w:rPr>
      </w:pPr>
    </w:p>
    <w:p>
      <w:pPr>
        <w:pStyle w:val="35"/>
        <w:spacing w:line="360" w:lineRule="auto"/>
        <w:ind w:firstLine="5320" w:firstLineChars="1900"/>
        <w:rPr>
          <w:rFonts w:hAnsi="宋体"/>
          <w:spacing w:val="20"/>
          <w:sz w:val="24"/>
          <w:u w:val="single"/>
        </w:rPr>
      </w:pPr>
    </w:p>
    <w:p>
      <w:pPr>
        <w:spacing w:line="360" w:lineRule="auto"/>
        <w:jc w:val="center"/>
        <w:rPr>
          <w:rFonts w:ascii="宋体" w:hAnsi="宋体"/>
          <w:b/>
          <w:sz w:val="30"/>
        </w:rPr>
      </w:pPr>
      <w:r>
        <w:rPr>
          <w:rFonts w:ascii="宋体" w:hAnsi="宋体"/>
          <w:b/>
          <w:sz w:val="30"/>
        </w:rPr>
        <w:br w:type="page"/>
      </w:r>
      <w:r>
        <w:rPr>
          <w:rFonts w:ascii="宋体" w:hAnsi="宋体"/>
          <w:b/>
          <w:sz w:val="30"/>
        </w:rPr>
        <w:t>2、投标人参标申请表</w:t>
      </w:r>
      <w:r>
        <w:rPr>
          <w:rFonts w:hint="eastAsia" w:hAnsi="宋体"/>
          <w:b/>
          <w:sz w:val="32"/>
        </w:rPr>
        <w:t>（</w:t>
      </w:r>
      <w:r>
        <w:rPr>
          <w:rFonts w:hint="eastAsia" w:hAnsi="宋体"/>
          <w:b/>
          <w:sz w:val="30"/>
        </w:rPr>
        <w:t>如为联合体，各方均须提供</w:t>
      </w:r>
      <w:r>
        <w:rPr>
          <w:rFonts w:hint="eastAsia" w:hAnsi="宋体"/>
          <w:b/>
          <w:sz w:val="32"/>
        </w:rPr>
        <w:t>）</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vMerge w:val="restart"/>
            <w:tcBorders>
              <w:top w:val="single" w:color="auto" w:sz="4" w:space="0"/>
              <w:left w:val="single" w:color="auto" w:sz="4" w:space="0"/>
              <w:right w:val="single" w:color="auto" w:sz="4" w:space="0"/>
            </w:tcBorders>
            <w:noWrap/>
            <w:vAlign w:val="center"/>
          </w:tcPr>
          <w:p>
            <w:pPr>
              <w:pStyle w:val="39"/>
              <w:spacing w:line="360" w:lineRule="auto"/>
              <w:rPr>
                <w:rFonts w:ascii="宋体" w:hAnsi="宋体"/>
                <w:sz w:val="24"/>
              </w:rPr>
            </w:pPr>
            <w:r>
              <w:rPr>
                <w:rFonts w:hint="eastAsia" w:ascii="宋体" w:hAnsi="宋体"/>
                <w:sz w:val="24"/>
              </w:rPr>
              <w:t>统一社会信用代码</w:t>
            </w:r>
          </w:p>
        </w:tc>
        <w:tc>
          <w:tcPr>
            <w:tcW w:w="2647" w:type="dxa"/>
            <w:gridSpan w:val="3"/>
            <w:vMerge w:val="restart"/>
            <w:tcBorders>
              <w:top w:val="single" w:color="auto" w:sz="4" w:space="0"/>
              <w:left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rPr>
                <w:rFonts w:ascii="宋体" w:hAnsi="宋体"/>
                <w:sz w:val="24"/>
              </w:rPr>
            </w:pPr>
            <w:r>
              <w:rPr>
                <w:rFonts w:hint="eastAsia" w:ascii="宋体" w:hAnsi="宋体"/>
                <w:sz w:val="24"/>
              </w:rPr>
              <w:t>投标人名称</w:t>
            </w: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36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vMerge w:val="continue"/>
            <w:tcBorders>
              <w:left w:val="single" w:color="auto" w:sz="4" w:space="0"/>
              <w:bottom w:val="single" w:color="auto" w:sz="4" w:space="0"/>
              <w:right w:val="single" w:color="auto" w:sz="4" w:space="0"/>
            </w:tcBorders>
            <w:noWrap/>
            <w:vAlign w:val="center"/>
          </w:tcPr>
          <w:p>
            <w:pPr>
              <w:pStyle w:val="39"/>
              <w:spacing w:line="360" w:lineRule="auto"/>
              <w:rPr>
                <w:rFonts w:ascii="宋体" w:hAnsi="宋体"/>
                <w:sz w:val="24"/>
              </w:rPr>
            </w:pPr>
          </w:p>
        </w:tc>
        <w:tc>
          <w:tcPr>
            <w:tcW w:w="2647" w:type="dxa"/>
            <w:gridSpan w:val="3"/>
            <w:vMerge w:val="continue"/>
            <w:tcBorders>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rPr>
                <w:rFonts w:ascii="宋体" w:hAnsi="宋体"/>
                <w:sz w:val="24"/>
              </w:rPr>
            </w:pPr>
            <w:r>
              <w:rPr>
                <w:rFonts w:hint="eastAsia" w:ascii="宋体" w:hAnsi="宋体"/>
                <w:sz w:val="24"/>
              </w:rPr>
              <w:t>投标人地址</w:t>
            </w: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ign w:val="center"/>
          </w:tcPr>
          <w:p>
            <w:pPr>
              <w:pStyle w:val="39"/>
              <w:spacing w:line="360" w:lineRule="auto"/>
              <w:rPr>
                <w:rFonts w:ascii="宋体" w:hAnsi="宋体"/>
                <w:sz w:val="24"/>
              </w:rPr>
            </w:pPr>
            <w:r>
              <w:rPr>
                <w:rFonts w:hint="eastAsia" w:ascii="宋体" w:hAnsi="宋体"/>
                <w:sz w:val="24"/>
              </w:rPr>
              <w:t>注册日期</w:t>
            </w:r>
          </w:p>
        </w:tc>
        <w:tc>
          <w:tcPr>
            <w:tcW w:w="2647" w:type="dxa"/>
            <w:gridSpan w:val="3"/>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rPr>
                <w:rFonts w:ascii="宋体" w:hAnsi="宋体"/>
                <w:sz w:val="24"/>
              </w:rPr>
            </w:pPr>
            <w:r>
              <w:rPr>
                <w:rFonts w:hint="eastAsia" w:ascii="宋体" w:hAnsi="宋体"/>
                <w:sz w:val="24"/>
              </w:rPr>
              <w:t>注册资金</w:t>
            </w: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ign w:val="center"/>
          </w:tcPr>
          <w:p>
            <w:pPr>
              <w:pStyle w:val="39"/>
              <w:spacing w:line="360" w:lineRule="auto"/>
              <w:rPr>
                <w:rFonts w:ascii="宋体" w:hAnsi="宋体"/>
                <w:sz w:val="24"/>
              </w:rPr>
            </w:pPr>
            <w:r>
              <w:rPr>
                <w:rFonts w:hint="eastAsia" w:ascii="宋体" w:hAnsi="宋体"/>
                <w:sz w:val="24"/>
              </w:rPr>
              <w:t>投标人网址</w:t>
            </w:r>
          </w:p>
        </w:tc>
        <w:tc>
          <w:tcPr>
            <w:tcW w:w="2647" w:type="dxa"/>
            <w:gridSpan w:val="3"/>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rPr>
                <w:rFonts w:ascii="宋体" w:hAnsi="宋体"/>
                <w:sz w:val="24"/>
              </w:rPr>
            </w:pPr>
            <w:r>
              <w:rPr>
                <w:rFonts w:ascii="宋体" w:hAnsi="宋体"/>
                <w:sz w:val="24"/>
              </w:rPr>
              <w:t>E-mail</w:t>
            </w: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ign w:val="center"/>
          </w:tcPr>
          <w:p>
            <w:pPr>
              <w:pStyle w:val="39"/>
              <w:spacing w:line="360" w:lineRule="auto"/>
              <w:rPr>
                <w:rFonts w:ascii="宋体" w:hAnsi="宋体"/>
                <w:sz w:val="24"/>
              </w:rPr>
            </w:pPr>
            <w:r>
              <w:rPr>
                <w:rFonts w:hint="eastAsia" w:ascii="宋体" w:hAnsi="宋体"/>
                <w:sz w:val="24"/>
              </w:rPr>
              <w:t>负责人</w:t>
            </w:r>
          </w:p>
        </w:tc>
        <w:tc>
          <w:tcPr>
            <w:tcW w:w="1890" w:type="dxa"/>
            <w:gridSpan w:val="2"/>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3247" w:type="dxa"/>
            <w:gridSpan w:val="3"/>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rPr>
                <w:rFonts w:ascii="宋体" w:hAnsi="宋体"/>
                <w:sz w:val="24"/>
              </w:rPr>
            </w:pPr>
            <w:r>
              <w:rPr>
                <w:rFonts w:hint="eastAsia" w:ascii="宋体" w:hAnsi="宋体"/>
                <w:sz w:val="24"/>
              </w:rPr>
              <w:t>联系电话：</w:t>
            </w: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rPr>
                <w:rFonts w:ascii="宋体" w:hAnsi="宋体"/>
                <w:sz w:val="24"/>
              </w:rPr>
            </w:pPr>
            <w:r>
              <w:rPr>
                <w:rFonts w:hint="eastAsia" w:ascii="宋体" w:hAnsi="宋体"/>
                <w:sz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ign w:val="center"/>
          </w:tcPr>
          <w:p>
            <w:pPr>
              <w:pStyle w:val="39"/>
              <w:spacing w:line="360" w:lineRule="auto"/>
              <w:rPr>
                <w:rFonts w:ascii="宋体" w:hAnsi="宋体"/>
                <w:sz w:val="24"/>
              </w:rPr>
            </w:pPr>
            <w:r>
              <w:rPr>
                <w:rFonts w:hint="eastAsia" w:ascii="宋体" w:hAnsi="宋体"/>
                <w:sz w:val="24"/>
              </w:rPr>
              <w:t>联系人</w:t>
            </w:r>
          </w:p>
        </w:tc>
        <w:tc>
          <w:tcPr>
            <w:tcW w:w="1890" w:type="dxa"/>
            <w:gridSpan w:val="2"/>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3247" w:type="dxa"/>
            <w:gridSpan w:val="3"/>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rPr>
                <w:rFonts w:ascii="宋体" w:hAnsi="宋体"/>
                <w:sz w:val="24"/>
              </w:rPr>
            </w:pPr>
            <w:r>
              <w:rPr>
                <w:rFonts w:hint="eastAsia" w:ascii="宋体" w:hAnsi="宋体"/>
                <w:sz w:val="24"/>
              </w:rPr>
              <w:t>联系电话：</w:t>
            </w: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rPr>
                <w:rFonts w:ascii="宋体" w:hAnsi="宋体"/>
                <w:sz w:val="24"/>
              </w:rPr>
            </w:pPr>
            <w:r>
              <w:rPr>
                <w:rFonts w:hint="eastAsia" w:ascii="宋体" w:hAnsi="宋体"/>
                <w:sz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left="-109" w:leftChars="-52" w:right="-113" w:rightChars="-54"/>
              <w:rPr>
                <w:rFonts w:ascii="宋体" w:hAnsi="宋体"/>
                <w:sz w:val="24"/>
              </w:rPr>
            </w:pPr>
            <w:r>
              <w:rPr>
                <w:rFonts w:hint="eastAsia" w:ascii="宋体" w:hAnsi="宋体"/>
                <w:sz w:val="24"/>
              </w:rPr>
              <w:t>主营项目</w:t>
            </w:r>
          </w:p>
        </w:tc>
        <w:tc>
          <w:tcPr>
            <w:tcW w:w="7980" w:type="dxa"/>
            <w:gridSpan w:val="6"/>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left="-109" w:leftChars="-52" w:right="-113" w:rightChars="-54"/>
              <w:rPr>
                <w:rFonts w:ascii="宋体" w:hAnsi="宋体"/>
                <w:sz w:val="24"/>
              </w:rPr>
            </w:pPr>
            <w:r>
              <w:rPr>
                <w:rFonts w:hint="eastAsia" w:ascii="宋体" w:hAnsi="宋体"/>
                <w:sz w:val="24"/>
              </w:rPr>
              <w:t>兼营项目</w:t>
            </w:r>
          </w:p>
        </w:tc>
        <w:tc>
          <w:tcPr>
            <w:tcW w:w="7980" w:type="dxa"/>
            <w:gridSpan w:val="6"/>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rPr>
                <w:rFonts w:ascii="宋体" w:hAnsi="宋体"/>
                <w:sz w:val="24"/>
              </w:rPr>
            </w:pPr>
            <w:r>
              <w:rPr>
                <w:rFonts w:hint="eastAsia" w:ascii="宋体" w:hAnsi="宋体"/>
                <w:sz w:val="24"/>
              </w:rPr>
              <w:t>本单位申请参加下列采购项目的投标：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noWrap/>
            <w:vAlign w:val="center"/>
          </w:tcPr>
          <w:p>
            <w:pPr>
              <w:pStyle w:val="39"/>
              <w:spacing w:line="360" w:lineRule="auto"/>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r>
              <w:rPr>
                <w:rFonts w:hint="eastAsia" w:ascii="宋体" w:hAnsi="宋体"/>
                <w:sz w:val="24"/>
              </w:rPr>
              <w:t>采购编号</w:t>
            </w: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r>
              <w:rPr>
                <w:rFonts w:hint="eastAsia" w:ascii="宋体" w:hAnsi="宋体"/>
                <w:sz w:val="24"/>
              </w:rPr>
              <w:t>项目名称</w:t>
            </w: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rPr>
                <w:rFonts w:ascii="宋体" w:hAnsi="宋体"/>
                <w:sz w:val="24"/>
              </w:rPr>
            </w:pPr>
            <w:r>
              <w:rPr>
                <w:rFonts w:ascii="宋体" w:hAnsi="宋体"/>
                <w:sz w:val="24"/>
              </w:rPr>
              <w:t>1</w:t>
            </w: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rPr>
                <w:rFonts w:ascii="宋体" w:hAnsi="宋体"/>
                <w:sz w:val="24"/>
              </w:rPr>
            </w:pPr>
            <w:r>
              <w:rPr>
                <w:rFonts w:ascii="宋体" w:hAnsi="宋体"/>
                <w:sz w:val="24"/>
              </w:rPr>
              <w:t>2</w:t>
            </w: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rPr>
                <w:rFonts w:ascii="宋体" w:hAnsi="宋体"/>
                <w:sz w:val="24"/>
              </w:rPr>
            </w:pPr>
            <w:r>
              <w:rPr>
                <w:rFonts w:ascii="宋体" w:hAnsi="宋体"/>
                <w:sz w:val="24"/>
              </w:rPr>
              <w:t>3</w:t>
            </w: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rPr>
                <w:rFonts w:ascii="宋体" w:hAnsi="宋体"/>
                <w:sz w:val="24"/>
              </w:rPr>
            </w:pPr>
            <w:r>
              <w:rPr>
                <w:rFonts w:ascii="宋体" w:hAnsi="宋体"/>
                <w:sz w:val="24"/>
              </w:rPr>
              <w:t>4</w:t>
            </w: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9"/>
              <w:spacing w:line="360" w:lineRule="auto"/>
              <w:ind w:firstLine="480"/>
              <w:jc w:val="center"/>
              <w:rPr>
                <w:rFonts w:ascii="宋体" w:hAnsi="宋体"/>
                <w:sz w:val="24"/>
              </w:rPr>
            </w:pPr>
          </w:p>
        </w:tc>
      </w:tr>
    </w:tbl>
    <w:p>
      <w:pPr>
        <w:pStyle w:val="35"/>
        <w:spacing w:line="360" w:lineRule="auto"/>
        <w:ind w:firstLine="2240" w:firstLineChars="800"/>
        <w:rPr>
          <w:rFonts w:hAnsi="宋体"/>
          <w:spacing w:val="20"/>
          <w:sz w:val="24"/>
        </w:rPr>
      </w:pPr>
    </w:p>
    <w:p>
      <w:pPr>
        <w:pStyle w:val="35"/>
        <w:spacing w:line="360" w:lineRule="auto"/>
        <w:ind w:firstLine="2240" w:firstLineChars="800"/>
        <w:rPr>
          <w:rFonts w:hAnsi="宋体"/>
          <w:spacing w:val="20"/>
          <w:sz w:val="24"/>
        </w:rPr>
      </w:pPr>
    </w:p>
    <w:p>
      <w:pPr>
        <w:pStyle w:val="32"/>
        <w:spacing w:line="360" w:lineRule="auto"/>
        <w:ind w:firstLine="5320" w:firstLineChars="1900"/>
        <w:rPr>
          <w:rFonts w:ascii="宋体" w:hAnsi="宋体"/>
          <w:spacing w:val="20"/>
          <w:sz w:val="24"/>
          <w:szCs w:val="21"/>
          <w:u w:val="single"/>
        </w:rPr>
      </w:pPr>
      <w:r>
        <w:rPr>
          <w:rFonts w:hint="eastAsia" w:ascii="宋体" w:hAnsi="宋体"/>
          <w:spacing w:val="20"/>
          <w:sz w:val="24"/>
          <w:szCs w:val="21"/>
        </w:rPr>
        <w:t>投标人盖章</w:t>
      </w:r>
      <w:r>
        <w:rPr>
          <w:rFonts w:ascii="宋体" w:hAnsi="宋体"/>
          <w:spacing w:val="20"/>
          <w:sz w:val="24"/>
          <w:szCs w:val="21"/>
        </w:rPr>
        <w:t>：</w:t>
      </w:r>
    </w:p>
    <w:p>
      <w:pPr>
        <w:pStyle w:val="32"/>
        <w:spacing w:line="360" w:lineRule="auto"/>
        <w:ind w:firstLine="5320" w:firstLineChars="1900"/>
        <w:rPr>
          <w:rFonts w:ascii="宋体" w:hAnsi="宋体"/>
          <w:spacing w:val="20"/>
          <w:sz w:val="24"/>
          <w:szCs w:val="21"/>
          <w:u w:val="single"/>
        </w:rPr>
      </w:pPr>
      <w:r>
        <w:rPr>
          <w:rFonts w:ascii="宋体" w:hAnsi="宋体"/>
          <w:spacing w:val="20"/>
          <w:sz w:val="24"/>
          <w:szCs w:val="21"/>
        </w:rPr>
        <w:t>日     期：</w:t>
      </w:r>
    </w:p>
    <w:p>
      <w:pPr>
        <w:pStyle w:val="35"/>
        <w:spacing w:line="360" w:lineRule="auto"/>
        <w:rPr>
          <w:rFonts w:hAnsi="宋体"/>
          <w:b/>
          <w:sz w:val="32"/>
          <w:szCs w:val="32"/>
        </w:rPr>
      </w:pPr>
    </w:p>
    <w:p>
      <w:pPr>
        <w:pStyle w:val="35"/>
        <w:spacing w:line="360" w:lineRule="auto"/>
        <w:jc w:val="center"/>
        <w:rPr>
          <w:rFonts w:hint="eastAsia" w:hAnsi="宋体"/>
          <w:b/>
          <w:sz w:val="32"/>
          <w:szCs w:val="32"/>
        </w:rPr>
      </w:pPr>
    </w:p>
    <w:p>
      <w:pPr>
        <w:pStyle w:val="35"/>
        <w:spacing w:line="360" w:lineRule="auto"/>
        <w:jc w:val="center"/>
        <w:rPr>
          <w:rFonts w:hAnsi="宋体"/>
          <w:b/>
          <w:sz w:val="30"/>
        </w:rPr>
      </w:pPr>
      <w:r>
        <w:rPr>
          <w:rFonts w:hint="eastAsia" w:hAnsi="宋体"/>
          <w:b/>
          <w:sz w:val="32"/>
          <w:szCs w:val="32"/>
        </w:rPr>
        <w:t>3、</w:t>
      </w:r>
      <w:r>
        <w:rPr>
          <w:rFonts w:hint="eastAsia" w:hAnsi="宋体"/>
          <w:b/>
          <w:sz w:val="30"/>
        </w:rPr>
        <w:t>代理服务费支付承诺书</w:t>
      </w:r>
    </w:p>
    <w:p>
      <w:pPr>
        <w:spacing w:line="360" w:lineRule="auto"/>
        <w:jc w:val="left"/>
        <w:rPr>
          <w:rFonts w:ascii="宋体" w:hAnsi="宋体"/>
          <w:sz w:val="28"/>
          <w:szCs w:val="28"/>
        </w:rPr>
      </w:pPr>
    </w:p>
    <w:p>
      <w:pPr>
        <w:spacing w:line="360" w:lineRule="auto"/>
        <w:jc w:val="left"/>
        <w:rPr>
          <w:rFonts w:ascii="宋体" w:hAnsi="宋体"/>
          <w:sz w:val="24"/>
          <w:szCs w:val="24"/>
        </w:rPr>
      </w:pPr>
      <w:r>
        <w:rPr>
          <w:rFonts w:hint="eastAsia" w:ascii="宋体" w:hAnsi="宋体"/>
          <w:sz w:val="24"/>
          <w:szCs w:val="24"/>
        </w:rPr>
        <w:t>卓正招标咨询（丽水）有限公司：</w:t>
      </w:r>
    </w:p>
    <w:p>
      <w:pPr>
        <w:spacing w:line="360" w:lineRule="auto"/>
        <w:ind w:firstLine="480" w:firstLineChars="200"/>
        <w:jc w:val="left"/>
        <w:rPr>
          <w:rFonts w:ascii="宋体" w:hAnsi="宋体"/>
          <w:sz w:val="24"/>
          <w:szCs w:val="24"/>
        </w:rPr>
      </w:pPr>
      <w:r>
        <w:rPr>
          <w:rFonts w:ascii="宋体" w:hAnsi="宋体"/>
          <w:sz w:val="24"/>
          <w:szCs w:val="24"/>
        </w:rPr>
        <w:t>如确定我公司为该项目</w:t>
      </w:r>
      <w:r>
        <w:rPr>
          <w:rFonts w:hint="eastAsia" w:ascii="宋体" w:hAnsi="宋体"/>
          <w:sz w:val="24"/>
          <w:szCs w:val="24"/>
        </w:rPr>
        <w:t>中标（</w:t>
      </w:r>
      <w:r>
        <w:rPr>
          <w:rFonts w:ascii="宋体" w:hAnsi="宋体"/>
          <w:sz w:val="24"/>
          <w:szCs w:val="24"/>
        </w:rPr>
        <w:t>成交</w:t>
      </w:r>
      <w:r>
        <w:rPr>
          <w:rFonts w:hint="eastAsia" w:ascii="宋体" w:hAnsi="宋体"/>
          <w:sz w:val="24"/>
          <w:szCs w:val="24"/>
        </w:rPr>
        <w:t>）</w:t>
      </w:r>
      <w:r>
        <w:rPr>
          <w:rFonts w:ascii="宋体" w:hAnsi="宋体"/>
          <w:sz w:val="24"/>
          <w:szCs w:val="24"/>
        </w:rPr>
        <w:t>人，我公司承诺在</w:t>
      </w:r>
      <w:r>
        <w:rPr>
          <w:rFonts w:hint="eastAsia" w:ascii="宋体" w:hAnsi="宋体"/>
          <w:sz w:val="24"/>
          <w:szCs w:val="24"/>
        </w:rPr>
        <w:t>中标（</w:t>
      </w:r>
      <w:r>
        <w:rPr>
          <w:rFonts w:ascii="宋体" w:hAnsi="宋体"/>
          <w:sz w:val="24"/>
          <w:szCs w:val="24"/>
        </w:rPr>
        <w:t>成交</w:t>
      </w:r>
      <w:r>
        <w:rPr>
          <w:rFonts w:hint="eastAsia" w:ascii="宋体" w:hAnsi="宋体"/>
          <w:sz w:val="24"/>
          <w:szCs w:val="24"/>
        </w:rPr>
        <w:t>）公告</w:t>
      </w:r>
      <w:r>
        <w:rPr>
          <w:rFonts w:ascii="宋体" w:hAnsi="宋体"/>
          <w:sz w:val="24"/>
          <w:szCs w:val="24"/>
        </w:rPr>
        <w:t>发出之日起5个工作日之内向贵公司按</w:t>
      </w:r>
      <w:r>
        <w:rPr>
          <w:rFonts w:hint="eastAsia" w:ascii="宋体" w:hAnsi="宋体"/>
          <w:sz w:val="24"/>
          <w:szCs w:val="24"/>
        </w:rPr>
        <w:t>招标</w:t>
      </w:r>
      <w:r>
        <w:rPr>
          <w:rFonts w:ascii="宋体" w:hAnsi="宋体"/>
          <w:sz w:val="24"/>
          <w:szCs w:val="24"/>
        </w:rPr>
        <w:t>文件约定一次性支付代理服务费。逾期未支付的，贵公司有权就此事项向我公司提出赔偿，我公司</w:t>
      </w:r>
      <w:r>
        <w:rPr>
          <w:rFonts w:hint="eastAsia" w:ascii="宋体" w:hAnsi="宋体"/>
          <w:sz w:val="24"/>
          <w:szCs w:val="24"/>
        </w:rPr>
        <w:t>愿意</w:t>
      </w:r>
      <w:r>
        <w:rPr>
          <w:rFonts w:ascii="宋体" w:hAnsi="宋体"/>
          <w:sz w:val="24"/>
          <w:szCs w:val="24"/>
        </w:rPr>
        <w:t>承担由此产生的全部赔偿责任。</w:t>
      </w:r>
    </w:p>
    <w:p>
      <w:pPr>
        <w:spacing w:line="360" w:lineRule="auto"/>
        <w:ind w:firstLine="480" w:firstLineChars="200"/>
        <w:jc w:val="left"/>
        <w:rPr>
          <w:rFonts w:ascii="宋体" w:hAnsi="宋体"/>
          <w:sz w:val="24"/>
          <w:szCs w:val="24"/>
        </w:rPr>
      </w:pPr>
    </w:p>
    <w:p>
      <w:pPr>
        <w:pStyle w:val="13"/>
        <w:spacing w:line="360" w:lineRule="auto"/>
        <w:ind w:right="480"/>
        <w:jc w:val="center"/>
        <w:rPr>
          <w:rFonts w:hAnsi="宋体"/>
          <w:sz w:val="24"/>
          <w:szCs w:val="24"/>
        </w:rPr>
      </w:pPr>
      <w:r>
        <w:rPr>
          <w:rFonts w:hint="eastAsia" w:hAnsi="宋体"/>
          <w:sz w:val="24"/>
          <w:szCs w:val="24"/>
        </w:rPr>
        <w:t xml:space="preserve">　　　　　　　　      </w:t>
      </w:r>
    </w:p>
    <w:p>
      <w:pPr>
        <w:pStyle w:val="13"/>
        <w:spacing w:line="360" w:lineRule="auto"/>
        <w:ind w:right="480"/>
        <w:jc w:val="center"/>
        <w:rPr>
          <w:rFonts w:hAnsi="宋体"/>
          <w:sz w:val="24"/>
          <w:szCs w:val="24"/>
        </w:rPr>
      </w:pPr>
    </w:p>
    <w:p>
      <w:pPr>
        <w:spacing w:line="360" w:lineRule="auto"/>
        <w:jc w:val="left"/>
        <w:rPr>
          <w:rFonts w:ascii="宋体" w:hAnsi="宋体"/>
          <w:b/>
          <w:sz w:val="24"/>
          <w:szCs w:val="24"/>
        </w:rPr>
      </w:pPr>
      <w:r>
        <w:rPr>
          <w:rFonts w:hint="eastAsia" w:ascii="宋体" w:hAnsi="宋体"/>
          <w:b/>
          <w:sz w:val="24"/>
          <w:szCs w:val="24"/>
        </w:rPr>
        <w:t>注：</w:t>
      </w:r>
    </w:p>
    <w:p>
      <w:pPr>
        <w:spacing w:line="360" w:lineRule="auto"/>
        <w:jc w:val="left"/>
        <w:rPr>
          <w:rFonts w:ascii="宋体" w:hAnsi="宋体"/>
          <w:sz w:val="24"/>
          <w:szCs w:val="24"/>
        </w:rPr>
      </w:pPr>
      <w:r>
        <w:rPr>
          <w:rFonts w:hint="eastAsia" w:ascii="宋体" w:hAnsi="宋体"/>
          <w:sz w:val="24"/>
          <w:szCs w:val="24"/>
        </w:rPr>
        <w:t>代理服务费收取账户信息：</w:t>
      </w:r>
    </w:p>
    <w:p>
      <w:pPr>
        <w:spacing w:line="360" w:lineRule="auto"/>
        <w:jc w:val="left"/>
        <w:rPr>
          <w:rFonts w:ascii="宋体" w:hAnsi="宋体"/>
          <w:sz w:val="24"/>
          <w:szCs w:val="24"/>
        </w:rPr>
      </w:pPr>
      <w:r>
        <w:rPr>
          <w:rFonts w:hint="eastAsia" w:ascii="宋体" w:hAnsi="宋体"/>
          <w:sz w:val="24"/>
          <w:szCs w:val="24"/>
        </w:rPr>
        <w:t>户名：卓正招标咨询（丽水）有限公司</w:t>
      </w:r>
    </w:p>
    <w:p>
      <w:pPr>
        <w:spacing w:line="360" w:lineRule="auto"/>
        <w:jc w:val="left"/>
        <w:rPr>
          <w:rFonts w:ascii="宋体" w:hAnsi="宋体"/>
          <w:sz w:val="24"/>
          <w:szCs w:val="24"/>
        </w:rPr>
      </w:pPr>
      <w:r>
        <w:rPr>
          <w:rFonts w:hint="eastAsia" w:ascii="宋体" w:hAnsi="宋体"/>
          <w:sz w:val="24"/>
          <w:szCs w:val="24"/>
        </w:rPr>
        <w:t>账号：</w:t>
      </w:r>
      <w:r>
        <w:rPr>
          <w:rFonts w:hint="eastAsia" w:ascii="宋体" w:hAnsi="宋体"/>
          <w:sz w:val="24"/>
          <w:szCs w:val="24"/>
          <w:lang w:val="zh-CN"/>
        </w:rPr>
        <w:t>1210205009200198220</w:t>
      </w:r>
    </w:p>
    <w:p>
      <w:pPr>
        <w:spacing w:line="360" w:lineRule="auto"/>
        <w:jc w:val="left"/>
        <w:rPr>
          <w:rFonts w:ascii="宋体" w:hAnsi="宋体"/>
          <w:sz w:val="24"/>
          <w:szCs w:val="24"/>
        </w:rPr>
      </w:pPr>
      <w:r>
        <w:rPr>
          <w:rFonts w:hint="eastAsia" w:ascii="宋体" w:hAnsi="宋体"/>
          <w:sz w:val="24"/>
          <w:szCs w:val="24"/>
        </w:rPr>
        <w:t>开户银行：中国工商银行股份有限公司丽水莲城支行</w:t>
      </w:r>
    </w:p>
    <w:p>
      <w:pPr>
        <w:spacing w:line="360" w:lineRule="auto"/>
        <w:jc w:val="center"/>
        <w:rPr>
          <w:rFonts w:ascii="宋体" w:hAnsi="宋体"/>
          <w:b/>
          <w:sz w:val="30"/>
        </w:rPr>
      </w:pPr>
    </w:p>
    <w:p>
      <w:pPr>
        <w:pStyle w:val="32"/>
        <w:spacing w:line="360" w:lineRule="auto"/>
        <w:ind w:firstLine="5320" w:firstLineChars="1900"/>
        <w:rPr>
          <w:rFonts w:ascii="宋体" w:hAnsi="宋体"/>
          <w:spacing w:val="20"/>
          <w:sz w:val="24"/>
          <w:szCs w:val="21"/>
          <w:u w:val="single"/>
        </w:rPr>
      </w:pPr>
      <w:r>
        <w:rPr>
          <w:rFonts w:hint="eastAsia" w:ascii="宋体" w:hAnsi="宋体"/>
          <w:spacing w:val="20"/>
          <w:sz w:val="24"/>
          <w:szCs w:val="21"/>
        </w:rPr>
        <w:t>投标人盖章</w:t>
      </w:r>
      <w:r>
        <w:rPr>
          <w:rFonts w:ascii="宋体" w:hAnsi="宋体"/>
          <w:spacing w:val="20"/>
          <w:sz w:val="24"/>
          <w:szCs w:val="21"/>
        </w:rPr>
        <w:t>：</w:t>
      </w:r>
    </w:p>
    <w:p>
      <w:pPr>
        <w:pStyle w:val="32"/>
        <w:spacing w:line="360" w:lineRule="auto"/>
        <w:ind w:firstLine="5320" w:firstLineChars="1900"/>
        <w:rPr>
          <w:rFonts w:ascii="宋体" w:hAnsi="宋体"/>
          <w:spacing w:val="20"/>
          <w:sz w:val="24"/>
          <w:szCs w:val="21"/>
          <w:u w:val="single"/>
        </w:rPr>
      </w:pPr>
      <w:r>
        <w:rPr>
          <w:rFonts w:ascii="宋体" w:hAnsi="宋体"/>
          <w:spacing w:val="20"/>
          <w:sz w:val="24"/>
          <w:szCs w:val="21"/>
        </w:rPr>
        <w:t>日     期：</w:t>
      </w:r>
    </w:p>
    <w:p>
      <w:pPr>
        <w:spacing w:line="360" w:lineRule="auto"/>
        <w:jc w:val="center"/>
        <w:rPr>
          <w:rFonts w:ascii="宋体" w:hAnsi="宋体"/>
          <w:b/>
          <w:sz w:val="30"/>
        </w:rPr>
      </w:pPr>
    </w:p>
    <w:p>
      <w:pPr>
        <w:spacing w:line="360" w:lineRule="auto"/>
        <w:jc w:val="center"/>
        <w:rPr>
          <w:rFonts w:ascii="宋体" w:hAnsi="宋体"/>
          <w:b/>
          <w:sz w:val="30"/>
        </w:rPr>
      </w:pPr>
    </w:p>
    <w:p>
      <w:pPr>
        <w:pStyle w:val="27"/>
        <w:spacing w:line="360" w:lineRule="auto"/>
        <w:rPr>
          <w:rFonts w:hAnsi="宋体"/>
          <w:b/>
          <w:color w:val="auto"/>
          <w:sz w:val="30"/>
        </w:rPr>
      </w:pPr>
    </w:p>
    <w:p>
      <w:pPr>
        <w:pStyle w:val="27"/>
        <w:spacing w:line="360" w:lineRule="auto"/>
        <w:rPr>
          <w:rFonts w:hAnsi="宋体"/>
          <w:b/>
          <w:color w:val="auto"/>
          <w:sz w:val="30"/>
        </w:rPr>
      </w:pPr>
    </w:p>
    <w:p>
      <w:pPr>
        <w:pStyle w:val="27"/>
        <w:spacing w:line="360" w:lineRule="auto"/>
        <w:rPr>
          <w:rFonts w:hAnsi="宋体"/>
          <w:b/>
          <w:color w:val="auto"/>
          <w:sz w:val="30"/>
        </w:rPr>
      </w:pPr>
    </w:p>
    <w:p>
      <w:pPr>
        <w:pStyle w:val="27"/>
        <w:spacing w:line="360" w:lineRule="auto"/>
        <w:rPr>
          <w:rFonts w:hAnsi="宋体"/>
          <w:b/>
          <w:color w:val="auto"/>
          <w:sz w:val="30"/>
        </w:rPr>
      </w:pPr>
    </w:p>
    <w:p>
      <w:pPr>
        <w:pStyle w:val="27"/>
        <w:spacing w:line="360" w:lineRule="auto"/>
        <w:rPr>
          <w:rFonts w:hAnsi="宋体"/>
          <w:b/>
          <w:color w:val="auto"/>
          <w:sz w:val="30"/>
        </w:rPr>
      </w:pPr>
    </w:p>
    <w:p>
      <w:pPr>
        <w:pStyle w:val="27"/>
        <w:spacing w:line="360" w:lineRule="auto"/>
        <w:rPr>
          <w:rFonts w:hAnsi="宋体"/>
          <w:b/>
          <w:color w:val="auto"/>
          <w:sz w:val="30"/>
        </w:rPr>
      </w:pPr>
    </w:p>
    <w:p>
      <w:pPr>
        <w:pStyle w:val="27"/>
        <w:spacing w:line="360" w:lineRule="auto"/>
        <w:rPr>
          <w:rFonts w:hAnsi="宋体"/>
          <w:b/>
          <w:color w:val="auto"/>
          <w:sz w:val="30"/>
        </w:rPr>
      </w:pPr>
    </w:p>
    <w:p>
      <w:pPr>
        <w:pStyle w:val="27"/>
        <w:spacing w:line="360" w:lineRule="auto"/>
        <w:rPr>
          <w:rFonts w:hAnsi="宋体"/>
          <w:b/>
          <w:color w:val="auto"/>
          <w:sz w:val="30"/>
        </w:rPr>
      </w:pPr>
    </w:p>
    <w:p>
      <w:pPr>
        <w:pStyle w:val="9"/>
        <w:spacing w:line="360" w:lineRule="auto"/>
        <w:ind w:firstLine="210"/>
        <w:rPr>
          <w:rFonts w:ascii="宋体" w:hAnsi="宋体"/>
        </w:rPr>
      </w:pPr>
    </w:p>
    <w:p>
      <w:pPr>
        <w:pStyle w:val="27"/>
        <w:spacing w:line="360" w:lineRule="auto"/>
        <w:rPr>
          <w:rFonts w:hAnsi="宋体"/>
          <w:b/>
          <w:color w:val="auto"/>
          <w:sz w:val="30"/>
        </w:rPr>
      </w:pPr>
    </w:p>
    <w:p>
      <w:pPr>
        <w:pStyle w:val="27"/>
        <w:spacing w:line="360" w:lineRule="auto"/>
        <w:rPr>
          <w:rFonts w:hAnsi="宋体"/>
          <w:b/>
          <w:color w:val="auto"/>
          <w:sz w:val="30"/>
        </w:rPr>
      </w:pPr>
    </w:p>
    <w:p>
      <w:pPr>
        <w:pStyle w:val="27"/>
        <w:spacing w:line="360" w:lineRule="auto"/>
        <w:rPr>
          <w:rFonts w:hAnsi="宋体"/>
          <w:b/>
          <w:color w:val="auto"/>
          <w:sz w:val="30"/>
        </w:rPr>
      </w:pPr>
    </w:p>
    <w:p>
      <w:pPr>
        <w:pStyle w:val="27"/>
        <w:spacing w:line="360" w:lineRule="auto"/>
        <w:rPr>
          <w:rFonts w:hAnsi="宋体"/>
          <w:b/>
          <w:color w:val="auto"/>
          <w:sz w:val="30"/>
        </w:rPr>
      </w:pPr>
    </w:p>
    <w:p>
      <w:pPr>
        <w:pStyle w:val="27"/>
        <w:spacing w:line="360" w:lineRule="auto"/>
        <w:rPr>
          <w:rFonts w:hAnsi="宋体"/>
          <w:b/>
          <w:color w:val="auto"/>
          <w:sz w:val="30"/>
        </w:rPr>
      </w:pPr>
    </w:p>
    <w:p>
      <w:pPr>
        <w:pStyle w:val="27"/>
        <w:spacing w:line="360" w:lineRule="auto"/>
        <w:rPr>
          <w:rFonts w:hAnsi="宋体"/>
          <w:b/>
          <w:color w:val="auto"/>
          <w:sz w:val="30"/>
        </w:rPr>
      </w:pPr>
    </w:p>
    <w:p>
      <w:pPr>
        <w:pStyle w:val="35"/>
        <w:spacing w:line="360" w:lineRule="auto"/>
        <w:jc w:val="center"/>
        <w:rPr>
          <w:rFonts w:hAnsi="宋体"/>
          <w:b/>
          <w:sz w:val="32"/>
          <w:szCs w:val="32"/>
        </w:rPr>
      </w:pPr>
      <w:r>
        <w:rPr>
          <w:rFonts w:hint="eastAsia" w:hAnsi="宋体"/>
          <w:b/>
          <w:sz w:val="32"/>
          <w:szCs w:val="32"/>
        </w:rPr>
        <w:t>4、其  他</w:t>
      </w:r>
    </w:p>
    <w:p>
      <w:pPr>
        <w:pStyle w:val="40"/>
        <w:spacing w:before="156" w:after="156" w:line="360" w:lineRule="auto"/>
        <w:ind w:firstLine="480" w:firstLineChars="200"/>
        <w:rPr>
          <w:rFonts w:hAnsi="宋体"/>
          <w:sz w:val="24"/>
          <w:szCs w:val="21"/>
        </w:rPr>
      </w:pPr>
      <w:r>
        <w:rPr>
          <w:rFonts w:hint="eastAsia" w:hAnsi="宋体"/>
          <w:sz w:val="24"/>
          <w:szCs w:val="21"/>
        </w:rPr>
        <w:t>除招标文件规定的要求外，投标人还可以提供如下证明材料：</w:t>
      </w:r>
    </w:p>
    <w:p>
      <w:pPr>
        <w:pStyle w:val="40"/>
        <w:spacing w:before="156" w:after="156" w:line="360" w:lineRule="auto"/>
        <w:ind w:firstLine="480" w:firstLineChars="200"/>
        <w:rPr>
          <w:rFonts w:hAnsi="宋体"/>
          <w:sz w:val="24"/>
          <w:szCs w:val="21"/>
        </w:rPr>
      </w:pPr>
      <w:r>
        <w:rPr>
          <w:rFonts w:hAnsi="宋体"/>
          <w:sz w:val="24"/>
          <w:szCs w:val="21"/>
        </w:rPr>
        <w:fldChar w:fldCharType="begin"/>
      </w:r>
      <w:r>
        <w:rPr>
          <w:rFonts w:hint="eastAsia" w:hAnsi="宋体"/>
          <w:sz w:val="24"/>
          <w:szCs w:val="21"/>
        </w:rPr>
        <w:instrText xml:space="preserve">= 1 \* GB2</w:instrText>
      </w:r>
      <w:r>
        <w:rPr>
          <w:rFonts w:hAnsi="宋体"/>
          <w:sz w:val="24"/>
          <w:szCs w:val="21"/>
        </w:rPr>
        <w:fldChar w:fldCharType="separate"/>
      </w:r>
      <w:r>
        <w:rPr>
          <w:rFonts w:hint="eastAsia" w:hAnsi="宋体"/>
          <w:sz w:val="24"/>
          <w:szCs w:val="21"/>
        </w:rPr>
        <w:t>⑴</w:t>
      </w:r>
      <w:r>
        <w:rPr>
          <w:rFonts w:hAnsi="宋体"/>
          <w:sz w:val="24"/>
          <w:szCs w:val="21"/>
        </w:rPr>
        <w:fldChar w:fldCharType="end"/>
      </w:r>
      <w:r>
        <w:rPr>
          <w:rFonts w:hint="eastAsia" w:hAnsi="宋体"/>
          <w:sz w:val="24"/>
          <w:szCs w:val="21"/>
        </w:rPr>
        <w:t>资信商务评标办法要求的其他资料；</w:t>
      </w:r>
    </w:p>
    <w:p>
      <w:pPr>
        <w:pStyle w:val="40"/>
        <w:spacing w:before="156" w:after="156" w:line="360" w:lineRule="auto"/>
        <w:ind w:firstLine="480" w:firstLineChars="200"/>
        <w:rPr>
          <w:rFonts w:hAnsi="宋体"/>
          <w:sz w:val="24"/>
          <w:szCs w:val="21"/>
        </w:rPr>
      </w:pPr>
      <w:r>
        <w:rPr>
          <w:rFonts w:hAnsi="宋体"/>
          <w:sz w:val="24"/>
          <w:szCs w:val="21"/>
        </w:rPr>
        <w:fldChar w:fldCharType="begin"/>
      </w:r>
      <w:r>
        <w:rPr>
          <w:rFonts w:hint="eastAsia" w:hAnsi="宋体"/>
          <w:sz w:val="24"/>
          <w:szCs w:val="21"/>
        </w:rPr>
        <w:instrText xml:space="preserve">= 2 \* GB2</w:instrText>
      </w:r>
      <w:r>
        <w:rPr>
          <w:rFonts w:hAnsi="宋体"/>
          <w:sz w:val="24"/>
          <w:szCs w:val="21"/>
        </w:rPr>
        <w:fldChar w:fldCharType="separate"/>
      </w:r>
      <w:r>
        <w:rPr>
          <w:rFonts w:hint="eastAsia" w:hAnsi="宋体"/>
          <w:sz w:val="24"/>
          <w:szCs w:val="21"/>
        </w:rPr>
        <w:t>⑵</w:t>
      </w:r>
      <w:r>
        <w:rPr>
          <w:rFonts w:hAnsi="宋体"/>
          <w:sz w:val="24"/>
          <w:szCs w:val="21"/>
        </w:rPr>
        <w:fldChar w:fldCharType="end"/>
      </w:r>
      <w:r>
        <w:rPr>
          <w:rFonts w:hint="eastAsia" w:hAnsi="宋体"/>
          <w:sz w:val="24"/>
          <w:szCs w:val="21"/>
        </w:rPr>
        <w:t>投标人认为可以证明其资信商务方面的其他材料，</w:t>
      </w:r>
      <w:r>
        <w:rPr>
          <w:rFonts w:hint="eastAsia" w:hAnsi="宋体"/>
          <w:b/>
          <w:sz w:val="24"/>
          <w:szCs w:val="21"/>
        </w:rPr>
        <w:t>但不得出现报价</w:t>
      </w:r>
      <w:r>
        <w:rPr>
          <w:rFonts w:hint="eastAsia" w:hAnsi="宋体"/>
          <w:sz w:val="24"/>
          <w:szCs w:val="21"/>
        </w:rPr>
        <w:t>。</w:t>
      </w:r>
    </w:p>
    <w:p>
      <w:pPr>
        <w:pStyle w:val="5"/>
        <w:spacing w:line="360" w:lineRule="auto"/>
        <w:ind w:firstLine="0"/>
        <w:jc w:val="center"/>
        <w:rPr>
          <w:rFonts w:ascii="宋体" w:hAnsi="宋体"/>
          <w:sz w:val="30"/>
        </w:rPr>
      </w:pPr>
    </w:p>
    <w:p>
      <w:pPr>
        <w:spacing w:line="360" w:lineRule="auto"/>
        <w:jc w:val="center"/>
        <w:rPr>
          <w:rFonts w:ascii="宋体" w:hAnsi="宋体"/>
        </w:rPr>
      </w:pPr>
      <w:r>
        <w:rPr>
          <w:rFonts w:ascii="宋体" w:hAnsi="宋体"/>
        </w:rPr>
        <w:br w:type="page"/>
      </w:r>
      <w:bookmarkEnd w:id="333"/>
      <w:bookmarkEnd w:id="334"/>
      <w:bookmarkStart w:id="335" w:name="_Toc65051207"/>
      <w:bookmarkStart w:id="336" w:name="_Toc58318190"/>
    </w:p>
    <w:p>
      <w:pPr>
        <w:pStyle w:val="27"/>
        <w:spacing w:line="360" w:lineRule="auto"/>
        <w:rPr>
          <w:rFonts w:hAnsi="宋体"/>
          <w:color w:val="auto"/>
        </w:rPr>
      </w:pPr>
    </w:p>
    <w:p>
      <w:pPr>
        <w:pStyle w:val="27"/>
        <w:spacing w:line="360" w:lineRule="auto"/>
        <w:rPr>
          <w:rFonts w:hAnsi="宋体"/>
          <w:color w:val="auto"/>
        </w:rPr>
      </w:pPr>
    </w:p>
    <w:p>
      <w:pPr>
        <w:pStyle w:val="27"/>
        <w:spacing w:line="360" w:lineRule="auto"/>
        <w:rPr>
          <w:rFonts w:hAnsi="宋体"/>
          <w:color w:val="auto"/>
        </w:rPr>
      </w:pPr>
    </w:p>
    <w:p>
      <w:pPr>
        <w:pStyle w:val="27"/>
        <w:spacing w:line="360" w:lineRule="auto"/>
        <w:rPr>
          <w:rFonts w:hAnsi="宋体"/>
          <w:color w:val="auto"/>
        </w:rPr>
      </w:pPr>
    </w:p>
    <w:p>
      <w:pPr>
        <w:pStyle w:val="27"/>
        <w:spacing w:line="360" w:lineRule="auto"/>
        <w:rPr>
          <w:rFonts w:hAnsi="宋体"/>
          <w:color w:val="auto"/>
        </w:rPr>
      </w:pPr>
    </w:p>
    <w:p>
      <w:pPr>
        <w:numPr>
          <w:ilvl w:val="0"/>
          <w:numId w:val="3"/>
        </w:numPr>
        <w:spacing w:line="360" w:lineRule="auto"/>
        <w:ind w:firstLine="3000" w:firstLineChars="1000"/>
        <w:rPr>
          <w:rFonts w:ascii="宋体" w:hAnsi="宋体"/>
          <w:sz w:val="30"/>
        </w:rPr>
      </w:pPr>
      <w:r>
        <w:rPr>
          <w:rFonts w:ascii="宋体" w:hAnsi="宋体"/>
          <w:sz w:val="30"/>
        </w:rPr>
        <w:t>技术</w:t>
      </w:r>
      <w:bookmarkEnd w:id="335"/>
      <w:bookmarkEnd w:id="336"/>
      <w:bookmarkStart w:id="337" w:name="_Toc208049590"/>
      <w:r>
        <w:rPr>
          <w:rFonts w:hint="eastAsia" w:ascii="宋体" w:hAnsi="宋体"/>
          <w:sz w:val="30"/>
        </w:rPr>
        <w:t>部分</w:t>
      </w:r>
    </w:p>
    <w:p>
      <w:pPr>
        <w:pStyle w:val="2"/>
        <w:spacing w:line="360" w:lineRule="auto"/>
        <w:rPr>
          <w:rFonts w:ascii="宋体" w:hAnsi="宋体"/>
        </w:rPr>
      </w:pPr>
    </w:p>
    <w:p>
      <w:pPr>
        <w:spacing w:line="360" w:lineRule="auto"/>
        <w:jc w:val="center"/>
        <w:rPr>
          <w:rFonts w:ascii="宋体" w:hAnsi="宋体"/>
          <w:sz w:val="30"/>
        </w:rPr>
      </w:pPr>
    </w:p>
    <w:p>
      <w:pPr>
        <w:spacing w:line="360" w:lineRule="auto"/>
        <w:rPr>
          <w:rFonts w:ascii="宋体" w:hAnsi="宋体"/>
          <w:sz w:val="28"/>
          <w:szCs w:val="28"/>
        </w:rPr>
      </w:pPr>
    </w:p>
    <w:p>
      <w:pPr>
        <w:spacing w:line="360" w:lineRule="auto"/>
        <w:jc w:val="center"/>
        <w:rPr>
          <w:rFonts w:ascii="宋体" w:hAnsi="宋体"/>
          <w:sz w:val="30"/>
        </w:rPr>
      </w:pPr>
    </w:p>
    <w:p>
      <w:pPr>
        <w:pStyle w:val="5"/>
        <w:spacing w:line="360" w:lineRule="auto"/>
        <w:rPr>
          <w:rFonts w:ascii="宋体" w:hAnsi="宋体"/>
        </w:rPr>
      </w:pPr>
    </w:p>
    <w:p>
      <w:pPr>
        <w:pStyle w:val="5"/>
        <w:spacing w:line="360" w:lineRule="auto"/>
        <w:rPr>
          <w:rFonts w:ascii="宋体" w:hAnsi="宋体"/>
        </w:rPr>
      </w:pPr>
    </w:p>
    <w:p>
      <w:pPr>
        <w:tabs>
          <w:tab w:val="left" w:pos="2355"/>
          <w:tab w:val="center" w:pos="4513"/>
        </w:tabs>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jc w:val="left"/>
        <w:rPr>
          <w:rFonts w:ascii="宋体" w:hAnsi="宋体"/>
          <w:sz w:val="32"/>
          <w:szCs w:val="32"/>
        </w:rPr>
      </w:pPr>
    </w:p>
    <w:p>
      <w:pPr>
        <w:spacing w:line="360" w:lineRule="auto"/>
        <w:jc w:val="left"/>
        <w:rPr>
          <w:rFonts w:ascii="宋体" w:hAnsi="宋体"/>
          <w:sz w:val="32"/>
          <w:szCs w:val="32"/>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napToGrid w:val="0"/>
        <w:spacing w:line="360" w:lineRule="auto"/>
        <w:jc w:val="left"/>
        <w:rPr>
          <w:rFonts w:ascii="宋体" w:hAnsi="宋体"/>
          <w:b/>
          <w:bCs/>
          <w:sz w:val="28"/>
          <w:szCs w:val="28"/>
          <w:lang w:val="zh-CN"/>
        </w:rPr>
      </w:pPr>
      <w:r>
        <w:rPr>
          <w:rFonts w:hint="eastAsia" w:ascii="宋体" w:hAnsi="宋体"/>
          <w:b/>
          <w:sz w:val="28"/>
          <w:szCs w:val="28"/>
        </w:rPr>
        <w:t>1、项目组织实施方案及措施保障</w:t>
      </w:r>
    </w:p>
    <w:p>
      <w:pPr>
        <w:pStyle w:val="41"/>
        <w:adjustRightInd w:val="0"/>
        <w:snapToGrid w:val="0"/>
        <w:spacing w:line="360" w:lineRule="auto"/>
        <w:jc w:val="left"/>
        <w:rPr>
          <w:rFonts w:ascii="宋体" w:hAnsi="宋体"/>
          <w:b/>
          <w:bCs/>
          <w:sz w:val="28"/>
          <w:szCs w:val="28"/>
        </w:rPr>
      </w:pPr>
      <w:r>
        <w:rPr>
          <w:rFonts w:hint="eastAsia" w:ascii="宋体" w:hAnsi="宋体"/>
          <w:b/>
          <w:bCs/>
          <w:sz w:val="28"/>
          <w:szCs w:val="28"/>
        </w:rPr>
        <w:t>2、培训方案</w:t>
      </w:r>
    </w:p>
    <w:p>
      <w:pPr>
        <w:pStyle w:val="41"/>
        <w:adjustRightInd w:val="0"/>
        <w:snapToGrid w:val="0"/>
        <w:spacing w:line="360" w:lineRule="auto"/>
        <w:jc w:val="left"/>
        <w:rPr>
          <w:rFonts w:ascii="宋体" w:hAnsi="宋体"/>
          <w:b/>
          <w:bCs/>
          <w:sz w:val="28"/>
          <w:szCs w:val="28"/>
        </w:rPr>
      </w:pPr>
      <w:r>
        <w:rPr>
          <w:rFonts w:hint="eastAsia" w:ascii="宋体" w:hAnsi="宋体"/>
          <w:b/>
          <w:bCs/>
          <w:sz w:val="28"/>
          <w:szCs w:val="28"/>
        </w:rPr>
        <w:t>3、产品技术参数性能指标</w:t>
      </w:r>
    </w:p>
    <w:tbl>
      <w:tblPr>
        <w:tblStyle w:val="22"/>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0"/>
        <w:gridCol w:w="1739"/>
        <w:gridCol w:w="1779"/>
        <w:gridCol w:w="1854"/>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813" w:type="dxa"/>
            <w:tcBorders>
              <w:top w:val="single" w:color="auto" w:sz="4" w:space="0"/>
              <w:left w:val="single" w:color="auto" w:sz="4" w:space="0"/>
              <w:bottom w:val="single" w:color="auto" w:sz="4" w:space="0"/>
              <w:right w:val="single" w:color="auto" w:sz="4" w:space="0"/>
            </w:tcBorders>
            <w:noWrap/>
            <w:vAlign w:val="center"/>
          </w:tcPr>
          <w:p>
            <w:pPr>
              <w:pStyle w:val="20"/>
              <w:widowControl w:val="0"/>
              <w:tabs>
                <w:tab w:val="left" w:pos="3200"/>
              </w:tabs>
              <w:spacing w:line="360" w:lineRule="auto"/>
              <w:jc w:val="center"/>
              <w:rPr>
                <w:rFonts w:cs="宋体"/>
                <w:bCs/>
              </w:rPr>
            </w:pPr>
            <w:r>
              <w:rPr>
                <w:rFonts w:hint="eastAsia" w:cs="宋体"/>
                <w:bCs/>
              </w:rPr>
              <w:t>序号</w:t>
            </w:r>
          </w:p>
        </w:tc>
        <w:tc>
          <w:tcPr>
            <w:tcW w:w="1410" w:type="dxa"/>
            <w:tcBorders>
              <w:top w:val="single" w:color="auto" w:sz="4" w:space="0"/>
              <w:left w:val="single" w:color="auto" w:sz="4" w:space="0"/>
              <w:bottom w:val="single" w:color="auto" w:sz="4" w:space="0"/>
              <w:right w:val="single" w:color="auto" w:sz="4" w:space="0"/>
            </w:tcBorders>
            <w:noWrap/>
            <w:vAlign w:val="center"/>
          </w:tcPr>
          <w:p>
            <w:pPr>
              <w:pStyle w:val="20"/>
              <w:widowControl w:val="0"/>
              <w:tabs>
                <w:tab w:val="left" w:pos="3200"/>
              </w:tabs>
              <w:spacing w:line="360" w:lineRule="auto"/>
              <w:jc w:val="center"/>
              <w:rPr>
                <w:rFonts w:cs="宋体"/>
              </w:rPr>
            </w:pPr>
            <w:r>
              <w:rPr>
                <w:rFonts w:hint="eastAsia" w:cs="宋体"/>
              </w:rPr>
              <w:t>项目名称</w:t>
            </w:r>
          </w:p>
        </w:tc>
        <w:tc>
          <w:tcPr>
            <w:tcW w:w="1739" w:type="dxa"/>
            <w:tcBorders>
              <w:top w:val="single" w:color="auto" w:sz="4" w:space="0"/>
              <w:left w:val="single" w:color="auto" w:sz="4" w:space="0"/>
              <w:bottom w:val="single" w:color="auto" w:sz="4" w:space="0"/>
              <w:right w:val="single" w:color="auto" w:sz="4" w:space="0"/>
            </w:tcBorders>
            <w:noWrap/>
            <w:vAlign w:val="center"/>
          </w:tcPr>
          <w:p>
            <w:pPr>
              <w:pStyle w:val="20"/>
              <w:widowControl w:val="0"/>
              <w:spacing w:line="360" w:lineRule="auto"/>
              <w:jc w:val="center"/>
              <w:rPr>
                <w:rFonts w:cs="宋体"/>
              </w:rPr>
            </w:pPr>
            <w:r>
              <w:rPr>
                <w:rFonts w:hint="eastAsia" w:cs="宋体"/>
              </w:rPr>
              <w:t>招标文件要求</w:t>
            </w:r>
          </w:p>
        </w:tc>
        <w:tc>
          <w:tcPr>
            <w:tcW w:w="1779" w:type="dxa"/>
            <w:tcBorders>
              <w:top w:val="single" w:color="auto" w:sz="4" w:space="0"/>
              <w:left w:val="single" w:color="auto" w:sz="4" w:space="0"/>
              <w:bottom w:val="single" w:color="auto" w:sz="4" w:space="0"/>
              <w:right w:val="single" w:color="auto" w:sz="4" w:space="0"/>
            </w:tcBorders>
            <w:noWrap/>
            <w:vAlign w:val="center"/>
          </w:tcPr>
          <w:p>
            <w:pPr>
              <w:pStyle w:val="20"/>
              <w:widowControl w:val="0"/>
              <w:spacing w:line="360" w:lineRule="auto"/>
              <w:jc w:val="center"/>
              <w:rPr>
                <w:rFonts w:cs="宋体"/>
              </w:rPr>
            </w:pPr>
            <w:r>
              <w:rPr>
                <w:rFonts w:hint="eastAsia" w:cs="宋体"/>
                <w:kern w:val="2"/>
              </w:rPr>
              <w:t>投标产品（含服务）详细规格</w:t>
            </w:r>
          </w:p>
        </w:tc>
        <w:tc>
          <w:tcPr>
            <w:tcW w:w="1854" w:type="dxa"/>
            <w:tcBorders>
              <w:top w:val="single" w:color="auto" w:sz="4" w:space="0"/>
              <w:left w:val="single" w:color="auto" w:sz="4" w:space="0"/>
              <w:bottom w:val="single" w:color="auto" w:sz="4" w:space="0"/>
              <w:right w:val="single" w:color="auto" w:sz="4" w:space="0"/>
            </w:tcBorders>
            <w:noWrap/>
            <w:vAlign w:val="center"/>
          </w:tcPr>
          <w:p>
            <w:pPr>
              <w:pStyle w:val="20"/>
              <w:widowControl w:val="0"/>
              <w:spacing w:line="360" w:lineRule="auto"/>
              <w:jc w:val="center"/>
              <w:rPr>
                <w:rFonts w:cs="宋体"/>
              </w:rPr>
            </w:pPr>
            <w:r>
              <w:rPr>
                <w:rFonts w:hint="eastAsia" w:cs="宋体"/>
              </w:rPr>
              <w:t>偏离情况详细说明</w:t>
            </w:r>
          </w:p>
        </w:tc>
        <w:tc>
          <w:tcPr>
            <w:tcW w:w="1351" w:type="dxa"/>
            <w:tcBorders>
              <w:top w:val="single" w:color="auto" w:sz="4" w:space="0"/>
              <w:left w:val="single" w:color="auto" w:sz="4" w:space="0"/>
              <w:bottom w:val="single" w:color="auto" w:sz="4" w:space="0"/>
              <w:right w:val="single" w:color="auto" w:sz="4" w:space="0"/>
            </w:tcBorders>
            <w:noWrap/>
            <w:vAlign w:val="center"/>
          </w:tcPr>
          <w:p>
            <w:pPr>
              <w:pStyle w:val="20"/>
              <w:widowControl w:val="0"/>
              <w:spacing w:line="360" w:lineRule="auto"/>
              <w:jc w:val="center"/>
              <w:rPr>
                <w:rFonts w:cs="宋体"/>
              </w:rP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tcBorders>
              <w:top w:val="single" w:color="auto" w:sz="4" w:space="0"/>
              <w:left w:val="single" w:color="auto" w:sz="4" w:space="0"/>
              <w:bottom w:val="single" w:color="auto" w:sz="4" w:space="0"/>
              <w:right w:val="single" w:color="auto" w:sz="4" w:space="0"/>
            </w:tcBorders>
            <w:noWrap/>
            <w:vAlign w:val="center"/>
          </w:tcPr>
          <w:p>
            <w:pPr>
              <w:pStyle w:val="20"/>
              <w:widowControl w:val="0"/>
              <w:tabs>
                <w:tab w:val="left" w:pos="3200"/>
              </w:tabs>
              <w:spacing w:line="360" w:lineRule="auto"/>
              <w:jc w:val="center"/>
              <w:rPr>
                <w:rFonts w:cs="宋体"/>
              </w:rPr>
            </w:pPr>
            <w:r>
              <w:rPr>
                <w:rFonts w:hint="eastAsia" w:cs="宋体"/>
              </w:rPr>
              <w:t>1</w:t>
            </w:r>
          </w:p>
        </w:tc>
        <w:tc>
          <w:tcPr>
            <w:tcW w:w="1410" w:type="dxa"/>
            <w:tcBorders>
              <w:top w:val="single" w:color="auto" w:sz="4" w:space="0"/>
              <w:left w:val="single" w:color="auto" w:sz="4" w:space="0"/>
              <w:bottom w:val="single" w:color="auto" w:sz="4" w:space="0"/>
              <w:right w:val="single" w:color="auto" w:sz="4" w:space="0"/>
            </w:tcBorders>
            <w:noWrap/>
            <w:vAlign w:val="center"/>
          </w:tcPr>
          <w:p>
            <w:pPr>
              <w:pStyle w:val="20"/>
              <w:widowControl w:val="0"/>
              <w:spacing w:line="360" w:lineRule="auto"/>
              <w:jc w:val="center"/>
              <w:rPr>
                <w:rFonts w:cs="宋体"/>
              </w:rPr>
            </w:pPr>
          </w:p>
        </w:tc>
        <w:tc>
          <w:tcPr>
            <w:tcW w:w="1739" w:type="dxa"/>
            <w:tcBorders>
              <w:top w:val="single" w:color="auto" w:sz="4" w:space="0"/>
              <w:left w:val="single" w:color="auto" w:sz="4" w:space="0"/>
              <w:bottom w:val="single" w:color="auto" w:sz="4" w:space="0"/>
              <w:right w:val="single" w:color="auto" w:sz="4" w:space="0"/>
            </w:tcBorders>
            <w:noWrap/>
            <w:vAlign w:val="center"/>
          </w:tcPr>
          <w:p>
            <w:pPr>
              <w:pStyle w:val="20"/>
              <w:widowControl w:val="0"/>
              <w:spacing w:line="360" w:lineRule="auto"/>
              <w:jc w:val="center"/>
              <w:rPr>
                <w:rFonts w:cs="宋体"/>
              </w:rPr>
            </w:pPr>
          </w:p>
        </w:tc>
        <w:tc>
          <w:tcPr>
            <w:tcW w:w="1779" w:type="dxa"/>
            <w:tcBorders>
              <w:top w:val="single" w:color="auto" w:sz="4" w:space="0"/>
              <w:left w:val="single" w:color="auto" w:sz="4" w:space="0"/>
              <w:bottom w:val="single" w:color="auto" w:sz="4" w:space="0"/>
              <w:right w:val="single" w:color="auto" w:sz="4" w:space="0"/>
            </w:tcBorders>
            <w:noWrap/>
            <w:vAlign w:val="center"/>
          </w:tcPr>
          <w:p>
            <w:pPr>
              <w:pStyle w:val="20"/>
              <w:widowControl w:val="0"/>
              <w:spacing w:line="360" w:lineRule="auto"/>
              <w:jc w:val="center"/>
              <w:rPr>
                <w:rFonts w:cs="宋体"/>
              </w:rPr>
            </w:pPr>
          </w:p>
        </w:tc>
        <w:tc>
          <w:tcPr>
            <w:tcW w:w="1854" w:type="dxa"/>
            <w:tcBorders>
              <w:top w:val="single" w:color="auto" w:sz="4" w:space="0"/>
              <w:left w:val="single" w:color="auto" w:sz="4" w:space="0"/>
              <w:bottom w:val="single" w:color="auto" w:sz="4" w:space="0"/>
              <w:right w:val="single" w:color="auto" w:sz="4" w:space="0"/>
            </w:tcBorders>
            <w:noWrap/>
            <w:vAlign w:val="center"/>
          </w:tcPr>
          <w:p>
            <w:pPr>
              <w:pStyle w:val="20"/>
              <w:widowControl w:val="0"/>
              <w:spacing w:line="360" w:lineRule="auto"/>
              <w:jc w:val="center"/>
              <w:rPr>
                <w:rFonts w:cs="宋体"/>
              </w:rPr>
            </w:pPr>
          </w:p>
        </w:tc>
        <w:tc>
          <w:tcPr>
            <w:tcW w:w="1351" w:type="dxa"/>
            <w:tcBorders>
              <w:top w:val="single" w:color="auto" w:sz="4" w:space="0"/>
              <w:left w:val="single" w:color="auto" w:sz="4" w:space="0"/>
              <w:bottom w:val="single" w:color="auto" w:sz="4" w:space="0"/>
              <w:right w:val="single" w:color="auto" w:sz="4" w:space="0"/>
            </w:tcBorders>
            <w:noWrap/>
            <w:vAlign w:val="center"/>
          </w:tcPr>
          <w:p>
            <w:pPr>
              <w:pStyle w:val="20"/>
              <w:widowControl w:val="0"/>
              <w:spacing w:line="360" w:lineRule="auto"/>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tcBorders>
              <w:top w:val="single" w:color="auto" w:sz="4" w:space="0"/>
              <w:left w:val="single" w:color="auto" w:sz="4" w:space="0"/>
              <w:bottom w:val="single" w:color="auto" w:sz="4" w:space="0"/>
              <w:right w:val="single" w:color="auto" w:sz="4" w:space="0"/>
            </w:tcBorders>
            <w:noWrap/>
            <w:vAlign w:val="center"/>
          </w:tcPr>
          <w:p>
            <w:pPr>
              <w:pStyle w:val="20"/>
              <w:widowControl w:val="0"/>
              <w:tabs>
                <w:tab w:val="left" w:pos="3200"/>
              </w:tabs>
              <w:spacing w:line="360" w:lineRule="auto"/>
              <w:jc w:val="center"/>
              <w:rPr>
                <w:rFonts w:cs="宋体"/>
              </w:rPr>
            </w:pPr>
            <w:r>
              <w:rPr>
                <w:rFonts w:hint="eastAsia" w:cs="宋体"/>
              </w:rPr>
              <w:t>…</w:t>
            </w:r>
          </w:p>
        </w:tc>
        <w:tc>
          <w:tcPr>
            <w:tcW w:w="1410" w:type="dxa"/>
            <w:tcBorders>
              <w:top w:val="single" w:color="auto" w:sz="4" w:space="0"/>
              <w:left w:val="single" w:color="auto" w:sz="4" w:space="0"/>
              <w:bottom w:val="single" w:color="auto" w:sz="4" w:space="0"/>
              <w:right w:val="single" w:color="auto" w:sz="4" w:space="0"/>
            </w:tcBorders>
            <w:noWrap/>
            <w:vAlign w:val="center"/>
          </w:tcPr>
          <w:p>
            <w:pPr>
              <w:pStyle w:val="20"/>
              <w:widowControl w:val="0"/>
              <w:spacing w:line="360" w:lineRule="auto"/>
              <w:jc w:val="center"/>
              <w:rPr>
                <w:rFonts w:cs="宋体"/>
              </w:rPr>
            </w:pPr>
            <w:r>
              <w:rPr>
                <w:rFonts w:hint="eastAsia" w:cs="宋体"/>
              </w:rPr>
              <w:t>…</w:t>
            </w:r>
          </w:p>
        </w:tc>
        <w:tc>
          <w:tcPr>
            <w:tcW w:w="1739" w:type="dxa"/>
            <w:tcBorders>
              <w:top w:val="single" w:color="auto" w:sz="4" w:space="0"/>
              <w:left w:val="single" w:color="auto" w:sz="4" w:space="0"/>
              <w:bottom w:val="single" w:color="auto" w:sz="4" w:space="0"/>
              <w:right w:val="single" w:color="auto" w:sz="4" w:space="0"/>
            </w:tcBorders>
            <w:noWrap/>
            <w:vAlign w:val="center"/>
          </w:tcPr>
          <w:p>
            <w:pPr>
              <w:pStyle w:val="20"/>
              <w:widowControl w:val="0"/>
              <w:spacing w:line="360" w:lineRule="auto"/>
              <w:jc w:val="center"/>
              <w:rPr>
                <w:rFonts w:cs="宋体"/>
              </w:rPr>
            </w:pPr>
            <w:r>
              <w:rPr>
                <w:rFonts w:hint="eastAsia" w:cs="宋体"/>
              </w:rPr>
              <w:t>…</w:t>
            </w:r>
          </w:p>
        </w:tc>
        <w:tc>
          <w:tcPr>
            <w:tcW w:w="1779" w:type="dxa"/>
            <w:tcBorders>
              <w:top w:val="single" w:color="auto" w:sz="4" w:space="0"/>
              <w:left w:val="single" w:color="auto" w:sz="4" w:space="0"/>
              <w:bottom w:val="single" w:color="auto" w:sz="4" w:space="0"/>
              <w:right w:val="single" w:color="auto" w:sz="4" w:space="0"/>
            </w:tcBorders>
            <w:noWrap/>
            <w:vAlign w:val="center"/>
          </w:tcPr>
          <w:p>
            <w:pPr>
              <w:pStyle w:val="20"/>
              <w:widowControl w:val="0"/>
              <w:spacing w:line="360" w:lineRule="auto"/>
              <w:jc w:val="center"/>
              <w:rPr>
                <w:rFonts w:cs="宋体"/>
              </w:rPr>
            </w:pPr>
            <w:r>
              <w:rPr>
                <w:rFonts w:hint="eastAsia" w:cs="宋体"/>
              </w:rPr>
              <w:t>…</w:t>
            </w:r>
          </w:p>
        </w:tc>
        <w:tc>
          <w:tcPr>
            <w:tcW w:w="1854" w:type="dxa"/>
            <w:tcBorders>
              <w:top w:val="single" w:color="auto" w:sz="4" w:space="0"/>
              <w:left w:val="single" w:color="auto" w:sz="4" w:space="0"/>
              <w:bottom w:val="single" w:color="auto" w:sz="4" w:space="0"/>
              <w:right w:val="single" w:color="auto" w:sz="4" w:space="0"/>
            </w:tcBorders>
            <w:noWrap/>
            <w:vAlign w:val="center"/>
          </w:tcPr>
          <w:p>
            <w:pPr>
              <w:pStyle w:val="20"/>
              <w:widowControl w:val="0"/>
              <w:spacing w:line="360" w:lineRule="auto"/>
              <w:jc w:val="center"/>
              <w:rPr>
                <w:rFonts w:cs="宋体"/>
              </w:rPr>
            </w:pPr>
            <w:r>
              <w:rPr>
                <w:rFonts w:hint="eastAsia" w:cs="宋体"/>
              </w:rPr>
              <w:t>…</w:t>
            </w:r>
          </w:p>
        </w:tc>
        <w:tc>
          <w:tcPr>
            <w:tcW w:w="1351" w:type="dxa"/>
            <w:tcBorders>
              <w:top w:val="single" w:color="auto" w:sz="4" w:space="0"/>
              <w:left w:val="single" w:color="auto" w:sz="4" w:space="0"/>
              <w:bottom w:val="single" w:color="auto" w:sz="4" w:space="0"/>
              <w:right w:val="single" w:color="auto" w:sz="4" w:space="0"/>
            </w:tcBorders>
            <w:noWrap/>
            <w:vAlign w:val="center"/>
          </w:tcPr>
          <w:p>
            <w:pPr>
              <w:pStyle w:val="20"/>
              <w:widowControl w:val="0"/>
              <w:spacing w:line="360" w:lineRule="auto"/>
              <w:jc w:val="center"/>
              <w:rPr>
                <w:rFonts w:cs="宋体"/>
              </w:rPr>
            </w:pPr>
            <w:r>
              <w:rPr>
                <w:rFonts w:hint="eastAsia" w:cs="宋体"/>
              </w:rPr>
              <w:t>…</w:t>
            </w:r>
          </w:p>
        </w:tc>
      </w:tr>
    </w:tbl>
    <w:p>
      <w:pPr>
        <w:pStyle w:val="20"/>
        <w:widowControl w:val="0"/>
        <w:spacing w:line="360" w:lineRule="auto"/>
        <w:jc w:val="both"/>
        <w:rPr>
          <w:rFonts w:cs="宋体"/>
        </w:rPr>
      </w:pPr>
      <w:r>
        <w:rPr>
          <w:rFonts w:hint="eastAsia" w:cs="宋体"/>
          <w:kern w:val="2"/>
        </w:rPr>
        <w:t>注：请各投标人参照招标文件严格按以下要求认真填写偏离表：</w:t>
      </w:r>
    </w:p>
    <w:p>
      <w:pPr>
        <w:pStyle w:val="20"/>
        <w:widowControl w:val="0"/>
        <w:spacing w:line="360" w:lineRule="auto"/>
        <w:ind w:firstLine="480" w:firstLineChars="200"/>
        <w:jc w:val="both"/>
        <w:rPr>
          <w:rFonts w:cs="宋体"/>
        </w:rPr>
      </w:pPr>
      <w:r>
        <w:rPr>
          <w:rFonts w:hint="eastAsia" w:cs="宋体"/>
          <w:kern w:val="2"/>
        </w:rPr>
        <w:t>1.投标人应根据投标产品（含服务）的实际规格，并对照招标文件要求，对确实存在投标规格要求与招标文件要求有偏离的情况，应真实、认真的填写本表。“投标产品（含服务）名称”栏注明偏离产品的名称；“投标产品（含服务）详细规格” 栏注明投标产品（含服务）的详细技术参数；“偏离情况详细说明”栏注明详细的偏离指标及说明；“备注”栏注明此项偏离为“正偏离”或“负偏离”；投标人因任何原因漏写或缺项或填写不正确的，后果由投标人自行承担。</w:t>
      </w:r>
    </w:p>
    <w:p>
      <w:pPr>
        <w:pStyle w:val="20"/>
        <w:widowControl w:val="0"/>
        <w:tabs>
          <w:tab w:val="left" w:pos="1267"/>
        </w:tabs>
        <w:spacing w:line="360" w:lineRule="auto"/>
        <w:ind w:firstLine="480" w:firstLineChars="200"/>
        <w:jc w:val="both"/>
        <w:rPr>
          <w:rFonts w:cs="宋体"/>
        </w:rPr>
      </w:pPr>
      <w:r>
        <w:rPr>
          <w:rFonts w:hint="eastAsia" w:cs="宋体"/>
          <w:kern w:val="2"/>
        </w:rPr>
        <w:t>2.投标人真实填写本表，并对其真实性负责。评标委员会将根据评审办法和细则进行打分。）如某项非实质性投标规格实际为“负偏离”，而投标人注明为“正偏离”或不注明的，评标委员会可对此项偏离按评审办法加倍减分。</w:t>
      </w:r>
    </w:p>
    <w:p>
      <w:pPr>
        <w:pStyle w:val="20"/>
        <w:widowControl w:val="0"/>
        <w:spacing w:line="360" w:lineRule="auto"/>
        <w:ind w:firstLine="480" w:firstLineChars="200"/>
        <w:jc w:val="both"/>
        <w:rPr>
          <w:rFonts w:cs="宋体"/>
        </w:rPr>
      </w:pPr>
      <w:r>
        <w:rPr>
          <w:rFonts w:hint="eastAsia" w:cs="宋体"/>
          <w:kern w:val="2"/>
        </w:rPr>
        <w:t>3.投标人注明的偏离情况只作为评审专家评定的参考，最终是否构成偏离或实质性偏离情况应由评标委员会决定。</w:t>
      </w:r>
    </w:p>
    <w:p>
      <w:pPr>
        <w:pStyle w:val="20"/>
        <w:widowControl w:val="0"/>
        <w:spacing w:line="360" w:lineRule="auto"/>
        <w:ind w:firstLine="480" w:firstLineChars="200"/>
        <w:jc w:val="both"/>
        <w:rPr>
          <w:rFonts w:cs="宋体"/>
        </w:rPr>
      </w:pPr>
      <w:r>
        <w:rPr>
          <w:rFonts w:hint="eastAsia" w:cs="宋体"/>
          <w:kern w:val="2"/>
        </w:rPr>
        <w:t>4.招标文件中“▲”条款为实质性条款。</w:t>
      </w:r>
    </w:p>
    <w:p>
      <w:pPr>
        <w:tabs>
          <w:tab w:val="left" w:pos="2355"/>
          <w:tab w:val="center" w:pos="4513"/>
        </w:tabs>
        <w:spacing w:line="360" w:lineRule="auto"/>
        <w:ind w:firstLine="480" w:firstLineChars="200"/>
        <w:rPr>
          <w:rFonts w:ascii="宋体" w:hAnsi="宋体" w:cs="宋体"/>
          <w:sz w:val="24"/>
        </w:rPr>
      </w:pPr>
      <w:r>
        <w:rPr>
          <w:rFonts w:hint="eastAsia" w:ascii="宋体" w:hAnsi="宋体" w:cs="宋体"/>
          <w:sz w:val="24"/>
        </w:rPr>
        <w:t>5.投标规格的实际偏离情况以评标委员会综合评价为准，</w:t>
      </w:r>
      <w:r>
        <w:rPr>
          <w:rFonts w:hint="eastAsia" w:ascii="宋体" w:hAnsi="宋体" w:cs="宋体"/>
          <w:bCs/>
          <w:sz w:val="24"/>
        </w:rPr>
        <w:t>解释权属</w:t>
      </w:r>
      <w:r>
        <w:rPr>
          <w:rFonts w:hint="eastAsia" w:ascii="宋体" w:hAnsi="宋体" w:cs="宋体"/>
          <w:sz w:val="24"/>
        </w:rPr>
        <w:t>评标委员会</w:t>
      </w:r>
      <w:r>
        <w:rPr>
          <w:rFonts w:hint="eastAsia" w:ascii="宋体" w:hAnsi="宋体" w:cs="宋体"/>
          <w:bCs/>
          <w:sz w:val="24"/>
        </w:rPr>
        <w:t>。</w:t>
      </w:r>
    </w:p>
    <w:p>
      <w:pPr>
        <w:pStyle w:val="41"/>
        <w:spacing w:after="156" w:line="360" w:lineRule="auto"/>
        <w:jc w:val="left"/>
        <w:rPr>
          <w:rFonts w:ascii="宋体" w:hAnsi="宋体"/>
          <w:b/>
          <w:bCs/>
          <w:sz w:val="28"/>
          <w:szCs w:val="28"/>
        </w:rPr>
      </w:pPr>
    </w:p>
    <w:p>
      <w:pPr>
        <w:pStyle w:val="41"/>
        <w:spacing w:after="156" w:line="360" w:lineRule="auto"/>
        <w:jc w:val="left"/>
        <w:rPr>
          <w:rFonts w:ascii="宋体" w:hAnsi="宋体"/>
          <w:b/>
          <w:bCs/>
          <w:sz w:val="28"/>
          <w:szCs w:val="28"/>
        </w:rPr>
      </w:pPr>
      <w:r>
        <w:rPr>
          <w:rFonts w:hint="eastAsia" w:ascii="宋体" w:hAnsi="宋体"/>
          <w:b/>
          <w:bCs/>
          <w:sz w:val="28"/>
          <w:szCs w:val="28"/>
        </w:rPr>
        <w:t>4、功能演示</w:t>
      </w:r>
    </w:p>
    <w:p>
      <w:pPr>
        <w:pStyle w:val="41"/>
        <w:spacing w:after="156" w:line="360" w:lineRule="auto"/>
        <w:jc w:val="left"/>
        <w:rPr>
          <w:rFonts w:ascii="宋体" w:hAnsi="宋体"/>
          <w:b/>
          <w:bCs/>
          <w:sz w:val="28"/>
          <w:szCs w:val="28"/>
        </w:rPr>
      </w:pPr>
      <w:r>
        <w:rPr>
          <w:rFonts w:hint="eastAsia" w:ascii="宋体" w:hAnsi="宋体"/>
          <w:b/>
          <w:bCs/>
          <w:sz w:val="28"/>
          <w:szCs w:val="28"/>
        </w:rPr>
        <w:t>5、售后服务</w:t>
      </w:r>
    </w:p>
    <w:p>
      <w:pPr>
        <w:pStyle w:val="41"/>
        <w:spacing w:after="156" w:line="360" w:lineRule="auto"/>
        <w:jc w:val="left"/>
        <w:rPr>
          <w:rFonts w:ascii="宋体" w:hAnsi="宋体"/>
          <w:b/>
          <w:bCs/>
          <w:sz w:val="28"/>
          <w:szCs w:val="28"/>
        </w:rPr>
      </w:pPr>
      <w:r>
        <w:rPr>
          <w:rFonts w:hint="eastAsia" w:ascii="宋体" w:hAnsi="宋体"/>
          <w:b/>
          <w:bCs/>
          <w:sz w:val="28"/>
          <w:szCs w:val="28"/>
        </w:rPr>
        <w:t>6、项目团队能力</w:t>
      </w:r>
    </w:p>
    <w:p>
      <w:pPr>
        <w:spacing w:line="360" w:lineRule="auto"/>
        <w:jc w:val="left"/>
        <w:rPr>
          <w:rFonts w:ascii="宋体" w:hAnsi="宋体"/>
          <w:b/>
          <w:bCs/>
          <w:sz w:val="28"/>
          <w:szCs w:val="28"/>
        </w:rPr>
      </w:pPr>
      <w:r>
        <w:rPr>
          <w:rFonts w:hint="eastAsia" w:ascii="宋体" w:hAnsi="宋体"/>
          <w:b/>
          <w:bCs/>
          <w:sz w:val="28"/>
          <w:szCs w:val="28"/>
          <w:lang w:val="en-US" w:eastAsia="zh-CN"/>
        </w:rPr>
        <w:t>7</w:t>
      </w:r>
      <w:r>
        <w:rPr>
          <w:rFonts w:hint="eastAsia" w:ascii="宋体" w:hAnsi="宋体"/>
          <w:b/>
          <w:bCs/>
          <w:sz w:val="28"/>
          <w:szCs w:val="28"/>
        </w:rPr>
        <w:t>、投标人认为需要提供的或评分办法要求提供的其他资料</w:t>
      </w:r>
    </w:p>
    <w:p>
      <w:pPr>
        <w:pStyle w:val="41"/>
        <w:spacing w:after="156" w:line="360" w:lineRule="auto"/>
        <w:rPr>
          <w:rFonts w:ascii="宋体" w:hAnsi="宋体"/>
          <w:sz w:val="22"/>
          <w:szCs w:val="22"/>
        </w:rPr>
      </w:pPr>
    </w:p>
    <w:p>
      <w:pPr>
        <w:pStyle w:val="41"/>
        <w:spacing w:after="156" w:line="360" w:lineRule="auto"/>
        <w:rPr>
          <w:rFonts w:ascii="宋体" w:hAnsi="宋体"/>
          <w:sz w:val="22"/>
          <w:szCs w:val="22"/>
        </w:rPr>
      </w:pPr>
    </w:p>
    <w:p>
      <w:pPr>
        <w:pStyle w:val="41"/>
        <w:spacing w:after="156" w:line="360" w:lineRule="auto"/>
        <w:rPr>
          <w:rFonts w:ascii="宋体" w:hAnsi="宋体"/>
          <w:sz w:val="24"/>
        </w:rPr>
      </w:pPr>
      <w:r>
        <w:rPr>
          <w:rFonts w:hint="eastAsia" w:ascii="宋体" w:hAnsi="宋体"/>
          <w:sz w:val="24"/>
        </w:rPr>
        <w:t>内容要求：</w:t>
      </w:r>
    </w:p>
    <w:p>
      <w:pPr>
        <w:pStyle w:val="41"/>
        <w:spacing w:after="156" w:line="360" w:lineRule="auto"/>
        <w:ind w:firstLine="480" w:firstLineChars="200"/>
        <w:rPr>
          <w:rFonts w:ascii="宋体" w:hAnsi="宋体"/>
          <w:sz w:val="24"/>
        </w:rPr>
      </w:pPr>
      <w:r>
        <w:rPr>
          <w:rFonts w:hint="eastAsia" w:ascii="宋体" w:hAnsi="宋体"/>
          <w:sz w:val="24"/>
        </w:rPr>
        <w:t>投标人须针对采购需求中有关章节的需求逐个作出实质性的响应，请按采购需求内容的顺序进行详细描述。</w:t>
      </w:r>
    </w:p>
    <w:p>
      <w:pPr>
        <w:pStyle w:val="41"/>
        <w:spacing w:after="156" w:line="360" w:lineRule="auto"/>
        <w:rPr>
          <w:rFonts w:ascii="宋体" w:hAnsi="宋体"/>
          <w:sz w:val="24"/>
        </w:rPr>
      </w:pPr>
      <w:r>
        <w:rPr>
          <w:rFonts w:hint="eastAsia" w:ascii="宋体" w:hAnsi="宋体"/>
          <w:sz w:val="24"/>
        </w:rPr>
        <w:t>注：1.按第三章和第六章内容要求编制；</w:t>
      </w:r>
    </w:p>
    <w:p>
      <w:pPr>
        <w:spacing w:line="360" w:lineRule="auto"/>
        <w:ind w:firstLine="465"/>
        <w:rPr>
          <w:rFonts w:ascii="宋体" w:hAnsi="宋体"/>
          <w:spacing w:val="20"/>
          <w:sz w:val="24"/>
        </w:rPr>
      </w:pPr>
      <w:r>
        <w:rPr>
          <w:rFonts w:ascii="宋体" w:hAnsi="宋体"/>
          <w:sz w:val="24"/>
        </w:rPr>
        <w:t>2.</w:t>
      </w:r>
      <w:r>
        <w:rPr>
          <w:rFonts w:hint="eastAsia" w:ascii="宋体" w:hAnsi="宋体"/>
          <w:sz w:val="24"/>
        </w:rPr>
        <w:t>格式自拟；</w:t>
      </w:r>
    </w:p>
    <w:p>
      <w:pPr>
        <w:pStyle w:val="32"/>
        <w:spacing w:line="360" w:lineRule="auto"/>
        <w:ind w:firstLine="4940" w:firstLineChars="1900"/>
        <w:rPr>
          <w:rFonts w:ascii="宋体" w:hAnsi="宋体"/>
          <w:spacing w:val="20"/>
          <w:sz w:val="22"/>
          <w:szCs w:val="22"/>
        </w:rPr>
      </w:pPr>
    </w:p>
    <w:p>
      <w:pPr>
        <w:pStyle w:val="20"/>
        <w:widowControl w:val="0"/>
        <w:wordWrap w:val="0"/>
        <w:spacing w:before="0" w:beforeAutospacing="0" w:after="0" w:afterAutospacing="0" w:line="360" w:lineRule="auto"/>
        <w:ind w:firstLine="480"/>
        <w:jc w:val="center"/>
        <w:rPr>
          <w:rFonts w:cs="宋体"/>
          <w:szCs w:val="21"/>
          <w:u w:val="single"/>
        </w:rPr>
      </w:pPr>
      <w:r>
        <w:rPr>
          <w:rFonts w:hint="eastAsia" w:cs="宋体"/>
          <w:kern w:val="2"/>
          <w:szCs w:val="21"/>
        </w:rPr>
        <w:t>投标人盖章：</w:t>
      </w:r>
    </w:p>
    <w:p>
      <w:pPr>
        <w:pStyle w:val="20"/>
        <w:widowControl w:val="0"/>
        <w:wordWrap w:val="0"/>
        <w:spacing w:before="0" w:beforeAutospacing="0" w:after="0" w:afterAutospacing="0" w:line="360" w:lineRule="auto"/>
        <w:ind w:firstLine="480"/>
        <w:jc w:val="center"/>
        <w:rPr>
          <w:rFonts w:cs="宋体"/>
          <w:szCs w:val="21"/>
          <w:u w:val="single"/>
        </w:rPr>
      </w:pPr>
      <w:r>
        <w:rPr>
          <w:rFonts w:hint="eastAsia" w:cs="宋体"/>
          <w:kern w:val="2"/>
          <w:szCs w:val="21"/>
        </w:rPr>
        <w:t>日      期：</w:t>
      </w:r>
    </w:p>
    <w:p>
      <w:pPr>
        <w:pStyle w:val="20"/>
        <w:widowControl w:val="0"/>
        <w:wordWrap w:val="0"/>
        <w:spacing w:before="0" w:beforeAutospacing="0" w:after="0" w:afterAutospacing="0" w:line="360" w:lineRule="auto"/>
        <w:jc w:val="both"/>
        <w:rPr>
          <w:sz w:val="32"/>
          <w:szCs w:val="32"/>
        </w:rPr>
      </w:pPr>
      <w:r>
        <w:rPr>
          <w:sz w:val="32"/>
        </w:rPr>
        <w:br w:type="page"/>
      </w:r>
    </w:p>
    <w:p>
      <w:pPr>
        <w:spacing w:line="360" w:lineRule="auto"/>
        <w:rPr>
          <w:rFonts w:ascii="宋体" w:hAnsi="宋体"/>
          <w:b/>
          <w:sz w:val="24"/>
        </w:rPr>
      </w:pPr>
    </w:p>
    <w:bookmarkEnd w:id="337"/>
    <w:p>
      <w:pPr>
        <w:pStyle w:val="4"/>
        <w:spacing w:line="360" w:lineRule="auto"/>
        <w:ind w:firstLine="0" w:firstLineChars="0"/>
        <w:jc w:val="center"/>
        <w:rPr>
          <w:rFonts w:ascii="宋体" w:hAnsi="宋体"/>
          <w:b w:val="0"/>
          <w:bCs w:val="0"/>
        </w:rPr>
      </w:pPr>
      <w:bookmarkStart w:id="338" w:name="_Toc8102"/>
      <w:bookmarkStart w:id="339" w:name="_Toc2882"/>
      <w:bookmarkStart w:id="340" w:name="_Toc26646"/>
      <w:bookmarkStart w:id="341" w:name="_Toc26863"/>
      <w:bookmarkStart w:id="342" w:name="_Toc20012"/>
      <w:bookmarkStart w:id="343" w:name="_Toc83312457"/>
      <w:bookmarkStart w:id="344" w:name="_Toc11193"/>
      <w:bookmarkStart w:id="345" w:name="_Toc69635465"/>
      <w:r>
        <w:rPr>
          <w:rFonts w:hint="eastAsia" w:ascii="宋体" w:hAnsi="宋体"/>
          <w:b w:val="0"/>
          <w:bCs w:val="0"/>
        </w:rPr>
        <w:t>三   报价文件格式</w:t>
      </w:r>
      <w:bookmarkEnd w:id="338"/>
      <w:bookmarkEnd w:id="339"/>
      <w:bookmarkEnd w:id="340"/>
      <w:bookmarkEnd w:id="341"/>
      <w:bookmarkEnd w:id="342"/>
      <w:bookmarkEnd w:id="343"/>
      <w:bookmarkEnd w:id="344"/>
      <w:bookmarkEnd w:id="345"/>
    </w:p>
    <w:p>
      <w:pPr>
        <w:pStyle w:val="5"/>
        <w:spacing w:line="360" w:lineRule="auto"/>
        <w:rPr>
          <w:rFonts w:ascii="宋体" w:hAnsi="宋体"/>
        </w:rPr>
      </w:pPr>
    </w:p>
    <w:p>
      <w:pPr>
        <w:pStyle w:val="5"/>
        <w:spacing w:line="360" w:lineRule="auto"/>
        <w:jc w:val="center"/>
        <w:rPr>
          <w:rFonts w:ascii="宋体" w:hAnsi="宋体"/>
        </w:rPr>
      </w:pPr>
    </w:p>
    <w:p>
      <w:pPr>
        <w:spacing w:line="360" w:lineRule="auto"/>
        <w:rPr>
          <w:rFonts w:ascii="宋体" w:hAnsi="宋体"/>
          <w:sz w:val="30"/>
        </w:rPr>
      </w:pPr>
      <w:r>
        <w:rPr>
          <w:rFonts w:ascii="宋体" w:hAnsi="宋体"/>
        </w:rPr>
        <w:br w:type="page"/>
      </w:r>
    </w:p>
    <w:p>
      <w:pPr>
        <w:spacing w:line="360" w:lineRule="auto"/>
        <w:jc w:val="center"/>
        <w:rPr>
          <w:rFonts w:ascii="宋体" w:hAnsi="宋体"/>
          <w:b/>
          <w:sz w:val="32"/>
        </w:rPr>
      </w:pPr>
      <w:r>
        <w:rPr>
          <w:rFonts w:hint="eastAsia" w:ascii="宋体" w:hAnsi="宋体"/>
          <w:b/>
          <w:sz w:val="36"/>
        </w:rPr>
        <w:t>报价文件封面</w:t>
      </w:r>
    </w:p>
    <w:p>
      <w:pPr>
        <w:pStyle w:val="5"/>
        <w:spacing w:line="360" w:lineRule="auto"/>
        <w:ind w:firstLine="1497" w:firstLineChars="416"/>
        <w:rPr>
          <w:rFonts w:ascii="宋体" w:hAnsi="宋体"/>
          <w:sz w:val="36"/>
          <w:szCs w:val="32"/>
        </w:rPr>
      </w:pPr>
    </w:p>
    <w:p>
      <w:pPr>
        <w:pStyle w:val="5"/>
        <w:spacing w:line="360" w:lineRule="auto"/>
        <w:ind w:firstLine="1497" w:firstLineChars="416"/>
        <w:rPr>
          <w:rFonts w:ascii="宋体" w:hAnsi="宋体"/>
          <w:sz w:val="36"/>
          <w:szCs w:val="32"/>
        </w:rPr>
      </w:pPr>
    </w:p>
    <w:p>
      <w:pPr>
        <w:pStyle w:val="5"/>
        <w:spacing w:line="360" w:lineRule="auto"/>
        <w:ind w:firstLine="1497" w:firstLineChars="416"/>
        <w:rPr>
          <w:rFonts w:ascii="宋体" w:hAnsi="宋体"/>
          <w:sz w:val="36"/>
          <w:szCs w:val="32"/>
        </w:rPr>
      </w:pPr>
    </w:p>
    <w:p>
      <w:pPr>
        <w:pStyle w:val="5"/>
        <w:spacing w:line="360" w:lineRule="auto"/>
        <w:ind w:firstLine="1497" w:firstLineChars="416"/>
        <w:rPr>
          <w:rFonts w:ascii="宋体" w:hAnsi="宋体"/>
          <w:sz w:val="36"/>
          <w:szCs w:val="32"/>
        </w:rPr>
      </w:pPr>
      <w:r>
        <w:rPr>
          <w:rFonts w:ascii="宋体" w:hAnsi="宋体"/>
          <w:sz w:val="36"/>
          <w:szCs w:val="32"/>
        </w:rPr>
        <w:t>采购编号：</w:t>
      </w:r>
    </w:p>
    <w:p>
      <w:pPr>
        <w:pStyle w:val="5"/>
        <w:spacing w:line="360" w:lineRule="auto"/>
        <w:ind w:left="0" w:leftChars="0" w:firstLine="0" w:firstLineChars="0"/>
        <w:rPr>
          <w:rFonts w:ascii="宋体" w:hAnsi="宋体"/>
          <w:sz w:val="36"/>
          <w:szCs w:val="32"/>
        </w:rPr>
      </w:pPr>
    </w:p>
    <w:p>
      <w:pPr>
        <w:pStyle w:val="5"/>
        <w:spacing w:line="360" w:lineRule="auto"/>
        <w:ind w:firstLine="1497" w:firstLineChars="416"/>
        <w:rPr>
          <w:rFonts w:ascii="宋体" w:hAnsi="宋体"/>
          <w:sz w:val="36"/>
          <w:szCs w:val="32"/>
        </w:rPr>
      </w:pPr>
    </w:p>
    <w:p>
      <w:pPr>
        <w:pStyle w:val="5"/>
        <w:spacing w:line="360" w:lineRule="auto"/>
        <w:ind w:firstLine="1497" w:firstLineChars="416"/>
        <w:rPr>
          <w:rFonts w:ascii="宋体" w:hAnsi="宋体"/>
          <w:sz w:val="36"/>
          <w:szCs w:val="32"/>
        </w:rPr>
      </w:pPr>
      <w:r>
        <w:rPr>
          <w:rFonts w:ascii="宋体" w:hAnsi="宋体"/>
          <w:sz w:val="36"/>
          <w:szCs w:val="32"/>
        </w:rPr>
        <w:t>项目名称</w:t>
      </w:r>
      <w:r>
        <w:rPr>
          <w:rFonts w:hint="eastAsia" w:ascii="宋体" w:hAnsi="宋体"/>
          <w:sz w:val="36"/>
          <w:szCs w:val="32"/>
        </w:rPr>
        <w:t xml:space="preserve">：                 </w:t>
      </w:r>
    </w:p>
    <w:p>
      <w:pPr>
        <w:pStyle w:val="2"/>
        <w:spacing w:line="360" w:lineRule="auto"/>
        <w:rPr>
          <w:rFonts w:ascii="宋体" w:hAnsi="宋体"/>
        </w:rPr>
      </w:pPr>
    </w:p>
    <w:p>
      <w:pPr>
        <w:pStyle w:val="5"/>
        <w:spacing w:line="360" w:lineRule="auto"/>
        <w:ind w:firstLine="1497" w:firstLineChars="416"/>
        <w:rPr>
          <w:rFonts w:ascii="宋体" w:hAnsi="宋体"/>
          <w:sz w:val="36"/>
          <w:szCs w:val="32"/>
        </w:rPr>
      </w:pPr>
      <w:r>
        <w:rPr>
          <w:rFonts w:ascii="宋体" w:hAnsi="宋体"/>
          <w:sz w:val="36"/>
          <w:szCs w:val="32"/>
        </w:rPr>
        <w:t>投标文件名称：</w:t>
      </w:r>
      <w:r>
        <w:rPr>
          <w:rFonts w:hint="eastAsia" w:ascii="宋体" w:hAnsi="宋体"/>
          <w:sz w:val="36"/>
        </w:rPr>
        <w:t>报价文件</w:t>
      </w:r>
    </w:p>
    <w:p>
      <w:pPr>
        <w:pStyle w:val="5"/>
        <w:spacing w:line="360" w:lineRule="auto"/>
        <w:ind w:firstLine="1497" w:firstLineChars="416"/>
        <w:rPr>
          <w:rFonts w:ascii="宋体" w:hAnsi="宋体"/>
          <w:sz w:val="36"/>
          <w:szCs w:val="32"/>
        </w:rPr>
      </w:pPr>
    </w:p>
    <w:p>
      <w:pPr>
        <w:pStyle w:val="5"/>
        <w:spacing w:line="360" w:lineRule="auto"/>
        <w:ind w:firstLine="1497" w:firstLineChars="416"/>
        <w:rPr>
          <w:rFonts w:ascii="宋体" w:hAnsi="宋体"/>
          <w:sz w:val="36"/>
          <w:szCs w:val="32"/>
        </w:rPr>
      </w:pPr>
    </w:p>
    <w:p>
      <w:pPr>
        <w:pStyle w:val="5"/>
        <w:spacing w:line="360" w:lineRule="auto"/>
        <w:ind w:firstLine="900" w:firstLineChars="250"/>
        <w:rPr>
          <w:rFonts w:ascii="宋体" w:hAnsi="宋体"/>
          <w:sz w:val="36"/>
        </w:rPr>
      </w:pPr>
      <w:r>
        <w:rPr>
          <w:rFonts w:hint="eastAsia" w:ascii="宋体" w:hAnsi="宋体"/>
          <w:sz w:val="36"/>
        </w:rPr>
        <w:t>供应商</w:t>
      </w:r>
      <w:r>
        <w:rPr>
          <w:rFonts w:ascii="宋体" w:hAnsi="宋体"/>
          <w:sz w:val="36"/>
        </w:rPr>
        <w:t>名称（</w:t>
      </w:r>
      <w:r>
        <w:rPr>
          <w:rFonts w:hint="eastAsia" w:ascii="宋体" w:hAnsi="宋体"/>
          <w:sz w:val="36"/>
        </w:rPr>
        <w:t>CA签章</w:t>
      </w:r>
      <w:r>
        <w:rPr>
          <w:rFonts w:ascii="宋体" w:hAnsi="宋体"/>
          <w:sz w:val="36"/>
        </w:rPr>
        <w:t>）</w:t>
      </w:r>
      <w:r>
        <w:rPr>
          <w:rFonts w:hint="eastAsia" w:ascii="宋体" w:hAnsi="宋体"/>
          <w:sz w:val="36"/>
        </w:rPr>
        <w:t>（如联合体参加，加盖牵头人CA章）</w:t>
      </w:r>
      <w:r>
        <w:rPr>
          <w:rFonts w:ascii="宋体" w:hAnsi="宋体"/>
          <w:sz w:val="36"/>
        </w:rPr>
        <w:t>：</w:t>
      </w:r>
    </w:p>
    <w:p>
      <w:pPr>
        <w:pStyle w:val="5"/>
        <w:spacing w:line="360" w:lineRule="auto"/>
        <w:ind w:firstLine="0"/>
        <w:rPr>
          <w:rFonts w:ascii="宋体" w:hAnsi="宋体"/>
          <w:sz w:val="36"/>
          <w:szCs w:val="32"/>
        </w:rPr>
      </w:pPr>
    </w:p>
    <w:p>
      <w:pPr>
        <w:pStyle w:val="5"/>
        <w:spacing w:line="360" w:lineRule="auto"/>
        <w:ind w:firstLine="1497" w:firstLineChars="416"/>
        <w:rPr>
          <w:rFonts w:ascii="宋体" w:hAnsi="宋体"/>
          <w:sz w:val="36"/>
          <w:szCs w:val="32"/>
        </w:rPr>
      </w:pPr>
    </w:p>
    <w:p>
      <w:pPr>
        <w:pStyle w:val="5"/>
        <w:spacing w:line="360" w:lineRule="auto"/>
        <w:ind w:firstLine="1497" w:firstLineChars="416"/>
        <w:rPr>
          <w:rFonts w:ascii="宋体" w:hAnsi="宋体"/>
          <w:sz w:val="36"/>
          <w:szCs w:val="32"/>
        </w:rPr>
      </w:pPr>
      <w:r>
        <w:rPr>
          <w:rFonts w:ascii="宋体" w:hAnsi="宋体"/>
          <w:sz w:val="36"/>
          <w:szCs w:val="32"/>
        </w:rPr>
        <w:t>投标人地址：</w:t>
      </w:r>
    </w:p>
    <w:p>
      <w:pPr>
        <w:spacing w:line="360" w:lineRule="auto"/>
        <w:jc w:val="center"/>
        <w:rPr>
          <w:rFonts w:ascii="宋体" w:hAnsi="宋体"/>
          <w:sz w:val="30"/>
        </w:rPr>
      </w:pPr>
    </w:p>
    <w:p>
      <w:pPr>
        <w:pStyle w:val="2"/>
        <w:spacing w:line="360" w:lineRule="auto"/>
      </w:pPr>
    </w:p>
    <w:p/>
    <w:p>
      <w:pPr>
        <w:pStyle w:val="25"/>
      </w:pPr>
    </w:p>
    <w:p>
      <w:pPr>
        <w:pStyle w:val="25"/>
      </w:pPr>
    </w:p>
    <w:p/>
    <w:p>
      <w:pPr>
        <w:spacing w:line="360" w:lineRule="auto"/>
        <w:jc w:val="center"/>
        <w:rPr>
          <w:rFonts w:ascii="宋体" w:hAnsi="宋体"/>
          <w:sz w:val="30"/>
        </w:rPr>
      </w:pPr>
      <w:r>
        <w:rPr>
          <w:rFonts w:hint="eastAsia" w:ascii="宋体" w:hAnsi="宋体"/>
          <w:sz w:val="30"/>
        </w:rPr>
        <w:t>1、报价书（开标一览表）</w:t>
      </w:r>
    </w:p>
    <w:p>
      <w:pPr>
        <w:spacing w:line="360" w:lineRule="auto"/>
        <w:ind w:firstLine="280" w:firstLineChars="100"/>
        <w:rPr>
          <w:rFonts w:ascii="宋体" w:hAnsi="宋体"/>
          <w:spacing w:val="20"/>
          <w:sz w:val="24"/>
        </w:rPr>
      </w:pPr>
      <w:r>
        <w:rPr>
          <w:rFonts w:hint="eastAsia" w:ascii="宋体" w:hAnsi="宋体"/>
          <w:spacing w:val="20"/>
          <w:sz w:val="24"/>
        </w:rPr>
        <w:t>采购编号：</w:t>
      </w:r>
    </w:p>
    <w:p>
      <w:pPr>
        <w:spacing w:line="360" w:lineRule="auto"/>
        <w:ind w:firstLine="280" w:firstLineChars="100"/>
        <w:rPr>
          <w:rFonts w:ascii="宋体" w:hAnsi="宋体"/>
          <w:b/>
          <w:spacing w:val="20"/>
          <w:sz w:val="24"/>
        </w:rPr>
      </w:pPr>
      <w:r>
        <w:rPr>
          <w:rFonts w:hint="eastAsia" w:ascii="宋体" w:hAnsi="宋体"/>
          <w:spacing w:val="20"/>
          <w:sz w:val="24"/>
        </w:rPr>
        <w:t xml:space="preserve">项目名称：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460"/>
        <w:gridCol w:w="1920"/>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27" w:type="dxa"/>
            <w:noWrap/>
            <w:vAlign w:val="center"/>
          </w:tcPr>
          <w:p>
            <w:pPr>
              <w:snapToGrid w:val="0"/>
              <w:spacing w:line="360" w:lineRule="auto"/>
              <w:jc w:val="center"/>
              <w:rPr>
                <w:rFonts w:ascii="宋体" w:hAnsi="宋体"/>
                <w:b/>
                <w:bCs/>
                <w:sz w:val="24"/>
                <w:szCs w:val="21"/>
              </w:rPr>
            </w:pPr>
            <w:r>
              <w:rPr>
                <w:rFonts w:hint="eastAsia" w:ascii="宋体" w:hAnsi="宋体"/>
                <w:b/>
                <w:bCs/>
                <w:sz w:val="24"/>
                <w:szCs w:val="21"/>
              </w:rPr>
              <w:t>序号</w:t>
            </w:r>
          </w:p>
        </w:tc>
        <w:tc>
          <w:tcPr>
            <w:tcW w:w="2460" w:type="dxa"/>
            <w:noWrap/>
            <w:vAlign w:val="center"/>
          </w:tcPr>
          <w:p>
            <w:pPr>
              <w:snapToGrid w:val="0"/>
              <w:spacing w:line="360" w:lineRule="auto"/>
              <w:jc w:val="center"/>
              <w:rPr>
                <w:rFonts w:ascii="宋体" w:hAnsi="宋体"/>
                <w:b/>
                <w:bCs/>
                <w:sz w:val="24"/>
                <w:szCs w:val="21"/>
              </w:rPr>
            </w:pPr>
            <w:r>
              <w:rPr>
                <w:rFonts w:hint="eastAsia" w:ascii="宋体" w:hAnsi="宋体"/>
                <w:b/>
                <w:bCs/>
                <w:sz w:val="24"/>
                <w:szCs w:val="21"/>
              </w:rPr>
              <w:t>采购内容</w:t>
            </w:r>
          </w:p>
        </w:tc>
        <w:tc>
          <w:tcPr>
            <w:tcW w:w="1920" w:type="dxa"/>
            <w:noWrap/>
            <w:vAlign w:val="center"/>
          </w:tcPr>
          <w:p>
            <w:pPr>
              <w:snapToGrid w:val="0"/>
              <w:spacing w:line="360" w:lineRule="auto"/>
              <w:jc w:val="center"/>
              <w:rPr>
                <w:rFonts w:ascii="宋体" w:hAnsi="宋体"/>
                <w:b/>
                <w:bCs/>
                <w:sz w:val="24"/>
                <w:szCs w:val="21"/>
              </w:rPr>
            </w:pPr>
            <w:r>
              <w:rPr>
                <w:rFonts w:hint="eastAsia" w:ascii="宋体" w:hAnsi="宋体"/>
                <w:b/>
                <w:bCs/>
                <w:sz w:val="24"/>
                <w:szCs w:val="21"/>
              </w:rPr>
              <w:t>▲最高限价（元）</w:t>
            </w:r>
          </w:p>
        </w:tc>
        <w:tc>
          <w:tcPr>
            <w:tcW w:w="3525" w:type="dxa"/>
            <w:noWrap/>
            <w:vAlign w:val="center"/>
          </w:tcPr>
          <w:p>
            <w:pPr>
              <w:snapToGrid w:val="0"/>
              <w:spacing w:line="360" w:lineRule="auto"/>
              <w:jc w:val="center"/>
              <w:rPr>
                <w:rFonts w:ascii="宋体" w:hAnsi="宋体"/>
                <w:b/>
                <w:bCs/>
                <w:sz w:val="24"/>
                <w:szCs w:val="21"/>
              </w:rPr>
            </w:pPr>
            <w:r>
              <w:rPr>
                <w:rFonts w:hint="eastAsia" w:ascii="宋体" w:hAnsi="宋体"/>
                <w:b/>
                <w:bCs/>
                <w:sz w:val="24"/>
                <w:szCs w:val="21"/>
              </w:rPr>
              <w:t>投标</w:t>
            </w:r>
            <w:r>
              <w:rPr>
                <w:rFonts w:hint="eastAsia" w:ascii="宋体" w:hAnsi="宋体"/>
                <w:b/>
                <w:spacing w:val="20"/>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727" w:type="dxa"/>
            <w:noWrap/>
            <w:vAlign w:val="center"/>
          </w:tcPr>
          <w:p>
            <w:pPr>
              <w:snapToGrid w:val="0"/>
              <w:spacing w:line="360" w:lineRule="auto"/>
              <w:jc w:val="center"/>
              <w:rPr>
                <w:rFonts w:ascii="宋体" w:hAnsi="宋体"/>
                <w:sz w:val="24"/>
              </w:rPr>
            </w:pPr>
            <w:r>
              <w:rPr>
                <w:rFonts w:hint="eastAsia" w:ascii="宋体" w:hAnsi="宋体"/>
                <w:sz w:val="24"/>
              </w:rPr>
              <w:t>1</w:t>
            </w:r>
          </w:p>
        </w:tc>
        <w:tc>
          <w:tcPr>
            <w:tcW w:w="2460" w:type="dxa"/>
            <w:noWrap/>
            <w:vAlign w:val="center"/>
          </w:tcPr>
          <w:p>
            <w:pPr>
              <w:snapToGrid w:val="0"/>
              <w:spacing w:line="360" w:lineRule="auto"/>
              <w:jc w:val="center"/>
              <w:rPr>
                <w:rFonts w:hint="eastAsia" w:ascii="宋体" w:hAnsi="宋体" w:eastAsia="宋体"/>
                <w:sz w:val="24"/>
                <w:lang w:eastAsia="zh-CN"/>
              </w:rPr>
            </w:pPr>
            <w:r>
              <w:rPr>
                <w:rFonts w:hint="eastAsia" w:ascii="宋体" w:hAnsi="宋体"/>
                <w:sz w:val="24"/>
                <w:lang w:eastAsia="zh-CN"/>
              </w:rPr>
              <w:t>丽水职业技术学院数字化仿真基地项目（智能制造数维方向）</w:t>
            </w:r>
          </w:p>
        </w:tc>
        <w:tc>
          <w:tcPr>
            <w:tcW w:w="1920" w:type="dxa"/>
            <w:noWrap/>
            <w:vAlign w:val="center"/>
          </w:tcPr>
          <w:p>
            <w:pPr>
              <w:snapToGrid w:val="0"/>
              <w:spacing w:line="360" w:lineRule="auto"/>
              <w:jc w:val="center"/>
              <w:rPr>
                <w:rFonts w:hint="default" w:ascii="宋体" w:hAnsi="宋体"/>
                <w:sz w:val="24"/>
                <w:lang w:val="en-US"/>
              </w:rPr>
            </w:pPr>
            <w:r>
              <w:rPr>
                <w:rFonts w:hint="eastAsia" w:ascii="宋体" w:hAnsi="宋体"/>
                <w:sz w:val="24"/>
                <w:lang w:val="en-US" w:eastAsia="zh-CN"/>
              </w:rPr>
              <w:t>1499920.00</w:t>
            </w:r>
          </w:p>
        </w:tc>
        <w:tc>
          <w:tcPr>
            <w:tcW w:w="3525" w:type="dxa"/>
            <w:noWrap/>
            <w:vAlign w:val="center"/>
          </w:tcPr>
          <w:p>
            <w:pPr>
              <w:snapToGrid w:val="0"/>
              <w:spacing w:line="360" w:lineRule="auto"/>
              <w:jc w:val="left"/>
              <w:rPr>
                <w:rFonts w:ascii="宋体" w:hAnsi="宋体"/>
                <w:sz w:val="24"/>
              </w:rPr>
            </w:pPr>
            <w:r>
              <w:rPr>
                <w:rFonts w:hint="eastAsia" w:ascii="宋体" w:hAnsi="宋体"/>
                <w:sz w:val="24"/>
              </w:rPr>
              <w:t>小写：</w:t>
            </w:r>
          </w:p>
          <w:p>
            <w:pPr>
              <w:snapToGrid w:val="0"/>
              <w:spacing w:line="360" w:lineRule="auto"/>
              <w:jc w:val="left"/>
              <w:rPr>
                <w:rFonts w:ascii="宋体" w:hAnsi="宋体"/>
                <w:sz w:val="24"/>
              </w:rPr>
            </w:pPr>
          </w:p>
          <w:p>
            <w:pPr>
              <w:snapToGrid w:val="0"/>
              <w:spacing w:line="360" w:lineRule="auto"/>
              <w:jc w:val="left"/>
              <w:rPr>
                <w:rFonts w:ascii="宋体" w:hAnsi="宋体"/>
                <w:sz w:val="24"/>
              </w:rPr>
            </w:pPr>
            <w:r>
              <w:rPr>
                <w:rFonts w:hint="eastAsia" w:ascii="宋体" w:hAnsi="宋体"/>
                <w:sz w:val="24"/>
              </w:rPr>
              <w:t>大写：</w:t>
            </w:r>
          </w:p>
        </w:tc>
      </w:tr>
    </w:tbl>
    <w:p>
      <w:pPr>
        <w:spacing w:line="360" w:lineRule="auto"/>
        <w:ind w:firstLine="480"/>
        <w:rPr>
          <w:rFonts w:ascii="宋体" w:hAnsi="宋体"/>
          <w:b/>
          <w:spacing w:val="20"/>
          <w:sz w:val="24"/>
          <w:szCs w:val="20"/>
        </w:rPr>
      </w:pPr>
    </w:p>
    <w:p>
      <w:pPr>
        <w:spacing w:line="360" w:lineRule="auto"/>
        <w:ind w:firstLine="480"/>
        <w:rPr>
          <w:rFonts w:ascii="宋体" w:hAnsi="宋体"/>
          <w:b/>
          <w:spacing w:val="20"/>
          <w:sz w:val="24"/>
          <w:szCs w:val="20"/>
        </w:rPr>
      </w:pPr>
      <w:r>
        <w:rPr>
          <w:rFonts w:hint="eastAsia" w:ascii="宋体" w:hAnsi="宋体"/>
          <w:b/>
          <w:spacing w:val="20"/>
          <w:sz w:val="24"/>
          <w:szCs w:val="20"/>
        </w:rPr>
        <w:t>注：</w:t>
      </w:r>
    </w:p>
    <w:p>
      <w:pPr>
        <w:spacing w:line="360" w:lineRule="auto"/>
        <w:ind w:firstLine="562" w:firstLineChars="200"/>
        <w:rPr>
          <w:rFonts w:ascii="宋体" w:hAnsi="宋体"/>
          <w:b/>
          <w:spacing w:val="20"/>
          <w:sz w:val="24"/>
        </w:rPr>
      </w:pPr>
      <w:r>
        <w:rPr>
          <w:rFonts w:hint="eastAsia" w:ascii="宋体" w:hAnsi="宋体"/>
          <w:b/>
          <w:spacing w:val="20"/>
          <w:sz w:val="24"/>
        </w:rPr>
        <w:t>1、报价包括完成招标范围内全部工作所需的一切费用。</w:t>
      </w:r>
    </w:p>
    <w:p>
      <w:pPr>
        <w:spacing w:line="360" w:lineRule="auto"/>
        <w:ind w:firstLine="275" w:firstLineChars="98"/>
        <w:textAlignment w:val="baseline"/>
        <w:rPr>
          <w:rFonts w:ascii="宋体" w:hAnsi="宋体"/>
          <w:b/>
          <w:spacing w:val="20"/>
          <w:sz w:val="24"/>
        </w:rPr>
      </w:pPr>
      <w:r>
        <w:rPr>
          <w:rFonts w:hint="eastAsia" w:ascii="宋体" w:hAnsi="宋体"/>
          <w:b/>
          <w:spacing w:val="20"/>
          <w:sz w:val="24"/>
        </w:rPr>
        <w:t>▲2、投标报价高于最高限价的作无效标处理。</w:t>
      </w:r>
    </w:p>
    <w:p>
      <w:pPr>
        <w:pStyle w:val="20"/>
        <w:widowControl w:val="0"/>
        <w:wordWrap w:val="0"/>
        <w:spacing w:before="0" w:beforeAutospacing="0" w:after="0" w:afterAutospacing="0" w:line="360" w:lineRule="auto"/>
        <w:jc w:val="both"/>
        <w:rPr>
          <w:b/>
          <w:spacing w:val="20"/>
          <w:szCs w:val="20"/>
        </w:rPr>
      </w:pPr>
    </w:p>
    <w:p>
      <w:pPr>
        <w:pStyle w:val="20"/>
        <w:widowControl w:val="0"/>
        <w:wordWrap w:val="0"/>
        <w:spacing w:before="0" w:beforeAutospacing="0" w:after="0" w:afterAutospacing="0" w:line="360" w:lineRule="auto"/>
        <w:ind w:firstLine="480"/>
        <w:jc w:val="right"/>
        <w:rPr>
          <w:b/>
          <w:spacing w:val="20"/>
          <w:szCs w:val="20"/>
        </w:rPr>
      </w:pPr>
    </w:p>
    <w:p>
      <w:pPr>
        <w:pStyle w:val="20"/>
        <w:widowControl w:val="0"/>
        <w:wordWrap w:val="0"/>
        <w:spacing w:before="0" w:beforeAutospacing="0" w:after="0" w:afterAutospacing="0" w:line="360" w:lineRule="auto"/>
        <w:ind w:firstLine="480"/>
        <w:jc w:val="center"/>
        <w:rPr>
          <w:rFonts w:cs="宋体"/>
          <w:szCs w:val="21"/>
          <w:u w:val="single"/>
        </w:rPr>
      </w:pPr>
      <w:r>
        <w:rPr>
          <w:rFonts w:hint="eastAsia" w:cs="宋体"/>
          <w:kern w:val="2"/>
          <w:szCs w:val="21"/>
        </w:rPr>
        <w:t>投标人盖章：</w:t>
      </w:r>
    </w:p>
    <w:p>
      <w:pPr>
        <w:pStyle w:val="20"/>
        <w:widowControl w:val="0"/>
        <w:wordWrap w:val="0"/>
        <w:spacing w:before="0" w:beforeAutospacing="0" w:after="0" w:afterAutospacing="0" w:line="360" w:lineRule="auto"/>
        <w:ind w:firstLine="480"/>
        <w:jc w:val="center"/>
        <w:rPr>
          <w:rFonts w:cs="宋体"/>
          <w:szCs w:val="21"/>
          <w:u w:val="single"/>
        </w:rPr>
      </w:pPr>
      <w:r>
        <w:rPr>
          <w:rFonts w:hint="eastAsia" w:cs="宋体"/>
          <w:kern w:val="2"/>
          <w:szCs w:val="21"/>
        </w:rPr>
        <w:t>日      期：</w:t>
      </w:r>
    </w:p>
    <w:p>
      <w:pPr>
        <w:pStyle w:val="2"/>
        <w:spacing w:line="360" w:lineRule="auto"/>
        <w:rPr>
          <w:rFonts w:ascii="宋体" w:hAnsi="宋体"/>
        </w:rPr>
      </w:pPr>
      <w:bookmarkStart w:id="346" w:name="_Hlk63239113"/>
    </w:p>
    <w:p>
      <w:pPr>
        <w:spacing w:line="360" w:lineRule="auto"/>
        <w:jc w:val="center"/>
        <w:rPr>
          <w:rFonts w:hint="eastAsia" w:ascii="宋体" w:hAnsi="宋体"/>
          <w:b/>
          <w:bCs/>
          <w:sz w:val="30"/>
          <w:szCs w:val="30"/>
        </w:rPr>
      </w:pPr>
    </w:p>
    <w:p>
      <w:pPr>
        <w:spacing w:line="360" w:lineRule="auto"/>
        <w:jc w:val="center"/>
        <w:rPr>
          <w:rFonts w:hint="eastAsia" w:ascii="宋体" w:hAnsi="宋体"/>
          <w:b/>
          <w:bCs/>
          <w:sz w:val="30"/>
          <w:szCs w:val="30"/>
        </w:rPr>
      </w:pPr>
    </w:p>
    <w:p>
      <w:pPr>
        <w:spacing w:line="360" w:lineRule="auto"/>
        <w:jc w:val="center"/>
        <w:rPr>
          <w:rFonts w:hint="eastAsia" w:ascii="宋体" w:hAnsi="宋体"/>
          <w:b/>
          <w:bCs/>
          <w:sz w:val="30"/>
          <w:szCs w:val="30"/>
        </w:rPr>
      </w:pPr>
    </w:p>
    <w:p>
      <w:pPr>
        <w:spacing w:line="360" w:lineRule="auto"/>
        <w:jc w:val="center"/>
        <w:rPr>
          <w:rFonts w:hint="eastAsia" w:ascii="宋体" w:hAnsi="宋体"/>
          <w:b/>
          <w:bCs/>
          <w:sz w:val="30"/>
          <w:szCs w:val="30"/>
        </w:rPr>
      </w:pPr>
    </w:p>
    <w:p>
      <w:pPr>
        <w:spacing w:line="360" w:lineRule="auto"/>
        <w:jc w:val="center"/>
        <w:rPr>
          <w:rFonts w:hint="eastAsia" w:ascii="宋体" w:hAnsi="宋体"/>
          <w:b/>
          <w:bCs/>
          <w:sz w:val="30"/>
          <w:szCs w:val="30"/>
        </w:rPr>
      </w:pPr>
    </w:p>
    <w:p>
      <w:pPr>
        <w:spacing w:line="360" w:lineRule="auto"/>
        <w:jc w:val="center"/>
        <w:rPr>
          <w:rFonts w:hint="eastAsia" w:ascii="宋体" w:hAnsi="宋体"/>
          <w:b/>
          <w:bCs/>
          <w:sz w:val="30"/>
          <w:szCs w:val="30"/>
        </w:rPr>
      </w:pPr>
    </w:p>
    <w:p>
      <w:pPr>
        <w:pStyle w:val="25"/>
        <w:rPr>
          <w:rFonts w:hint="eastAsia" w:ascii="宋体" w:hAnsi="宋体"/>
          <w:b/>
          <w:bCs/>
          <w:sz w:val="30"/>
          <w:szCs w:val="30"/>
        </w:rPr>
      </w:pPr>
    </w:p>
    <w:p>
      <w:pPr>
        <w:spacing w:line="360" w:lineRule="auto"/>
        <w:jc w:val="center"/>
        <w:rPr>
          <w:rFonts w:ascii="宋体" w:hAnsi="宋体"/>
          <w:b/>
          <w:bCs/>
          <w:sz w:val="30"/>
          <w:szCs w:val="30"/>
        </w:rPr>
      </w:pPr>
      <w:r>
        <w:rPr>
          <w:rFonts w:hint="eastAsia" w:ascii="宋体" w:hAnsi="宋体"/>
          <w:b/>
          <w:bCs/>
          <w:sz w:val="30"/>
          <w:szCs w:val="30"/>
        </w:rPr>
        <w:t>2、分项报价表</w:t>
      </w:r>
    </w:p>
    <w:bookmarkEnd w:id="346"/>
    <w:p>
      <w:pPr>
        <w:spacing w:line="360" w:lineRule="auto"/>
        <w:rPr>
          <w:rFonts w:hint="eastAsia" w:ascii="宋体" w:hAnsi="宋体"/>
          <w:spacing w:val="20"/>
          <w:sz w:val="24"/>
        </w:rPr>
      </w:pPr>
      <w:bookmarkStart w:id="347" w:name="_Toc119229667"/>
      <w:bookmarkStart w:id="348" w:name="_Toc497376120"/>
      <w:r>
        <w:rPr>
          <w:rFonts w:hint="eastAsia" w:ascii="宋体" w:hAnsi="宋体"/>
          <w:spacing w:val="20"/>
          <w:sz w:val="24"/>
        </w:rPr>
        <w:t>采购编号：</w:t>
      </w:r>
    </w:p>
    <w:p>
      <w:pPr>
        <w:spacing w:line="360" w:lineRule="auto"/>
        <w:rPr>
          <w:rFonts w:hint="eastAsia" w:ascii="宋体" w:hAnsi="宋体"/>
          <w:b/>
          <w:sz w:val="30"/>
        </w:rPr>
      </w:pPr>
      <w:r>
        <w:rPr>
          <w:rFonts w:hint="eastAsia" w:ascii="宋体" w:hAnsi="宋体"/>
          <w:spacing w:val="20"/>
          <w:sz w:val="24"/>
        </w:rPr>
        <w:t xml:space="preserve">项目名称：                                </w:t>
      </w:r>
    </w:p>
    <w:tbl>
      <w:tblPr>
        <w:tblStyle w:val="22"/>
        <w:tblW w:w="851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826"/>
        <w:gridCol w:w="1569"/>
        <w:gridCol w:w="715"/>
        <w:gridCol w:w="715"/>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52" w:type="dxa"/>
            <w:vAlign w:val="center"/>
          </w:tcPr>
          <w:p>
            <w:pPr>
              <w:widowControl/>
              <w:spacing w:line="360" w:lineRule="auto"/>
              <w:jc w:val="cente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序号</w:t>
            </w:r>
          </w:p>
        </w:tc>
        <w:tc>
          <w:tcPr>
            <w:tcW w:w="1826" w:type="dxa"/>
            <w:vAlign w:val="center"/>
          </w:tcPr>
          <w:p>
            <w:pPr>
              <w:widowControl/>
              <w:spacing w:line="360" w:lineRule="auto"/>
              <w:jc w:val="cente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名称</w:t>
            </w:r>
          </w:p>
        </w:tc>
        <w:tc>
          <w:tcPr>
            <w:tcW w:w="1569" w:type="dxa"/>
            <w:vAlign w:val="center"/>
          </w:tcPr>
          <w:p>
            <w:pPr>
              <w:widowControl/>
              <w:spacing w:line="360" w:lineRule="auto"/>
              <w:jc w:val="center"/>
              <w:rPr>
                <w:rFonts w:hint="default" w:cs="Arial" w:asciiTheme="minorEastAsia" w:hAnsiTheme="minorEastAsia" w:eastAsiaTheme="minorEastAsia"/>
                <w:kern w:val="0"/>
                <w:sz w:val="24"/>
                <w:lang w:val="en-US" w:eastAsia="zh-CN"/>
              </w:rPr>
            </w:pPr>
            <w:r>
              <w:rPr>
                <w:rFonts w:hint="eastAsia" w:cs="Arial" w:asciiTheme="minorEastAsia" w:hAnsiTheme="minorEastAsia" w:eastAsiaTheme="minorEastAsia"/>
                <w:kern w:val="0"/>
                <w:sz w:val="24"/>
                <w:lang w:val="en-US" w:eastAsia="zh-CN"/>
              </w:rPr>
              <w:t>品牌（规格/型号）</w:t>
            </w:r>
          </w:p>
        </w:tc>
        <w:tc>
          <w:tcPr>
            <w:tcW w:w="715" w:type="dxa"/>
            <w:vAlign w:val="center"/>
          </w:tcPr>
          <w:p>
            <w:pPr>
              <w:widowControl/>
              <w:spacing w:line="360" w:lineRule="auto"/>
              <w:jc w:val="cente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单位</w:t>
            </w:r>
          </w:p>
        </w:tc>
        <w:tc>
          <w:tcPr>
            <w:tcW w:w="715" w:type="dxa"/>
            <w:vAlign w:val="center"/>
          </w:tcPr>
          <w:p>
            <w:pPr>
              <w:widowControl/>
              <w:spacing w:line="360" w:lineRule="auto"/>
              <w:jc w:val="cente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数量</w:t>
            </w:r>
          </w:p>
        </w:tc>
        <w:tc>
          <w:tcPr>
            <w:tcW w:w="1418" w:type="dxa"/>
            <w:vAlign w:val="center"/>
          </w:tcPr>
          <w:p>
            <w:pPr>
              <w:widowControl/>
              <w:spacing w:line="360" w:lineRule="auto"/>
              <w:jc w:val="cente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单价（元）</w:t>
            </w:r>
          </w:p>
        </w:tc>
        <w:tc>
          <w:tcPr>
            <w:tcW w:w="1417" w:type="dxa"/>
            <w:vAlign w:val="center"/>
          </w:tcPr>
          <w:p>
            <w:pPr>
              <w:widowControl/>
              <w:spacing w:line="360" w:lineRule="auto"/>
              <w:jc w:val="cente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52" w:type="dxa"/>
            <w:vAlign w:val="center"/>
          </w:tcPr>
          <w:p>
            <w:pPr>
              <w:widowControl/>
              <w:spacing w:line="360" w:lineRule="auto"/>
              <w:jc w:val="cente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1</w:t>
            </w:r>
          </w:p>
        </w:tc>
        <w:tc>
          <w:tcPr>
            <w:tcW w:w="1826" w:type="dxa"/>
            <w:vAlign w:val="center"/>
          </w:tcPr>
          <w:p>
            <w:pPr>
              <w:widowControl/>
              <w:spacing w:line="360" w:lineRule="auto"/>
              <w:jc w:val="center"/>
              <w:rPr>
                <w:rFonts w:hint="eastAsia" w:cs="Arial" w:asciiTheme="minorEastAsia" w:hAnsiTheme="minorEastAsia" w:eastAsiaTheme="minorEastAsia"/>
                <w:kern w:val="0"/>
                <w:sz w:val="24"/>
              </w:rPr>
            </w:pPr>
          </w:p>
        </w:tc>
        <w:tc>
          <w:tcPr>
            <w:tcW w:w="1569" w:type="dxa"/>
            <w:vAlign w:val="center"/>
          </w:tcPr>
          <w:p>
            <w:pPr>
              <w:widowControl/>
              <w:spacing w:line="360" w:lineRule="auto"/>
              <w:jc w:val="center"/>
              <w:rPr>
                <w:rFonts w:hint="eastAsia" w:cs="Arial" w:asciiTheme="minorEastAsia" w:hAnsiTheme="minorEastAsia" w:eastAsiaTheme="minorEastAsia"/>
                <w:kern w:val="0"/>
                <w:sz w:val="24"/>
              </w:rPr>
            </w:pPr>
          </w:p>
        </w:tc>
        <w:tc>
          <w:tcPr>
            <w:tcW w:w="715" w:type="dxa"/>
            <w:vAlign w:val="center"/>
          </w:tcPr>
          <w:p>
            <w:pPr>
              <w:widowControl/>
              <w:spacing w:line="360" w:lineRule="auto"/>
              <w:jc w:val="center"/>
              <w:rPr>
                <w:rFonts w:hint="eastAsia" w:cs="Arial" w:asciiTheme="minorEastAsia" w:hAnsiTheme="minorEastAsia" w:eastAsiaTheme="minorEastAsia"/>
                <w:kern w:val="0"/>
                <w:sz w:val="24"/>
              </w:rPr>
            </w:pPr>
          </w:p>
        </w:tc>
        <w:tc>
          <w:tcPr>
            <w:tcW w:w="715" w:type="dxa"/>
            <w:vAlign w:val="center"/>
          </w:tcPr>
          <w:p>
            <w:pPr>
              <w:widowControl/>
              <w:spacing w:line="360" w:lineRule="auto"/>
              <w:jc w:val="center"/>
              <w:rPr>
                <w:rFonts w:hint="eastAsia" w:cs="Arial" w:asciiTheme="minorEastAsia" w:hAnsiTheme="minorEastAsia" w:eastAsiaTheme="minorEastAsia"/>
                <w:kern w:val="0"/>
                <w:sz w:val="24"/>
              </w:rPr>
            </w:pPr>
          </w:p>
        </w:tc>
        <w:tc>
          <w:tcPr>
            <w:tcW w:w="1418" w:type="dxa"/>
            <w:vAlign w:val="center"/>
          </w:tcPr>
          <w:p>
            <w:pPr>
              <w:widowControl/>
              <w:spacing w:line="360" w:lineRule="auto"/>
              <w:jc w:val="center"/>
              <w:rPr>
                <w:rFonts w:hint="eastAsia" w:cs="Arial" w:asciiTheme="minorEastAsia" w:hAnsiTheme="minorEastAsia" w:eastAsiaTheme="minorEastAsia"/>
                <w:kern w:val="0"/>
                <w:sz w:val="24"/>
              </w:rPr>
            </w:pPr>
          </w:p>
        </w:tc>
        <w:tc>
          <w:tcPr>
            <w:tcW w:w="1417" w:type="dxa"/>
            <w:vAlign w:val="center"/>
          </w:tcPr>
          <w:p>
            <w:pPr>
              <w:widowControl/>
              <w:spacing w:line="360" w:lineRule="auto"/>
              <w:jc w:val="center"/>
              <w:rPr>
                <w:rFonts w:hint="eastAsia" w:cs="Arial"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52" w:type="dxa"/>
            <w:vAlign w:val="center"/>
          </w:tcPr>
          <w:p>
            <w:pPr>
              <w:widowControl/>
              <w:spacing w:line="360" w:lineRule="auto"/>
              <w:jc w:val="cente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2</w:t>
            </w:r>
          </w:p>
        </w:tc>
        <w:tc>
          <w:tcPr>
            <w:tcW w:w="1826" w:type="dxa"/>
            <w:vAlign w:val="center"/>
          </w:tcPr>
          <w:p>
            <w:pPr>
              <w:widowControl/>
              <w:spacing w:line="360" w:lineRule="auto"/>
              <w:jc w:val="center"/>
              <w:rPr>
                <w:rFonts w:hint="eastAsia" w:cs="Arial" w:asciiTheme="minorEastAsia" w:hAnsiTheme="minorEastAsia" w:eastAsiaTheme="minorEastAsia"/>
                <w:kern w:val="0"/>
                <w:sz w:val="24"/>
              </w:rPr>
            </w:pPr>
          </w:p>
        </w:tc>
        <w:tc>
          <w:tcPr>
            <w:tcW w:w="1569" w:type="dxa"/>
            <w:vAlign w:val="center"/>
          </w:tcPr>
          <w:p>
            <w:pPr>
              <w:widowControl/>
              <w:spacing w:line="360" w:lineRule="auto"/>
              <w:jc w:val="center"/>
              <w:rPr>
                <w:rFonts w:hint="eastAsia" w:cs="Arial" w:asciiTheme="minorEastAsia" w:hAnsiTheme="minorEastAsia" w:eastAsiaTheme="minorEastAsia"/>
                <w:kern w:val="0"/>
                <w:sz w:val="24"/>
              </w:rPr>
            </w:pPr>
          </w:p>
        </w:tc>
        <w:tc>
          <w:tcPr>
            <w:tcW w:w="715" w:type="dxa"/>
            <w:vAlign w:val="center"/>
          </w:tcPr>
          <w:p>
            <w:pPr>
              <w:widowControl/>
              <w:spacing w:line="360" w:lineRule="auto"/>
              <w:jc w:val="center"/>
              <w:rPr>
                <w:rFonts w:hint="eastAsia" w:cs="Arial" w:asciiTheme="minorEastAsia" w:hAnsiTheme="minorEastAsia" w:eastAsiaTheme="minorEastAsia"/>
                <w:kern w:val="0"/>
                <w:sz w:val="24"/>
              </w:rPr>
            </w:pPr>
          </w:p>
        </w:tc>
        <w:tc>
          <w:tcPr>
            <w:tcW w:w="715" w:type="dxa"/>
            <w:vAlign w:val="center"/>
          </w:tcPr>
          <w:p>
            <w:pPr>
              <w:widowControl/>
              <w:spacing w:line="360" w:lineRule="auto"/>
              <w:jc w:val="center"/>
              <w:rPr>
                <w:rFonts w:hint="eastAsia" w:cs="Arial" w:asciiTheme="minorEastAsia" w:hAnsiTheme="minorEastAsia" w:eastAsiaTheme="minorEastAsia"/>
                <w:kern w:val="0"/>
                <w:sz w:val="24"/>
              </w:rPr>
            </w:pPr>
          </w:p>
        </w:tc>
        <w:tc>
          <w:tcPr>
            <w:tcW w:w="1418" w:type="dxa"/>
            <w:vAlign w:val="center"/>
          </w:tcPr>
          <w:p>
            <w:pPr>
              <w:widowControl/>
              <w:spacing w:line="360" w:lineRule="auto"/>
              <w:jc w:val="center"/>
              <w:rPr>
                <w:rFonts w:hint="eastAsia" w:cs="Arial" w:asciiTheme="minorEastAsia" w:hAnsiTheme="minorEastAsia" w:eastAsiaTheme="minorEastAsia"/>
                <w:kern w:val="0"/>
                <w:sz w:val="24"/>
              </w:rPr>
            </w:pPr>
          </w:p>
        </w:tc>
        <w:tc>
          <w:tcPr>
            <w:tcW w:w="1417" w:type="dxa"/>
            <w:vAlign w:val="center"/>
          </w:tcPr>
          <w:p>
            <w:pPr>
              <w:widowControl/>
              <w:spacing w:line="360" w:lineRule="auto"/>
              <w:jc w:val="center"/>
              <w:rPr>
                <w:rFonts w:hint="eastAsia" w:cs="Arial"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52" w:type="dxa"/>
            <w:vAlign w:val="center"/>
          </w:tcPr>
          <w:p>
            <w:pPr>
              <w:widowControl/>
              <w:spacing w:line="360" w:lineRule="auto"/>
              <w:jc w:val="cente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3</w:t>
            </w:r>
          </w:p>
        </w:tc>
        <w:tc>
          <w:tcPr>
            <w:tcW w:w="1826" w:type="dxa"/>
            <w:vAlign w:val="center"/>
          </w:tcPr>
          <w:p>
            <w:pPr>
              <w:widowControl/>
              <w:spacing w:line="360" w:lineRule="auto"/>
              <w:jc w:val="center"/>
              <w:rPr>
                <w:rFonts w:hint="eastAsia" w:cs="Arial" w:asciiTheme="minorEastAsia" w:hAnsiTheme="minorEastAsia" w:eastAsiaTheme="minorEastAsia"/>
                <w:kern w:val="0"/>
                <w:sz w:val="24"/>
              </w:rPr>
            </w:pPr>
          </w:p>
        </w:tc>
        <w:tc>
          <w:tcPr>
            <w:tcW w:w="1569" w:type="dxa"/>
            <w:vAlign w:val="center"/>
          </w:tcPr>
          <w:p>
            <w:pPr>
              <w:widowControl/>
              <w:spacing w:line="360" w:lineRule="auto"/>
              <w:jc w:val="center"/>
              <w:rPr>
                <w:rFonts w:hint="eastAsia" w:cs="Arial" w:asciiTheme="minorEastAsia" w:hAnsiTheme="minorEastAsia" w:eastAsiaTheme="minorEastAsia"/>
                <w:kern w:val="0"/>
                <w:sz w:val="24"/>
              </w:rPr>
            </w:pPr>
          </w:p>
        </w:tc>
        <w:tc>
          <w:tcPr>
            <w:tcW w:w="715" w:type="dxa"/>
            <w:vAlign w:val="center"/>
          </w:tcPr>
          <w:p>
            <w:pPr>
              <w:widowControl/>
              <w:spacing w:line="360" w:lineRule="auto"/>
              <w:jc w:val="center"/>
              <w:rPr>
                <w:rFonts w:hint="eastAsia" w:cs="Arial" w:asciiTheme="minorEastAsia" w:hAnsiTheme="minorEastAsia" w:eastAsiaTheme="minorEastAsia"/>
                <w:kern w:val="0"/>
                <w:sz w:val="24"/>
              </w:rPr>
            </w:pPr>
          </w:p>
        </w:tc>
        <w:tc>
          <w:tcPr>
            <w:tcW w:w="715" w:type="dxa"/>
            <w:vAlign w:val="center"/>
          </w:tcPr>
          <w:p>
            <w:pPr>
              <w:widowControl/>
              <w:spacing w:line="360" w:lineRule="auto"/>
              <w:jc w:val="center"/>
              <w:rPr>
                <w:rFonts w:hint="eastAsia" w:cs="Arial" w:asciiTheme="minorEastAsia" w:hAnsiTheme="minorEastAsia" w:eastAsiaTheme="minorEastAsia"/>
                <w:kern w:val="0"/>
                <w:sz w:val="24"/>
              </w:rPr>
            </w:pPr>
          </w:p>
        </w:tc>
        <w:tc>
          <w:tcPr>
            <w:tcW w:w="1418" w:type="dxa"/>
            <w:vAlign w:val="center"/>
          </w:tcPr>
          <w:p>
            <w:pPr>
              <w:widowControl/>
              <w:spacing w:line="360" w:lineRule="auto"/>
              <w:jc w:val="center"/>
              <w:rPr>
                <w:rFonts w:hint="eastAsia" w:cs="Arial" w:asciiTheme="minorEastAsia" w:hAnsiTheme="minorEastAsia" w:eastAsiaTheme="minorEastAsia"/>
                <w:kern w:val="0"/>
                <w:sz w:val="24"/>
              </w:rPr>
            </w:pPr>
          </w:p>
        </w:tc>
        <w:tc>
          <w:tcPr>
            <w:tcW w:w="1417" w:type="dxa"/>
            <w:vAlign w:val="center"/>
          </w:tcPr>
          <w:p>
            <w:pPr>
              <w:widowControl/>
              <w:spacing w:line="360" w:lineRule="auto"/>
              <w:jc w:val="center"/>
              <w:rPr>
                <w:rFonts w:hint="eastAsia" w:cs="Arial"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52" w:type="dxa"/>
            <w:vAlign w:val="center"/>
          </w:tcPr>
          <w:p>
            <w:pPr>
              <w:widowControl/>
              <w:spacing w:line="360" w:lineRule="auto"/>
              <w:jc w:val="cente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4</w:t>
            </w:r>
          </w:p>
        </w:tc>
        <w:tc>
          <w:tcPr>
            <w:tcW w:w="1826" w:type="dxa"/>
            <w:vAlign w:val="center"/>
          </w:tcPr>
          <w:p>
            <w:pPr>
              <w:widowControl/>
              <w:spacing w:line="360" w:lineRule="auto"/>
              <w:jc w:val="center"/>
              <w:rPr>
                <w:rFonts w:hint="eastAsia" w:cs="Arial" w:asciiTheme="minorEastAsia" w:hAnsiTheme="minorEastAsia" w:eastAsiaTheme="minorEastAsia"/>
                <w:kern w:val="0"/>
                <w:sz w:val="24"/>
              </w:rPr>
            </w:pPr>
          </w:p>
        </w:tc>
        <w:tc>
          <w:tcPr>
            <w:tcW w:w="1569" w:type="dxa"/>
            <w:vAlign w:val="center"/>
          </w:tcPr>
          <w:p>
            <w:pPr>
              <w:widowControl/>
              <w:spacing w:line="360" w:lineRule="auto"/>
              <w:jc w:val="center"/>
              <w:rPr>
                <w:rFonts w:hint="eastAsia" w:cs="Arial" w:asciiTheme="minorEastAsia" w:hAnsiTheme="minorEastAsia" w:eastAsiaTheme="minorEastAsia"/>
                <w:kern w:val="0"/>
                <w:sz w:val="24"/>
              </w:rPr>
            </w:pPr>
          </w:p>
        </w:tc>
        <w:tc>
          <w:tcPr>
            <w:tcW w:w="715" w:type="dxa"/>
            <w:vAlign w:val="center"/>
          </w:tcPr>
          <w:p>
            <w:pPr>
              <w:widowControl/>
              <w:spacing w:line="360" w:lineRule="auto"/>
              <w:jc w:val="center"/>
              <w:rPr>
                <w:rFonts w:hint="eastAsia" w:cs="Arial" w:asciiTheme="minorEastAsia" w:hAnsiTheme="minorEastAsia" w:eastAsiaTheme="minorEastAsia"/>
                <w:kern w:val="0"/>
                <w:sz w:val="24"/>
              </w:rPr>
            </w:pPr>
          </w:p>
        </w:tc>
        <w:tc>
          <w:tcPr>
            <w:tcW w:w="715" w:type="dxa"/>
            <w:vAlign w:val="center"/>
          </w:tcPr>
          <w:p>
            <w:pPr>
              <w:widowControl/>
              <w:spacing w:line="360" w:lineRule="auto"/>
              <w:jc w:val="center"/>
              <w:rPr>
                <w:rFonts w:hint="eastAsia" w:cs="Arial" w:asciiTheme="minorEastAsia" w:hAnsiTheme="minorEastAsia" w:eastAsiaTheme="minorEastAsia"/>
                <w:kern w:val="0"/>
                <w:sz w:val="24"/>
              </w:rPr>
            </w:pPr>
          </w:p>
        </w:tc>
        <w:tc>
          <w:tcPr>
            <w:tcW w:w="1418" w:type="dxa"/>
            <w:vAlign w:val="center"/>
          </w:tcPr>
          <w:p>
            <w:pPr>
              <w:widowControl/>
              <w:spacing w:line="360" w:lineRule="auto"/>
              <w:jc w:val="center"/>
              <w:rPr>
                <w:rFonts w:hint="eastAsia" w:cs="Arial" w:asciiTheme="minorEastAsia" w:hAnsiTheme="minorEastAsia" w:eastAsiaTheme="minorEastAsia"/>
                <w:kern w:val="0"/>
                <w:sz w:val="24"/>
              </w:rPr>
            </w:pPr>
          </w:p>
        </w:tc>
        <w:tc>
          <w:tcPr>
            <w:tcW w:w="1417" w:type="dxa"/>
            <w:vAlign w:val="center"/>
          </w:tcPr>
          <w:p>
            <w:pPr>
              <w:widowControl/>
              <w:spacing w:line="360" w:lineRule="auto"/>
              <w:jc w:val="center"/>
              <w:rPr>
                <w:rFonts w:hint="eastAsia" w:cs="Arial"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52" w:type="dxa"/>
            <w:vAlign w:val="center"/>
          </w:tcPr>
          <w:p>
            <w:pPr>
              <w:widowControl/>
              <w:spacing w:line="360" w:lineRule="auto"/>
              <w:jc w:val="cente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w:t>
            </w:r>
          </w:p>
        </w:tc>
        <w:tc>
          <w:tcPr>
            <w:tcW w:w="1826" w:type="dxa"/>
            <w:vAlign w:val="center"/>
          </w:tcPr>
          <w:p>
            <w:pPr>
              <w:widowControl/>
              <w:spacing w:line="360" w:lineRule="auto"/>
              <w:jc w:val="center"/>
              <w:rPr>
                <w:rFonts w:hint="eastAsia" w:cs="Arial" w:asciiTheme="minorEastAsia" w:hAnsiTheme="minorEastAsia" w:eastAsiaTheme="minorEastAsia"/>
                <w:kern w:val="0"/>
                <w:sz w:val="24"/>
              </w:rPr>
            </w:pPr>
          </w:p>
        </w:tc>
        <w:tc>
          <w:tcPr>
            <w:tcW w:w="1569" w:type="dxa"/>
            <w:vAlign w:val="center"/>
          </w:tcPr>
          <w:p>
            <w:pPr>
              <w:widowControl/>
              <w:spacing w:line="360" w:lineRule="auto"/>
              <w:jc w:val="center"/>
              <w:rPr>
                <w:rFonts w:hint="eastAsia" w:cs="Arial" w:asciiTheme="minorEastAsia" w:hAnsiTheme="minorEastAsia" w:eastAsiaTheme="minorEastAsia"/>
                <w:kern w:val="0"/>
                <w:sz w:val="24"/>
              </w:rPr>
            </w:pPr>
          </w:p>
        </w:tc>
        <w:tc>
          <w:tcPr>
            <w:tcW w:w="715" w:type="dxa"/>
            <w:vAlign w:val="center"/>
          </w:tcPr>
          <w:p>
            <w:pPr>
              <w:widowControl/>
              <w:spacing w:line="360" w:lineRule="auto"/>
              <w:jc w:val="center"/>
              <w:rPr>
                <w:rFonts w:hint="eastAsia" w:cs="Arial" w:asciiTheme="minorEastAsia" w:hAnsiTheme="minorEastAsia" w:eastAsiaTheme="minorEastAsia"/>
                <w:kern w:val="0"/>
                <w:sz w:val="24"/>
              </w:rPr>
            </w:pPr>
          </w:p>
        </w:tc>
        <w:tc>
          <w:tcPr>
            <w:tcW w:w="715" w:type="dxa"/>
            <w:vAlign w:val="center"/>
          </w:tcPr>
          <w:p>
            <w:pPr>
              <w:widowControl/>
              <w:spacing w:line="360" w:lineRule="auto"/>
              <w:jc w:val="center"/>
              <w:rPr>
                <w:rFonts w:hint="eastAsia" w:cs="Arial" w:asciiTheme="minorEastAsia" w:hAnsiTheme="minorEastAsia" w:eastAsiaTheme="minorEastAsia"/>
                <w:kern w:val="0"/>
                <w:sz w:val="24"/>
              </w:rPr>
            </w:pPr>
          </w:p>
        </w:tc>
        <w:tc>
          <w:tcPr>
            <w:tcW w:w="1418" w:type="dxa"/>
            <w:vAlign w:val="center"/>
          </w:tcPr>
          <w:p>
            <w:pPr>
              <w:widowControl/>
              <w:spacing w:line="360" w:lineRule="auto"/>
              <w:jc w:val="center"/>
              <w:rPr>
                <w:rFonts w:hint="eastAsia" w:cs="Arial" w:asciiTheme="minorEastAsia" w:hAnsiTheme="minorEastAsia" w:eastAsiaTheme="minorEastAsia"/>
                <w:kern w:val="0"/>
                <w:sz w:val="24"/>
              </w:rPr>
            </w:pPr>
          </w:p>
        </w:tc>
        <w:tc>
          <w:tcPr>
            <w:tcW w:w="1417" w:type="dxa"/>
            <w:vAlign w:val="center"/>
          </w:tcPr>
          <w:p>
            <w:pPr>
              <w:widowControl/>
              <w:spacing w:line="360" w:lineRule="auto"/>
              <w:jc w:val="center"/>
              <w:rPr>
                <w:rFonts w:hint="eastAsia" w:cs="Arial"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7095" w:type="dxa"/>
            <w:gridSpan w:val="6"/>
            <w:vAlign w:val="center"/>
          </w:tcPr>
          <w:p>
            <w:pPr>
              <w:spacing w:line="360" w:lineRule="auto"/>
              <w:jc w:val="center"/>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总价合计（元）：</w:t>
            </w:r>
          </w:p>
        </w:tc>
        <w:tc>
          <w:tcPr>
            <w:tcW w:w="1417" w:type="dxa"/>
            <w:vAlign w:val="center"/>
          </w:tcPr>
          <w:p>
            <w:pPr>
              <w:spacing w:line="360" w:lineRule="auto"/>
              <w:jc w:val="center"/>
              <w:rPr>
                <w:rFonts w:hint="eastAsia" w:cs="Arial" w:asciiTheme="minorEastAsia" w:hAnsiTheme="minorEastAsia" w:eastAsiaTheme="minorEastAsia"/>
                <w:kern w:val="0"/>
                <w:sz w:val="24"/>
              </w:rPr>
            </w:pPr>
          </w:p>
        </w:tc>
      </w:tr>
    </w:tbl>
    <w:p>
      <w:pPr>
        <w:spacing w:line="360" w:lineRule="auto"/>
        <w:ind w:firstLine="236" w:firstLineChars="98"/>
        <w:rPr>
          <w:rFonts w:hint="eastAsia" w:asciiTheme="minorEastAsia" w:hAnsiTheme="minorEastAsia" w:eastAsiaTheme="minorEastAsia"/>
          <w:b/>
          <w:sz w:val="24"/>
        </w:rPr>
      </w:pPr>
      <w:r>
        <w:rPr>
          <w:rFonts w:hint="eastAsia" w:asciiTheme="minorEastAsia" w:hAnsiTheme="minorEastAsia" w:eastAsiaTheme="minorEastAsia"/>
          <w:b/>
          <w:sz w:val="24"/>
        </w:rPr>
        <w:t>1、该表总价合计应等于开标一览表总报价；</w:t>
      </w:r>
    </w:p>
    <w:p>
      <w:pPr>
        <w:spacing w:line="360" w:lineRule="auto"/>
        <w:ind w:firstLine="236" w:firstLineChars="98"/>
        <w:rPr>
          <w:rFonts w:hint="eastAsia" w:asciiTheme="minorEastAsia" w:hAnsiTheme="minorEastAsia" w:eastAsiaTheme="minorEastAsia"/>
          <w:sz w:val="30"/>
        </w:rPr>
      </w:pPr>
      <w:r>
        <w:rPr>
          <w:rFonts w:hint="eastAsia" w:asciiTheme="minorEastAsia" w:hAnsiTheme="minorEastAsia" w:eastAsiaTheme="minorEastAsia"/>
          <w:b/>
          <w:sz w:val="24"/>
        </w:rPr>
        <w:t>2、各单项报价不得为“0”或免费，否则作无效标处理。</w:t>
      </w:r>
    </w:p>
    <w:p>
      <w:pPr>
        <w:pStyle w:val="42"/>
        <w:spacing w:line="360" w:lineRule="auto"/>
        <w:ind w:firstLine="442" w:firstLineChars="200"/>
        <w:rPr>
          <w:rFonts w:ascii="宋体" w:hAnsi="宋体" w:eastAsia="宋体" w:cs="宋体"/>
          <w:kern w:val="2"/>
          <w:sz w:val="22"/>
          <w:szCs w:val="22"/>
        </w:rPr>
      </w:pPr>
    </w:p>
    <w:p>
      <w:pPr>
        <w:spacing w:line="360" w:lineRule="auto"/>
        <w:jc w:val="center"/>
        <w:rPr>
          <w:rFonts w:ascii="宋体" w:hAnsi="宋体"/>
          <w:sz w:val="30"/>
        </w:rPr>
      </w:pPr>
    </w:p>
    <w:p>
      <w:pPr>
        <w:spacing w:line="360" w:lineRule="auto"/>
        <w:jc w:val="center"/>
        <w:rPr>
          <w:rFonts w:ascii="宋体" w:hAnsi="宋体"/>
          <w:b/>
          <w:sz w:val="32"/>
        </w:rPr>
      </w:pPr>
    </w:p>
    <w:p>
      <w:pPr>
        <w:pStyle w:val="20"/>
        <w:widowControl w:val="0"/>
        <w:wordWrap w:val="0"/>
        <w:spacing w:before="0" w:beforeAutospacing="0" w:after="0" w:afterAutospacing="0" w:line="360" w:lineRule="auto"/>
        <w:ind w:firstLine="480"/>
        <w:jc w:val="right"/>
        <w:rPr>
          <w:rFonts w:cs="宋体"/>
          <w:szCs w:val="21"/>
          <w:u w:val="single"/>
        </w:rPr>
      </w:pPr>
      <w:r>
        <w:rPr>
          <w:rFonts w:hint="eastAsia" w:cs="宋体"/>
          <w:kern w:val="2"/>
          <w:szCs w:val="21"/>
        </w:rPr>
        <w:t>投标人盖章：</w:t>
      </w:r>
    </w:p>
    <w:p>
      <w:pPr>
        <w:pStyle w:val="20"/>
        <w:widowControl w:val="0"/>
        <w:wordWrap w:val="0"/>
        <w:spacing w:before="0" w:beforeAutospacing="0" w:after="0" w:afterAutospacing="0" w:line="360" w:lineRule="auto"/>
        <w:ind w:firstLine="480"/>
        <w:jc w:val="right"/>
        <w:rPr>
          <w:rFonts w:cs="宋体"/>
          <w:szCs w:val="21"/>
          <w:u w:val="single"/>
        </w:rPr>
      </w:pPr>
      <w:r>
        <w:rPr>
          <w:rFonts w:hint="eastAsia" w:cs="宋体"/>
          <w:kern w:val="2"/>
          <w:szCs w:val="21"/>
        </w:rPr>
        <w:t>日      期：</w:t>
      </w:r>
    </w:p>
    <w:bookmarkEnd w:id="347"/>
    <w:bookmarkEnd w:id="348"/>
    <w:p>
      <w:pPr>
        <w:rPr>
          <w:rFonts w:hint="eastAsia" w:ascii="宋体" w:hAnsi="宋体"/>
          <w:sz w:val="30"/>
        </w:rPr>
      </w:pPr>
      <w:bookmarkStart w:id="349" w:name="_Toc15562"/>
      <w:bookmarkStart w:id="350" w:name="_Toc30260"/>
      <w:bookmarkStart w:id="351" w:name="_Toc7749"/>
      <w:bookmarkStart w:id="352" w:name="_Toc12570"/>
      <w:bookmarkStart w:id="353" w:name="_Toc83312458"/>
      <w:bookmarkStart w:id="354" w:name="_Toc17149"/>
      <w:bookmarkStart w:id="355" w:name="_Toc10055"/>
    </w:p>
    <w:p>
      <w:pPr>
        <w:widowControl/>
        <w:spacing w:line="360" w:lineRule="auto"/>
        <w:jc w:val="center"/>
        <w:rPr>
          <w:rFonts w:hint="eastAsia" w:ascii="宋体" w:hAnsi="宋体"/>
          <w:sz w:val="30"/>
        </w:rPr>
      </w:pPr>
    </w:p>
    <w:p>
      <w:pPr>
        <w:widowControl/>
        <w:spacing w:line="360" w:lineRule="auto"/>
        <w:jc w:val="center"/>
        <w:rPr>
          <w:rFonts w:hint="eastAsia" w:ascii="宋体" w:hAnsi="宋体"/>
          <w:sz w:val="30"/>
        </w:rPr>
      </w:pPr>
    </w:p>
    <w:bookmarkEnd w:id="349"/>
    <w:bookmarkEnd w:id="350"/>
    <w:bookmarkEnd w:id="351"/>
    <w:bookmarkEnd w:id="352"/>
    <w:bookmarkEnd w:id="353"/>
    <w:bookmarkEnd w:id="354"/>
    <w:bookmarkEnd w:id="355"/>
    <w:p>
      <w:pPr>
        <w:widowControl/>
        <w:spacing w:line="360" w:lineRule="auto"/>
        <w:jc w:val="center"/>
        <w:rPr>
          <w:rFonts w:ascii="宋体" w:hAnsi="宋体"/>
          <w:b/>
          <w:sz w:val="30"/>
        </w:rPr>
      </w:pPr>
      <w:bookmarkStart w:id="356" w:name="_Toc19461"/>
      <w:bookmarkStart w:id="357" w:name="_Toc29010"/>
      <w:r>
        <w:rPr>
          <w:rFonts w:hint="eastAsia" w:ascii="宋体" w:hAnsi="宋体"/>
          <w:b/>
          <w:sz w:val="30"/>
        </w:rPr>
        <w:t>3、企业类型声明函</w:t>
      </w:r>
    </w:p>
    <w:p>
      <w:pPr>
        <w:widowControl/>
        <w:spacing w:line="360" w:lineRule="auto"/>
        <w:jc w:val="center"/>
        <w:rPr>
          <w:rFonts w:ascii="宋体" w:hAnsi="宋体"/>
          <w:sz w:val="24"/>
          <w:szCs w:val="24"/>
        </w:rPr>
      </w:pPr>
      <w:r>
        <w:rPr>
          <w:rFonts w:hint="eastAsia" w:ascii="宋体" w:hAnsi="宋体"/>
          <w:b/>
          <w:sz w:val="24"/>
          <w:szCs w:val="24"/>
        </w:rPr>
        <w:t>3.1</w:t>
      </w:r>
      <w:r>
        <w:rPr>
          <w:rFonts w:hint="eastAsia" w:ascii="宋体" w:hAnsi="宋体"/>
          <w:b/>
          <w:bCs/>
          <w:sz w:val="24"/>
          <w:szCs w:val="24"/>
        </w:rPr>
        <w:t>中小微企业声明函（货物）</w:t>
      </w:r>
    </w:p>
    <w:p>
      <w:pPr>
        <w:spacing w:line="324" w:lineRule="auto"/>
        <w:ind w:firstLine="480" w:firstLineChars="200"/>
        <w:rPr>
          <w:rFonts w:ascii="宋体" w:hAnsi="宋体"/>
          <w:sz w:val="24"/>
          <w:szCs w:val="24"/>
        </w:rPr>
      </w:pPr>
      <w:r>
        <w:rPr>
          <w:rFonts w:hint="eastAsia" w:ascii="宋体" w:hAnsi="宋体"/>
          <w:sz w:val="24"/>
          <w:szCs w:val="24"/>
        </w:rPr>
        <w:t>本公司（联合体）郑重声明，根据《政府采购促进中小企业发展管理办法》（财库﹝2020﹞46 号）的规定，本公司（联合体）参加</w:t>
      </w:r>
      <w:r>
        <w:rPr>
          <w:rFonts w:hint="eastAsia" w:ascii="宋体" w:hAnsi="宋体"/>
          <w:sz w:val="24"/>
          <w:szCs w:val="24"/>
          <w:u w:val="single"/>
        </w:rPr>
        <w:t>（单位名称）</w:t>
      </w:r>
      <w:r>
        <w:rPr>
          <w:rFonts w:hint="eastAsia" w:ascii="宋体" w:hAnsi="宋体"/>
          <w:sz w:val="24"/>
          <w:szCs w:val="24"/>
        </w:rPr>
        <w:t>的</w:t>
      </w:r>
      <w:r>
        <w:rPr>
          <w:rFonts w:hint="eastAsia" w:ascii="宋体" w:hAnsi="宋体"/>
          <w:sz w:val="24"/>
          <w:szCs w:val="24"/>
          <w:u w:val="single"/>
        </w:rPr>
        <w:t xml:space="preserve">  （项目名称）</w:t>
      </w:r>
      <w:r>
        <w:rPr>
          <w:rFonts w:hint="eastAsia" w:ascii="宋体" w:hAnsi="宋体"/>
          <w:sz w:val="24"/>
          <w:szCs w:val="24"/>
        </w:rPr>
        <w:t>采购活动，提供的货物全部由符合政策要求的中小企业制造，相关企业（含联合体中的中小企业、签订分包意向协议的中小企业）的具体情况如下：</w:t>
      </w:r>
    </w:p>
    <w:p>
      <w:pPr>
        <w:spacing w:line="324"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u w:val="single"/>
        </w:rPr>
        <w:t xml:space="preserve">  （标的名称）  </w:t>
      </w:r>
      <w:r>
        <w:rPr>
          <w:rFonts w:hint="eastAsia" w:ascii="宋体" w:hAnsi="宋体"/>
          <w:sz w:val="24"/>
          <w:szCs w:val="24"/>
        </w:rPr>
        <w:t>，属于</w:t>
      </w:r>
      <w:r>
        <w:rPr>
          <w:rFonts w:hint="eastAsia" w:ascii="宋体" w:hAnsi="宋体"/>
          <w:b/>
          <w:sz w:val="24"/>
          <w:szCs w:val="24"/>
          <w:u w:val="single"/>
        </w:rPr>
        <w:t>工业</w:t>
      </w:r>
      <w:r>
        <w:rPr>
          <w:rFonts w:hint="eastAsia" w:ascii="宋体" w:hAnsi="宋体"/>
          <w:sz w:val="24"/>
          <w:szCs w:val="24"/>
        </w:rPr>
        <w:t>； 制造商为</w:t>
      </w:r>
      <w:r>
        <w:rPr>
          <w:rFonts w:hint="eastAsia" w:ascii="宋体" w:hAnsi="宋体"/>
          <w:sz w:val="24"/>
          <w:szCs w:val="24"/>
          <w:u w:val="single"/>
        </w:rPr>
        <w:t xml:space="preserve">  （企业名称）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sz w:val="24"/>
          <w:szCs w:val="24"/>
          <w:u w:val="single"/>
        </w:rPr>
        <w:t>（中型企业、小型企业、微型企业，三选一进行承诺）</w:t>
      </w:r>
      <w:r>
        <w:rPr>
          <w:rFonts w:hint="eastAsia" w:ascii="宋体" w:hAnsi="宋体"/>
          <w:sz w:val="24"/>
          <w:szCs w:val="24"/>
        </w:rPr>
        <w:t xml:space="preserve">； </w:t>
      </w:r>
    </w:p>
    <w:p>
      <w:pPr>
        <w:spacing w:line="324"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u w:val="single"/>
        </w:rPr>
        <w:t xml:space="preserve">  （标的名称） </w:t>
      </w:r>
      <w:r>
        <w:rPr>
          <w:rFonts w:hint="eastAsia" w:ascii="宋体" w:hAnsi="宋体"/>
          <w:sz w:val="24"/>
          <w:szCs w:val="24"/>
        </w:rPr>
        <w:t>，属于</w:t>
      </w:r>
      <w:r>
        <w:rPr>
          <w:rFonts w:hint="eastAsia" w:ascii="宋体" w:hAnsi="宋体"/>
          <w:b/>
          <w:sz w:val="24"/>
          <w:szCs w:val="24"/>
          <w:u w:val="single"/>
        </w:rPr>
        <w:t>工业</w:t>
      </w:r>
      <w:r>
        <w:rPr>
          <w:rFonts w:hint="eastAsia" w:ascii="宋体" w:hAnsi="宋体"/>
          <w:sz w:val="24"/>
          <w:szCs w:val="24"/>
        </w:rPr>
        <w:t>； 制造商为</w:t>
      </w:r>
      <w:r>
        <w:rPr>
          <w:rFonts w:hint="eastAsia" w:ascii="宋体" w:hAnsi="宋体"/>
          <w:sz w:val="24"/>
          <w:szCs w:val="24"/>
          <w:u w:val="single"/>
        </w:rPr>
        <w:t xml:space="preserve">  （企业名称）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sz w:val="24"/>
          <w:szCs w:val="24"/>
          <w:u w:val="single"/>
        </w:rPr>
        <w:t>（中型企业、小型企业、微型企业，三选一进行承诺）</w:t>
      </w:r>
      <w:r>
        <w:rPr>
          <w:rFonts w:hint="eastAsia" w:ascii="宋体" w:hAnsi="宋体"/>
          <w:sz w:val="24"/>
          <w:szCs w:val="24"/>
        </w:rPr>
        <w:t>；</w:t>
      </w:r>
    </w:p>
    <w:p>
      <w:pPr>
        <w:spacing w:line="324" w:lineRule="auto"/>
        <w:ind w:firstLine="480" w:firstLineChars="200"/>
        <w:rPr>
          <w:rFonts w:ascii="宋体" w:hAnsi="宋体"/>
          <w:sz w:val="24"/>
          <w:szCs w:val="24"/>
        </w:rPr>
      </w:pPr>
      <w:r>
        <w:rPr>
          <w:rFonts w:hint="eastAsia" w:ascii="宋体" w:hAnsi="宋体"/>
          <w:sz w:val="24"/>
          <w:szCs w:val="24"/>
        </w:rPr>
        <w:t>……</w:t>
      </w:r>
    </w:p>
    <w:p>
      <w:pPr>
        <w:spacing w:line="324" w:lineRule="auto"/>
        <w:ind w:firstLine="480" w:firstLineChars="200"/>
        <w:rPr>
          <w:rFonts w:ascii="宋体" w:hAnsi="宋体"/>
          <w:sz w:val="24"/>
          <w:szCs w:val="24"/>
        </w:rPr>
      </w:pPr>
      <w:r>
        <w:rPr>
          <w:rFonts w:hint="eastAsia" w:ascii="宋体" w:hAnsi="宋体"/>
          <w:sz w:val="24"/>
          <w:szCs w:val="24"/>
        </w:rPr>
        <w:t>以上制造企业，不属于大企业的分支机构，不存在控股股东为大企业的情形，也不存在与大企业的负责人为同一人的情形。</w:t>
      </w:r>
    </w:p>
    <w:p>
      <w:pPr>
        <w:spacing w:line="324" w:lineRule="auto"/>
        <w:ind w:firstLine="480" w:firstLineChars="200"/>
        <w:rPr>
          <w:rFonts w:ascii="宋体" w:hAnsi="宋体"/>
          <w:kern w:val="0"/>
          <w:sz w:val="24"/>
          <w:szCs w:val="24"/>
          <w:lang w:bidi="ar"/>
        </w:rPr>
      </w:pPr>
      <w:r>
        <w:rPr>
          <w:rFonts w:hint="eastAsia" w:ascii="宋体" w:hAnsi="宋体"/>
          <w:sz w:val="24"/>
          <w:szCs w:val="24"/>
        </w:rPr>
        <w:t>本企业对上述声明内容的真实性负责。如有虚假，将依法承担相应责任。</w:t>
      </w:r>
      <w:r>
        <w:rPr>
          <w:rFonts w:hint="eastAsia" w:ascii="宋体" w:hAnsi="宋体"/>
          <w:kern w:val="0"/>
          <w:sz w:val="24"/>
          <w:szCs w:val="24"/>
          <w:lang w:bidi="ar"/>
        </w:rPr>
        <w:t xml:space="preserve"> </w:t>
      </w:r>
    </w:p>
    <w:p>
      <w:pPr>
        <w:pStyle w:val="13"/>
        <w:spacing w:line="360" w:lineRule="auto"/>
        <w:rPr>
          <w:rFonts w:hAnsi="宋体"/>
          <w:b/>
          <w:bCs/>
          <w:kern w:val="0"/>
          <w:szCs w:val="21"/>
          <w:lang w:bidi="ar"/>
        </w:rPr>
      </w:pPr>
    </w:p>
    <w:p>
      <w:pPr>
        <w:pStyle w:val="13"/>
        <w:spacing w:line="360" w:lineRule="auto"/>
        <w:rPr>
          <w:rFonts w:hAnsi="宋体"/>
          <w:b/>
          <w:bCs/>
          <w:kern w:val="0"/>
          <w:szCs w:val="21"/>
          <w:lang w:bidi="ar"/>
        </w:rPr>
      </w:pPr>
    </w:p>
    <w:p>
      <w:pPr>
        <w:pStyle w:val="13"/>
        <w:spacing w:line="360" w:lineRule="auto"/>
        <w:rPr>
          <w:rFonts w:hAnsi="宋体"/>
          <w:b/>
          <w:bCs/>
          <w:kern w:val="0"/>
          <w:szCs w:val="21"/>
          <w:lang w:bidi="ar"/>
        </w:rPr>
      </w:pPr>
      <w:r>
        <w:rPr>
          <w:rFonts w:hint="eastAsia" w:hAnsi="宋体"/>
          <w:b/>
          <w:bCs/>
          <w:kern w:val="0"/>
          <w:szCs w:val="21"/>
          <w:lang w:bidi="ar"/>
        </w:rPr>
        <w:t>注：</w:t>
      </w:r>
    </w:p>
    <w:p>
      <w:pPr>
        <w:pStyle w:val="13"/>
        <w:spacing w:line="360" w:lineRule="auto"/>
        <w:ind w:firstLine="207" w:firstLineChars="98"/>
        <w:rPr>
          <w:rFonts w:hAnsi="宋体"/>
          <w:b/>
          <w:bCs/>
          <w:kern w:val="0"/>
          <w:szCs w:val="21"/>
          <w:lang w:bidi="ar"/>
        </w:rPr>
      </w:pPr>
      <w:r>
        <w:rPr>
          <w:rFonts w:hint="eastAsia" w:hAnsi="宋体"/>
          <w:b/>
          <w:bCs/>
          <w:kern w:val="0"/>
          <w:szCs w:val="21"/>
          <w:lang w:bidi="ar"/>
        </w:rPr>
        <w:t>1.从业人员、营业收入、资产总额填报上一年度数据，无上一年度数据的新成立企业可不填报。</w:t>
      </w:r>
    </w:p>
    <w:p>
      <w:pPr>
        <w:pStyle w:val="13"/>
        <w:spacing w:line="360" w:lineRule="auto"/>
        <w:ind w:firstLine="207" w:firstLineChars="98"/>
        <w:rPr>
          <w:rFonts w:hAnsi="宋体"/>
          <w:b/>
          <w:bCs/>
          <w:kern w:val="0"/>
          <w:szCs w:val="21"/>
          <w:lang w:bidi="ar"/>
        </w:rPr>
      </w:pPr>
      <w:r>
        <w:rPr>
          <w:rFonts w:hint="eastAsia" w:hAnsi="宋体"/>
          <w:b/>
          <w:bCs/>
          <w:kern w:val="0"/>
          <w:szCs w:val="21"/>
          <w:lang w:bidi="ar"/>
        </w:rPr>
        <w:t>2.上述</w:t>
      </w:r>
      <w:r>
        <w:rPr>
          <w:rFonts w:hint="eastAsia" w:hAnsi="宋体"/>
          <w:b/>
          <w:bCs/>
          <w:kern w:val="0"/>
          <w:szCs w:val="21"/>
          <w:highlight w:val="lightGray"/>
          <w:lang w:bidi="ar"/>
        </w:rPr>
        <w:t>制造商</w:t>
      </w:r>
      <w:r>
        <w:rPr>
          <w:rFonts w:hint="eastAsia" w:hAnsi="宋体"/>
          <w:b/>
          <w:bCs/>
          <w:kern w:val="0"/>
          <w:szCs w:val="21"/>
          <w:lang w:bidi="ar"/>
        </w:rPr>
        <w:t>为货物的</w:t>
      </w:r>
      <w:r>
        <w:rPr>
          <w:rFonts w:hint="eastAsia" w:hAnsi="宋体"/>
          <w:b/>
          <w:bCs/>
          <w:kern w:val="0"/>
          <w:szCs w:val="21"/>
          <w:highlight w:val="lightGray"/>
          <w:lang w:bidi="ar"/>
        </w:rPr>
        <w:t>生产厂家</w:t>
      </w:r>
      <w:r>
        <w:rPr>
          <w:rFonts w:hint="eastAsia" w:hAnsi="宋体"/>
          <w:b/>
          <w:bCs/>
          <w:kern w:val="0"/>
          <w:szCs w:val="21"/>
          <w:lang w:bidi="ar"/>
        </w:rPr>
        <w:t>；</w:t>
      </w:r>
    </w:p>
    <w:p>
      <w:pPr>
        <w:spacing w:line="360" w:lineRule="auto"/>
        <w:ind w:firstLine="207" w:firstLineChars="98"/>
        <w:rPr>
          <w:rFonts w:ascii="宋体" w:hAnsi="宋体"/>
          <w:sz w:val="30"/>
        </w:rPr>
      </w:pPr>
      <w:r>
        <w:rPr>
          <w:rFonts w:hint="eastAsia" w:hAnsi="宋体"/>
          <w:b/>
          <w:bCs/>
          <w:kern w:val="0"/>
          <w:szCs w:val="21"/>
          <w:lang w:bidi="ar"/>
        </w:rPr>
        <w:t>3.</w:t>
      </w:r>
      <w:r>
        <w:rPr>
          <w:rFonts w:hint="eastAsia" w:hAnsi="宋体"/>
          <w:b/>
          <w:bCs/>
          <w:kern w:val="0"/>
          <w:szCs w:val="21"/>
          <w:highlight w:val="lightGray"/>
          <w:lang w:bidi="ar"/>
        </w:rPr>
        <w:t>工业划分标准：</w:t>
      </w:r>
      <w:r>
        <w:rPr>
          <w:rFonts w:hint="eastAsia" w:hAnsi="宋体"/>
          <w:b/>
          <w:bCs/>
          <w:kern w:val="0"/>
          <w:szCs w:val="21"/>
          <w:lang w:bidi="ar"/>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pacing w:line="480" w:lineRule="auto"/>
        <w:jc w:val="center"/>
        <w:rPr>
          <w:rFonts w:ascii="宋体" w:hAnsi="宋体"/>
          <w:b/>
          <w:bCs/>
          <w:sz w:val="30"/>
        </w:rPr>
      </w:pPr>
    </w:p>
    <w:p>
      <w:pPr>
        <w:widowControl/>
        <w:spacing w:line="480" w:lineRule="auto"/>
        <w:jc w:val="center"/>
        <w:rPr>
          <w:rFonts w:ascii="宋体" w:hAnsi="宋体"/>
          <w:b/>
          <w:bCs/>
          <w:sz w:val="30"/>
        </w:rPr>
      </w:pPr>
    </w:p>
    <w:p>
      <w:pPr>
        <w:widowControl/>
        <w:spacing w:line="480" w:lineRule="auto"/>
        <w:jc w:val="center"/>
        <w:rPr>
          <w:rFonts w:hint="eastAsia" w:ascii="宋体" w:hAnsi="宋体" w:eastAsia="宋体"/>
          <w:b/>
          <w:bCs/>
          <w:sz w:val="30"/>
          <w:lang w:val="en-US" w:eastAsia="zh-CN"/>
        </w:rPr>
      </w:pPr>
    </w:p>
    <w:p>
      <w:pPr>
        <w:pStyle w:val="21"/>
        <w:rPr>
          <w:rFonts w:hint="eastAsia"/>
          <w:lang w:val="en-US" w:eastAsia="zh-CN"/>
        </w:rPr>
      </w:pPr>
    </w:p>
    <w:p>
      <w:pPr>
        <w:widowControl/>
        <w:spacing w:line="480" w:lineRule="auto"/>
        <w:jc w:val="center"/>
        <w:rPr>
          <w:rFonts w:eastAsia="方正小标宋_GBK"/>
          <w:bCs/>
          <w:spacing w:val="6"/>
          <w:sz w:val="36"/>
          <w:szCs w:val="36"/>
        </w:rPr>
      </w:pPr>
      <w:r>
        <w:rPr>
          <w:rFonts w:hint="eastAsia" w:ascii="宋体" w:hAnsi="宋体"/>
          <w:b/>
          <w:bCs/>
          <w:sz w:val="30"/>
        </w:rPr>
        <w:t>3.2残疾人福利性单位声明函</w:t>
      </w:r>
    </w:p>
    <w:p>
      <w:pPr>
        <w:pStyle w:val="38"/>
        <w:spacing w:before="120" w:after="120" w:line="360" w:lineRule="auto"/>
        <w:ind w:firstLine="601"/>
        <w:rPr>
          <w:rFonts w:cs="Times New Roman"/>
          <w:kern w:val="2"/>
          <w:sz w:val="24"/>
          <w:szCs w:val="24"/>
        </w:rPr>
      </w:pPr>
      <w:r>
        <w:rPr>
          <w:rFonts w:hint="eastAsia" w:cs="Times New Roman"/>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cs="Times New Roman"/>
          <w:kern w:val="2"/>
          <w:sz w:val="24"/>
          <w:szCs w:val="24"/>
          <w:u w:val="single"/>
        </w:rPr>
        <w:t xml:space="preserve">  </w:t>
      </w:r>
      <w:r>
        <w:rPr>
          <w:rFonts w:hint="eastAsia" w:cs="Times New Roman"/>
          <w:kern w:val="2"/>
          <w:sz w:val="24"/>
          <w:szCs w:val="24"/>
          <w:u w:val="single"/>
        </w:rPr>
        <w:t xml:space="preserve">     </w:t>
      </w:r>
      <w:r>
        <w:rPr>
          <w:rFonts w:cs="Times New Roman"/>
          <w:kern w:val="2"/>
          <w:sz w:val="24"/>
          <w:szCs w:val="24"/>
          <w:u w:val="single"/>
        </w:rPr>
        <w:t xml:space="preserve"> </w:t>
      </w:r>
      <w:r>
        <w:rPr>
          <w:rFonts w:hint="eastAsia" w:cs="Times New Roman"/>
          <w:kern w:val="2"/>
          <w:sz w:val="24"/>
          <w:szCs w:val="24"/>
        </w:rPr>
        <w:t>单位的</w:t>
      </w:r>
      <w:r>
        <w:rPr>
          <w:rFonts w:cs="Times New Roman"/>
          <w:kern w:val="2"/>
          <w:sz w:val="24"/>
          <w:szCs w:val="24"/>
          <w:u w:val="single"/>
        </w:rPr>
        <w:t xml:space="preserve">  </w:t>
      </w:r>
      <w:r>
        <w:rPr>
          <w:rFonts w:hint="eastAsia" w:cs="Times New Roman"/>
          <w:kern w:val="2"/>
          <w:sz w:val="24"/>
          <w:szCs w:val="24"/>
          <w:u w:val="single"/>
        </w:rPr>
        <w:t xml:space="preserve">   </w:t>
      </w:r>
      <w:r>
        <w:rPr>
          <w:rFonts w:cs="Times New Roman"/>
          <w:kern w:val="2"/>
          <w:sz w:val="24"/>
          <w:szCs w:val="24"/>
          <w:u w:val="single"/>
        </w:rPr>
        <w:t xml:space="preserve">  </w:t>
      </w:r>
      <w:r>
        <w:rPr>
          <w:rFonts w:hint="eastAsia" w:cs="Times New Roman"/>
          <w:kern w:val="2"/>
          <w:sz w:val="24"/>
          <w:szCs w:val="24"/>
        </w:rPr>
        <w:t>项目采购活动提供本单位制造的货物（由本单位承担工程/提供服务），或者提供其他残疾人福利性单位制造的货物（不包括使用非残疾人福利性单位注册商标的货物）。</w:t>
      </w:r>
    </w:p>
    <w:p>
      <w:pPr>
        <w:pStyle w:val="38"/>
        <w:spacing w:before="120" w:after="120" w:line="360" w:lineRule="auto"/>
        <w:ind w:firstLine="600"/>
        <w:rPr>
          <w:rFonts w:cs="Times New Roman"/>
          <w:kern w:val="2"/>
          <w:sz w:val="24"/>
          <w:szCs w:val="24"/>
        </w:rPr>
      </w:pPr>
      <w:r>
        <w:rPr>
          <w:rFonts w:hint="eastAsia" w:cs="Times New Roman"/>
          <w:kern w:val="2"/>
          <w:sz w:val="24"/>
          <w:szCs w:val="24"/>
        </w:rPr>
        <w:t>本单位对上述声明的真实性负责。如有虚假，将依法承担相应责任。</w:t>
      </w:r>
    </w:p>
    <w:p>
      <w:pPr>
        <w:pStyle w:val="38"/>
        <w:spacing w:before="120" w:after="120" w:line="360" w:lineRule="auto"/>
        <w:rPr>
          <w:rFonts w:ascii="仿宋_GB2312" w:hAnsi="Times New Roman" w:eastAsia="仿宋_GB2312" w:cs="Times New Roman"/>
          <w:spacing w:val="6"/>
          <w:sz w:val="30"/>
          <w:szCs w:val="30"/>
        </w:rPr>
      </w:pPr>
    </w:p>
    <w:p>
      <w:pPr>
        <w:spacing w:line="360" w:lineRule="auto"/>
        <w:jc w:val="center"/>
        <w:rPr>
          <w:rFonts w:ascii="仿宋_GB2312" w:eastAsia="仿宋_GB2312"/>
          <w:spacing w:val="6"/>
          <w:sz w:val="30"/>
          <w:szCs w:val="30"/>
        </w:rPr>
      </w:pPr>
    </w:p>
    <w:p>
      <w:pPr>
        <w:spacing w:line="360" w:lineRule="auto"/>
        <w:rPr>
          <w:rFonts w:ascii="仿宋_GB2312" w:eastAsia="仿宋_GB2312"/>
          <w:spacing w:val="6"/>
          <w:sz w:val="30"/>
          <w:szCs w:val="30"/>
        </w:rPr>
      </w:pPr>
    </w:p>
    <w:p>
      <w:pPr>
        <w:pStyle w:val="13"/>
        <w:spacing w:line="360" w:lineRule="auto"/>
        <w:ind w:firstLine="602"/>
        <w:jc w:val="center"/>
        <w:rPr>
          <w:rFonts w:hAnsi="宋体"/>
          <w:b/>
          <w:bCs/>
          <w:sz w:val="30"/>
        </w:rPr>
      </w:pPr>
      <w:r>
        <w:rPr>
          <w:rFonts w:hint="eastAsia" w:hAnsi="宋体"/>
          <w:b/>
          <w:bCs/>
          <w:sz w:val="30"/>
        </w:rPr>
        <w:t>3.3监狱企业证明</w:t>
      </w:r>
    </w:p>
    <w:p>
      <w:pPr>
        <w:pStyle w:val="5"/>
        <w:spacing w:line="360" w:lineRule="auto"/>
        <w:ind w:firstLine="0"/>
        <w:jc w:val="center"/>
        <w:rPr>
          <w:rFonts w:ascii="仿宋_GB2312" w:eastAsia="仿宋_GB2312"/>
          <w:sz w:val="24"/>
          <w:szCs w:val="24"/>
        </w:rPr>
      </w:pPr>
    </w:p>
    <w:p>
      <w:pPr>
        <w:pStyle w:val="13"/>
        <w:spacing w:line="440" w:lineRule="exact"/>
        <w:rPr>
          <w:rFonts w:hAnsi="宋体"/>
          <w:sz w:val="24"/>
          <w:szCs w:val="24"/>
        </w:rPr>
      </w:pPr>
      <w:r>
        <w:rPr>
          <w:rFonts w:hint="eastAsia" w:hAnsi="宋体"/>
          <w:b/>
          <w:sz w:val="24"/>
          <w:szCs w:val="24"/>
        </w:rPr>
        <w:t>注</w:t>
      </w:r>
      <w:r>
        <w:rPr>
          <w:rFonts w:hAnsi="宋体"/>
          <w:b/>
          <w:sz w:val="24"/>
          <w:szCs w:val="24"/>
        </w:rPr>
        <w:t>：</w:t>
      </w:r>
      <w:r>
        <w:rPr>
          <w:rFonts w:hint="eastAsia" w:hAnsi="宋体"/>
          <w:sz w:val="24"/>
          <w:szCs w:val="24"/>
        </w:rPr>
        <w:t>须</w:t>
      </w:r>
      <w:r>
        <w:rPr>
          <w:rFonts w:hAnsi="宋体"/>
          <w:sz w:val="24"/>
          <w:szCs w:val="24"/>
        </w:rPr>
        <w:t>提供</w:t>
      </w:r>
      <w:r>
        <w:rPr>
          <w:rFonts w:hint="eastAsia" w:hAnsi="宋体"/>
          <w:sz w:val="24"/>
          <w:szCs w:val="24"/>
        </w:rPr>
        <w:t>省级以上监狱管理局、戒毒管理局（含新疆生产建设兵团）出具的属于监狱企业的证明文件</w:t>
      </w:r>
    </w:p>
    <w:p>
      <w:pPr>
        <w:spacing w:line="360" w:lineRule="auto"/>
        <w:rPr>
          <w:rFonts w:ascii="宋体" w:hAnsi="宋体" w:cs="宋体"/>
          <w:sz w:val="24"/>
          <w:szCs w:val="20"/>
        </w:rPr>
      </w:pPr>
    </w:p>
    <w:p>
      <w:pPr>
        <w:spacing w:line="360" w:lineRule="auto"/>
        <w:rPr>
          <w:rFonts w:ascii="宋体" w:hAnsi="宋体" w:cs="宋体"/>
          <w:sz w:val="24"/>
          <w:szCs w:val="20"/>
        </w:rPr>
      </w:pPr>
    </w:p>
    <w:p>
      <w:pPr>
        <w:rPr>
          <w:rFonts w:hint="eastAsia" w:ascii="宋体" w:hAnsi="宋体" w:eastAsia="宋体" w:cs="宋体"/>
          <w:b/>
          <w:bCs/>
          <w:kern w:val="2"/>
          <w:sz w:val="30"/>
          <w:szCs w:val="24"/>
          <w:lang w:val="en-US" w:eastAsia="zh-CN" w:bidi="ar-SA"/>
        </w:rPr>
      </w:pPr>
      <w:r>
        <w:rPr>
          <w:rFonts w:hint="eastAsia" w:ascii="宋体" w:hAnsi="宋体" w:eastAsia="宋体" w:cs="宋体"/>
          <w:b/>
          <w:bCs/>
          <w:kern w:val="2"/>
          <w:sz w:val="30"/>
          <w:szCs w:val="24"/>
          <w:lang w:val="en-US" w:eastAsia="zh-CN" w:bidi="ar-SA"/>
        </w:rPr>
        <w:br w:type="page"/>
      </w:r>
    </w:p>
    <w:p>
      <w:pPr>
        <w:pStyle w:val="4"/>
        <w:ind w:firstLine="600"/>
        <w:jc w:val="center"/>
        <w:outlineLvl w:val="2"/>
        <w:rPr>
          <w:rFonts w:hint="eastAsia" w:ascii="宋体" w:hAnsi="宋体" w:eastAsia="宋体" w:cs="宋体"/>
          <w:b/>
          <w:bCs/>
          <w:kern w:val="2"/>
          <w:sz w:val="30"/>
          <w:szCs w:val="24"/>
          <w:lang w:val="en-US" w:eastAsia="zh-CN" w:bidi="ar-SA"/>
        </w:rPr>
      </w:pPr>
      <w:r>
        <w:rPr>
          <w:rFonts w:hint="eastAsia" w:ascii="宋体" w:hAnsi="宋体" w:eastAsia="宋体" w:cs="宋体"/>
          <w:b/>
          <w:bCs/>
          <w:kern w:val="2"/>
          <w:sz w:val="30"/>
          <w:szCs w:val="24"/>
          <w:lang w:val="en-US" w:eastAsia="zh-CN" w:bidi="ar-SA"/>
        </w:rPr>
        <w:t>四  成交人公告内容</w:t>
      </w:r>
      <w:bookmarkEnd w:id="356"/>
      <w:r>
        <w:rPr>
          <w:rFonts w:hint="eastAsia" w:ascii="宋体" w:hAnsi="宋体" w:eastAsia="宋体" w:cs="宋体"/>
          <w:b/>
          <w:bCs/>
          <w:kern w:val="2"/>
          <w:sz w:val="30"/>
          <w:szCs w:val="24"/>
          <w:lang w:val="en-US" w:eastAsia="zh-CN" w:bidi="ar-SA"/>
        </w:rPr>
        <w:t>（非联合体</w:t>
      </w:r>
      <w:r>
        <w:rPr>
          <w:rFonts w:hint="eastAsia" w:ascii="宋体" w:hAnsi="宋体" w:cs="宋体"/>
          <w:b/>
          <w:bCs/>
          <w:kern w:val="2"/>
          <w:sz w:val="30"/>
          <w:szCs w:val="24"/>
          <w:lang w:val="en-US" w:eastAsia="zh-CN" w:bidi="ar-SA"/>
        </w:rPr>
        <w:t>投标</w:t>
      </w:r>
      <w:r>
        <w:rPr>
          <w:rFonts w:hint="eastAsia" w:ascii="宋体" w:hAnsi="宋体" w:eastAsia="宋体" w:cs="宋体"/>
          <w:b/>
          <w:bCs/>
          <w:kern w:val="2"/>
          <w:sz w:val="30"/>
          <w:szCs w:val="24"/>
          <w:lang w:val="en-US" w:eastAsia="zh-CN" w:bidi="ar-SA"/>
        </w:rPr>
        <w:t>时提供）</w:t>
      </w:r>
      <w:bookmarkEnd w:id="357"/>
    </w:p>
    <w:p>
      <w:pPr>
        <w:spacing w:line="360" w:lineRule="auto"/>
        <w:rPr>
          <w:rFonts w:hint="eastAsia" w:ascii="宋体" w:hAnsi="宋体"/>
          <w:spacing w:val="20"/>
          <w:sz w:val="24"/>
        </w:rPr>
      </w:pPr>
      <w:r>
        <w:rPr>
          <w:rFonts w:hint="eastAsia" w:ascii="宋体" w:hAnsi="宋体"/>
          <w:spacing w:val="20"/>
          <w:sz w:val="24"/>
        </w:rPr>
        <w:t>采购项目：</w:t>
      </w:r>
    </w:p>
    <w:p>
      <w:pPr>
        <w:spacing w:line="360" w:lineRule="auto"/>
        <w:rPr>
          <w:rFonts w:hint="eastAsia" w:ascii="宋体" w:hAnsi="宋体"/>
          <w:sz w:val="24"/>
          <w:szCs w:val="28"/>
        </w:rPr>
      </w:pPr>
      <w:r>
        <w:rPr>
          <w:rFonts w:hint="eastAsia" w:ascii="宋体" w:hAnsi="宋体"/>
          <w:spacing w:val="20"/>
          <w:sz w:val="24"/>
        </w:rPr>
        <w:t>采购编号</w:t>
      </w:r>
      <w:r>
        <w:rPr>
          <w:rFonts w:hint="eastAsia" w:ascii="宋体" w:hAnsi="宋体"/>
          <w:sz w:val="24"/>
          <w:szCs w:val="28"/>
        </w:rPr>
        <w:t>：</w:t>
      </w:r>
      <w:r>
        <w:rPr>
          <w:rFonts w:hint="eastAsia" w:ascii="宋体" w:hAnsi="宋体"/>
          <w:spacing w:val="20"/>
          <w:sz w:val="24"/>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249"/>
        <w:gridCol w:w="1164"/>
        <w:gridCol w:w="210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pacing w:val="20"/>
                <w:sz w:val="24"/>
              </w:rPr>
            </w:pPr>
            <w:r>
              <w:rPr>
                <w:rFonts w:hint="eastAsia" w:ascii="宋体" w:hAnsi="宋体" w:cs="宋体"/>
                <w:spacing w:val="20"/>
                <w:sz w:val="24"/>
              </w:rPr>
              <w:t>成交人名称</w:t>
            </w: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pacing w:val="20"/>
                <w:sz w:val="24"/>
              </w:rPr>
            </w:pPr>
            <w:r>
              <w:rPr>
                <w:rFonts w:hint="eastAsia" w:ascii="宋体" w:hAnsi="宋体" w:cs="宋体"/>
                <w:spacing w:val="20"/>
                <w:sz w:val="24"/>
              </w:rPr>
              <w:t>成交人负责人</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pacing w:val="20"/>
                <w:sz w:val="24"/>
              </w:rPr>
            </w:pPr>
            <w:r>
              <w:rPr>
                <w:rFonts w:hint="eastAsia" w:ascii="宋体" w:hAnsi="宋体" w:cs="宋体"/>
                <w:spacing w:val="20"/>
                <w:sz w:val="24"/>
              </w:rPr>
              <w:t>成交人地址</w:t>
            </w:r>
          </w:p>
        </w:tc>
        <w:tc>
          <w:tcPr>
            <w:tcW w:w="693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pacing w:val="20"/>
                <w:sz w:val="24"/>
              </w:rPr>
            </w:pPr>
            <w:r>
              <w:rPr>
                <w:rFonts w:hint="eastAsia" w:ascii="宋体" w:hAnsi="宋体" w:cs="宋体"/>
                <w:spacing w:val="20"/>
                <w:sz w:val="24"/>
              </w:rPr>
              <w:t xml:space="preserve"> 成交标的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pacing w:val="20"/>
                <w:sz w:val="24"/>
              </w:rPr>
            </w:pPr>
            <w:r>
              <w:rPr>
                <w:rFonts w:hint="eastAsia" w:ascii="宋体" w:hAnsi="宋体" w:cs="宋体"/>
                <w:spacing w:val="20"/>
                <w:sz w:val="24"/>
              </w:rPr>
              <w:t>服务内容</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pacing w:val="20"/>
                <w:sz w:val="24"/>
              </w:rPr>
            </w:pPr>
            <w:r>
              <w:rPr>
                <w:rFonts w:hint="eastAsia" w:ascii="宋体" w:hAnsi="宋体" w:cs="宋体"/>
                <w:spacing w:val="20"/>
                <w:sz w:val="24"/>
              </w:rPr>
              <w:t>单位</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pacing w:val="20"/>
                <w:sz w:val="24"/>
              </w:rPr>
            </w:pPr>
            <w:r>
              <w:rPr>
                <w:rFonts w:hint="eastAsia" w:ascii="宋体" w:hAnsi="宋体" w:cs="宋体"/>
                <w:spacing w:val="20"/>
                <w:sz w:val="24"/>
              </w:rPr>
              <w:t>数量</w:t>
            </w:r>
          </w:p>
        </w:tc>
        <w:tc>
          <w:tcPr>
            <w:tcW w:w="2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pacing w:val="20"/>
                <w:sz w:val="24"/>
              </w:rPr>
            </w:pPr>
            <w:r>
              <w:rPr>
                <w:rFonts w:hint="eastAsia" w:ascii="宋体" w:hAnsi="宋体" w:cs="宋体"/>
                <w:spacing w:val="20"/>
                <w:sz w:val="24"/>
              </w:rPr>
              <w:t>单价</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pacing w:val="20"/>
                <w:sz w:val="24"/>
              </w:rPr>
            </w:pPr>
            <w:r>
              <w:rPr>
                <w:rFonts w:hint="eastAsia" w:ascii="宋体" w:hAnsi="宋体" w:cs="宋体"/>
                <w:spacing w:val="2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2"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r>
              <w:rPr>
                <w:rFonts w:hint="eastAsia" w:ascii="宋体" w:hAnsi="宋体" w:cs="宋体"/>
                <w:spacing w:val="20"/>
                <w:sz w:val="24"/>
              </w:rPr>
              <w:t>成交金额合计</w:t>
            </w:r>
          </w:p>
        </w:tc>
        <w:tc>
          <w:tcPr>
            <w:tcW w:w="24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spacing w:val="20"/>
                <w:sz w:val="24"/>
              </w:rPr>
            </w:pPr>
            <w:r>
              <w:rPr>
                <w:rFonts w:hint="eastAsia" w:ascii="宋体" w:hAnsi="宋体" w:cs="宋体"/>
                <w:spacing w:val="20"/>
                <w:sz w:val="24"/>
              </w:rPr>
              <w:t>服务要求：</w:t>
            </w:r>
          </w:p>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p>
            <w:pPr>
              <w:keepNext w:val="0"/>
              <w:keepLines w:val="0"/>
              <w:suppressLineNumbers w:val="0"/>
              <w:spacing w:before="0" w:beforeAutospacing="0" w:after="0" w:afterAutospacing="0" w:line="360" w:lineRule="auto"/>
              <w:ind w:left="0" w:right="0"/>
              <w:rPr>
                <w:rFonts w:hint="eastAsia" w:ascii="宋体" w:hAnsi="宋体" w:cs="宋体"/>
                <w:spacing w:val="20"/>
                <w:sz w:val="24"/>
              </w:rPr>
            </w:pPr>
          </w:p>
        </w:tc>
      </w:tr>
    </w:tbl>
    <w:p>
      <w:pPr>
        <w:spacing w:line="276" w:lineRule="auto"/>
        <w:rPr>
          <w:rFonts w:hint="eastAsia" w:ascii="宋体" w:hAnsi="宋体"/>
          <w:spacing w:val="20"/>
          <w:szCs w:val="21"/>
        </w:rPr>
      </w:pPr>
      <w:r>
        <w:rPr>
          <w:rFonts w:hint="eastAsia" w:ascii="宋体" w:hAnsi="宋体"/>
          <w:spacing w:val="20"/>
          <w:szCs w:val="21"/>
        </w:rPr>
        <w:t>注：1、供应商应根据其响应情况填写该表，并保证其与响应文件内容的一致性、正确性和真实性；</w:t>
      </w:r>
    </w:p>
    <w:p>
      <w:pPr>
        <w:spacing w:line="276" w:lineRule="auto"/>
        <w:ind w:firstLine="490" w:firstLineChars="196"/>
        <w:rPr>
          <w:rFonts w:hint="eastAsia" w:ascii="宋体" w:hAnsi="宋体"/>
          <w:spacing w:val="20"/>
          <w:szCs w:val="21"/>
        </w:rPr>
      </w:pPr>
      <w:r>
        <w:rPr>
          <w:rFonts w:hint="eastAsia" w:ascii="宋体" w:hAnsi="宋体"/>
          <w:spacing w:val="20"/>
          <w:szCs w:val="21"/>
        </w:rPr>
        <w:t>2、填写该表不代表供应商已具有成交人资格。本表只作为成交结果公告内容的一部分，进行公告使用；</w:t>
      </w:r>
    </w:p>
    <w:p>
      <w:pPr>
        <w:spacing w:line="276" w:lineRule="auto"/>
        <w:ind w:firstLine="490" w:firstLineChars="196"/>
        <w:rPr>
          <w:rFonts w:hint="eastAsia" w:ascii="宋体" w:hAnsi="宋体"/>
          <w:spacing w:val="20"/>
          <w:szCs w:val="21"/>
        </w:rPr>
      </w:pPr>
      <w:r>
        <w:rPr>
          <w:rFonts w:hint="eastAsia" w:ascii="宋体" w:hAnsi="宋体"/>
          <w:spacing w:val="20"/>
          <w:szCs w:val="21"/>
        </w:rPr>
        <w:t>3、本表内容涉及较多，供应商可以适当增减表格行数，以保证表格内容的完整；</w:t>
      </w:r>
    </w:p>
    <w:p>
      <w:pPr>
        <w:spacing w:line="276" w:lineRule="auto"/>
        <w:ind w:firstLine="490" w:firstLineChars="196"/>
        <w:rPr>
          <w:rFonts w:hint="eastAsia" w:ascii="宋体" w:hAnsi="宋体"/>
          <w:spacing w:val="20"/>
          <w:szCs w:val="21"/>
        </w:rPr>
      </w:pPr>
      <w:r>
        <w:rPr>
          <w:rFonts w:hint="eastAsia" w:ascii="宋体" w:hAnsi="宋体"/>
          <w:spacing w:val="20"/>
          <w:szCs w:val="21"/>
        </w:rPr>
        <w:t>4、评审结果排名第一的供应商在评审结束后</w:t>
      </w:r>
      <w:r>
        <w:rPr>
          <w:rFonts w:hint="eastAsia" w:ascii="宋体" w:hAnsi="宋体"/>
          <w:b/>
          <w:spacing w:val="20"/>
          <w:szCs w:val="21"/>
        </w:rPr>
        <w:t>2个工作日内</w:t>
      </w:r>
      <w:r>
        <w:rPr>
          <w:rFonts w:hint="eastAsia" w:ascii="宋体" w:hAnsi="宋体"/>
          <w:spacing w:val="20"/>
          <w:szCs w:val="21"/>
        </w:rPr>
        <w:t>将该表格及项目响应文件电子文档刻录成光盘或将电子文档提交给代理机构的项目负责人。未按时提交规定内容造成后果由供应商自行承担。</w:t>
      </w:r>
    </w:p>
    <w:p>
      <w:pPr>
        <w:spacing w:line="276" w:lineRule="auto"/>
        <w:ind w:firstLine="490" w:firstLineChars="196"/>
        <w:rPr>
          <w:rFonts w:hint="eastAsia" w:ascii="宋体" w:hAnsi="宋体"/>
          <w:spacing w:val="20"/>
          <w:szCs w:val="21"/>
        </w:rPr>
      </w:pPr>
      <w:r>
        <w:rPr>
          <w:rFonts w:hint="eastAsia" w:ascii="宋体" w:hAnsi="宋体"/>
          <w:spacing w:val="20"/>
          <w:szCs w:val="21"/>
        </w:rPr>
        <w:t>5、成交结果公告内容如涉及供应商的商业秘密等法律法规规定可以不予公告的情形，供应商应另附书面说明，如未事前书面说明造成的后果由供应商自行承担。</w:t>
      </w:r>
    </w:p>
    <w:p>
      <w:pPr>
        <w:rPr>
          <w:rFonts w:hint="eastAsia"/>
        </w:rPr>
      </w:pPr>
    </w:p>
    <w:p>
      <w:pPr>
        <w:rPr>
          <w:rFonts w:hint="eastAsia"/>
        </w:rPr>
      </w:pPr>
    </w:p>
    <w:p>
      <w:pPr>
        <w:pStyle w:val="4"/>
        <w:ind w:firstLine="600"/>
        <w:jc w:val="center"/>
        <w:outlineLvl w:val="2"/>
        <w:rPr>
          <w:rFonts w:hint="eastAsia" w:ascii="宋体" w:hAnsi="宋体" w:eastAsia="宋体" w:cs="宋体"/>
          <w:b/>
          <w:bCs/>
          <w:kern w:val="2"/>
          <w:sz w:val="30"/>
          <w:szCs w:val="24"/>
          <w:lang w:val="en-US" w:eastAsia="zh-CN" w:bidi="ar-SA"/>
        </w:rPr>
      </w:pPr>
      <w:bookmarkStart w:id="358" w:name="_Toc11388"/>
      <w:bookmarkStart w:id="359" w:name="_Toc17045"/>
      <w:bookmarkStart w:id="360" w:name="_Toc29516"/>
      <w:r>
        <w:rPr>
          <w:rFonts w:hint="eastAsia" w:ascii="宋体" w:hAnsi="宋体" w:eastAsia="宋体" w:cs="宋体"/>
          <w:b/>
          <w:bCs/>
          <w:kern w:val="2"/>
          <w:sz w:val="30"/>
          <w:szCs w:val="24"/>
          <w:lang w:val="en-US" w:eastAsia="zh-CN" w:bidi="ar-SA"/>
        </w:rPr>
        <w:t>四 成交人公告内容（如为联合体</w:t>
      </w:r>
      <w:r>
        <w:rPr>
          <w:rFonts w:hint="eastAsia" w:ascii="宋体" w:hAnsi="宋体" w:cs="宋体"/>
          <w:b/>
          <w:bCs/>
          <w:kern w:val="2"/>
          <w:sz w:val="30"/>
          <w:szCs w:val="24"/>
          <w:lang w:val="en-US" w:eastAsia="zh-CN" w:bidi="ar-SA"/>
        </w:rPr>
        <w:t>投标</w:t>
      </w:r>
      <w:r>
        <w:rPr>
          <w:rFonts w:hint="eastAsia" w:ascii="宋体" w:hAnsi="宋体" w:eastAsia="宋体" w:cs="宋体"/>
          <w:b/>
          <w:bCs/>
          <w:kern w:val="2"/>
          <w:sz w:val="30"/>
          <w:szCs w:val="24"/>
          <w:lang w:val="en-US" w:eastAsia="zh-CN" w:bidi="ar-SA"/>
        </w:rPr>
        <w:t>时提供）</w:t>
      </w:r>
      <w:bookmarkEnd w:id="358"/>
      <w:bookmarkEnd w:id="359"/>
      <w:bookmarkEnd w:id="360"/>
    </w:p>
    <w:p>
      <w:pPr>
        <w:spacing w:line="360" w:lineRule="auto"/>
        <w:rPr>
          <w:rFonts w:hint="eastAsia" w:ascii="宋体" w:hAnsi="宋体"/>
          <w:spacing w:val="20"/>
          <w:sz w:val="24"/>
        </w:rPr>
      </w:pPr>
      <w:r>
        <w:rPr>
          <w:rFonts w:hint="eastAsia" w:ascii="宋体" w:hAnsi="宋体"/>
          <w:spacing w:val="20"/>
          <w:sz w:val="24"/>
        </w:rPr>
        <w:t>采购项目：</w:t>
      </w:r>
    </w:p>
    <w:p>
      <w:pPr>
        <w:spacing w:line="360" w:lineRule="auto"/>
        <w:rPr>
          <w:rFonts w:hint="eastAsia" w:ascii="宋体" w:hAnsi="宋体"/>
          <w:spacing w:val="20"/>
          <w:sz w:val="24"/>
        </w:rPr>
      </w:pPr>
      <w:r>
        <w:rPr>
          <w:rFonts w:hint="eastAsia" w:ascii="宋体" w:hAnsi="宋体"/>
          <w:spacing w:val="20"/>
          <w:sz w:val="24"/>
        </w:rPr>
        <w:t>采购编号</w:t>
      </w:r>
      <w:r>
        <w:rPr>
          <w:rFonts w:hint="eastAsia" w:ascii="宋体" w:hAnsi="宋体"/>
          <w:sz w:val="24"/>
          <w:szCs w:val="28"/>
        </w:rPr>
        <w:t>：</w:t>
      </w:r>
      <w:r>
        <w:rPr>
          <w:rFonts w:hint="eastAsia" w:ascii="宋体" w:hAnsi="宋体"/>
          <w:spacing w:val="20"/>
          <w:sz w:val="24"/>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147"/>
        <w:gridCol w:w="603"/>
        <w:gridCol w:w="882"/>
        <w:gridCol w:w="1215"/>
        <w:gridCol w:w="1603"/>
        <w:gridCol w:w="587"/>
        <w:gridCol w:w="15"/>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spacing w:val="20"/>
                <w:sz w:val="24"/>
              </w:rPr>
            </w:pPr>
            <w:r>
              <w:rPr>
                <w:rFonts w:hint="eastAsia" w:ascii="宋体" w:hAnsi="宋体" w:cs="Times New Roman"/>
                <w:spacing w:val="20"/>
                <w:sz w:val="24"/>
              </w:rPr>
              <w:t>成交人名称（牵头人）</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cs="Times New Roman"/>
                <w:spacing w:val="20"/>
                <w:sz w:val="24"/>
              </w:rPr>
            </w:pP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cs="Times New Roman"/>
                <w:spacing w:val="20"/>
                <w:sz w:val="24"/>
              </w:rPr>
            </w:pPr>
            <w:r>
              <w:rPr>
                <w:rFonts w:hint="eastAsia" w:ascii="宋体" w:hAnsi="宋体" w:cs="Times New Roman"/>
                <w:spacing w:val="20"/>
                <w:sz w:val="24"/>
              </w:rPr>
              <w:t>成交人（牵头人）负责人</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cs="Times New Roman"/>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cs="Times New Roman"/>
                <w:spacing w:val="20"/>
                <w:sz w:val="24"/>
              </w:rPr>
            </w:pPr>
            <w:r>
              <w:rPr>
                <w:rFonts w:hint="eastAsia" w:ascii="宋体" w:hAnsi="宋体" w:cs="Times New Roman"/>
                <w:spacing w:val="20"/>
                <w:sz w:val="24"/>
              </w:rPr>
              <w:t>成交人（牵头人）地址</w:t>
            </w:r>
          </w:p>
        </w:tc>
        <w:tc>
          <w:tcPr>
            <w:tcW w:w="625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cs="Times New Roman"/>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spacing w:val="20"/>
                <w:sz w:val="24"/>
              </w:rPr>
            </w:pPr>
            <w:r>
              <w:rPr>
                <w:rFonts w:hint="eastAsia" w:ascii="宋体" w:hAnsi="宋体" w:cs="Times New Roman"/>
                <w:spacing w:val="20"/>
                <w:sz w:val="24"/>
              </w:rPr>
              <w:t>成交人名称（成员方）</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cs="Times New Roman"/>
                <w:spacing w:val="20"/>
                <w:sz w:val="24"/>
              </w:rPr>
            </w:pPr>
          </w:p>
        </w:tc>
        <w:tc>
          <w:tcPr>
            <w:tcW w:w="34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cs="Times New Roman"/>
                <w:spacing w:val="20"/>
                <w:sz w:val="24"/>
              </w:rPr>
            </w:pPr>
            <w:r>
              <w:rPr>
                <w:rFonts w:hint="eastAsia" w:ascii="宋体" w:hAnsi="宋体" w:cs="Times New Roman"/>
                <w:spacing w:val="20"/>
                <w:sz w:val="24"/>
              </w:rPr>
              <w:t>成交人（成员方）负责人</w:t>
            </w:r>
          </w:p>
        </w:tc>
        <w:tc>
          <w:tcPr>
            <w:tcW w:w="13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cs="Times New Roman"/>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Times New Roman"/>
                <w:spacing w:val="20"/>
                <w:sz w:val="24"/>
              </w:rPr>
            </w:pPr>
            <w:r>
              <w:rPr>
                <w:rFonts w:hint="eastAsia" w:ascii="宋体" w:hAnsi="宋体" w:cs="Times New Roman"/>
                <w:spacing w:val="20"/>
                <w:sz w:val="24"/>
              </w:rPr>
              <w:t>成交人（成员方）地址</w:t>
            </w:r>
          </w:p>
        </w:tc>
        <w:tc>
          <w:tcPr>
            <w:tcW w:w="625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cs="Times New Roman"/>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cs="Times New Roman"/>
                <w:spacing w:val="20"/>
                <w:sz w:val="24"/>
              </w:rPr>
            </w:pPr>
            <w:r>
              <w:rPr>
                <w:rFonts w:hint="eastAsia" w:ascii="宋体" w:hAnsi="宋体" w:cs="Times New Roman"/>
                <w:spacing w:val="20"/>
                <w:sz w:val="24"/>
              </w:rPr>
              <w:t xml:space="preserve"> 成交标的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cs="Times New Roman"/>
                <w:spacing w:val="20"/>
                <w:sz w:val="24"/>
              </w:rPr>
            </w:pPr>
            <w:r>
              <w:rPr>
                <w:rFonts w:hint="eastAsia" w:ascii="宋体" w:hAnsi="宋体" w:cs="Times New Roman"/>
                <w:spacing w:val="20"/>
                <w:sz w:val="24"/>
              </w:rPr>
              <w:t>服务</w:t>
            </w:r>
            <w:r>
              <w:rPr>
                <w:rFonts w:ascii="宋体" w:hAnsi="宋体" w:cs="Times New Roman"/>
                <w:spacing w:val="20"/>
                <w:sz w:val="24"/>
              </w:rPr>
              <w:t>内容</w:t>
            </w: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cs="Times New Roman"/>
                <w:spacing w:val="20"/>
                <w:sz w:val="24"/>
              </w:rPr>
            </w:pPr>
            <w:r>
              <w:rPr>
                <w:rFonts w:hint="eastAsia" w:ascii="宋体" w:hAnsi="宋体" w:cs="Times New Roman"/>
                <w:spacing w:val="20"/>
                <w:sz w:val="24"/>
              </w:rPr>
              <w:t>单位</w:t>
            </w:r>
          </w:p>
        </w:tc>
        <w:tc>
          <w:tcPr>
            <w:tcW w:w="2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cs="Times New Roman"/>
                <w:spacing w:val="20"/>
                <w:sz w:val="24"/>
              </w:rPr>
            </w:pPr>
            <w:r>
              <w:rPr>
                <w:rFonts w:hint="eastAsia" w:ascii="宋体" w:hAnsi="宋体" w:cs="Times New Roman"/>
                <w:spacing w:val="20"/>
                <w:sz w:val="24"/>
              </w:rPr>
              <w:t>数量</w:t>
            </w:r>
          </w:p>
        </w:tc>
        <w:tc>
          <w:tcPr>
            <w:tcW w:w="1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Calibri" w:hAnsi="Calibri" w:cs="Times New Roman"/>
              </w:rPr>
            </w:pPr>
            <w:r>
              <w:rPr>
                <w:rFonts w:hint="eastAsia" w:ascii="宋体" w:hAnsi="宋体" w:cs="Times New Roman"/>
                <w:spacing w:val="20"/>
                <w:sz w:val="24"/>
              </w:rPr>
              <w:t>单价</w:t>
            </w:r>
          </w:p>
        </w:tc>
        <w:tc>
          <w:tcPr>
            <w:tcW w:w="1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cs="Times New Roman"/>
                <w:spacing w:val="20"/>
                <w:sz w:val="24"/>
              </w:rPr>
            </w:pPr>
            <w:r>
              <w:rPr>
                <w:rFonts w:hint="eastAsia" w:ascii="宋体" w:hAnsi="宋体" w:cs="Times New Roman"/>
                <w:spacing w:val="2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cs="Times New Roman"/>
                <w:spacing w:val="20"/>
                <w:sz w:val="24"/>
              </w:rPr>
            </w:pP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cs="Times New Roman"/>
                <w:spacing w:val="20"/>
                <w:sz w:val="24"/>
              </w:rPr>
            </w:pPr>
          </w:p>
        </w:tc>
        <w:tc>
          <w:tcPr>
            <w:tcW w:w="2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cs="Times New Roman"/>
                <w:spacing w:val="20"/>
                <w:sz w:val="24"/>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Calibri" w:hAnsi="Calibri" w:cs="Times New Roman"/>
              </w:rPr>
            </w:pPr>
          </w:p>
        </w:tc>
        <w:tc>
          <w:tcPr>
            <w:tcW w:w="1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cs="Times New Roman"/>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cs="Times New Roman"/>
                <w:spacing w:val="20"/>
                <w:sz w:val="24"/>
              </w:rPr>
            </w:pPr>
          </w:p>
        </w:tc>
        <w:tc>
          <w:tcPr>
            <w:tcW w:w="175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cs="Times New Roman"/>
                <w:spacing w:val="20"/>
                <w:sz w:val="24"/>
              </w:rPr>
            </w:pPr>
          </w:p>
        </w:tc>
        <w:tc>
          <w:tcPr>
            <w:tcW w:w="209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cs="Times New Roman"/>
                <w:spacing w:val="20"/>
                <w:sz w:val="24"/>
              </w:rPr>
            </w:pPr>
          </w:p>
        </w:tc>
        <w:tc>
          <w:tcPr>
            <w:tcW w:w="160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Calibri" w:hAnsi="Calibri" w:cs="Times New Roman"/>
              </w:rPr>
            </w:pPr>
          </w:p>
        </w:tc>
        <w:tc>
          <w:tcPr>
            <w:tcW w:w="195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cs="Times New Roman"/>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cs="Times New Roman"/>
                <w:spacing w:val="20"/>
                <w:sz w:val="24"/>
              </w:rPr>
            </w:pPr>
          </w:p>
        </w:tc>
        <w:tc>
          <w:tcPr>
            <w:tcW w:w="175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cs="Times New Roman"/>
                <w:spacing w:val="20"/>
                <w:sz w:val="24"/>
              </w:rPr>
            </w:pPr>
          </w:p>
        </w:tc>
        <w:tc>
          <w:tcPr>
            <w:tcW w:w="209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cs="Times New Roman"/>
                <w:spacing w:val="20"/>
                <w:sz w:val="24"/>
              </w:rPr>
            </w:pPr>
          </w:p>
        </w:tc>
        <w:tc>
          <w:tcPr>
            <w:tcW w:w="160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Calibri" w:hAnsi="Calibri" w:cs="Times New Roman"/>
              </w:rPr>
            </w:pPr>
          </w:p>
        </w:tc>
        <w:tc>
          <w:tcPr>
            <w:tcW w:w="195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cs="Times New Roman"/>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cs="Times New Roman"/>
                <w:spacing w:val="20"/>
                <w:sz w:val="24"/>
              </w:rPr>
            </w:pPr>
          </w:p>
        </w:tc>
        <w:tc>
          <w:tcPr>
            <w:tcW w:w="175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cs="Times New Roman"/>
                <w:spacing w:val="20"/>
                <w:sz w:val="24"/>
              </w:rPr>
            </w:pPr>
          </w:p>
        </w:tc>
        <w:tc>
          <w:tcPr>
            <w:tcW w:w="209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cs="Times New Roman"/>
                <w:spacing w:val="20"/>
                <w:sz w:val="24"/>
              </w:rPr>
            </w:pPr>
          </w:p>
        </w:tc>
        <w:tc>
          <w:tcPr>
            <w:tcW w:w="160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Calibri" w:hAnsi="Calibri" w:cs="Times New Roman"/>
              </w:rPr>
            </w:pPr>
          </w:p>
        </w:tc>
        <w:tc>
          <w:tcPr>
            <w:tcW w:w="195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cs="Times New Roman"/>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cs="Times New Roman"/>
                <w:spacing w:val="20"/>
                <w:sz w:val="24"/>
              </w:rPr>
            </w:pPr>
          </w:p>
        </w:tc>
        <w:tc>
          <w:tcPr>
            <w:tcW w:w="175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cs="Times New Roman"/>
                <w:spacing w:val="20"/>
                <w:sz w:val="24"/>
              </w:rPr>
            </w:pPr>
          </w:p>
        </w:tc>
        <w:tc>
          <w:tcPr>
            <w:tcW w:w="209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cs="Times New Roman"/>
                <w:spacing w:val="20"/>
                <w:sz w:val="24"/>
              </w:rPr>
            </w:pPr>
          </w:p>
        </w:tc>
        <w:tc>
          <w:tcPr>
            <w:tcW w:w="160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Calibri" w:hAnsi="Calibri" w:cs="Times New Roman"/>
              </w:rPr>
            </w:pPr>
          </w:p>
        </w:tc>
        <w:tc>
          <w:tcPr>
            <w:tcW w:w="195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cs="Times New Roman"/>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cs="Times New Roman"/>
                <w:spacing w:val="20"/>
                <w:sz w:val="24"/>
              </w:rPr>
            </w:pPr>
          </w:p>
        </w:tc>
        <w:tc>
          <w:tcPr>
            <w:tcW w:w="175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cs="Times New Roman"/>
                <w:spacing w:val="20"/>
                <w:sz w:val="24"/>
              </w:rPr>
            </w:pPr>
          </w:p>
        </w:tc>
        <w:tc>
          <w:tcPr>
            <w:tcW w:w="209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cs="Times New Roman"/>
                <w:spacing w:val="20"/>
                <w:sz w:val="24"/>
              </w:rPr>
            </w:pPr>
          </w:p>
        </w:tc>
        <w:tc>
          <w:tcPr>
            <w:tcW w:w="160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Calibri" w:hAnsi="Calibri" w:cs="Times New Roman"/>
              </w:rPr>
            </w:pPr>
          </w:p>
        </w:tc>
        <w:tc>
          <w:tcPr>
            <w:tcW w:w="195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cs="Times New Roman"/>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cs="Times New Roman"/>
                <w:spacing w:val="20"/>
                <w:sz w:val="24"/>
              </w:rPr>
            </w:pPr>
            <w:r>
              <w:rPr>
                <w:rFonts w:hint="eastAsia" w:ascii="宋体" w:hAnsi="宋体" w:cs="Times New Roman"/>
                <w:spacing w:val="20"/>
                <w:sz w:val="24"/>
              </w:rPr>
              <w:t>成交金额合计</w:t>
            </w:r>
          </w:p>
        </w:tc>
        <w:tc>
          <w:tcPr>
            <w:tcW w:w="195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cs="Times New Roman"/>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spacing w:val="20"/>
                <w:sz w:val="24"/>
              </w:rPr>
            </w:pPr>
            <w:r>
              <w:rPr>
                <w:rFonts w:hint="eastAsia" w:ascii="宋体" w:hAnsi="宋体" w:cs="Times New Roman"/>
                <w:spacing w:val="20"/>
                <w:sz w:val="24"/>
              </w:rPr>
              <w:t>服务要求：</w:t>
            </w:r>
          </w:p>
          <w:p>
            <w:pPr>
              <w:keepNext w:val="0"/>
              <w:keepLines w:val="0"/>
              <w:suppressLineNumbers w:val="0"/>
              <w:spacing w:before="0" w:beforeAutospacing="0" w:after="0" w:afterAutospacing="0" w:line="360" w:lineRule="auto"/>
              <w:ind w:left="0" w:right="0"/>
              <w:rPr>
                <w:rFonts w:hint="eastAsia" w:ascii="宋体" w:hAnsi="宋体" w:cs="Times New Roman"/>
                <w:spacing w:val="20"/>
                <w:sz w:val="24"/>
              </w:rPr>
            </w:pPr>
          </w:p>
          <w:p>
            <w:pPr>
              <w:keepNext w:val="0"/>
              <w:keepLines w:val="0"/>
              <w:suppressLineNumbers w:val="0"/>
              <w:spacing w:before="0" w:beforeAutospacing="0" w:after="0" w:afterAutospacing="0" w:line="360" w:lineRule="auto"/>
              <w:ind w:left="0" w:right="0"/>
              <w:rPr>
                <w:rFonts w:ascii="宋体" w:hAnsi="宋体" w:cs="Times New Roman"/>
                <w:spacing w:val="20"/>
                <w:sz w:val="24"/>
              </w:rPr>
            </w:pPr>
          </w:p>
        </w:tc>
      </w:tr>
    </w:tbl>
    <w:p>
      <w:pPr>
        <w:spacing w:line="276" w:lineRule="auto"/>
        <w:rPr>
          <w:rFonts w:hint="eastAsia" w:ascii="宋体" w:hAnsi="宋体"/>
          <w:spacing w:val="20"/>
          <w:szCs w:val="21"/>
        </w:rPr>
      </w:pPr>
      <w:r>
        <w:rPr>
          <w:rFonts w:hint="eastAsia" w:ascii="宋体" w:hAnsi="宋体"/>
          <w:spacing w:val="20"/>
          <w:szCs w:val="21"/>
        </w:rPr>
        <w:t>注：1、供应商应根据其响应情况填写该表，并保证其与响应文件内容的一致性、正确性和真实性；</w:t>
      </w:r>
    </w:p>
    <w:p>
      <w:pPr>
        <w:spacing w:line="276" w:lineRule="auto"/>
        <w:ind w:firstLine="490" w:firstLineChars="196"/>
        <w:rPr>
          <w:rFonts w:hint="eastAsia" w:ascii="宋体" w:hAnsi="宋体"/>
          <w:spacing w:val="20"/>
          <w:szCs w:val="21"/>
        </w:rPr>
      </w:pPr>
      <w:r>
        <w:rPr>
          <w:rFonts w:hint="eastAsia" w:ascii="宋体" w:hAnsi="宋体"/>
          <w:spacing w:val="20"/>
          <w:szCs w:val="21"/>
        </w:rPr>
        <w:t>2、填写该表不代表供应商已具有成交人资格。本表只作为成交结果公告内容的一部分，进行公告使用；</w:t>
      </w:r>
    </w:p>
    <w:p>
      <w:pPr>
        <w:spacing w:line="276" w:lineRule="auto"/>
        <w:ind w:firstLine="490" w:firstLineChars="196"/>
        <w:rPr>
          <w:rFonts w:hint="eastAsia" w:ascii="宋体" w:hAnsi="宋体"/>
          <w:spacing w:val="20"/>
          <w:szCs w:val="21"/>
        </w:rPr>
      </w:pPr>
      <w:r>
        <w:rPr>
          <w:rFonts w:hint="eastAsia" w:ascii="宋体" w:hAnsi="宋体"/>
          <w:spacing w:val="20"/>
          <w:szCs w:val="21"/>
        </w:rPr>
        <w:t>3、本表内容涉及较多，供应商可以适当增减表格行数，以保证表格内容的完整；</w:t>
      </w:r>
    </w:p>
    <w:p>
      <w:pPr>
        <w:spacing w:line="276" w:lineRule="auto"/>
        <w:ind w:firstLine="490" w:firstLineChars="196"/>
        <w:rPr>
          <w:rFonts w:hint="eastAsia" w:ascii="宋体" w:hAnsi="宋体"/>
          <w:spacing w:val="20"/>
          <w:szCs w:val="21"/>
        </w:rPr>
      </w:pPr>
      <w:r>
        <w:rPr>
          <w:rFonts w:hint="eastAsia" w:ascii="宋体" w:hAnsi="宋体"/>
          <w:spacing w:val="20"/>
          <w:szCs w:val="21"/>
        </w:rPr>
        <w:t>4、评审结果排名第一的供应商在评审结束后</w:t>
      </w:r>
      <w:r>
        <w:rPr>
          <w:rFonts w:hint="eastAsia" w:ascii="宋体" w:hAnsi="宋体"/>
          <w:b/>
          <w:spacing w:val="20"/>
          <w:szCs w:val="21"/>
        </w:rPr>
        <w:t>2个工作日内</w:t>
      </w:r>
      <w:r>
        <w:rPr>
          <w:rFonts w:hint="eastAsia" w:ascii="宋体" w:hAnsi="宋体"/>
          <w:spacing w:val="20"/>
          <w:szCs w:val="21"/>
        </w:rPr>
        <w:t>将该表格及项目响应文件电子文档刻录成光盘或将电子文档提交给代理机构的项目负责人。未按时提交规定内容造成后果由供应商自行承担。</w:t>
      </w:r>
    </w:p>
    <w:p>
      <w:pPr>
        <w:spacing w:line="276" w:lineRule="auto"/>
        <w:ind w:firstLine="490" w:firstLineChars="196"/>
        <w:rPr>
          <w:rFonts w:hint="eastAsia" w:ascii="宋体" w:hAnsi="宋体"/>
          <w:spacing w:val="20"/>
          <w:szCs w:val="21"/>
        </w:rPr>
      </w:pPr>
      <w:r>
        <w:rPr>
          <w:rFonts w:hint="eastAsia" w:ascii="宋体" w:hAnsi="宋体"/>
          <w:spacing w:val="20"/>
          <w:szCs w:val="21"/>
        </w:rPr>
        <w:t>5、成交结果公告内容如涉及供应商的商业秘密等法律法规规定可以不予公告的情形，供应商应另附书面说明，如未事前书面说明造成的后果由供应商自行承担。</w:t>
      </w:r>
    </w:p>
    <w:p>
      <w:pPr>
        <w:pStyle w:val="4"/>
        <w:spacing w:before="120" w:after="120" w:line="400" w:lineRule="exact"/>
        <w:ind w:left="0" w:leftChars="0" w:firstLine="0" w:firstLineChars="0"/>
        <w:jc w:val="center"/>
        <w:outlineLvl w:val="2"/>
        <w:rPr>
          <w:rFonts w:hint="eastAsia" w:ascii="宋体" w:hAnsi="宋体"/>
          <w:b/>
          <w:bCs/>
        </w:rPr>
      </w:pPr>
      <w:bookmarkStart w:id="361" w:name="_Toc94277263"/>
      <w:bookmarkStart w:id="362" w:name="_Toc21669"/>
      <w:bookmarkStart w:id="363" w:name="_Toc36556469"/>
      <w:bookmarkStart w:id="364" w:name="_Toc35355083"/>
      <w:bookmarkStart w:id="365" w:name="_Toc9822"/>
      <w:r>
        <w:rPr>
          <w:rFonts w:hint="eastAsia" w:ascii="宋体" w:hAnsi="宋体"/>
          <w:b/>
          <w:bCs/>
        </w:rPr>
        <w:t>五  政府采购活动现场确认声明书</w:t>
      </w:r>
      <w:bookmarkEnd w:id="361"/>
      <w:bookmarkEnd w:id="362"/>
      <w:bookmarkEnd w:id="363"/>
      <w:bookmarkEnd w:id="364"/>
      <w:r>
        <w:rPr>
          <w:rFonts w:hint="eastAsia" w:ascii="宋体" w:hAnsi="宋体"/>
          <w:b/>
          <w:bCs/>
        </w:rPr>
        <w:t>（如为联合体，各方均须提供）</w:t>
      </w:r>
      <w:bookmarkEnd w:id="365"/>
    </w:p>
    <w:p>
      <w:pPr>
        <w:spacing w:line="440" w:lineRule="exact"/>
        <w:rPr>
          <w:rFonts w:hint="eastAsia" w:ascii="宋体" w:hAnsi="宋体"/>
          <w:sz w:val="24"/>
          <w:u w:val="single"/>
        </w:rPr>
      </w:pPr>
      <w:r>
        <w:rPr>
          <w:rFonts w:hint="eastAsia" w:ascii="宋体" w:hAnsi="宋体"/>
          <w:sz w:val="24"/>
          <w:u w:val="single"/>
        </w:rPr>
        <w:t>卓正招标咨询（丽水）有限公司 ：</w:t>
      </w:r>
    </w:p>
    <w:p>
      <w:pPr>
        <w:spacing w:line="440" w:lineRule="exact"/>
        <w:rPr>
          <w:rFonts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法定代表人（负责人）</w:t>
      </w:r>
      <w:r>
        <w:rPr>
          <w:rFonts w:hint="eastAsia" w:ascii="宋体" w:hAnsi="宋体"/>
          <w:sz w:val="24"/>
          <w:u w:val="single"/>
        </w:rPr>
        <w:t xml:space="preserve">           </w:t>
      </w:r>
      <w:r>
        <w:rPr>
          <w:rFonts w:hint="eastAsia" w:ascii="宋体" w:hAnsi="宋体"/>
          <w:sz w:val="24"/>
        </w:rPr>
        <w:t>，合法授权参加</w:t>
      </w:r>
      <w:r>
        <w:rPr>
          <w:rFonts w:hint="eastAsia" w:ascii="宋体" w:hAnsi="宋体"/>
          <w:sz w:val="24"/>
          <w:u w:val="single"/>
          <w:lang w:val="en-US" w:eastAsia="zh-CN"/>
        </w:rPr>
        <w:t xml:space="preserve">             （项目名称）         </w:t>
      </w:r>
      <w:r>
        <w:rPr>
          <w:rFonts w:hint="eastAsia" w:ascii="宋体" w:hAnsi="宋体"/>
          <w:sz w:val="24"/>
          <w:u w:val="single"/>
        </w:rPr>
        <w:t>（项目编号：</w:t>
      </w:r>
      <w:r>
        <w:rPr>
          <w:rFonts w:hint="eastAsia" w:ascii="宋体" w:hAnsi="宋体" w:cs="仿宋_GB2312"/>
          <w:sz w:val="24"/>
          <w:u w:val="single"/>
        </w:rPr>
        <w:t xml:space="preserve"> </w:t>
      </w:r>
      <w:r>
        <w:rPr>
          <w:rFonts w:hint="eastAsia" w:ascii="宋体" w:hAnsi="宋体"/>
          <w:sz w:val="24"/>
          <w:u w:val="single"/>
        </w:rPr>
        <w:t>）</w:t>
      </w:r>
      <w:r>
        <w:rPr>
          <w:rFonts w:hint="eastAsia" w:ascii="宋体" w:hAnsi="宋体"/>
          <w:sz w:val="24"/>
        </w:rPr>
        <w:t>政府采购活动，经与本单位法人代表（负责人）联系确认，现就有关公平竞争事项郑重声明如下：</w:t>
      </w:r>
    </w:p>
    <w:p>
      <w:pPr>
        <w:spacing w:line="440" w:lineRule="exact"/>
        <w:rPr>
          <w:rFonts w:ascii="宋体" w:hAnsi="宋体"/>
          <w:sz w:val="24"/>
        </w:rPr>
      </w:pPr>
      <w:r>
        <w:rPr>
          <w:rFonts w:hint="eastAsia" w:ascii="宋体" w:hAnsi="宋体"/>
          <w:sz w:val="24"/>
        </w:rPr>
        <w:t xml:space="preserve">    一、本单位与采购人之间</w:t>
      </w:r>
      <w:r>
        <w:rPr>
          <w:rFonts w:hint="eastAsia" w:ascii="宋体" w:hAnsi="宋体" w:eastAsia="宋体" w:cs="Times New Roman"/>
          <w:sz w:val="24"/>
        </w:rPr>
        <w:t xml:space="preserve"> □不存在利害关系</w:t>
      </w:r>
      <w:r>
        <w:rPr>
          <w:rFonts w:hint="eastAsia" w:ascii="宋体" w:hAnsi="宋体"/>
          <w:sz w:val="24"/>
        </w:rPr>
        <w:t xml:space="preserve"> □存在下列利害关系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pPr>
        <w:spacing w:line="440" w:lineRule="exact"/>
        <w:rPr>
          <w:rFonts w:ascii="宋体" w:hAnsi="宋体"/>
          <w:sz w:val="24"/>
        </w:rPr>
      </w:pPr>
      <w:r>
        <w:rPr>
          <w:rFonts w:hint="eastAsia" w:ascii="宋体" w:hAnsi="宋体"/>
          <w:sz w:val="24"/>
        </w:rPr>
        <w:t xml:space="preserve">    A.投资关系    B.行政隶属关系    C.业务指导关系</w:t>
      </w:r>
    </w:p>
    <w:p>
      <w:pPr>
        <w:spacing w:line="440" w:lineRule="exact"/>
        <w:ind w:firstLine="480"/>
        <w:rPr>
          <w:rFonts w:ascii="宋体" w:hAnsi="宋体"/>
          <w:sz w:val="24"/>
          <w:u w:val="single"/>
        </w:rPr>
      </w:pPr>
      <w:r>
        <w:rPr>
          <w:rFonts w:hint="eastAsia" w:ascii="宋体" w:hAnsi="宋体"/>
          <w:sz w:val="24"/>
        </w:rPr>
        <w:t>D.其他可能影响采购公正的利害关系（如有，请如实说明）</w:t>
      </w:r>
      <w:r>
        <w:rPr>
          <w:rFonts w:hint="eastAsia" w:ascii="宋体" w:hAnsi="宋体"/>
          <w:sz w:val="24"/>
          <w:u w:val="single"/>
        </w:rPr>
        <w:t xml:space="preserve">         </w:t>
      </w:r>
    </w:p>
    <w:p>
      <w:pPr>
        <w:spacing w:line="440" w:lineRule="exact"/>
        <w:ind w:firstLine="480"/>
        <w:rPr>
          <w:rFonts w:ascii="宋体" w:hAnsi="宋体"/>
          <w:sz w:val="24"/>
        </w:rPr>
      </w:pPr>
      <w:r>
        <w:rPr>
          <w:rFonts w:hint="eastAsia" w:ascii="宋体" w:hAnsi="宋体"/>
          <w:sz w:val="24"/>
        </w:rPr>
        <w:t>二、现已清楚知道参加本项目采购活动的其他所有供应商名称，本单位</w:t>
      </w:r>
    </w:p>
    <w:p>
      <w:pPr>
        <w:spacing w:line="440" w:lineRule="exact"/>
        <w:ind w:firstLine="480"/>
        <w:rPr>
          <w:rFonts w:ascii="宋体" w:hAnsi="宋体"/>
          <w:sz w:val="24"/>
        </w:rPr>
      </w:pPr>
      <w:r>
        <w:rPr>
          <w:rFonts w:hint="eastAsia" w:ascii="宋体" w:hAnsi="宋体" w:eastAsia="宋体" w:cs="Times New Roman"/>
          <w:sz w:val="24"/>
          <w:u w:val="none"/>
        </w:rPr>
        <w:t xml:space="preserve">□与其他所有供应商之间均不存在利害关系  </w:t>
      </w:r>
      <w:r>
        <w:rPr>
          <w:rFonts w:hint="eastAsia" w:ascii="宋体" w:hAnsi="宋体"/>
          <w:sz w:val="24"/>
        </w:rPr>
        <w:t>□与</w:t>
      </w:r>
      <w:r>
        <w:rPr>
          <w:rFonts w:hint="eastAsia" w:ascii="宋体" w:hAnsi="宋体"/>
          <w:sz w:val="24"/>
          <w:u w:val="single"/>
        </w:rPr>
        <w:t xml:space="preserve">（供应商名称）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之间存在下列利害关系</w:t>
      </w:r>
      <w:r>
        <w:rPr>
          <w:rFonts w:hint="eastAsia" w:ascii="宋体" w:hAnsi="宋体"/>
          <w:sz w:val="24"/>
          <w:u w:val="single"/>
        </w:rPr>
        <w:t xml:space="preserve">        </w:t>
      </w:r>
      <w:r>
        <w:rPr>
          <w:rFonts w:hint="eastAsia" w:ascii="宋体" w:hAnsi="宋体"/>
          <w:sz w:val="24"/>
        </w:rPr>
        <w:t>：</w:t>
      </w:r>
    </w:p>
    <w:p>
      <w:pPr>
        <w:spacing w:line="440" w:lineRule="exact"/>
        <w:rPr>
          <w:rFonts w:ascii="宋体" w:hAnsi="宋体"/>
          <w:sz w:val="24"/>
        </w:rPr>
      </w:pPr>
      <w:r>
        <w:rPr>
          <w:rFonts w:hint="eastAsia" w:ascii="宋体" w:hAnsi="宋体"/>
          <w:sz w:val="24"/>
        </w:rPr>
        <w:t xml:space="preserve">    A.法定代表人或负责人或实际控制人是同一人</w:t>
      </w:r>
    </w:p>
    <w:p>
      <w:pPr>
        <w:spacing w:line="440" w:lineRule="exact"/>
        <w:rPr>
          <w:rFonts w:ascii="宋体" w:hAnsi="宋体"/>
          <w:sz w:val="24"/>
        </w:rPr>
      </w:pPr>
      <w:r>
        <w:rPr>
          <w:rFonts w:hint="eastAsia" w:ascii="宋体" w:hAnsi="宋体"/>
          <w:sz w:val="24"/>
        </w:rPr>
        <w:t xml:space="preserve">    B.法定代表人或负责人或实际控制人是夫妻关系</w:t>
      </w:r>
    </w:p>
    <w:p>
      <w:pPr>
        <w:spacing w:line="440" w:lineRule="exact"/>
        <w:rPr>
          <w:rFonts w:ascii="宋体" w:hAnsi="宋体"/>
          <w:sz w:val="24"/>
        </w:rPr>
      </w:pPr>
      <w:r>
        <w:rPr>
          <w:rFonts w:hint="eastAsia" w:ascii="宋体" w:hAnsi="宋体"/>
          <w:sz w:val="24"/>
        </w:rPr>
        <w:t xml:space="preserve">    C.法定代表人或负责人或实际控制人是直系血亲关系</w:t>
      </w:r>
    </w:p>
    <w:p>
      <w:pPr>
        <w:spacing w:line="440" w:lineRule="exact"/>
        <w:rPr>
          <w:rFonts w:ascii="宋体" w:hAnsi="宋体"/>
          <w:sz w:val="24"/>
        </w:rPr>
      </w:pPr>
      <w:r>
        <w:rPr>
          <w:rFonts w:hint="eastAsia" w:ascii="宋体" w:hAnsi="宋体"/>
          <w:sz w:val="24"/>
        </w:rPr>
        <w:t xml:space="preserve">    D.法定代表人或负责人或实际控制人存在三代以内旁系血亲关系</w:t>
      </w:r>
    </w:p>
    <w:p>
      <w:pPr>
        <w:spacing w:line="440" w:lineRule="exact"/>
        <w:rPr>
          <w:rFonts w:ascii="宋体" w:hAnsi="宋体"/>
          <w:sz w:val="24"/>
        </w:rPr>
      </w:pPr>
      <w:r>
        <w:rPr>
          <w:rFonts w:hint="eastAsia" w:ascii="宋体" w:hAnsi="宋体"/>
          <w:sz w:val="24"/>
        </w:rPr>
        <w:t xml:space="preserve">    E.法定代表人或负责人或实际控制人存在近姻亲关系</w:t>
      </w:r>
    </w:p>
    <w:p>
      <w:pPr>
        <w:spacing w:line="440" w:lineRule="exact"/>
        <w:rPr>
          <w:rFonts w:ascii="宋体" w:hAnsi="宋体"/>
          <w:sz w:val="24"/>
        </w:rPr>
      </w:pPr>
      <w:r>
        <w:rPr>
          <w:rFonts w:hint="eastAsia" w:ascii="宋体" w:hAnsi="宋体"/>
          <w:sz w:val="24"/>
        </w:rPr>
        <w:t xml:space="preserve">    F.法定代表人或负责人或实际控制人存在股份控制或实际控制关系</w:t>
      </w:r>
    </w:p>
    <w:p>
      <w:pPr>
        <w:spacing w:line="440" w:lineRule="exact"/>
        <w:rPr>
          <w:rFonts w:ascii="宋体" w:hAnsi="宋体"/>
          <w:sz w:val="24"/>
        </w:rPr>
      </w:pPr>
      <w:r>
        <w:rPr>
          <w:rFonts w:hint="eastAsia" w:ascii="宋体" w:hAnsi="宋体"/>
          <w:sz w:val="24"/>
        </w:rPr>
        <w:t xml:space="preserve">    G.存在共同直接或间接投资设立子公司、联营企业和合营企业情况</w:t>
      </w:r>
    </w:p>
    <w:p>
      <w:pPr>
        <w:spacing w:line="440" w:lineRule="exact"/>
        <w:rPr>
          <w:rFonts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pPr>
        <w:spacing w:line="440" w:lineRule="exact"/>
        <w:ind w:left="240" w:hanging="240" w:hangingChars="100"/>
        <w:rPr>
          <w:rFonts w:ascii="宋体" w:hAnsi="宋体"/>
          <w:sz w:val="24"/>
        </w:rPr>
      </w:pPr>
      <w:r>
        <w:rPr>
          <w:rFonts w:hint="eastAsia" w:ascii="宋体" w:hAnsi="宋体"/>
          <w:sz w:val="24"/>
        </w:rPr>
        <w:t xml:space="preserve">    I.其他利害关系情况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440" w:lineRule="exact"/>
        <w:ind w:firstLine="480"/>
        <w:rPr>
          <w:rFonts w:ascii="宋体" w:hAnsi="宋体"/>
          <w:sz w:val="24"/>
        </w:rPr>
      </w:pPr>
      <w:r>
        <w:rPr>
          <w:rFonts w:hint="eastAsia" w:ascii="宋体" w:hAnsi="宋体"/>
          <w:sz w:val="24"/>
        </w:rPr>
        <w:t>三、现已清楚知道并严格遵守政府采购法律法规和现场纪律。</w:t>
      </w:r>
    </w:p>
    <w:p>
      <w:pPr>
        <w:spacing w:line="440" w:lineRule="exact"/>
        <w:ind w:firstLine="480"/>
        <w:rPr>
          <w:rFonts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 xml:space="preserve">项利害关系。 </w:t>
      </w:r>
    </w:p>
    <w:p>
      <w:pPr>
        <w:spacing w:line="440" w:lineRule="exact"/>
        <w:ind w:right="480" w:firstLine="120" w:firstLineChars="50"/>
        <w:jc w:val="right"/>
        <w:rPr>
          <w:rFonts w:ascii="宋体" w:hAnsi="宋体"/>
          <w:sz w:val="24"/>
        </w:rPr>
      </w:pPr>
      <w:r>
        <w:rPr>
          <w:rFonts w:hint="eastAsia" w:ascii="宋体" w:hAnsi="宋体"/>
          <w:sz w:val="24"/>
        </w:rPr>
        <w:t>（</w:t>
      </w:r>
      <w:r>
        <w:rPr>
          <w:rFonts w:ascii="宋体" w:hAnsi="宋体"/>
          <w:sz w:val="24"/>
        </w:rPr>
        <w:t>负责人或委托代理人签名</w:t>
      </w:r>
      <w:r>
        <w:rPr>
          <w:rFonts w:hint="eastAsia" w:ascii="宋体" w:hAnsi="宋体"/>
          <w:sz w:val="24"/>
        </w:rPr>
        <w:t xml:space="preserve">）： </w:t>
      </w:r>
      <w:r>
        <w:rPr>
          <w:rFonts w:ascii="宋体" w:hAnsi="宋体"/>
          <w:sz w:val="24"/>
        </w:rPr>
        <w:t xml:space="preserve">    </w:t>
      </w:r>
    </w:p>
    <w:p>
      <w:pPr>
        <w:spacing w:line="440" w:lineRule="exact"/>
        <w:jc w:val="right"/>
        <w:rPr>
          <w:rFonts w:ascii="宋体" w:hAnsi="宋体"/>
          <w:sz w:val="24"/>
        </w:rPr>
      </w:pPr>
      <w:r>
        <w:rPr>
          <w:rFonts w:ascii="宋体" w:hAnsi="宋体"/>
          <w:sz w:val="24"/>
        </w:rPr>
        <w:t xml:space="preserve">     </w:t>
      </w:r>
      <w:r>
        <w:rPr>
          <w:rFonts w:hint="eastAsia" w:ascii="宋体" w:hAnsi="宋体"/>
          <w:sz w:val="24"/>
        </w:rPr>
        <w:t xml:space="preserve">   年   月   日</w:t>
      </w:r>
      <w:r>
        <w:rPr>
          <w:rFonts w:hint="eastAsia" w:ascii="宋体" w:hAnsi="宋体"/>
          <w:sz w:val="24"/>
        </w:rPr>
        <w:tab/>
      </w:r>
      <w:r>
        <w:rPr>
          <w:rFonts w:ascii="宋体" w:hAnsi="宋体"/>
          <w:sz w:val="24"/>
        </w:rPr>
        <w:t xml:space="preserve">  </w:t>
      </w:r>
    </w:p>
    <w:p>
      <w:pPr>
        <w:ind w:firstLine="472" w:firstLineChars="196"/>
        <w:rPr>
          <w:rFonts w:hint="eastAsia" w:ascii="宋体" w:hAnsi="宋体"/>
          <w:b/>
          <w:sz w:val="24"/>
        </w:rPr>
      </w:pPr>
      <w:r>
        <w:rPr>
          <w:rFonts w:hint="eastAsia" w:ascii="宋体" w:hAnsi="宋体"/>
          <w:b/>
          <w:sz w:val="24"/>
        </w:rPr>
        <w:t>注：1.供应商认为有利害关系和需要回避的人员，应提供相关证明材料，与本声明书一同提交。由采购代理</w:t>
      </w:r>
      <w:r>
        <w:rPr>
          <w:rFonts w:ascii="宋体" w:hAnsi="宋体"/>
          <w:b/>
          <w:sz w:val="24"/>
        </w:rPr>
        <w:t>机构</w:t>
      </w:r>
      <w:r>
        <w:rPr>
          <w:rFonts w:hint="eastAsia" w:ascii="宋体" w:hAnsi="宋体"/>
          <w:b/>
          <w:sz w:val="24"/>
        </w:rPr>
        <w:t>和财政监督</w:t>
      </w:r>
      <w:r>
        <w:rPr>
          <w:rFonts w:ascii="宋体" w:hAnsi="宋体"/>
          <w:b/>
          <w:sz w:val="24"/>
        </w:rPr>
        <w:t>部门</w:t>
      </w:r>
      <w:r>
        <w:rPr>
          <w:rFonts w:hint="eastAsia" w:ascii="宋体" w:hAnsi="宋体"/>
          <w:b/>
          <w:sz w:val="24"/>
        </w:rPr>
        <w:t>负责询问核查。</w:t>
      </w:r>
    </w:p>
    <w:p>
      <w:pPr>
        <w:ind w:firstLine="482" w:firstLineChars="200"/>
        <w:rPr>
          <w:rFonts w:hint="eastAsia"/>
        </w:rPr>
      </w:pPr>
      <w:r>
        <w:rPr>
          <w:rFonts w:hint="eastAsia" w:ascii="宋体" w:hAnsi="宋体"/>
          <w:b/>
          <w:sz w:val="24"/>
        </w:rPr>
        <w:t>2.</w:t>
      </w:r>
      <w:r>
        <w:rPr>
          <w:rFonts w:hint="eastAsia" w:ascii="宋体" w:hAnsi="宋体"/>
          <w:sz w:val="24"/>
        </w:rPr>
        <w:t xml:space="preserve"> </w:t>
      </w:r>
      <w:r>
        <w:rPr>
          <w:rFonts w:hint="eastAsia" w:ascii="宋体" w:hAnsi="宋体"/>
          <w:b/>
          <w:sz w:val="24"/>
        </w:rPr>
        <w:t>供应商根据解密后交易平台公布的供应商名单及信息，通过现场或邮件方式（lszzzbzx@126.com）提交《政府采购活动现场确认声明书》，提交时间在名单公布后的30分钟内。</w:t>
      </w:r>
    </w:p>
    <w:p>
      <w:pPr>
        <w:spacing w:line="360" w:lineRule="auto"/>
        <w:ind w:firstLine="832" w:firstLineChars="347"/>
        <w:rPr>
          <w:rFonts w:ascii="宋体" w:hAnsi="宋体"/>
          <w:sz w:val="24"/>
        </w:rPr>
      </w:pPr>
    </w:p>
    <w:p>
      <w:pPr>
        <w:pStyle w:val="2"/>
        <w:spacing w:line="360" w:lineRule="auto"/>
        <w:jc w:val="center"/>
        <w:rPr>
          <w:rFonts w:ascii="宋体" w:hAnsi="宋体"/>
        </w:rPr>
      </w:pPr>
      <w:bookmarkStart w:id="366" w:name="_Toc9556"/>
      <w:bookmarkStart w:id="367" w:name="_Toc16593"/>
      <w:bookmarkStart w:id="368" w:name="_Toc83312459"/>
      <w:bookmarkStart w:id="369" w:name="_Toc21237"/>
      <w:bookmarkStart w:id="370" w:name="_Toc24420"/>
      <w:bookmarkStart w:id="371" w:name="_Toc11689"/>
      <w:bookmarkStart w:id="372" w:name="_Toc10601"/>
      <w:r>
        <w:rPr>
          <w:rFonts w:hint="eastAsia" w:ascii="宋体" w:hAnsi="宋体"/>
        </w:rPr>
        <w:t>第六章评标办法和细则</w:t>
      </w:r>
      <w:bookmarkEnd w:id="366"/>
      <w:bookmarkEnd w:id="367"/>
      <w:bookmarkEnd w:id="368"/>
      <w:bookmarkEnd w:id="369"/>
      <w:bookmarkEnd w:id="370"/>
      <w:bookmarkEnd w:id="371"/>
      <w:bookmarkEnd w:id="372"/>
    </w:p>
    <w:p>
      <w:pPr>
        <w:pStyle w:val="15"/>
        <w:snapToGrid/>
        <w:spacing w:line="360" w:lineRule="auto"/>
        <w:ind w:firstLineChars="200"/>
        <w:rPr>
          <w:rFonts w:ascii="宋体" w:hAnsi="宋体" w:eastAsia="宋体"/>
        </w:rPr>
      </w:pPr>
      <w:r>
        <w:rPr>
          <w:rFonts w:hint="eastAsia" w:ascii="宋体" w:hAnsi="宋体" w:eastAsia="宋体"/>
        </w:rPr>
        <w:t>根据《中华人民共和国政府采购法》等有关法律法规的规定，并结合本项目的实际，按照公正、公平、科学、择优的原则选择中标人，特制定本办法。</w:t>
      </w:r>
    </w:p>
    <w:p>
      <w:pPr>
        <w:pStyle w:val="4"/>
        <w:spacing w:line="360" w:lineRule="auto"/>
        <w:ind w:firstLine="300" w:firstLineChars="100"/>
        <w:rPr>
          <w:rFonts w:ascii="宋体" w:hAnsi="宋体"/>
          <w:b w:val="0"/>
          <w:bCs w:val="0"/>
        </w:rPr>
      </w:pPr>
      <w:bookmarkStart w:id="373" w:name="_Toc4625"/>
      <w:bookmarkStart w:id="374" w:name="_Toc26803"/>
      <w:bookmarkStart w:id="375" w:name="_Toc24110"/>
      <w:bookmarkStart w:id="376" w:name="_Toc13041"/>
      <w:bookmarkStart w:id="377" w:name="_Toc15778"/>
      <w:bookmarkStart w:id="378" w:name="_Toc3593"/>
      <w:bookmarkStart w:id="379" w:name="_Toc83312460"/>
      <w:r>
        <w:rPr>
          <w:rFonts w:hint="eastAsia" w:ascii="宋体" w:hAnsi="宋体"/>
          <w:b w:val="0"/>
          <w:bCs w:val="0"/>
        </w:rPr>
        <w:t>一   总则</w:t>
      </w:r>
      <w:bookmarkEnd w:id="373"/>
      <w:bookmarkEnd w:id="374"/>
      <w:bookmarkEnd w:id="375"/>
      <w:bookmarkEnd w:id="376"/>
      <w:bookmarkEnd w:id="377"/>
      <w:bookmarkEnd w:id="378"/>
      <w:bookmarkEnd w:id="379"/>
    </w:p>
    <w:p>
      <w:pPr>
        <w:spacing w:line="360" w:lineRule="auto"/>
        <w:ind w:firstLine="480" w:firstLineChars="200"/>
        <w:rPr>
          <w:rFonts w:ascii="宋体" w:hAnsi="宋体"/>
          <w:sz w:val="24"/>
        </w:rPr>
      </w:pPr>
      <w:r>
        <w:rPr>
          <w:rFonts w:hint="eastAsia" w:ascii="宋体" w:hAnsi="宋体"/>
          <w:sz w:val="24"/>
        </w:rPr>
        <w:t>1.1为最大限度地保护各当事人的权益，评审委员会应严格按照招标文件的技术、资信及商务、报价要求，对</w:t>
      </w:r>
      <w:r>
        <w:rPr>
          <w:rFonts w:hint="eastAsia" w:ascii="宋体" w:hAnsi="宋体"/>
          <w:kern w:val="0"/>
          <w:sz w:val="24"/>
        </w:rPr>
        <w:t>投标文件</w:t>
      </w:r>
      <w:r>
        <w:rPr>
          <w:rFonts w:hint="eastAsia" w:ascii="宋体" w:hAnsi="宋体"/>
          <w:sz w:val="24"/>
        </w:rPr>
        <w:t>进行综合分析评价并编制评标报告。评审专家必须严格遵守保密规定，不得泄漏评标有关的情况，不得索贿受贿，不得参加影响评标的任何活动。</w:t>
      </w:r>
    </w:p>
    <w:p>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2</w:t>
      </w:r>
      <w:r>
        <w:rPr>
          <w:rFonts w:hint="eastAsia" w:ascii="宋体" w:hAnsi="宋体"/>
          <w:b/>
          <w:sz w:val="24"/>
        </w:rPr>
        <w:t>本次评审方法采取百分制综合评分法，按总得分由高到低顺序排列。总得分相同的，按报价得分由高到低顺序排列；总得分和报价得分均相同的，按技术部分得分由高到低顺序排列；以上得分均相同的，由招标人抽签确定排名（即第一抽出人为第一名，以此类推）。评审委员会按总得分从高到低推荐1名预中标人，由招标人确定中标人。</w:t>
      </w:r>
    </w:p>
    <w:p>
      <w:pPr>
        <w:pStyle w:val="4"/>
        <w:spacing w:line="360" w:lineRule="auto"/>
        <w:ind w:firstLine="300" w:firstLineChars="100"/>
        <w:rPr>
          <w:rFonts w:ascii="宋体" w:hAnsi="宋体"/>
          <w:b w:val="0"/>
          <w:bCs w:val="0"/>
        </w:rPr>
      </w:pPr>
      <w:bookmarkStart w:id="380" w:name="_Toc13621"/>
      <w:bookmarkStart w:id="381" w:name="_Toc25711"/>
      <w:bookmarkStart w:id="382" w:name="_Toc26124"/>
      <w:bookmarkStart w:id="383" w:name="_Toc29762"/>
      <w:bookmarkStart w:id="384" w:name="_Toc83312461"/>
      <w:bookmarkStart w:id="385" w:name="_Toc1029"/>
      <w:bookmarkStart w:id="386" w:name="_Toc24732"/>
      <w:r>
        <w:rPr>
          <w:rFonts w:hint="eastAsia" w:ascii="宋体" w:hAnsi="宋体"/>
          <w:b w:val="0"/>
          <w:bCs w:val="0"/>
        </w:rPr>
        <w:t>二   评审委员会</w:t>
      </w:r>
      <w:bookmarkEnd w:id="380"/>
      <w:bookmarkEnd w:id="381"/>
      <w:bookmarkEnd w:id="382"/>
      <w:bookmarkEnd w:id="383"/>
      <w:bookmarkEnd w:id="384"/>
      <w:bookmarkEnd w:id="385"/>
      <w:bookmarkEnd w:id="386"/>
    </w:p>
    <w:p>
      <w:pPr>
        <w:spacing w:line="360" w:lineRule="auto"/>
        <w:ind w:firstLine="480" w:firstLineChars="200"/>
        <w:rPr>
          <w:rFonts w:ascii="宋体" w:hAnsi="宋体"/>
          <w:sz w:val="24"/>
          <w:szCs w:val="20"/>
        </w:rPr>
      </w:pPr>
      <w:r>
        <w:rPr>
          <w:rFonts w:hint="eastAsia" w:ascii="宋体" w:hAnsi="宋体"/>
          <w:sz w:val="24"/>
        </w:rPr>
        <w:t>2.1</w:t>
      </w:r>
      <w:r>
        <w:rPr>
          <w:rFonts w:ascii="宋体" w:hAnsi="宋体"/>
          <w:sz w:val="24"/>
        </w:rPr>
        <w:t>评审委员会</w:t>
      </w:r>
    </w:p>
    <w:p>
      <w:pPr>
        <w:spacing w:line="360" w:lineRule="auto"/>
        <w:ind w:firstLine="480" w:firstLineChars="200"/>
        <w:rPr>
          <w:rFonts w:ascii="宋体" w:hAnsi="宋体"/>
          <w:sz w:val="24"/>
        </w:rPr>
      </w:pPr>
      <w:r>
        <w:rPr>
          <w:rFonts w:hint="eastAsia" w:ascii="宋体" w:hAnsi="宋体"/>
          <w:sz w:val="24"/>
        </w:rPr>
        <w:t>2.1.1</w:t>
      </w:r>
      <w:r>
        <w:rPr>
          <w:rFonts w:ascii="宋体" w:hAnsi="宋体"/>
          <w:sz w:val="24"/>
        </w:rPr>
        <w:t>成员：由</w:t>
      </w:r>
      <w:r>
        <w:rPr>
          <w:rFonts w:hint="eastAsia" w:ascii="宋体" w:hAnsi="宋体"/>
          <w:sz w:val="24"/>
        </w:rPr>
        <w:t>招标人代表和评审专家</w:t>
      </w:r>
      <w:r>
        <w:rPr>
          <w:rFonts w:ascii="宋体" w:hAnsi="宋体"/>
          <w:sz w:val="24"/>
        </w:rPr>
        <w:t>组成</w:t>
      </w:r>
      <w:r>
        <w:rPr>
          <w:rFonts w:hint="eastAsia" w:ascii="宋体" w:hAnsi="宋体"/>
          <w:sz w:val="24"/>
        </w:rPr>
        <w:t>五人及以上单数</w:t>
      </w:r>
      <w:r>
        <w:rPr>
          <w:rFonts w:ascii="宋体" w:hAnsi="宋体"/>
          <w:sz w:val="24"/>
        </w:rPr>
        <w:t>，其中</w:t>
      </w:r>
      <w:r>
        <w:rPr>
          <w:rFonts w:hint="eastAsia" w:ascii="宋体" w:hAnsi="宋体"/>
          <w:sz w:val="24"/>
        </w:rPr>
        <w:t>评审专家不得少于</w:t>
      </w:r>
      <w:r>
        <w:rPr>
          <w:rFonts w:ascii="宋体" w:hAnsi="宋体"/>
          <w:sz w:val="24"/>
        </w:rPr>
        <w:t>评审委员会</w:t>
      </w:r>
      <w:r>
        <w:rPr>
          <w:rFonts w:hint="eastAsia" w:ascii="宋体" w:hAnsi="宋体"/>
          <w:sz w:val="24"/>
        </w:rPr>
        <w:t>总</w:t>
      </w:r>
      <w:r>
        <w:rPr>
          <w:rFonts w:ascii="宋体" w:hAnsi="宋体"/>
          <w:sz w:val="24"/>
        </w:rPr>
        <w:t>人数的三分之二。</w:t>
      </w:r>
      <w:r>
        <w:rPr>
          <w:rFonts w:hint="eastAsia" w:ascii="宋体" w:hAnsi="宋体"/>
          <w:sz w:val="24"/>
        </w:rPr>
        <w:t>除国务院财政部门规定的情形外，评审专家由招标代理机构在政府采购专家库中随机抽取。评审委员会</w:t>
      </w:r>
      <w:r>
        <w:rPr>
          <w:rFonts w:hint="eastAsia" w:ascii="宋体" w:hAnsi="宋体"/>
          <w:kern w:val="0"/>
          <w:sz w:val="24"/>
        </w:rPr>
        <w:t>对投标文件进行符合性审查、询标、评价和推荐中标候选人。</w:t>
      </w:r>
    </w:p>
    <w:p>
      <w:pPr>
        <w:spacing w:line="360" w:lineRule="auto"/>
        <w:ind w:firstLine="480" w:firstLineChars="200"/>
        <w:rPr>
          <w:rFonts w:ascii="宋体" w:hAnsi="宋体"/>
          <w:sz w:val="24"/>
        </w:rPr>
      </w:pPr>
      <w:r>
        <w:rPr>
          <w:rFonts w:hint="eastAsia" w:ascii="宋体" w:hAnsi="宋体"/>
          <w:sz w:val="24"/>
        </w:rPr>
        <w:t>2.1.2职责</w:t>
      </w:r>
      <w:r>
        <w:rPr>
          <w:rFonts w:ascii="宋体" w:hAnsi="宋体"/>
          <w:sz w:val="24"/>
        </w:rPr>
        <w:t>：</w:t>
      </w:r>
      <w:r>
        <w:rPr>
          <w:rFonts w:hint="eastAsia" w:ascii="宋体" w:hAnsi="宋体"/>
          <w:sz w:val="24"/>
        </w:rPr>
        <w:t>严格按政府采购法律法规的有关规定执行，评审专家应按招标文件规定的评审要求、评审程序、评审内容、评审方法和评审标准进行评审，对评审意见承担个人责任。</w:t>
      </w:r>
    </w:p>
    <w:p>
      <w:pPr>
        <w:spacing w:line="360" w:lineRule="auto"/>
        <w:rPr>
          <w:rFonts w:ascii="宋体" w:hAnsi="宋体"/>
          <w:sz w:val="24"/>
        </w:rPr>
      </w:pPr>
      <w:r>
        <w:rPr>
          <w:rFonts w:hint="eastAsia" w:ascii="宋体" w:hAnsi="宋体"/>
          <w:sz w:val="24"/>
        </w:rPr>
        <w:t xml:space="preserve">    2.2评审专家的评审情况和评审意见受监督人员和招标代理机构审查，如发现评审专家的评审意见带有明显倾向性，或不按规定程序和标准评审、计分的，可要求评审专家进行书面澄清和说明。</w:t>
      </w:r>
    </w:p>
    <w:p>
      <w:pPr>
        <w:pStyle w:val="4"/>
        <w:spacing w:line="360" w:lineRule="auto"/>
        <w:ind w:firstLine="300" w:firstLineChars="100"/>
        <w:rPr>
          <w:rFonts w:ascii="宋体" w:hAnsi="宋体"/>
          <w:b w:val="0"/>
          <w:bCs w:val="0"/>
        </w:rPr>
      </w:pPr>
      <w:bookmarkStart w:id="387" w:name="_Toc26558"/>
      <w:bookmarkStart w:id="388" w:name="_Toc31189"/>
      <w:bookmarkStart w:id="389" w:name="_Toc32528"/>
      <w:bookmarkStart w:id="390" w:name="_Toc83312462"/>
      <w:bookmarkStart w:id="391" w:name="_Toc10174"/>
      <w:bookmarkStart w:id="392" w:name="_Toc30780"/>
      <w:bookmarkStart w:id="393" w:name="_Toc5289"/>
      <w:r>
        <w:rPr>
          <w:rFonts w:hint="eastAsia" w:ascii="宋体" w:hAnsi="宋体"/>
          <w:b w:val="0"/>
          <w:bCs w:val="0"/>
        </w:rPr>
        <w:t>三   评标程序</w:t>
      </w:r>
      <w:bookmarkEnd w:id="387"/>
      <w:bookmarkEnd w:id="388"/>
      <w:bookmarkEnd w:id="389"/>
      <w:bookmarkEnd w:id="390"/>
      <w:bookmarkEnd w:id="391"/>
      <w:bookmarkEnd w:id="392"/>
      <w:bookmarkEnd w:id="393"/>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 xml:space="preserve">1 </w:t>
      </w:r>
      <w:r>
        <w:rPr>
          <w:rFonts w:hint="eastAsia" w:ascii="宋体" w:hAnsi="宋体"/>
          <w:b/>
          <w:sz w:val="24"/>
        </w:rPr>
        <w:t>符合性</w:t>
      </w:r>
      <w:r>
        <w:rPr>
          <w:rFonts w:ascii="宋体" w:hAnsi="宋体"/>
          <w:b/>
          <w:sz w:val="24"/>
        </w:rPr>
        <w:t>审查</w:t>
      </w:r>
    </w:p>
    <w:p>
      <w:pPr>
        <w:spacing w:line="360" w:lineRule="auto"/>
        <w:ind w:firstLine="480" w:firstLineChars="200"/>
        <w:rPr>
          <w:rFonts w:ascii="宋体" w:hAnsi="宋体"/>
          <w:sz w:val="24"/>
        </w:rPr>
      </w:pPr>
      <w:r>
        <w:rPr>
          <w:rFonts w:hint="eastAsia" w:ascii="宋体" w:hAnsi="宋体"/>
          <w:sz w:val="24"/>
        </w:rPr>
        <w:t>评审委员会依据招标</w:t>
      </w:r>
      <w:r>
        <w:rPr>
          <w:rFonts w:ascii="宋体" w:hAnsi="宋体"/>
          <w:sz w:val="24"/>
        </w:rPr>
        <w:t>文件的规定，从</w:t>
      </w:r>
      <w:r>
        <w:rPr>
          <w:rFonts w:hint="eastAsia" w:ascii="宋体" w:hAnsi="宋体"/>
          <w:sz w:val="24"/>
        </w:rPr>
        <w:t>投标文件</w:t>
      </w:r>
      <w:r>
        <w:rPr>
          <w:rFonts w:ascii="宋体" w:hAnsi="宋体"/>
          <w:sz w:val="24"/>
        </w:rPr>
        <w:t>的有效性、完整性和对招标文件的响应程度</w:t>
      </w:r>
      <w:r>
        <w:rPr>
          <w:rFonts w:hint="eastAsia" w:ascii="宋体" w:hAnsi="宋体"/>
          <w:sz w:val="24"/>
        </w:rPr>
        <w:t>进行</w:t>
      </w:r>
      <w:r>
        <w:rPr>
          <w:rFonts w:ascii="宋体" w:hAnsi="宋体"/>
          <w:sz w:val="24"/>
        </w:rPr>
        <w:t>审查，以确定</w:t>
      </w:r>
      <w:r>
        <w:rPr>
          <w:rFonts w:hint="eastAsia" w:ascii="宋体" w:hAnsi="宋体"/>
          <w:sz w:val="24"/>
        </w:rPr>
        <w:t>是否</w:t>
      </w:r>
      <w:r>
        <w:rPr>
          <w:rFonts w:ascii="宋体" w:hAnsi="宋体"/>
          <w:sz w:val="24"/>
        </w:rPr>
        <w:t>对招标文件的实质性要求作出响应。</w:t>
      </w:r>
      <w:r>
        <w:rPr>
          <w:rFonts w:hint="eastAsia" w:ascii="宋体" w:hAnsi="宋体"/>
          <w:sz w:val="24"/>
        </w:rPr>
        <w:t>通过符合性审查不足</w:t>
      </w:r>
      <w:r>
        <w:rPr>
          <w:rFonts w:ascii="宋体" w:hAnsi="宋体"/>
          <w:sz w:val="24"/>
        </w:rPr>
        <w:t>三家的</w:t>
      </w:r>
      <w:r>
        <w:rPr>
          <w:rFonts w:hint="eastAsia" w:ascii="宋体" w:hAnsi="宋体"/>
          <w:sz w:val="24"/>
        </w:rPr>
        <w:t>，</w:t>
      </w:r>
      <w:r>
        <w:rPr>
          <w:rFonts w:ascii="宋体" w:hAnsi="宋体"/>
          <w:sz w:val="24"/>
        </w:rPr>
        <w:t>除采购任务取消</w:t>
      </w:r>
      <w:r>
        <w:rPr>
          <w:rFonts w:hint="eastAsia" w:ascii="宋体" w:hAnsi="宋体"/>
          <w:sz w:val="24"/>
        </w:rPr>
        <w:t>情形</w:t>
      </w:r>
      <w:r>
        <w:rPr>
          <w:rFonts w:ascii="宋体" w:hAnsi="宋体"/>
          <w:sz w:val="24"/>
        </w:rPr>
        <w:t>外</w:t>
      </w:r>
      <w:r>
        <w:rPr>
          <w:rFonts w:hint="eastAsia" w:ascii="宋体" w:hAnsi="宋体"/>
          <w:sz w:val="24"/>
        </w:rPr>
        <w:t>，</w:t>
      </w:r>
      <w:r>
        <w:rPr>
          <w:rFonts w:ascii="宋体" w:hAnsi="宋体"/>
          <w:sz w:val="24"/>
        </w:rPr>
        <w:t>按</w:t>
      </w:r>
      <w:r>
        <w:rPr>
          <w:rFonts w:hint="eastAsia" w:ascii="宋体" w:hAnsi="宋体"/>
          <w:sz w:val="24"/>
        </w:rPr>
        <w:t>相关</w:t>
      </w:r>
      <w:r>
        <w:rPr>
          <w:rFonts w:ascii="宋体" w:hAnsi="宋体"/>
          <w:sz w:val="24"/>
        </w:rPr>
        <w:t>规定</w:t>
      </w:r>
      <w:r>
        <w:rPr>
          <w:rFonts w:hint="eastAsia" w:ascii="宋体" w:hAnsi="宋体"/>
          <w:sz w:val="24"/>
        </w:rPr>
        <w:t>重新组织招标。</w:t>
      </w:r>
    </w:p>
    <w:p>
      <w:pPr>
        <w:spacing w:line="360" w:lineRule="auto"/>
        <w:ind w:firstLine="482" w:firstLineChars="200"/>
        <w:rPr>
          <w:rFonts w:ascii="宋体" w:hAnsi="宋体"/>
          <w:b/>
          <w:sz w:val="24"/>
        </w:rPr>
      </w:pPr>
      <w:r>
        <w:rPr>
          <w:rFonts w:hint="eastAsia" w:ascii="宋体" w:hAnsi="宋体"/>
          <w:b/>
          <w:sz w:val="24"/>
        </w:rPr>
        <w:t>3.2资信商务及技术文件评审</w:t>
      </w:r>
    </w:p>
    <w:p>
      <w:pPr>
        <w:spacing w:line="360" w:lineRule="auto"/>
        <w:ind w:firstLine="480" w:firstLineChars="200"/>
        <w:rPr>
          <w:rFonts w:ascii="宋体" w:hAnsi="宋体"/>
          <w:sz w:val="24"/>
        </w:rPr>
      </w:pPr>
      <w:r>
        <w:rPr>
          <w:rFonts w:hint="eastAsia" w:ascii="宋体" w:hAnsi="宋体"/>
          <w:sz w:val="24"/>
        </w:rPr>
        <w:t>3.2.1评审委员会依据招标文件的规定，对各</w:t>
      </w:r>
      <w:r>
        <w:rPr>
          <w:rFonts w:hint="eastAsia" w:ascii="宋体" w:hAnsi="宋体"/>
          <w:kern w:val="0"/>
          <w:sz w:val="24"/>
        </w:rPr>
        <w:t>投标人的</w:t>
      </w:r>
      <w:r>
        <w:rPr>
          <w:rFonts w:hint="eastAsia" w:ascii="宋体" w:hAnsi="宋体"/>
          <w:sz w:val="24"/>
        </w:rPr>
        <w:t>资信商务部分进行评审，对客观分应统一意见后统一给分。</w:t>
      </w:r>
    </w:p>
    <w:p>
      <w:pPr>
        <w:spacing w:line="360" w:lineRule="auto"/>
        <w:ind w:firstLine="480" w:firstLineChars="200"/>
        <w:rPr>
          <w:rFonts w:ascii="宋体" w:hAnsi="宋体"/>
          <w:sz w:val="24"/>
        </w:rPr>
      </w:pPr>
      <w:r>
        <w:rPr>
          <w:rFonts w:hint="eastAsia" w:ascii="宋体" w:hAnsi="宋体"/>
          <w:sz w:val="24"/>
        </w:rPr>
        <w:t>3.2.2评审委员会依据招标</w:t>
      </w:r>
      <w:r>
        <w:rPr>
          <w:rFonts w:ascii="宋体" w:hAnsi="宋体"/>
          <w:sz w:val="24"/>
        </w:rPr>
        <w:t>文件</w:t>
      </w:r>
      <w:r>
        <w:rPr>
          <w:rFonts w:hint="eastAsia" w:ascii="宋体" w:hAnsi="宋体"/>
          <w:sz w:val="24"/>
        </w:rPr>
        <w:t>的规定，对各</w:t>
      </w:r>
      <w:r>
        <w:rPr>
          <w:rFonts w:hint="eastAsia" w:ascii="宋体" w:hAnsi="宋体"/>
          <w:kern w:val="0"/>
          <w:sz w:val="24"/>
        </w:rPr>
        <w:t>投标人的</w:t>
      </w:r>
      <w:r>
        <w:rPr>
          <w:rFonts w:hint="eastAsia" w:ascii="宋体" w:hAnsi="宋体"/>
          <w:sz w:val="24"/>
        </w:rPr>
        <w:t>技术部分进行独立评审，对各</w:t>
      </w:r>
      <w:r>
        <w:rPr>
          <w:rFonts w:hint="eastAsia" w:ascii="宋体" w:hAnsi="宋体"/>
          <w:kern w:val="0"/>
          <w:sz w:val="24"/>
        </w:rPr>
        <w:t>投标文件</w:t>
      </w:r>
      <w:r>
        <w:rPr>
          <w:rFonts w:hint="eastAsia" w:ascii="宋体" w:hAnsi="宋体"/>
          <w:sz w:val="24"/>
        </w:rPr>
        <w:t>进行比较和必要的澄清，若有</w:t>
      </w:r>
      <w:r>
        <w:rPr>
          <w:rFonts w:ascii="宋体" w:hAnsi="宋体"/>
          <w:sz w:val="24"/>
        </w:rPr>
        <w:t>演示</w:t>
      </w:r>
      <w:r>
        <w:rPr>
          <w:rFonts w:hint="eastAsia" w:ascii="宋体" w:hAnsi="宋体"/>
          <w:sz w:val="24"/>
        </w:rPr>
        <w:t>（或述标）、</w:t>
      </w:r>
      <w:r>
        <w:rPr>
          <w:rFonts w:ascii="宋体" w:hAnsi="宋体"/>
          <w:sz w:val="24"/>
        </w:rPr>
        <w:t>样品</w:t>
      </w:r>
      <w:r>
        <w:rPr>
          <w:rFonts w:hint="eastAsia" w:ascii="宋体" w:hAnsi="宋体"/>
          <w:sz w:val="24"/>
        </w:rPr>
        <w:t>要求</w:t>
      </w:r>
      <w:r>
        <w:rPr>
          <w:rFonts w:ascii="宋体" w:hAnsi="宋体"/>
          <w:sz w:val="24"/>
        </w:rPr>
        <w:t>和技术文件</w:t>
      </w:r>
      <w:r>
        <w:rPr>
          <w:rFonts w:hint="eastAsia" w:ascii="宋体" w:hAnsi="宋体"/>
          <w:sz w:val="24"/>
        </w:rPr>
        <w:t>评审同步进行，演示（或述标）顺</w:t>
      </w:r>
      <w:r>
        <w:rPr>
          <w:rFonts w:ascii="宋体" w:hAnsi="宋体"/>
          <w:sz w:val="24"/>
        </w:rPr>
        <w:t>序</w:t>
      </w:r>
      <w:r>
        <w:rPr>
          <w:rFonts w:hint="eastAsia" w:ascii="宋体" w:hAnsi="宋体"/>
          <w:b/>
          <w:sz w:val="24"/>
        </w:rPr>
        <w:t>为电子交易平台解密后自动生成的“</w:t>
      </w:r>
      <w:r>
        <w:rPr>
          <w:rFonts w:ascii="宋体" w:hAnsi="宋体"/>
          <w:b/>
          <w:sz w:val="24"/>
        </w:rPr>
        <w:t>投标（响应）文件签收登记表”</w:t>
      </w:r>
      <w:r>
        <w:rPr>
          <w:rFonts w:hint="eastAsia" w:ascii="宋体" w:hAnsi="宋体"/>
          <w:b/>
          <w:sz w:val="24"/>
        </w:rPr>
        <w:t>名单顺序</w:t>
      </w:r>
      <w:r>
        <w:rPr>
          <w:rFonts w:hint="eastAsia" w:ascii="宋体" w:hAnsi="宋体"/>
          <w:sz w:val="24"/>
        </w:rPr>
        <w:t>，</w:t>
      </w:r>
      <w:r>
        <w:rPr>
          <w:rFonts w:ascii="宋体" w:hAnsi="宋体"/>
          <w:sz w:val="24"/>
        </w:rPr>
        <w:t>并根据</w:t>
      </w:r>
      <w:r>
        <w:rPr>
          <w:rFonts w:hint="eastAsia" w:ascii="宋体" w:hAnsi="宋体"/>
          <w:sz w:val="24"/>
        </w:rPr>
        <w:t>审查、澄清、演示（或述标）</w:t>
      </w:r>
      <w:r>
        <w:rPr>
          <w:rFonts w:ascii="宋体" w:hAnsi="宋体"/>
          <w:sz w:val="24"/>
        </w:rPr>
        <w:t>、样品等情况</w:t>
      </w:r>
      <w:r>
        <w:rPr>
          <w:rFonts w:hint="eastAsia" w:ascii="宋体" w:hAnsi="宋体"/>
          <w:sz w:val="24"/>
        </w:rPr>
        <w:t>结合评审</w:t>
      </w:r>
      <w:r>
        <w:rPr>
          <w:rFonts w:ascii="宋体" w:hAnsi="宋体"/>
          <w:sz w:val="24"/>
        </w:rPr>
        <w:t>办法</w:t>
      </w:r>
      <w:r>
        <w:rPr>
          <w:rFonts w:hint="eastAsia" w:ascii="宋体" w:hAnsi="宋体"/>
          <w:sz w:val="24"/>
        </w:rPr>
        <w:t>进行独立打分；</w:t>
      </w:r>
    </w:p>
    <w:p>
      <w:pPr>
        <w:spacing w:line="360" w:lineRule="auto"/>
        <w:ind w:firstLine="480" w:firstLineChars="200"/>
        <w:rPr>
          <w:rFonts w:ascii="宋体" w:hAnsi="宋体"/>
          <w:sz w:val="24"/>
        </w:rPr>
      </w:pPr>
      <w:r>
        <w:rPr>
          <w:rFonts w:hint="eastAsia" w:ascii="宋体" w:hAnsi="宋体"/>
          <w:sz w:val="24"/>
        </w:rPr>
        <w:t>3.2.3各投标人的资信商务及技术得分，为各评审专家对该投标人的评分汇总后的算术平均数。</w:t>
      </w:r>
    </w:p>
    <w:p>
      <w:pPr>
        <w:spacing w:line="360" w:lineRule="auto"/>
        <w:ind w:firstLine="482" w:firstLineChars="200"/>
        <w:rPr>
          <w:rFonts w:ascii="宋体" w:hAnsi="宋体"/>
          <w:b/>
          <w:sz w:val="24"/>
        </w:rPr>
      </w:pPr>
      <w:r>
        <w:rPr>
          <w:rFonts w:ascii="宋体" w:hAnsi="宋体"/>
          <w:b/>
          <w:sz w:val="24"/>
        </w:rPr>
        <w:t>3.4</w:t>
      </w:r>
      <w:r>
        <w:rPr>
          <w:rFonts w:hint="eastAsia" w:ascii="宋体" w:hAnsi="宋体"/>
          <w:b/>
          <w:sz w:val="24"/>
        </w:rPr>
        <w:t>通过政采云平台开启有效投标人的报价文件。</w:t>
      </w:r>
    </w:p>
    <w:p>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5报价文件评审</w:t>
      </w:r>
    </w:p>
    <w:p>
      <w:pPr>
        <w:spacing w:line="360" w:lineRule="auto"/>
        <w:ind w:firstLine="480" w:firstLineChars="200"/>
        <w:rPr>
          <w:rFonts w:ascii="宋体" w:hAnsi="宋体"/>
          <w:sz w:val="24"/>
        </w:rPr>
      </w:pPr>
      <w:r>
        <w:rPr>
          <w:rFonts w:hint="eastAsia" w:ascii="宋体" w:hAnsi="宋体"/>
          <w:sz w:val="24"/>
        </w:rPr>
        <w:t>3.5.1评审委员会依据招标文件的规定，对各投标</w:t>
      </w:r>
      <w:r>
        <w:rPr>
          <w:rFonts w:ascii="宋体" w:hAnsi="宋体"/>
          <w:sz w:val="24"/>
        </w:rPr>
        <w:t>人的</w:t>
      </w:r>
      <w:r>
        <w:rPr>
          <w:rFonts w:hint="eastAsia" w:ascii="宋体" w:hAnsi="宋体"/>
          <w:sz w:val="24"/>
        </w:rPr>
        <w:t>报价的符合性进行审查，必要时可要求投标人对其报价做出澄清、说明；</w:t>
      </w:r>
    </w:p>
    <w:p>
      <w:pPr>
        <w:spacing w:line="360" w:lineRule="auto"/>
        <w:ind w:firstLine="480" w:firstLineChars="200"/>
        <w:rPr>
          <w:rFonts w:ascii="宋体" w:hAnsi="宋体"/>
          <w:sz w:val="24"/>
        </w:rPr>
      </w:pPr>
      <w:r>
        <w:rPr>
          <w:rFonts w:hint="eastAsia" w:ascii="宋体" w:hAnsi="宋体"/>
          <w:sz w:val="24"/>
        </w:rPr>
        <w:t>3.5.2报价修正；</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5</w:t>
      </w:r>
      <w:r>
        <w:rPr>
          <w:rFonts w:ascii="宋体" w:hAnsi="宋体"/>
          <w:sz w:val="24"/>
        </w:rPr>
        <w:t>.</w:t>
      </w:r>
      <w:r>
        <w:rPr>
          <w:rFonts w:hint="eastAsia" w:ascii="宋体" w:hAnsi="宋体"/>
          <w:sz w:val="24"/>
        </w:rPr>
        <w:t>3政府优惠政策扣除；</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5</w:t>
      </w:r>
      <w:r>
        <w:rPr>
          <w:rFonts w:ascii="宋体" w:hAnsi="宋体"/>
          <w:sz w:val="24"/>
        </w:rPr>
        <w:t>.</w:t>
      </w:r>
      <w:r>
        <w:rPr>
          <w:rFonts w:hint="eastAsia" w:ascii="宋体" w:hAnsi="宋体"/>
          <w:sz w:val="24"/>
        </w:rPr>
        <w:t>4评审委员会根据投标人的报价和评审</w:t>
      </w:r>
      <w:r>
        <w:rPr>
          <w:rFonts w:ascii="宋体" w:hAnsi="宋体"/>
          <w:sz w:val="24"/>
        </w:rPr>
        <w:t>标准</w:t>
      </w:r>
      <w:r>
        <w:rPr>
          <w:rFonts w:hint="eastAsia" w:ascii="宋体" w:hAnsi="宋体"/>
          <w:sz w:val="24"/>
        </w:rPr>
        <w:t>，计算各投标人的报价得分。</w:t>
      </w:r>
    </w:p>
    <w:p>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6 评标结果</w:t>
      </w:r>
    </w:p>
    <w:p>
      <w:pPr>
        <w:spacing w:line="360" w:lineRule="auto"/>
        <w:ind w:firstLine="480" w:firstLineChars="200"/>
        <w:rPr>
          <w:rFonts w:ascii="宋体" w:hAnsi="宋体"/>
          <w:sz w:val="24"/>
        </w:rPr>
      </w:pPr>
      <w:r>
        <w:rPr>
          <w:rFonts w:hint="eastAsia" w:ascii="宋体" w:hAnsi="宋体"/>
          <w:sz w:val="24"/>
        </w:rPr>
        <w:t>3.6.1 评审结果汇总，投标人结果排序；</w:t>
      </w:r>
    </w:p>
    <w:p>
      <w:pPr>
        <w:spacing w:line="360" w:lineRule="auto"/>
        <w:ind w:firstLine="480" w:firstLineChars="200"/>
        <w:rPr>
          <w:rFonts w:ascii="宋体" w:hAnsi="宋体"/>
          <w:sz w:val="24"/>
        </w:rPr>
      </w:pPr>
      <w:r>
        <w:rPr>
          <w:rFonts w:hint="eastAsia" w:ascii="宋体" w:hAnsi="宋体"/>
          <w:sz w:val="24"/>
        </w:rPr>
        <w:t>3.6.2 起草评标报告，确定中标候选人；</w:t>
      </w:r>
    </w:p>
    <w:p>
      <w:pPr>
        <w:spacing w:line="360" w:lineRule="auto"/>
        <w:ind w:firstLine="480" w:firstLineChars="200"/>
        <w:rPr>
          <w:rFonts w:ascii="宋体" w:hAnsi="宋体"/>
          <w:sz w:val="24"/>
        </w:rPr>
      </w:pPr>
      <w:r>
        <w:rPr>
          <w:rFonts w:hint="eastAsia" w:ascii="宋体" w:hAnsi="宋体"/>
          <w:sz w:val="24"/>
        </w:rPr>
        <w:t>3.6.2.1 评标报告</w:t>
      </w:r>
      <w:r>
        <w:rPr>
          <w:rFonts w:ascii="宋体" w:hAnsi="宋体"/>
          <w:sz w:val="24"/>
        </w:rPr>
        <w:t>应包括以下内容：</w:t>
      </w:r>
    </w:p>
    <w:p>
      <w:pPr>
        <w:spacing w:line="360" w:lineRule="auto"/>
        <w:ind w:firstLine="480" w:firstLineChars="200"/>
        <w:rPr>
          <w:rFonts w:ascii="宋体" w:hAnsi="宋体"/>
          <w:sz w:val="24"/>
        </w:rPr>
      </w:pPr>
      <w:r>
        <w:rPr>
          <w:rFonts w:hint="eastAsia" w:ascii="宋体" w:hAnsi="宋体"/>
          <w:sz w:val="24"/>
        </w:rPr>
        <w:t>（1）招标公告刊登的媒体名称、开标日期和地点；</w:t>
      </w:r>
    </w:p>
    <w:p>
      <w:pPr>
        <w:spacing w:line="360" w:lineRule="auto"/>
        <w:ind w:firstLine="480" w:firstLineChars="200"/>
        <w:rPr>
          <w:rFonts w:ascii="宋体" w:hAnsi="宋体"/>
          <w:sz w:val="24"/>
        </w:rPr>
      </w:pPr>
      <w:r>
        <w:rPr>
          <w:rFonts w:hint="eastAsia" w:ascii="宋体" w:hAnsi="宋体"/>
          <w:sz w:val="24"/>
        </w:rPr>
        <w:t>（2）投标人名单和评审委员会成员名单；</w:t>
      </w:r>
    </w:p>
    <w:p>
      <w:pPr>
        <w:spacing w:line="360" w:lineRule="auto"/>
        <w:ind w:firstLine="480" w:firstLineChars="200"/>
        <w:rPr>
          <w:rFonts w:ascii="宋体" w:hAnsi="宋体"/>
          <w:sz w:val="24"/>
        </w:rPr>
      </w:pPr>
      <w:r>
        <w:rPr>
          <w:rFonts w:hint="eastAsia" w:ascii="宋体" w:hAnsi="宋体"/>
          <w:sz w:val="24"/>
        </w:rPr>
        <w:t>（3）评审方法和标准；</w:t>
      </w:r>
    </w:p>
    <w:p>
      <w:pPr>
        <w:spacing w:line="360" w:lineRule="auto"/>
        <w:ind w:firstLine="480" w:firstLineChars="200"/>
        <w:rPr>
          <w:rFonts w:ascii="宋体" w:hAnsi="宋体"/>
          <w:sz w:val="24"/>
        </w:rPr>
      </w:pPr>
      <w:r>
        <w:rPr>
          <w:rFonts w:hint="eastAsia" w:ascii="宋体" w:hAnsi="宋体"/>
          <w:sz w:val="24"/>
        </w:rPr>
        <w:t>（4）资格审查记录；</w:t>
      </w:r>
    </w:p>
    <w:p>
      <w:pPr>
        <w:spacing w:line="360" w:lineRule="auto"/>
        <w:ind w:firstLine="480" w:firstLineChars="200"/>
        <w:rPr>
          <w:rFonts w:ascii="宋体" w:hAnsi="宋体"/>
          <w:sz w:val="24"/>
        </w:rPr>
      </w:pPr>
      <w:r>
        <w:rPr>
          <w:rFonts w:hint="eastAsia" w:ascii="宋体" w:hAnsi="宋体"/>
          <w:sz w:val="24"/>
        </w:rPr>
        <w:t>（5）开标记录和评审情况及说明，包括无效投标人名单及原因；</w:t>
      </w:r>
    </w:p>
    <w:p>
      <w:pPr>
        <w:spacing w:line="360" w:lineRule="auto"/>
        <w:ind w:firstLine="480" w:firstLineChars="200"/>
        <w:rPr>
          <w:rFonts w:ascii="宋体" w:hAnsi="宋体"/>
          <w:sz w:val="24"/>
        </w:rPr>
      </w:pPr>
      <w:r>
        <w:rPr>
          <w:rFonts w:hint="eastAsia" w:ascii="宋体" w:hAnsi="宋体"/>
          <w:sz w:val="24"/>
        </w:rPr>
        <w:t>（6）评审结果，确定的中标候选人名单。</w:t>
      </w:r>
    </w:p>
    <w:p>
      <w:pPr>
        <w:spacing w:line="360" w:lineRule="auto"/>
        <w:ind w:firstLine="480" w:firstLineChars="200"/>
        <w:rPr>
          <w:rFonts w:ascii="宋体" w:hAnsi="宋体"/>
          <w:sz w:val="24"/>
        </w:rPr>
      </w:pPr>
      <w:r>
        <w:rPr>
          <w:rFonts w:hint="eastAsia" w:ascii="宋体" w:hAnsi="宋体"/>
          <w:sz w:val="24"/>
        </w:rPr>
        <w:t>（7）其他需要说明的情况，包括评审过程中投标人根据评审委员会要求进行的澄清、说明或者补正，评审委员会成员的更换等。</w:t>
      </w:r>
    </w:p>
    <w:p>
      <w:pPr>
        <w:spacing w:line="360" w:lineRule="auto"/>
        <w:ind w:firstLine="480" w:firstLineChars="200"/>
        <w:rPr>
          <w:rFonts w:ascii="宋体" w:hAnsi="宋体"/>
          <w:sz w:val="24"/>
        </w:rPr>
      </w:pPr>
      <w:r>
        <w:rPr>
          <w:rFonts w:hint="eastAsia" w:ascii="宋体" w:hAnsi="宋体"/>
          <w:sz w:val="24"/>
        </w:rPr>
        <w:t>3.7 评标</w:t>
      </w:r>
      <w:r>
        <w:rPr>
          <w:rFonts w:ascii="宋体" w:hAnsi="宋体"/>
          <w:sz w:val="24"/>
        </w:rPr>
        <w:t>报告由全体</w:t>
      </w:r>
      <w:r>
        <w:rPr>
          <w:rFonts w:hint="eastAsia" w:ascii="宋体" w:hAnsi="宋体"/>
          <w:sz w:val="24"/>
        </w:rPr>
        <w:t>评审委员会</w:t>
      </w:r>
      <w:r>
        <w:rPr>
          <w:rFonts w:ascii="宋体" w:hAnsi="宋体"/>
          <w:sz w:val="24"/>
        </w:rPr>
        <w:t>成员</w:t>
      </w:r>
      <w:r>
        <w:rPr>
          <w:rFonts w:hint="eastAsia" w:ascii="宋体" w:hAnsi="宋体"/>
          <w:sz w:val="24"/>
        </w:rPr>
        <w:t>确认后提交</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3.8评审结束后，由电子交易平台自动生成评审结果，招标人确定中标人后2个工作日内，发出中标通知书，并在相关媒体上公告中标结果。</w:t>
      </w:r>
    </w:p>
    <w:p>
      <w:pPr>
        <w:pStyle w:val="4"/>
        <w:spacing w:line="360" w:lineRule="auto"/>
        <w:ind w:firstLine="300" w:firstLineChars="100"/>
        <w:rPr>
          <w:rFonts w:ascii="宋体" w:hAnsi="宋体"/>
          <w:b w:val="0"/>
          <w:bCs w:val="0"/>
        </w:rPr>
      </w:pPr>
      <w:bookmarkStart w:id="394" w:name="_Toc32029"/>
      <w:bookmarkStart w:id="395" w:name="_Toc83312463"/>
      <w:bookmarkStart w:id="396" w:name="_Toc30609"/>
      <w:bookmarkStart w:id="397" w:name="_Toc16695"/>
      <w:bookmarkStart w:id="398" w:name="_Toc18742"/>
      <w:bookmarkStart w:id="399" w:name="_Toc6836"/>
      <w:bookmarkStart w:id="400" w:name="_Toc5436"/>
      <w:r>
        <w:rPr>
          <w:rFonts w:hint="eastAsia" w:ascii="宋体" w:hAnsi="宋体"/>
          <w:b w:val="0"/>
          <w:bCs w:val="0"/>
        </w:rPr>
        <w:t>四   评标一般规定</w:t>
      </w:r>
      <w:bookmarkEnd w:id="394"/>
      <w:bookmarkEnd w:id="395"/>
      <w:bookmarkEnd w:id="396"/>
      <w:bookmarkEnd w:id="397"/>
      <w:bookmarkEnd w:id="398"/>
      <w:bookmarkEnd w:id="399"/>
      <w:bookmarkEnd w:id="400"/>
    </w:p>
    <w:p>
      <w:pPr>
        <w:spacing w:line="360" w:lineRule="auto"/>
        <w:ind w:firstLine="480" w:firstLineChars="200"/>
        <w:rPr>
          <w:rFonts w:ascii="宋体" w:hAnsi="宋体"/>
          <w:sz w:val="24"/>
        </w:rPr>
      </w:pPr>
      <w:r>
        <w:rPr>
          <w:rFonts w:hint="eastAsia" w:ascii="宋体" w:hAnsi="宋体"/>
          <w:sz w:val="24"/>
        </w:rPr>
        <w:t>4.本评标办法采用综合评分法,总分100分。</w:t>
      </w:r>
    </w:p>
    <w:p>
      <w:pPr>
        <w:spacing w:line="360" w:lineRule="auto"/>
        <w:ind w:firstLine="480" w:firstLineChars="200"/>
        <w:rPr>
          <w:rFonts w:ascii="宋体" w:hAnsi="宋体"/>
          <w:sz w:val="24"/>
        </w:rPr>
      </w:pPr>
      <w:r>
        <w:rPr>
          <w:rFonts w:hint="eastAsia" w:ascii="宋体" w:hAnsi="宋体"/>
          <w:sz w:val="24"/>
        </w:rPr>
        <w:t>4.1项目技术分权重</w:t>
      </w:r>
      <w:r>
        <w:rPr>
          <w:rFonts w:hint="eastAsia" w:ascii="宋体" w:hAnsi="宋体"/>
          <w:sz w:val="24"/>
          <w:lang w:val="en-US" w:eastAsia="zh-CN"/>
        </w:rPr>
        <w:t>70</w:t>
      </w:r>
      <w:r>
        <w:rPr>
          <w:rFonts w:hint="eastAsia" w:ascii="宋体" w:hAnsi="宋体"/>
          <w:sz w:val="24"/>
        </w:rPr>
        <w:t>%,分值为</w:t>
      </w:r>
      <w:r>
        <w:rPr>
          <w:rFonts w:hint="eastAsia" w:ascii="宋体" w:hAnsi="宋体"/>
          <w:sz w:val="24"/>
          <w:lang w:val="en-US" w:eastAsia="zh-CN"/>
        </w:rPr>
        <w:t>70</w:t>
      </w:r>
      <w:r>
        <w:rPr>
          <w:rFonts w:hint="eastAsia" w:ascii="宋体" w:hAnsi="宋体"/>
          <w:sz w:val="24"/>
        </w:rPr>
        <w:t>分，</w:t>
      </w:r>
      <w:r>
        <w:rPr>
          <w:rFonts w:hint="eastAsia" w:ascii="宋体" w:hAnsi="宋体"/>
          <w:bCs/>
          <w:sz w:val="24"/>
        </w:rPr>
        <w:t>评审小组</w:t>
      </w:r>
      <w:r>
        <w:rPr>
          <w:rFonts w:hint="eastAsia" w:ascii="宋体" w:hAnsi="宋体"/>
          <w:sz w:val="24"/>
        </w:rPr>
        <w:t>对各投标文件的技术标经充分审核、讨论后，在规定的分值内由评委单独评定打分。</w:t>
      </w:r>
      <w:r>
        <w:rPr>
          <w:rFonts w:hint="eastAsia" w:ascii="宋体" w:hAnsi="宋体" w:cs="宋体"/>
          <w:sz w:val="24"/>
        </w:rPr>
        <w:t>对客观分应统一意见后统一给分。</w:t>
      </w:r>
      <w:r>
        <w:rPr>
          <w:rFonts w:hint="eastAsia" w:ascii="宋体" w:hAnsi="宋体"/>
          <w:sz w:val="24"/>
        </w:rPr>
        <w:t>如果某个单项的打分超过所规定的分值范围，则该张打分表无效，</w:t>
      </w:r>
      <w:r>
        <w:rPr>
          <w:rFonts w:hint="eastAsia" w:ascii="宋体" w:hAnsi="宋体" w:cs="宋体"/>
          <w:sz w:val="24"/>
        </w:rPr>
        <w:t>各投标人的技术得分为所有评委打分的算术平均值。</w:t>
      </w:r>
    </w:p>
    <w:p>
      <w:pPr>
        <w:spacing w:line="360" w:lineRule="auto"/>
        <w:ind w:firstLine="480" w:firstLineChars="200"/>
        <w:rPr>
          <w:rFonts w:ascii="宋体" w:hAnsi="宋体"/>
          <w:sz w:val="24"/>
        </w:rPr>
      </w:pPr>
      <w:r>
        <w:rPr>
          <w:rFonts w:hint="eastAsia" w:ascii="宋体" w:hAnsi="宋体"/>
          <w:sz w:val="24"/>
        </w:rPr>
        <w:t>4.2报价权重为</w:t>
      </w:r>
      <w:r>
        <w:rPr>
          <w:rFonts w:hint="eastAsia" w:ascii="宋体" w:hAnsi="宋体"/>
          <w:sz w:val="24"/>
          <w:lang w:val="en-US" w:eastAsia="zh-CN"/>
        </w:rPr>
        <w:t>30</w:t>
      </w:r>
      <w:r>
        <w:rPr>
          <w:rFonts w:hint="eastAsia" w:ascii="宋体" w:hAnsi="宋体"/>
          <w:sz w:val="24"/>
        </w:rPr>
        <w:t>%，分值为</w:t>
      </w:r>
      <w:r>
        <w:rPr>
          <w:rFonts w:hint="eastAsia" w:ascii="宋体" w:hAnsi="宋体"/>
          <w:sz w:val="24"/>
          <w:lang w:val="en-US" w:eastAsia="zh-CN"/>
        </w:rPr>
        <w:t>30</w:t>
      </w:r>
      <w:r>
        <w:rPr>
          <w:rFonts w:hint="eastAsia" w:ascii="宋体" w:hAnsi="宋体"/>
          <w:sz w:val="24"/>
        </w:rPr>
        <w:t>分，由评委按各投标人的报价统一计算。</w:t>
      </w:r>
    </w:p>
    <w:p>
      <w:pPr>
        <w:spacing w:line="360" w:lineRule="auto"/>
        <w:ind w:firstLine="480" w:firstLineChars="200"/>
        <w:rPr>
          <w:rFonts w:ascii="宋体" w:hAnsi="宋体"/>
          <w:sz w:val="24"/>
        </w:rPr>
      </w:pPr>
      <w:r>
        <w:rPr>
          <w:rFonts w:hint="eastAsia" w:ascii="宋体" w:hAnsi="宋体"/>
          <w:sz w:val="24"/>
        </w:rPr>
        <w:t>4.3评审专家在规定的分值范围内独立打分。</w:t>
      </w:r>
    </w:p>
    <w:p>
      <w:pPr>
        <w:pStyle w:val="4"/>
        <w:spacing w:line="360" w:lineRule="auto"/>
        <w:ind w:firstLine="300" w:firstLineChars="100"/>
        <w:rPr>
          <w:rFonts w:ascii="宋体" w:hAnsi="宋体"/>
          <w:b w:val="0"/>
          <w:bCs w:val="0"/>
        </w:rPr>
      </w:pPr>
      <w:bookmarkStart w:id="401" w:name="_Toc22913"/>
      <w:bookmarkStart w:id="402" w:name="_Toc61257440"/>
      <w:bookmarkStart w:id="403" w:name="_Toc83312464"/>
      <w:bookmarkStart w:id="404" w:name="_Toc13787"/>
      <w:bookmarkStart w:id="405" w:name="_Toc32727"/>
      <w:bookmarkStart w:id="406" w:name="_Toc17860"/>
      <w:bookmarkStart w:id="407" w:name="_Toc29651"/>
      <w:bookmarkStart w:id="408" w:name="_Toc10709"/>
      <w:r>
        <w:rPr>
          <w:rFonts w:hint="eastAsia" w:ascii="宋体" w:hAnsi="宋体"/>
          <w:b w:val="0"/>
          <w:bCs w:val="0"/>
        </w:rPr>
        <w:t>五</w:t>
      </w:r>
      <w:r>
        <w:rPr>
          <w:rFonts w:ascii="宋体" w:hAnsi="宋体"/>
          <w:b w:val="0"/>
          <w:bCs w:val="0"/>
        </w:rPr>
        <w:t>评标办法和细则</w:t>
      </w:r>
      <w:bookmarkEnd w:id="401"/>
      <w:bookmarkEnd w:id="402"/>
      <w:bookmarkEnd w:id="403"/>
      <w:bookmarkEnd w:id="404"/>
      <w:bookmarkEnd w:id="405"/>
      <w:bookmarkEnd w:id="406"/>
      <w:bookmarkEnd w:id="407"/>
      <w:bookmarkEnd w:id="408"/>
    </w:p>
    <w:p>
      <w:pPr>
        <w:spacing w:line="360" w:lineRule="auto"/>
        <w:jc w:val="left"/>
        <w:rPr>
          <w:rFonts w:ascii="宋体" w:hAnsi="宋体"/>
        </w:rPr>
      </w:pPr>
      <w:r>
        <w:rPr>
          <w:rFonts w:hint="eastAsia" w:ascii="宋体" w:hAnsi="宋体"/>
          <w:b/>
          <w:sz w:val="24"/>
        </w:rPr>
        <w:t>5.1资信商务及技术分值共</w:t>
      </w:r>
      <w:r>
        <w:rPr>
          <w:rFonts w:hint="eastAsia" w:ascii="宋体" w:hAnsi="宋体"/>
          <w:b/>
          <w:sz w:val="24"/>
          <w:lang w:val="en-US" w:eastAsia="zh-CN"/>
        </w:rPr>
        <w:t>70</w:t>
      </w:r>
      <w:r>
        <w:rPr>
          <w:rFonts w:hint="eastAsia" w:ascii="宋体" w:hAnsi="宋体"/>
          <w:b/>
          <w:sz w:val="24"/>
        </w:rPr>
        <w:t>分，权重为</w:t>
      </w:r>
      <w:r>
        <w:rPr>
          <w:rFonts w:hint="eastAsia" w:ascii="宋体" w:hAnsi="宋体"/>
          <w:b/>
          <w:sz w:val="24"/>
          <w:lang w:val="en-US" w:eastAsia="zh-CN"/>
        </w:rPr>
        <w:t>70</w:t>
      </w:r>
      <w:r>
        <w:rPr>
          <w:rFonts w:hint="eastAsia" w:ascii="宋体" w:hAnsi="宋体"/>
          <w:b/>
          <w:sz w:val="24"/>
        </w:rPr>
        <w:t>%，由</w:t>
      </w:r>
      <w:r>
        <w:rPr>
          <w:rFonts w:hint="eastAsia" w:ascii="宋体" w:hAnsi="宋体"/>
          <w:b/>
          <w:sz w:val="24"/>
          <w:lang w:val="en-US" w:eastAsia="zh-CN"/>
        </w:rPr>
        <w:t>评审</w:t>
      </w:r>
      <w:r>
        <w:rPr>
          <w:rFonts w:hint="eastAsia" w:ascii="宋体" w:hAnsi="宋体"/>
          <w:b/>
          <w:sz w:val="24"/>
        </w:rPr>
        <w:t>小组成员独立打分（客观分由</w:t>
      </w:r>
      <w:r>
        <w:rPr>
          <w:rFonts w:hint="eastAsia" w:ascii="宋体" w:hAnsi="宋体"/>
          <w:b/>
          <w:sz w:val="24"/>
          <w:lang w:val="en-US" w:eastAsia="zh-CN"/>
        </w:rPr>
        <w:t>评审</w:t>
      </w:r>
      <w:r>
        <w:rPr>
          <w:rFonts w:hint="eastAsia" w:ascii="宋体" w:hAnsi="宋体"/>
          <w:b/>
          <w:sz w:val="24"/>
        </w:rPr>
        <w:t>小组成员统一打分）。</w:t>
      </w:r>
    </w:p>
    <w:tbl>
      <w:tblPr>
        <w:tblStyle w:val="22"/>
        <w:tblW w:w="9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395"/>
        <w:gridCol w:w="6200"/>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sz w:val="24"/>
              </w:rPr>
            </w:pPr>
            <w:r>
              <w:rPr>
                <w:rFonts w:hint="eastAsia" w:ascii="宋体" w:hAnsi="宋体" w:cs="宋体"/>
                <w:b/>
                <w:sz w:val="24"/>
              </w:rPr>
              <w:t>序号</w:t>
            </w:r>
          </w:p>
        </w:tc>
        <w:tc>
          <w:tcPr>
            <w:tcW w:w="13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sz w:val="24"/>
              </w:rPr>
            </w:pPr>
            <w:r>
              <w:rPr>
                <w:rFonts w:hint="eastAsia" w:ascii="宋体" w:hAnsi="宋体" w:cs="宋体"/>
                <w:b/>
                <w:sz w:val="24"/>
              </w:rPr>
              <w:t>评审内容</w:t>
            </w:r>
          </w:p>
        </w:tc>
        <w:tc>
          <w:tcPr>
            <w:tcW w:w="62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sz w:val="24"/>
              </w:rPr>
            </w:pPr>
            <w:r>
              <w:rPr>
                <w:rFonts w:hint="eastAsia" w:ascii="宋体" w:hAnsi="宋体" w:cs="宋体"/>
                <w:b/>
                <w:sz w:val="24"/>
              </w:rPr>
              <w:t>评审标准</w:t>
            </w:r>
          </w:p>
        </w:tc>
        <w:tc>
          <w:tcPr>
            <w:tcW w:w="11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sz w:val="24"/>
              </w:rPr>
            </w:pPr>
            <w:r>
              <w:rPr>
                <w:rFonts w:hint="eastAsia" w:ascii="宋体" w:hAnsi="宋体" w:cs="宋体"/>
                <w:b/>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1</w:t>
            </w:r>
          </w:p>
        </w:tc>
        <w:tc>
          <w:tcPr>
            <w:tcW w:w="1395" w:type="dxa"/>
            <w:tcBorders>
              <w:top w:val="single" w:color="auto" w:sz="4" w:space="0"/>
              <w:left w:val="single" w:color="auto" w:sz="4" w:space="0"/>
              <w:bottom w:val="single" w:color="auto" w:sz="4" w:space="0"/>
              <w:right w:val="single" w:color="auto" w:sz="4" w:space="0"/>
            </w:tcBorders>
            <w:noWrap/>
            <w:vAlign w:val="center"/>
          </w:tcPr>
          <w:p>
            <w:pPr>
              <w:adjustRightInd/>
              <w:snapToGrid/>
              <w:spacing w:line="360" w:lineRule="auto"/>
              <w:ind w:firstLine="0" w:firstLineChars="0"/>
              <w:jc w:val="both"/>
              <w:rPr>
                <w:rFonts w:ascii="宋体" w:hAnsi="宋体" w:cs="宋体"/>
                <w:bCs/>
                <w:sz w:val="24"/>
                <w:szCs w:val="24"/>
              </w:rPr>
            </w:pPr>
            <w:r>
              <w:rPr>
                <w:rFonts w:hint="eastAsia" w:ascii="宋体" w:hAnsi="宋体" w:eastAsia="宋体" w:cs="宋体"/>
                <w:sz w:val="24"/>
                <w:szCs w:val="24"/>
              </w:rPr>
              <w:t>类似业绩（3分）</w:t>
            </w:r>
          </w:p>
        </w:tc>
        <w:tc>
          <w:tcPr>
            <w:tcW w:w="6200" w:type="dxa"/>
            <w:tcBorders>
              <w:top w:val="single" w:color="auto" w:sz="4" w:space="0"/>
              <w:left w:val="single" w:color="auto" w:sz="4" w:space="0"/>
              <w:bottom w:val="single" w:color="auto" w:sz="4" w:space="0"/>
              <w:right w:val="single" w:color="auto" w:sz="4" w:space="0"/>
            </w:tcBorders>
            <w:noWrap/>
            <w:vAlign w:val="center"/>
          </w:tcPr>
          <w:p>
            <w:pPr>
              <w:adjustRightInd/>
              <w:snapToGrid/>
              <w:spacing w:line="36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投标人自2022年1月1日（以合同签订时间为准）以来，承担过的</w:t>
            </w:r>
            <w:r>
              <w:rPr>
                <w:rFonts w:hint="eastAsia" w:ascii="宋体" w:hAnsi="宋体" w:cs="宋体"/>
                <w:sz w:val="24"/>
                <w:szCs w:val="24"/>
                <w:highlight w:val="none"/>
                <w:lang w:val="en-US" w:eastAsia="zh-CN"/>
              </w:rPr>
              <w:t>类似</w:t>
            </w:r>
            <w:r>
              <w:rPr>
                <w:rFonts w:hint="eastAsia" w:ascii="宋体" w:hAnsi="宋体" w:eastAsia="宋体" w:cs="宋体"/>
                <w:sz w:val="24"/>
                <w:szCs w:val="24"/>
              </w:rPr>
              <w:t>项目业绩，每个得1分，最多得3分。</w:t>
            </w:r>
          </w:p>
          <w:p>
            <w:pPr>
              <w:adjustRightInd/>
              <w:snapToGrid/>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注：</w:t>
            </w:r>
            <w:bookmarkStart w:id="419" w:name="_GoBack"/>
            <w:bookmarkEnd w:id="419"/>
          </w:p>
          <w:p>
            <w:pPr>
              <w:adjustRightInd/>
              <w:snapToGrid/>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1.合同业绩须为本次投标人的业绩，投标人的独立法人子公司、参股公司的业绩均不予认可。</w:t>
            </w:r>
          </w:p>
          <w:p>
            <w:pPr>
              <w:adjustRightInd/>
              <w:snapToGrid/>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2.投标文件中须提供清晰可辨的合同扫描件，证明材料加盖公章。</w:t>
            </w:r>
          </w:p>
          <w:p>
            <w:pPr>
              <w:adjustRightInd/>
              <w:snapToGrid/>
              <w:spacing w:line="360" w:lineRule="auto"/>
              <w:ind w:firstLine="0" w:firstLineChars="0"/>
              <w:jc w:val="both"/>
              <w:rPr>
                <w:rFonts w:ascii="宋体" w:hAnsi="宋体" w:cs="宋体"/>
                <w:bCs/>
                <w:sz w:val="24"/>
                <w:szCs w:val="24"/>
              </w:rPr>
            </w:pPr>
            <w:r>
              <w:rPr>
                <w:rFonts w:hint="eastAsia" w:ascii="宋体" w:hAnsi="宋体" w:eastAsia="宋体" w:cs="宋体"/>
                <w:b/>
                <w:bCs/>
                <w:sz w:val="24"/>
                <w:szCs w:val="24"/>
              </w:rPr>
              <w:t>3.如投标人提供的合同扫描件因模糊不清而造成评标委员会在评审时做出对投标人不利的评审由投标人自行承担。</w:t>
            </w:r>
          </w:p>
        </w:tc>
        <w:tc>
          <w:tcPr>
            <w:tcW w:w="1195" w:type="dxa"/>
            <w:tcBorders>
              <w:top w:val="single" w:color="auto" w:sz="4" w:space="0"/>
              <w:left w:val="single" w:color="auto" w:sz="4" w:space="0"/>
              <w:bottom w:val="single" w:color="auto" w:sz="4" w:space="0"/>
              <w:right w:val="single" w:color="auto" w:sz="4" w:space="0"/>
            </w:tcBorders>
            <w:noWrap/>
            <w:vAlign w:val="center"/>
          </w:tcPr>
          <w:p>
            <w:pPr>
              <w:adjustRightInd/>
              <w:snapToGrid/>
              <w:spacing w:line="360" w:lineRule="auto"/>
              <w:ind w:firstLine="0" w:firstLineChars="0"/>
              <w:jc w:val="center"/>
              <w:rPr>
                <w:rFonts w:ascii="宋体" w:hAnsi="宋体" w:cs="宋体"/>
                <w:bCs/>
                <w:sz w:val="24"/>
                <w:szCs w:val="24"/>
              </w:rPr>
            </w:pPr>
            <w:r>
              <w:rPr>
                <w:rFonts w:hint="eastAsia" w:ascii="宋体" w:hAnsi="宋体" w:eastAsia="宋体" w:cs="宋体"/>
                <w:bCs/>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Merge w:val="restart"/>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bCs/>
                <w:sz w:val="24"/>
                <w:lang w:eastAsia="zh-CN"/>
              </w:rPr>
            </w:pPr>
            <w:r>
              <w:rPr>
                <w:rFonts w:hint="eastAsia" w:ascii="宋体" w:hAnsi="宋体" w:cs="宋体"/>
                <w:bCs/>
                <w:sz w:val="24"/>
                <w:lang w:val="en-US" w:eastAsia="zh-CN"/>
              </w:rPr>
              <w:t>2</w:t>
            </w:r>
          </w:p>
        </w:tc>
        <w:tc>
          <w:tcPr>
            <w:tcW w:w="1395" w:type="dxa"/>
            <w:vMerge w:val="restart"/>
            <w:tcBorders>
              <w:top w:val="single" w:color="auto" w:sz="4" w:space="0"/>
              <w:left w:val="single" w:color="auto" w:sz="4" w:space="0"/>
              <w:bottom w:val="single" w:color="auto" w:sz="4" w:space="0"/>
              <w:right w:val="single" w:color="auto" w:sz="4" w:space="0"/>
            </w:tcBorders>
            <w:noWrap/>
            <w:vAlign w:val="center"/>
          </w:tcPr>
          <w:p>
            <w:pPr>
              <w:adjustRightInd/>
              <w:snapToGrid/>
              <w:spacing w:line="360" w:lineRule="auto"/>
              <w:ind w:firstLine="0" w:firstLineChars="0"/>
              <w:jc w:val="center"/>
              <w:rPr>
                <w:rFonts w:ascii="宋体" w:hAnsi="宋体" w:cs="宋体"/>
                <w:sz w:val="24"/>
                <w:szCs w:val="24"/>
              </w:rPr>
            </w:pPr>
            <w:r>
              <w:rPr>
                <w:rFonts w:hint="eastAsia" w:ascii="宋体" w:hAnsi="宋体" w:eastAsia="宋体" w:cs="宋体"/>
                <w:bCs/>
                <w:color w:val="000000"/>
                <w:sz w:val="24"/>
                <w:szCs w:val="24"/>
              </w:rPr>
              <w:t>项目组织实施方案及措施保障（</w:t>
            </w:r>
            <w:r>
              <w:rPr>
                <w:rFonts w:hint="eastAsia" w:ascii="宋体" w:hAnsi="宋体" w:cs="宋体"/>
                <w:bCs/>
                <w:color w:val="000000"/>
                <w:sz w:val="24"/>
                <w:szCs w:val="24"/>
                <w:lang w:val="en-US" w:eastAsia="zh-CN"/>
              </w:rPr>
              <w:t>10</w:t>
            </w:r>
            <w:r>
              <w:rPr>
                <w:rFonts w:hint="eastAsia" w:ascii="宋体" w:hAnsi="宋体" w:eastAsia="宋体" w:cs="宋体"/>
                <w:bCs/>
                <w:color w:val="000000"/>
                <w:sz w:val="24"/>
                <w:szCs w:val="24"/>
              </w:rPr>
              <w:t>分）</w:t>
            </w:r>
          </w:p>
        </w:tc>
        <w:tc>
          <w:tcPr>
            <w:tcW w:w="6200" w:type="dxa"/>
            <w:tcBorders>
              <w:top w:val="single" w:color="auto" w:sz="4" w:space="0"/>
              <w:left w:val="single" w:color="auto" w:sz="4" w:space="0"/>
              <w:bottom w:val="single" w:color="auto" w:sz="4" w:space="0"/>
              <w:right w:val="single" w:color="auto" w:sz="4" w:space="0"/>
            </w:tcBorders>
            <w:noWrap/>
            <w:vAlign w:val="center"/>
          </w:tcPr>
          <w:p>
            <w:pPr>
              <w:adjustRightInd/>
              <w:snapToGrid/>
              <w:spacing w:line="360" w:lineRule="auto"/>
              <w:ind w:firstLine="0" w:firstLineChars="0"/>
              <w:jc w:val="both"/>
              <w:rPr>
                <w:rFonts w:ascii="宋体" w:hAnsi="宋体" w:cs="宋体"/>
                <w:sz w:val="24"/>
                <w:szCs w:val="24"/>
              </w:rPr>
            </w:pPr>
            <w:r>
              <w:rPr>
                <w:rFonts w:hint="eastAsia" w:ascii="宋体" w:hAnsi="宋体" w:eastAsia="宋体" w:cs="宋体"/>
                <w:sz w:val="24"/>
                <w:szCs w:val="24"/>
              </w:rPr>
              <w:t>根据投标人针对本次项目提出的具体组织实施方案，包括详细组织实施方案的完整性、合理性、科学性，由评委在分值范围内进行打分。</w:t>
            </w:r>
          </w:p>
        </w:tc>
        <w:tc>
          <w:tcPr>
            <w:tcW w:w="1195" w:type="dxa"/>
            <w:tcBorders>
              <w:top w:val="single" w:color="auto" w:sz="4" w:space="0"/>
              <w:left w:val="single" w:color="auto" w:sz="4" w:space="0"/>
              <w:bottom w:val="single" w:color="auto" w:sz="4" w:space="0"/>
              <w:right w:val="single" w:color="auto" w:sz="4" w:space="0"/>
            </w:tcBorders>
            <w:noWrap/>
            <w:vAlign w:val="center"/>
          </w:tcPr>
          <w:p>
            <w:pPr>
              <w:adjustRightInd/>
              <w:snapToGrid/>
              <w:spacing w:line="360" w:lineRule="auto"/>
              <w:ind w:firstLine="0" w:firstLineChars="0"/>
              <w:jc w:val="center"/>
              <w:rPr>
                <w:rFonts w:ascii="宋体" w:hAnsi="宋体" w:cs="宋体"/>
                <w:bCs/>
                <w:sz w:val="24"/>
                <w:szCs w:val="24"/>
              </w:rPr>
            </w:pPr>
            <w:r>
              <w:rPr>
                <w:rFonts w:hint="eastAsia" w:ascii="宋体" w:hAnsi="宋体" w:eastAsia="宋体" w:cs="宋体"/>
                <w:bCs/>
                <w:sz w:val="24"/>
                <w:szCs w:val="24"/>
              </w:rPr>
              <w:t>0-</w:t>
            </w:r>
            <w:r>
              <w:rPr>
                <w:rFonts w:hint="eastAsia" w:ascii="宋体" w:hAnsi="宋体" w:cs="宋体"/>
                <w:bCs/>
                <w:sz w:val="24"/>
                <w:szCs w:val="24"/>
                <w:lang w:val="en-US" w:eastAsia="zh-CN"/>
              </w:rPr>
              <w:t>5</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vMerge w:val="continue"/>
            <w:tcBorders>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cs="宋体"/>
                <w:bCs/>
                <w:sz w:val="24"/>
              </w:rPr>
            </w:pPr>
          </w:p>
        </w:tc>
        <w:tc>
          <w:tcPr>
            <w:tcW w:w="1395" w:type="dxa"/>
            <w:vMerge w:val="continue"/>
            <w:tcBorders>
              <w:top w:val="single" w:color="auto" w:sz="4" w:space="0"/>
              <w:left w:val="single" w:color="auto" w:sz="4" w:space="0"/>
              <w:bottom w:val="single" w:color="auto" w:sz="4" w:space="0"/>
              <w:right w:val="single" w:color="auto" w:sz="4" w:space="0"/>
            </w:tcBorders>
            <w:noWrap/>
            <w:vAlign w:val="center"/>
          </w:tcPr>
          <w:p>
            <w:pPr>
              <w:adjustRightInd/>
              <w:snapToGrid/>
              <w:spacing w:line="360" w:lineRule="auto"/>
              <w:ind w:firstLine="0" w:firstLineChars="0"/>
              <w:jc w:val="center"/>
              <w:rPr>
                <w:rFonts w:hint="eastAsia" w:ascii="宋体" w:hAnsi="宋体" w:cs="宋体"/>
                <w:sz w:val="24"/>
                <w:szCs w:val="24"/>
              </w:rPr>
            </w:pPr>
          </w:p>
        </w:tc>
        <w:tc>
          <w:tcPr>
            <w:tcW w:w="6200" w:type="dxa"/>
            <w:tcBorders>
              <w:top w:val="single" w:color="auto" w:sz="4" w:space="0"/>
              <w:left w:val="single" w:color="auto" w:sz="4" w:space="0"/>
              <w:bottom w:val="single" w:color="auto" w:sz="4" w:space="0"/>
              <w:right w:val="single" w:color="auto" w:sz="4" w:space="0"/>
            </w:tcBorders>
            <w:noWrap/>
            <w:vAlign w:val="center"/>
          </w:tcPr>
          <w:p>
            <w:pPr>
              <w:adjustRightInd/>
              <w:snapToGrid/>
              <w:spacing w:line="360" w:lineRule="auto"/>
              <w:ind w:firstLine="0" w:firstLineChars="0"/>
              <w:jc w:val="both"/>
              <w:rPr>
                <w:rFonts w:hint="eastAsia" w:cs="宋体"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sz w:val="24"/>
                <w:szCs w:val="24"/>
              </w:rPr>
              <w:t>根据安装阶段沟通机制以及为保障项目顺利实施的各项措施（如质量保证、工期保证等）等内容，由评委在分值范围内进行打分。</w:t>
            </w:r>
          </w:p>
        </w:tc>
        <w:tc>
          <w:tcPr>
            <w:tcW w:w="1195" w:type="dxa"/>
            <w:tcBorders>
              <w:top w:val="single" w:color="auto" w:sz="4" w:space="0"/>
              <w:left w:val="single" w:color="auto" w:sz="4" w:space="0"/>
              <w:bottom w:val="single" w:color="auto" w:sz="4" w:space="0"/>
              <w:right w:val="single" w:color="auto" w:sz="4" w:space="0"/>
            </w:tcBorders>
            <w:noWrap/>
            <w:vAlign w:val="center"/>
          </w:tcPr>
          <w:p>
            <w:pPr>
              <w:adjustRightInd/>
              <w:snapToGrid/>
              <w:spacing w:line="360" w:lineRule="auto"/>
              <w:ind w:firstLine="0" w:firstLineChars="0"/>
              <w:jc w:val="center"/>
              <w:rPr>
                <w:rFonts w:hint="eastAsia" w:ascii="宋体" w:hAnsi="宋体" w:cs="宋体"/>
                <w:bCs/>
                <w:sz w:val="24"/>
                <w:szCs w:val="24"/>
              </w:rPr>
            </w:pPr>
            <w:r>
              <w:rPr>
                <w:rFonts w:hint="eastAsia" w:ascii="宋体" w:hAnsi="宋体" w:eastAsia="宋体" w:cs="宋体"/>
                <w:bCs/>
                <w:sz w:val="24"/>
                <w:szCs w:val="24"/>
              </w:rPr>
              <w:t>0-</w:t>
            </w:r>
            <w:r>
              <w:rPr>
                <w:rFonts w:hint="eastAsia" w:ascii="宋体" w:hAnsi="宋体" w:cs="宋体"/>
                <w:bCs/>
                <w:sz w:val="24"/>
                <w:szCs w:val="24"/>
                <w:lang w:val="en-US" w:eastAsia="zh-CN"/>
              </w:rPr>
              <w:t>5</w:t>
            </w:r>
            <w:r>
              <w:rPr>
                <w:rFonts w:hint="eastAsia" w:ascii="宋体" w:hAnsi="宋体" w:eastAsia="宋体" w:cs="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1395" w:type="dxa"/>
            <w:tcBorders>
              <w:top w:val="single" w:color="auto" w:sz="4" w:space="0"/>
              <w:left w:val="single" w:color="auto" w:sz="4" w:space="0"/>
              <w:right w:val="single" w:color="auto" w:sz="4" w:space="0"/>
            </w:tcBorders>
            <w:noWrap/>
            <w:vAlign w:val="center"/>
          </w:tcPr>
          <w:p>
            <w:pPr>
              <w:adjustRightInd/>
              <w:snapToGrid/>
              <w:spacing w:line="360" w:lineRule="auto"/>
              <w:ind w:firstLine="0" w:firstLineChars="0"/>
              <w:jc w:val="center"/>
              <w:rPr>
                <w:rFonts w:ascii="宋体" w:hAnsi="宋体" w:cs="宋体"/>
                <w:sz w:val="24"/>
                <w:szCs w:val="24"/>
              </w:rPr>
            </w:pPr>
            <w:r>
              <w:rPr>
                <w:rFonts w:hint="eastAsia" w:ascii="宋体" w:hAnsi="宋体" w:eastAsia="宋体" w:cs="宋体"/>
                <w:bCs/>
                <w:color w:val="000000"/>
                <w:sz w:val="24"/>
                <w:szCs w:val="24"/>
              </w:rPr>
              <w:t>培训方案（</w:t>
            </w:r>
            <w:r>
              <w:rPr>
                <w:rFonts w:hint="eastAsia" w:ascii="宋体" w:hAnsi="宋体" w:cs="宋体"/>
                <w:bCs/>
                <w:color w:val="000000"/>
                <w:sz w:val="24"/>
                <w:szCs w:val="24"/>
                <w:lang w:val="en-US" w:eastAsia="zh-CN"/>
              </w:rPr>
              <w:t>4</w:t>
            </w:r>
            <w:r>
              <w:rPr>
                <w:rFonts w:hint="eastAsia" w:ascii="宋体" w:hAnsi="宋体" w:eastAsia="宋体" w:cs="宋体"/>
                <w:bCs/>
                <w:color w:val="000000"/>
                <w:sz w:val="24"/>
                <w:szCs w:val="24"/>
              </w:rPr>
              <w:t>分）</w:t>
            </w:r>
          </w:p>
        </w:tc>
        <w:tc>
          <w:tcPr>
            <w:tcW w:w="6200" w:type="dxa"/>
            <w:tcBorders>
              <w:top w:val="single" w:color="auto" w:sz="4" w:space="0"/>
              <w:left w:val="single" w:color="auto" w:sz="4" w:space="0"/>
              <w:bottom w:val="single" w:color="auto" w:sz="4" w:space="0"/>
              <w:right w:val="single" w:color="auto" w:sz="4" w:space="0"/>
            </w:tcBorders>
            <w:noWrap/>
            <w:vAlign w:val="center"/>
          </w:tcPr>
          <w:p>
            <w:pPr>
              <w:adjustRightInd/>
              <w:snapToGrid/>
              <w:spacing w:line="360" w:lineRule="auto"/>
              <w:ind w:firstLine="0" w:firstLineChars="0"/>
              <w:rPr>
                <w:rFonts w:ascii="宋体" w:hAnsi="宋体" w:cs="宋体"/>
                <w:sz w:val="24"/>
                <w:szCs w:val="24"/>
              </w:rPr>
            </w:pPr>
            <w:r>
              <w:rPr>
                <w:rFonts w:hint="eastAsia" w:ascii="宋体" w:hAnsi="宋体" w:eastAsia="宋体" w:cs="宋体"/>
                <w:bCs/>
                <w:sz w:val="24"/>
                <w:szCs w:val="24"/>
              </w:rPr>
              <w:t>根据投标人针对本项目提供操作培训方案、维护培训方案、其他形式培训方案，方案要求具体至培训目的、时间、地点、内容、频次、培训教师专业职称、是否达到培训预期目的评价标准、结业验收、考核形式、与用户定期联系培训方式、方法等，</w:t>
            </w:r>
            <w:r>
              <w:rPr>
                <w:rFonts w:hint="eastAsia" w:ascii="宋体" w:hAnsi="宋体" w:eastAsia="宋体" w:cs="宋体"/>
                <w:sz w:val="24"/>
                <w:szCs w:val="24"/>
              </w:rPr>
              <w:t>由评委在分值范围内进行打分。</w:t>
            </w:r>
          </w:p>
        </w:tc>
        <w:tc>
          <w:tcPr>
            <w:tcW w:w="1195" w:type="dxa"/>
            <w:tcBorders>
              <w:top w:val="single" w:color="auto" w:sz="4" w:space="0"/>
              <w:left w:val="single" w:color="auto" w:sz="4" w:space="0"/>
              <w:bottom w:val="single" w:color="auto" w:sz="4" w:space="0"/>
              <w:right w:val="single" w:color="auto" w:sz="4" w:space="0"/>
            </w:tcBorders>
            <w:noWrap/>
            <w:vAlign w:val="center"/>
          </w:tcPr>
          <w:p>
            <w:pPr>
              <w:adjustRightInd/>
              <w:snapToGrid/>
              <w:spacing w:line="360" w:lineRule="auto"/>
              <w:ind w:firstLine="0" w:firstLineChars="0"/>
              <w:jc w:val="center"/>
              <w:rPr>
                <w:rFonts w:ascii="宋体" w:hAnsi="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4</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ign w:val="center"/>
          </w:tcPr>
          <w:p>
            <w:pPr>
              <w:spacing w:line="360" w:lineRule="auto"/>
              <w:jc w:val="center"/>
              <w:rPr>
                <w:rFonts w:hint="eastAsia" w:ascii="宋体" w:hAnsi="宋体" w:eastAsia="宋体" w:cs="宋体"/>
                <w:bCs/>
                <w:sz w:val="24"/>
                <w:lang w:eastAsia="zh-CN"/>
              </w:rPr>
            </w:pPr>
            <w:r>
              <w:rPr>
                <w:rFonts w:hint="eastAsia" w:ascii="宋体" w:hAnsi="宋体" w:cs="宋体"/>
                <w:bCs/>
                <w:sz w:val="24"/>
                <w:lang w:val="en-US" w:eastAsia="zh-CN"/>
              </w:rPr>
              <w:t>4</w:t>
            </w:r>
          </w:p>
        </w:tc>
        <w:tc>
          <w:tcPr>
            <w:tcW w:w="1395" w:type="dxa"/>
            <w:noWrap/>
            <w:vAlign w:val="center"/>
          </w:tcPr>
          <w:p>
            <w:pPr>
              <w:adjustRightInd/>
              <w:snapToGrid/>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产品技术参数性能指标</w:t>
            </w:r>
          </w:p>
          <w:p>
            <w:pPr>
              <w:adjustRightInd/>
              <w:snapToGrid/>
              <w:spacing w:line="360" w:lineRule="auto"/>
              <w:ind w:firstLine="0" w:firstLineChars="0"/>
              <w:jc w:val="center"/>
              <w:rPr>
                <w:rFonts w:ascii="宋体" w:hAnsi="宋体" w:cs="宋体"/>
                <w:sz w:val="24"/>
                <w:szCs w:val="24"/>
              </w:rPr>
            </w:pPr>
            <w:r>
              <w:rPr>
                <w:rFonts w:hint="eastAsia" w:ascii="宋体" w:hAnsi="宋体" w:eastAsia="宋体" w:cs="宋体"/>
                <w:sz w:val="24"/>
                <w:szCs w:val="24"/>
              </w:rPr>
              <w:t>（26分）</w:t>
            </w:r>
          </w:p>
        </w:tc>
        <w:tc>
          <w:tcPr>
            <w:tcW w:w="6200" w:type="dxa"/>
            <w:noWrap/>
            <w:vAlign w:val="center"/>
          </w:tcPr>
          <w:p>
            <w:pPr>
              <w:spacing w:line="360" w:lineRule="auto"/>
              <w:rPr>
                <w:rFonts w:ascii="宋体" w:hAnsi="宋体" w:cs="宋体"/>
                <w:color w:val="000000"/>
                <w:sz w:val="24"/>
              </w:rPr>
            </w:pPr>
            <w:r>
              <w:rPr>
                <w:rFonts w:hint="eastAsia" w:ascii="宋体" w:hAnsi="宋体" w:cs="宋体"/>
                <w:color w:val="000000"/>
                <w:sz w:val="24"/>
              </w:rPr>
              <w:t>评标小组将根据投标人提供的技术参数偏离表,对照招标要求的技术参数及投标人按要求提供的产品技术性能指标进行评分，满分</w:t>
            </w:r>
            <w:r>
              <w:rPr>
                <w:rFonts w:hint="eastAsia" w:ascii="宋体" w:hAnsi="宋体" w:cs="宋体"/>
                <w:color w:val="000000"/>
                <w:sz w:val="24"/>
                <w:lang w:val="en-US" w:eastAsia="zh-CN"/>
              </w:rPr>
              <w:t>26</w:t>
            </w:r>
            <w:r>
              <w:rPr>
                <w:rFonts w:hint="eastAsia" w:ascii="宋体" w:hAnsi="宋体" w:cs="宋体"/>
                <w:color w:val="000000"/>
                <w:sz w:val="24"/>
              </w:rPr>
              <w:t>分。具体评分要求:</w:t>
            </w:r>
          </w:p>
          <w:p>
            <w:pPr>
              <w:spacing w:line="360" w:lineRule="auto"/>
              <w:rPr>
                <w:rFonts w:ascii="宋体" w:hAnsi="宋体" w:cs="宋体"/>
                <w:color w:val="000000"/>
                <w:sz w:val="24"/>
              </w:rPr>
            </w:pPr>
            <w:r>
              <w:rPr>
                <w:rFonts w:hint="eastAsia" w:ascii="宋体" w:hAnsi="宋体" w:cs="宋体"/>
                <w:color w:val="000000"/>
                <w:sz w:val="24"/>
              </w:rPr>
              <w:t>1.完全符合技术参数要求的得</w:t>
            </w:r>
            <w:r>
              <w:rPr>
                <w:rFonts w:hint="eastAsia" w:ascii="宋体" w:hAnsi="宋体" w:cs="宋体"/>
                <w:color w:val="000000"/>
                <w:sz w:val="24"/>
                <w:lang w:val="en-US" w:eastAsia="zh-CN"/>
              </w:rPr>
              <w:t>26</w:t>
            </w:r>
            <w:r>
              <w:rPr>
                <w:rFonts w:hint="eastAsia" w:ascii="宋体" w:hAnsi="宋体" w:cs="宋体"/>
                <w:color w:val="000000"/>
                <w:sz w:val="24"/>
              </w:rPr>
              <w:t>分;加“</w:t>
            </w:r>
            <w:r>
              <w:rPr>
                <w:rFonts w:hint="eastAsia" w:ascii="宋体" w:hAnsi="宋体" w:eastAsia="宋体" w:cs="宋体"/>
                <w:szCs w:val="24"/>
                <w:lang w:val="en-US" w:eastAsia="zh-CN"/>
              </w:rPr>
              <w:t>●</w:t>
            </w:r>
            <w:r>
              <w:rPr>
                <w:rFonts w:hint="eastAsia" w:ascii="宋体" w:hAnsi="宋体" w:cs="宋体"/>
                <w:color w:val="000000"/>
                <w:sz w:val="24"/>
              </w:rPr>
              <w:t>”条款技术参数满足的每项加</w:t>
            </w:r>
            <w:r>
              <w:rPr>
                <w:rFonts w:hint="eastAsia" w:ascii="宋体" w:hAnsi="宋体" w:cs="宋体"/>
                <w:color w:val="000000"/>
                <w:sz w:val="24"/>
                <w:lang w:val="en-US" w:eastAsia="zh-CN"/>
              </w:rPr>
              <w:t>0.5</w:t>
            </w:r>
            <w:r>
              <w:rPr>
                <w:rFonts w:hint="eastAsia" w:ascii="宋体" w:hAnsi="宋体" w:cs="宋体"/>
                <w:color w:val="000000"/>
                <w:sz w:val="24"/>
              </w:rPr>
              <w:t>分;其他条款技术参数满足的每项加 0.</w:t>
            </w:r>
            <w:r>
              <w:rPr>
                <w:rFonts w:hint="eastAsia" w:ascii="宋体" w:hAnsi="宋体" w:cs="宋体"/>
                <w:color w:val="000000"/>
                <w:sz w:val="24"/>
                <w:lang w:val="en-US" w:eastAsia="zh-CN"/>
              </w:rPr>
              <w:t>19</w:t>
            </w:r>
            <w:r>
              <w:rPr>
                <w:rFonts w:hint="eastAsia" w:ascii="宋体" w:hAnsi="宋体" w:cs="宋体"/>
                <w:color w:val="000000"/>
                <w:sz w:val="24"/>
              </w:rPr>
              <w:t>分，最高得</w:t>
            </w:r>
            <w:r>
              <w:rPr>
                <w:rFonts w:hint="eastAsia" w:ascii="宋体" w:hAnsi="宋体" w:cs="宋体"/>
                <w:color w:val="000000"/>
                <w:sz w:val="24"/>
                <w:lang w:val="en-US" w:eastAsia="zh-CN"/>
              </w:rPr>
              <w:t>26</w:t>
            </w:r>
            <w:r>
              <w:rPr>
                <w:rFonts w:hint="eastAsia" w:ascii="宋体" w:hAnsi="宋体" w:cs="宋体"/>
                <w:color w:val="000000"/>
                <w:sz w:val="24"/>
              </w:rPr>
              <w:t>分，最低得0分。</w:t>
            </w:r>
          </w:p>
          <w:p>
            <w:pPr>
              <w:adjustRightInd/>
              <w:snapToGrid/>
              <w:spacing w:line="360" w:lineRule="auto"/>
              <w:ind w:firstLine="0" w:firstLineChars="0"/>
              <w:jc w:val="both"/>
              <w:rPr>
                <w:rFonts w:ascii="宋体" w:hAnsi="宋体" w:cs="宋体"/>
                <w:sz w:val="24"/>
                <w:szCs w:val="24"/>
              </w:rPr>
            </w:pPr>
            <w:r>
              <w:rPr>
                <w:rFonts w:hint="eastAsia" w:ascii="宋体" w:hAnsi="宋体" w:eastAsia="宋体" w:cs="宋体"/>
                <w:b/>
                <w:bCs/>
                <w:sz w:val="24"/>
                <w:szCs w:val="24"/>
              </w:rPr>
              <w:t>注：加“</w:t>
            </w:r>
            <w:r>
              <w:rPr>
                <w:rFonts w:hint="eastAsia" w:ascii="宋体" w:hAnsi="宋体" w:eastAsia="宋体" w:cs="宋体"/>
                <w:color w:val="000000"/>
                <w:sz w:val="24"/>
                <w:szCs w:val="24"/>
              </w:rPr>
              <w:t>▲</w:t>
            </w:r>
            <w:r>
              <w:rPr>
                <w:rFonts w:hint="eastAsia" w:ascii="宋体" w:hAnsi="宋体" w:eastAsia="宋体" w:cs="宋体"/>
                <w:b/>
                <w:bCs/>
                <w:sz w:val="24"/>
                <w:szCs w:val="24"/>
              </w:rPr>
              <w:t>”条款为实质性条款，必须满足，否则投标无效。</w:t>
            </w:r>
          </w:p>
        </w:tc>
        <w:tc>
          <w:tcPr>
            <w:tcW w:w="1195" w:type="dxa"/>
            <w:noWrap/>
            <w:vAlign w:val="center"/>
          </w:tcPr>
          <w:p>
            <w:pPr>
              <w:adjustRightInd/>
              <w:spacing w:line="360" w:lineRule="auto"/>
              <w:ind w:firstLine="0" w:firstLineChars="0"/>
              <w:jc w:val="center"/>
              <w:rPr>
                <w:rFonts w:ascii="宋体" w:hAnsi="宋体" w:cs="宋体"/>
                <w:sz w:val="24"/>
                <w:szCs w:val="24"/>
              </w:rPr>
            </w:pPr>
            <w:r>
              <w:rPr>
                <w:rFonts w:hint="eastAsia" w:ascii="宋体" w:hAnsi="宋体" w:eastAsia="宋体" w:cs="宋体"/>
                <w:sz w:val="24"/>
                <w:szCs w:val="24"/>
              </w:rPr>
              <w:t>0-26分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73" w:type="dxa"/>
            <w:vMerge w:val="restart"/>
            <w:noWrap/>
            <w:vAlign w:val="center"/>
          </w:tcPr>
          <w:p>
            <w:pPr>
              <w:adjustRightInd/>
              <w:snapToGrid/>
              <w:spacing w:line="360" w:lineRule="auto"/>
              <w:ind w:firstLine="0" w:firstLineChars="0"/>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5</w:t>
            </w:r>
          </w:p>
        </w:tc>
        <w:tc>
          <w:tcPr>
            <w:tcW w:w="1395" w:type="dxa"/>
            <w:vMerge w:val="restart"/>
            <w:noWrap/>
            <w:vAlign w:val="center"/>
          </w:tcPr>
          <w:p>
            <w:pPr>
              <w:adjustRightInd/>
              <w:snapToGrid/>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功能演示（17分）</w:t>
            </w:r>
          </w:p>
        </w:tc>
        <w:tc>
          <w:tcPr>
            <w:tcW w:w="6200" w:type="dxa"/>
            <w:noWrap/>
            <w:vAlign w:val="center"/>
          </w:tcPr>
          <w:p>
            <w:pPr>
              <w:adjustRightInd/>
              <w:snapToGrid/>
              <w:spacing w:line="360" w:lineRule="auto"/>
              <w:ind w:firstLine="0" w:firstLineChars="0"/>
              <w:jc w:val="both"/>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.1数控设备维护与维修电气连接仿真软件演示要点：</w:t>
            </w:r>
          </w:p>
          <w:p>
            <w:pPr>
              <w:adjustRightInd/>
              <w:snapToGrid/>
              <w:spacing w:line="360" w:lineRule="auto"/>
              <w:ind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具备数控设备电气接线考核模式和排故考核模式，接线考核模式中，服务端将发送接线考核的试题至软件，软件将自动生成具体的接线考核内容；排故考核模式中，服务端将发送排故考核的试题至软件，软件将自动生成相应的故障排除考核内容。</w:t>
            </w:r>
          </w:p>
          <w:p>
            <w:pPr>
              <w:adjustRightInd/>
              <w:snapToGrid/>
              <w:spacing w:line="360" w:lineRule="auto"/>
              <w:ind w:firstLine="0" w:firstLine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软件要求至少含有16个以下数控技术常用控制电路：抱闸电路、打刀缸气动IO电路、刀库电路、刀库气动IO电路、急停电路、控制电源电路、冷却电路、排屑电路、启动电路、润滑电路、伺服主电路、信号灯电路、直流电源电路、主电路、主轴风扇电路、通讯电路</w:t>
            </w:r>
          </w:p>
          <w:p>
            <w:pPr>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3）软件要求具备学生端和教师端，学生端至少具备考试报名模块和考试信息模块以及模拟测试模块，教师端</w:t>
            </w:r>
            <w:r>
              <w:rPr>
                <w:rFonts w:hint="eastAsia" w:ascii="宋体" w:hAnsi="宋体" w:eastAsia="宋体" w:cs="宋体"/>
                <w:sz w:val="24"/>
                <w:szCs w:val="24"/>
                <w:highlight w:val="none"/>
              </w:rPr>
              <w:t>至少具备设备模块和基本信息模块以及考试模块等。</w:t>
            </w:r>
          </w:p>
          <w:p>
            <w:pPr>
              <w:adjustRightInd/>
              <w:snapToGrid/>
              <w:spacing w:line="360" w:lineRule="auto"/>
              <w:ind w:firstLine="0" w:firstLineChars="0"/>
              <w:jc w:val="both"/>
              <w:rPr>
                <w:rFonts w:hint="eastAsia" w:ascii="宋体" w:hAnsi="宋体" w:eastAsia="宋体" w:cs="宋体"/>
                <w:sz w:val="24"/>
                <w:szCs w:val="24"/>
                <w:highlight w:val="none"/>
              </w:rPr>
            </w:pPr>
            <w:r>
              <w:rPr>
                <w:rFonts w:hint="eastAsia" w:ascii="宋体" w:hAnsi="宋体" w:eastAsia="宋体" w:cs="宋体"/>
                <w:b/>
                <w:bCs/>
                <w:color w:val="000000"/>
                <w:sz w:val="24"/>
                <w:szCs w:val="24"/>
                <w:highlight w:val="none"/>
              </w:rPr>
              <w:t>注：投标人每完整演示一条演示要点，得1分，本项共3分。</w:t>
            </w:r>
            <w:r>
              <w:rPr>
                <w:rFonts w:hint="eastAsia" w:ascii="宋体" w:hAnsi="宋体" w:cs="宋体"/>
                <w:b/>
                <w:bCs/>
                <w:sz w:val="24"/>
                <w:highlight w:val="none"/>
              </w:rPr>
              <w:t>现场演示顺序按电子交易平台解密后自动生成的“投标（响应）文件签收登记表”名单顺序分别进行，投标人应将演示内容提前拍摄成视频并压缩加密（密码由投标人自行保管），并在投标截止时间前将加密视频文件一次性（限时内多次发送的，以最后一次为准，其余无效）发送至代理机构指定邮箱（lszzzbzx@126.com），演示开始后，代理机构向各投标人获取视频密码，未在规定时间内发送演示视频或视频无法打开的，演示不得分。</w:t>
            </w:r>
          </w:p>
        </w:tc>
        <w:tc>
          <w:tcPr>
            <w:tcW w:w="1195" w:type="dxa"/>
            <w:vMerge w:val="restart"/>
            <w:noWrap/>
            <w:vAlign w:val="center"/>
          </w:tcPr>
          <w:p>
            <w:pPr>
              <w:adjustRightInd/>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0-17分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73" w:type="dxa"/>
            <w:vMerge w:val="continue"/>
            <w:noWrap/>
            <w:vAlign w:val="center"/>
          </w:tcPr>
          <w:p>
            <w:pPr>
              <w:adjustRightInd/>
              <w:snapToGrid/>
              <w:spacing w:line="360" w:lineRule="auto"/>
              <w:ind w:firstLine="0" w:firstLineChars="0"/>
              <w:jc w:val="center"/>
              <w:rPr>
                <w:rFonts w:hint="eastAsia" w:ascii="宋体" w:hAnsi="宋体" w:eastAsia="宋体" w:cs="宋体"/>
                <w:bCs/>
                <w:sz w:val="24"/>
                <w:szCs w:val="24"/>
              </w:rPr>
            </w:pPr>
          </w:p>
        </w:tc>
        <w:tc>
          <w:tcPr>
            <w:tcW w:w="1395" w:type="dxa"/>
            <w:vMerge w:val="continue"/>
            <w:noWrap/>
            <w:vAlign w:val="center"/>
          </w:tcPr>
          <w:p>
            <w:pPr>
              <w:adjustRightInd/>
              <w:snapToGrid/>
              <w:spacing w:line="360" w:lineRule="auto"/>
              <w:ind w:firstLine="0" w:firstLineChars="0"/>
              <w:jc w:val="center"/>
              <w:rPr>
                <w:rFonts w:hint="eastAsia" w:ascii="宋体" w:hAnsi="宋体" w:eastAsia="宋体" w:cs="宋体"/>
                <w:sz w:val="24"/>
                <w:szCs w:val="24"/>
              </w:rPr>
            </w:pPr>
          </w:p>
        </w:tc>
        <w:tc>
          <w:tcPr>
            <w:tcW w:w="6200" w:type="dxa"/>
            <w:noWrap/>
            <w:vAlign w:val="center"/>
          </w:tcPr>
          <w:p>
            <w:pPr>
              <w:adjustRightInd/>
              <w:snapToGrid/>
              <w:spacing w:line="360" w:lineRule="auto"/>
              <w:ind w:firstLine="0" w:firstLineChars="0"/>
              <w:jc w:val="both"/>
              <w:rPr>
                <w:rFonts w:hint="eastAsia"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.2数控设备维护与维修机械仿真软件演示要点：</w:t>
            </w:r>
          </w:p>
          <w:p>
            <w:pPr>
              <w:adjustRightInd/>
              <w:snapToGrid/>
              <w:spacing w:line="360" w:lineRule="auto"/>
              <w:ind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1）软件要求至少具备数控机床机械安装模式、拆除模式和检测模式，能够对数控设备X轴Y轴部分进行组装、拆除和精度检测，在安装模式中用户根据软件所提供数控设备X轴Y轴部分的零部件，按照一定的顺序将零部件安装到设备上；在拆除模式中用户根据数控设备X轴Y轴部分上零部件的拆除顺序依次将零部件从设备上拆除；在检测模式中每个项目都需提供详细的检测步骤操作说明。</w:t>
            </w:r>
          </w:p>
          <w:p>
            <w:pPr>
              <w:adjustRightInd/>
              <w:snapToGrid/>
              <w:spacing w:line="360" w:lineRule="auto"/>
              <w:ind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2）软件要求采用高度仿真的三维效果界面，能够通过键盘和鼠标完成视角平移、缩放、旋转、复位等视角控制。</w:t>
            </w:r>
          </w:p>
          <w:p>
            <w:pPr>
              <w:adjustRightInd/>
              <w:snapToGrid/>
              <w:spacing w:line="360" w:lineRule="auto"/>
              <w:ind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3）检测模式要求至少以下提供12种精度检测项目：Y轴导轨上母线直线度精度检测、Y轴导轨侧母线直线度精度检测、Y轴两导轨间的等高度检测、Y轴导轨上母线直线度精度检测、直线导轨与Y轴滚珠丝杆上母线精度检测、直线导轨与Y轴滚珠丝杆侧母线精度检测、X轴导轨上母线直线度精度检测、X轴导轨侧母线直线度精度检测、X轴导轨上母线直线度精度检测、X轴两导轨间的等高度检测、直线导轨与X轴滚珠丝杆上母线精度检测、直线导轨与X轴滚珠丝杆侧母线精度检测。</w:t>
            </w:r>
          </w:p>
          <w:p>
            <w:pPr>
              <w:adjustRightInd/>
              <w:snapToGrid/>
              <w:spacing w:line="360" w:lineRule="auto"/>
              <w:ind w:firstLine="0" w:firstLineChars="0"/>
              <w:jc w:val="both"/>
              <w:rPr>
                <w:rFonts w:hint="eastAsia" w:ascii="宋体" w:hAnsi="宋体" w:eastAsia="宋体" w:cs="宋体"/>
                <w:sz w:val="24"/>
                <w:szCs w:val="24"/>
              </w:rPr>
            </w:pPr>
            <w:r>
              <w:rPr>
                <w:rFonts w:hint="eastAsia" w:ascii="宋体" w:hAnsi="宋体" w:eastAsia="宋体" w:cs="宋体"/>
                <w:b/>
                <w:bCs/>
                <w:color w:val="000000"/>
                <w:sz w:val="24"/>
                <w:szCs w:val="24"/>
              </w:rPr>
              <w:t>注：投标人每完整演示一条演示要点，得1分，本项共3分。</w:t>
            </w:r>
            <w:r>
              <w:rPr>
                <w:rFonts w:hint="eastAsia" w:ascii="宋体" w:hAnsi="宋体" w:cs="宋体"/>
                <w:b/>
                <w:bCs/>
                <w:sz w:val="24"/>
              </w:rPr>
              <w:t>现场演示顺序按电子交易平台解密后自动生成的“投标（响应）文件签收登记表”名单顺序分别进行，投标人应将演示内容提前拍摄成视频并压缩加密（密码由投标人自行保管），并在投标截止时间前将加密视频文件一次性（限时内多次发送的，以最后一次为准，其余无效）发送至代理机构指定邮箱（lszzzbzx@126.com），演示开始后，代理机构向各投标人获取视频密码，未在规定时间内发送演示视频或视频无法打开的，演示不得分。</w:t>
            </w:r>
          </w:p>
        </w:tc>
        <w:tc>
          <w:tcPr>
            <w:tcW w:w="1195" w:type="dxa"/>
            <w:vMerge w:val="continue"/>
            <w:noWrap/>
            <w:vAlign w:val="center"/>
          </w:tcPr>
          <w:p>
            <w:pPr>
              <w:adjustRightInd/>
              <w:spacing w:line="36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73" w:type="dxa"/>
            <w:vMerge w:val="continue"/>
            <w:noWrap/>
            <w:vAlign w:val="center"/>
          </w:tcPr>
          <w:p>
            <w:pPr>
              <w:adjustRightInd/>
              <w:snapToGrid/>
              <w:spacing w:line="360" w:lineRule="auto"/>
              <w:ind w:firstLine="0" w:firstLineChars="0"/>
              <w:jc w:val="center"/>
              <w:rPr>
                <w:rFonts w:hint="eastAsia" w:ascii="宋体" w:hAnsi="宋体" w:eastAsia="宋体" w:cs="宋体"/>
                <w:bCs/>
                <w:sz w:val="24"/>
                <w:szCs w:val="24"/>
              </w:rPr>
            </w:pPr>
          </w:p>
        </w:tc>
        <w:tc>
          <w:tcPr>
            <w:tcW w:w="1395" w:type="dxa"/>
            <w:vMerge w:val="continue"/>
            <w:noWrap/>
            <w:vAlign w:val="center"/>
          </w:tcPr>
          <w:p>
            <w:pPr>
              <w:adjustRightInd/>
              <w:snapToGrid/>
              <w:spacing w:line="360" w:lineRule="auto"/>
              <w:ind w:firstLine="0" w:firstLineChars="0"/>
              <w:jc w:val="center"/>
              <w:rPr>
                <w:rFonts w:hint="eastAsia" w:ascii="宋体" w:hAnsi="宋体" w:eastAsia="宋体" w:cs="宋体"/>
                <w:sz w:val="24"/>
                <w:szCs w:val="24"/>
              </w:rPr>
            </w:pPr>
          </w:p>
        </w:tc>
        <w:tc>
          <w:tcPr>
            <w:tcW w:w="6200" w:type="dxa"/>
            <w:noWrap/>
            <w:vAlign w:val="center"/>
          </w:tcPr>
          <w:p>
            <w:pPr>
              <w:adjustRightInd/>
              <w:snapToGrid/>
              <w:spacing w:line="360" w:lineRule="auto"/>
              <w:ind w:firstLine="0" w:firstLineChars="0"/>
              <w:jc w:val="both"/>
              <w:rPr>
                <w:rFonts w:hint="eastAsia"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.3虚实融合仿真软件演示要点：</w:t>
            </w:r>
          </w:p>
          <w:p>
            <w:pPr>
              <w:adjustRightInd/>
              <w:snapToGrid/>
              <w:spacing w:line="360" w:lineRule="auto"/>
              <w:ind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1）可实时且准确地读取数控系统的数据，并向数控系统发送相关的数据，通过接受和发送的数据，可实时的显示并控制软件内智能制造设备的工作状态。同时可以根据数控系统所编写的PLC程序，来控制软件内智能制造设备运行；</w:t>
            </w:r>
          </w:p>
          <w:p>
            <w:pPr>
              <w:adjustRightInd/>
              <w:snapToGrid/>
              <w:spacing w:line="360" w:lineRule="auto"/>
              <w:ind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2）输入端口（机床给软件）：包含有机床准备好、添加毛坯、气爪打开、机床门打开、平口钳打开、机床加工完成、气爪闭合、机床门关闭、平口钳闭合等信号。当软件读取到机床相关的信号时，软件中的智能制造设备将根据信号进行相关的动作；</w:t>
            </w:r>
          </w:p>
          <w:p>
            <w:pPr>
              <w:adjustRightInd/>
              <w:snapToGrid/>
              <w:spacing w:line="360" w:lineRule="auto"/>
              <w:ind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3）输出端口（软件给机床）：包含有上料位置到位、手爪到平口钳位置、夹到传送带上物料、机器人到传送带物料上方、机床启动加工、机床门打开到位、机床门关闭到位、平口钳打开到位、平口钳关闭到位、成品放置完成等信号，能够将软件中智能制造设备的状态反馈给机床。</w:t>
            </w:r>
          </w:p>
          <w:p>
            <w:pPr>
              <w:adjustRightInd/>
              <w:snapToGrid/>
              <w:spacing w:line="360" w:lineRule="auto"/>
              <w:ind w:firstLine="0" w:firstLineChars="0"/>
              <w:jc w:val="both"/>
              <w:rPr>
                <w:rFonts w:hint="eastAsia" w:ascii="宋体" w:hAnsi="宋体" w:eastAsia="宋体" w:cs="宋体"/>
                <w:sz w:val="24"/>
                <w:szCs w:val="24"/>
              </w:rPr>
            </w:pPr>
            <w:r>
              <w:rPr>
                <w:rFonts w:hint="eastAsia" w:ascii="宋体" w:hAnsi="宋体" w:eastAsia="宋体" w:cs="宋体"/>
                <w:b/>
                <w:bCs/>
                <w:color w:val="000000"/>
                <w:sz w:val="24"/>
                <w:szCs w:val="24"/>
              </w:rPr>
              <w:t>注：投标人每完整演示一条演示要点，得1分，本项共3分。</w:t>
            </w:r>
            <w:r>
              <w:rPr>
                <w:rFonts w:hint="eastAsia" w:ascii="宋体" w:hAnsi="宋体" w:cs="宋体"/>
                <w:b/>
                <w:bCs/>
                <w:sz w:val="24"/>
              </w:rPr>
              <w:t>现场演示顺序按电子交易平台解密后自动生成的“投标（响应）文件签收登记表”名单顺序分别进行，投标人应将演示内容提前拍摄成视频并压缩加密（密码由投标人自行保管），并在投标截止时间前将加密视频文件一次性（限时内多次发送的，以最后一次为准，其余无效）发送至代理机构指定邮箱（lszzzbzx@126.com），演示开始后，代理机构向各投标人获取视频密码，未在规定时间内发送演示视频或视频无法打开的，演示不得分。</w:t>
            </w:r>
          </w:p>
        </w:tc>
        <w:tc>
          <w:tcPr>
            <w:tcW w:w="1195" w:type="dxa"/>
            <w:vMerge w:val="continue"/>
            <w:noWrap/>
            <w:vAlign w:val="center"/>
          </w:tcPr>
          <w:p>
            <w:pPr>
              <w:adjustRightInd/>
              <w:spacing w:line="36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73" w:type="dxa"/>
            <w:vMerge w:val="continue"/>
            <w:noWrap/>
            <w:vAlign w:val="center"/>
          </w:tcPr>
          <w:p>
            <w:pPr>
              <w:adjustRightInd/>
              <w:snapToGrid/>
              <w:spacing w:line="360" w:lineRule="auto"/>
              <w:ind w:firstLine="0" w:firstLineChars="0"/>
              <w:jc w:val="center"/>
              <w:rPr>
                <w:rFonts w:hint="eastAsia" w:ascii="宋体" w:hAnsi="宋体" w:eastAsia="宋体" w:cs="宋体"/>
                <w:bCs/>
                <w:sz w:val="24"/>
                <w:szCs w:val="24"/>
              </w:rPr>
            </w:pPr>
          </w:p>
        </w:tc>
        <w:tc>
          <w:tcPr>
            <w:tcW w:w="1395" w:type="dxa"/>
            <w:vMerge w:val="continue"/>
            <w:noWrap/>
            <w:vAlign w:val="center"/>
          </w:tcPr>
          <w:p>
            <w:pPr>
              <w:adjustRightInd/>
              <w:snapToGrid/>
              <w:spacing w:line="360" w:lineRule="auto"/>
              <w:ind w:firstLine="0" w:firstLineChars="0"/>
              <w:jc w:val="center"/>
              <w:rPr>
                <w:rFonts w:hint="eastAsia" w:ascii="宋体" w:hAnsi="宋体" w:eastAsia="宋体" w:cs="宋体"/>
                <w:sz w:val="24"/>
                <w:szCs w:val="24"/>
              </w:rPr>
            </w:pPr>
          </w:p>
        </w:tc>
        <w:tc>
          <w:tcPr>
            <w:tcW w:w="6200" w:type="dxa"/>
            <w:noWrap/>
            <w:vAlign w:val="center"/>
          </w:tcPr>
          <w:p>
            <w:pPr>
              <w:adjustRightInd/>
              <w:snapToGrid/>
              <w:spacing w:line="360" w:lineRule="auto"/>
              <w:ind w:firstLine="0" w:firstLineChars="0"/>
              <w:jc w:val="both"/>
              <w:rPr>
                <w:rFonts w:hint="eastAsia"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.4数控机床多功能部件装配3D仿真软件演示要点：</w:t>
            </w:r>
          </w:p>
          <w:p>
            <w:pPr>
              <w:adjustRightInd/>
              <w:snapToGrid/>
              <w:spacing w:line="360" w:lineRule="auto"/>
              <w:ind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1）要求采用真实的机床机械部件模型，至少可以仿真四工位刀架、六工位刀架、夹臂式刀库、斗笠式刀库、机械手刀库、液压尾座、液压卡盘、润滑系统、BT30主轴等9种机床机械部件的组装；</w:t>
            </w:r>
          </w:p>
          <w:p>
            <w:pPr>
              <w:adjustRightInd/>
              <w:snapToGrid/>
              <w:spacing w:line="360" w:lineRule="auto"/>
              <w:ind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2）软件主界面9个独立按钮对应9种不同机床机械部件，点击每个按钮可跳转到相应机床机械部件的装调界面，每种机床机械部件的装调都可分为组装部分和零部件部分，组装部分包含安装说明、撤销安装、复位视图、重置模型、设置等子功能，零部件部分包含需安装零部件和安装所需的工具。</w:t>
            </w:r>
          </w:p>
          <w:p>
            <w:pPr>
              <w:adjustRightInd/>
              <w:snapToGrid/>
              <w:spacing w:line="360" w:lineRule="auto"/>
              <w:ind w:firstLine="0" w:firstLineChars="0"/>
              <w:jc w:val="both"/>
              <w:rPr>
                <w:rFonts w:hint="eastAsia" w:ascii="宋体" w:hAnsi="宋体" w:eastAsia="宋体" w:cs="宋体"/>
                <w:sz w:val="24"/>
                <w:szCs w:val="24"/>
              </w:rPr>
            </w:pPr>
            <w:r>
              <w:rPr>
                <w:rFonts w:hint="eastAsia" w:ascii="宋体" w:hAnsi="宋体" w:eastAsia="宋体" w:cs="宋体"/>
                <w:b/>
                <w:bCs/>
                <w:color w:val="000000"/>
                <w:sz w:val="24"/>
                <w:szCs w:val="24"/>
              </w:rPr>
              <w:t>注：投标人每完整演示一条演示要点，得1分，本项共2分</w:t>
            </w:r>
            <w:r>
              <w:rPr>
                <w:rFonts w:hint="eastAsia" w:ascii="宋体" w:hAnsi="宋体" w:cs="宋体"/>
                <w:b/>
                <w:bCs/>
                <w:color w:val="000000"/>
                <w:sz w:val="24"/>
                <w:szCs w:val="24"/>
                <w:lang w:eastAsia="zh-CN"/>
              </w:rPr>
              <w:t>。</w:t>
            </w:r>
            <w:r>
              <w:rPr>
                <w:rFonts w:hint="eastAsia" w:ascii="宋体" w:hAnsi="宋体" w:cs="宋体"/>
                <w:b/>
                <w:bCs/>
                <w:sz w:val="24"/>
              </w:rPr>
              <w:t>现场演示顺序按电子交易平台解密后自动生成的“投标（响应）文件签收登记表”名单顺序分别进行，投标人应将演示内容提前拍摄成视频并压缩加密（密码由投标人自行保管），并在投标截止时间前将加密视频文件一次性（限时内多次发送的，以最后一次为准，其余无效）发送至代理机构指定邮箱（lszzzbzx@126.com），演示开始后，代理机构向各投标人获取视频密码，未在规定时间内发送演示视频或视频无法打开的，演示不得分。</w:t>
            </w:r>
          </w:p>
        </w:tc>
        <w:tc>
          <w:tcPr>
            <w:tcW w:w="1195" w:type="dxa"/>
            <w:vMerge w:val="continue"/>
            <w:noWrap/>
            <w:vAlign w:val="center"/>
          </w:tcPr>
          <w:p>
            <w:pPr>
              <w:adjustRightInd/>
              <w:spacing w:line="36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73" w:type="dxa"/>
            <w:vMerge w:val="continue"/>
            <w:noWrap/>
            <w:vAlign w:val="center"/>
          </w:tcPr>
          <w:p>
            <w:pPr>
              <w:adjustRightInd/>
              <w:snapToGrid/>
              <w:spacing w:line="360" w:lineRule="auto"/>
              <w:ind w:firstLine="0" w:firstLineChars="0"/>
              <w:jc w:val="center"/>
              <w:rPr>
                <w:rFonts w:hint="eastAsia" w:ascii="宋体" w:hAnsi="宋体" w:eastAsia="宋体" w:cs="宋体"/>
                <w:bCs/>
                <w:sz w:val="24"/>
                <w:szCs w:val="24"/>
              </w:rPr>
            </w:pPr>
          </w:p>
        </w:tc>
        <w:tc>
          <w:tcPr>
            <w:tcW w:w="1395" w:type="dxa"/>
            <w:vMerge w:val="continue"/>
            <w:noWrap/>
            <w:vAlign w:val="center"/>
          </w:tcPr>
          <w:p>
            <w:pPr>
              <w:adjustRightInd/>
              <w:snapToGrid/>
              <w:spacing w:line="360" w:lineRule="auto"/>
              <w:ind w:firstLine="0" w:firstLineChars="0"/>
              <w:jc w:val="center"/>
              <w:rPr>
                <w:rFonts w:hint="eastAsia" w:ascii="宋体" w:hAnsi="宋体" w:eastAsia="宋体" w:cs="宋体"/>
                <w:sz w:val="24"/>
                <w:szCs w:val="24"/>
              </w:rPr>
            </w:pPr>
          </w:p>
        </w:tc>
        <w:tc>
          <w:tcPr>
            <w:tcW w:w="6200" w:type="dxa"/>
            <w:noWrap/>
            <w:vAlign w:val="center"/>
          </w:tcPr>
          <w:p>
            <w:pPr>
              <w:adjustRightInd/>
              <w:snapToGrid/>
              <w:spacing w:line="360" w:lineRule="auto"/>
              <w:ind w:firstLine="0" w:firstLineChars="0"/>
              <w:jc w:val="both"/>
              <w:rPr>
                <w:rFonts w:hint="eastAsia"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.5在线评价系统演示要点：</w:t>
            </w:r>
          </w:p>
          <w:p>
            <w:pPr>
              <w:adjustRightInd/>
              <w:snapToGrid/>
              <w:spacing w:line="360" w:lineRule="auto"/>
              <w:ind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1）系统要求部署在云端，被授权的考试用户只要使用网络浏览器就可以进行在线考试、模拟练习等操作，无需下载安装教师端、学生端等软件；</w:t>
            </w:r>
          </w:p>
          <w:p>
            <w:pPr>
              <w:adjustRightInd/>
              <w:snapToGrid/>
              <w:spacing w:line="360" w:lineRule="auto"/>
              <w:ind w:firstLine="0" w:firstLineChars="0"/>
              <w:jc w:val="both"/>
              <w:rPr>
                <w:rFonts w:hint="eastAsia" w:ascii="宋体" w:hAnsi="宋体" w:eastAsia="宋体" w:cs="宋体"/>
                <w:sz w:val="24"/>
                <w:szCs w:val="24"/>
              </w:rPr>
            </w:pPr>
            <w:r>
              <w:rPr>
                <w:rFonts w:hint="eastAsia" w:ascii="宋体" w:hAnsi="宋体" w:eastAsia="宋体" w:cs="宋体"/>
                <w:color w:val="000000"/>
                <w:sz w:val="24"/>
                <w:szCs w:val="24"/>
              </w:rPr>
              <w:t>2）系统至少包含基本信息、考试管理、题库信息等3大功能模块，基本信息功能模块可新增、编辑、删除考生信息，批量导入考生信息并自动排除重复考生；考试管理功能模块要求至少包含题目模块、题库信息、试卷管理、考试监控以及阅卷及成绩等5个子功能模块；题库信息功能模块要求至少可支持单选、多选、判断、填空、简答、论述等题型，其中简答和论述题型支持手动评分，</w:t>
            </w:r>
            <w:r>
              <w:rPr>
                <w:rFonts w:hint="eastAsia" w:ascii="宋体" w:hAnsi="宋体" w:eastAsia="宋体" w:cs="宋体"/>
                <w:sz w:val="24"/>
                <w:szCs w:val="24"/>
              </w:rPr>
              <w:t>题库支持批量导入。</w:t>
            </w:r>
          </w:p>
          <w:p>
            <w:pPr>
              <w:adjustRightInd/>
              <w:snapToGrid/>
              <w:spacing w:line="360" w:lineRule="auto"/>
              <w:ind w:firstLine="0" w:firstLineChars="0"/>
              <w:jc w:val="both"/>
              <w:rPr>
                <w:rFonts w:hint="eastAsia" w:ascii="宋体" w:hAnsi="宋体" w:eastAsia="宋体" w:cs="宋体"/>
                <w:sz w:val="24"/>
                <w:szCs w:val="24"/>
              </w:rPr>
            </w:pPr>
            <w:r>
              <w:rPr>
                <w:rFonts w:hint="eastAsia" w:ascii="宋体" w:hAnsi="宋体" w:eastAsia="宋体" w:cs="宋体"/>
                <w:b/>
                <w:bCs/>
                <w:color w:val="000000"/>
                <w:sz w:val="24"/>
                <w:szCs w:val="24"/>
              </w:rPr>
              <w:t>注：投标人每完整演示一条演示要点，得1分，本项共2分</w:t>
            </w:r>
            <w:r>
              <w:rPr>
                <w:rFonts w:hint="eastAsia" w:ascii="宋体" w:hAnsi="宋体" w:cs="宋体"/>
                <w:b/>
                <w:bCs/>
                <w:color w:val="000000"/>
                <w:sz w:val="24"/>
                <w:szCs w:val="24"/>
                <w:lang w:eastAsia="zh-CN"/>
              </w:rPr>
              <w:t>。</w:t>
            </w:r>
            <w:r>
              <w:rPr>
                <w:rFonts w:hint="eastAsia" w:ascii="宋体" w:hAnsi="宋体" w:cs="宋体"/>
                <w:b/>
                <w:bCs/>
                <w:sz w:val="24"/>
              </w:rPr>
              <w:t>现场演示顺序按电子交易平台解密后自动生成的“投标（响应）文件签收登记表”名单顺序分别进行，投标人应将演示内容提前拍摄成视频并压缩加密（密码由投标人自行保管），并在投标截止时间前将加密视频文件一次性（限时内多次发送的，以最后一次为准，其余无效）发送至代理机构指定邮箱（lszzzbzx@126.com），演示开始后，代理机构向各投标人获取视频密码，未在规定时间内发送演示视频或视频无法打开的，演示不得分。</w:t>
            </w:r>
          </w:p>
        </w:tc>
        <w:tc>
          <w:tcPr>
            <w:tcW w:w="1195" w:type="dxa"/>
            <w:vMerge w:val="continue"/>
            <w:noWrap/>
            <w:vAlign w:val="center"/>
          </w:tcPr>
          <w:p>
            <w:pPr>
              <w:adjustRightInd/>
              <w:spacing w:line="36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73" w:type="dxa"/>
            <w:vMerge w:val="continue"/>
            <w:noWrap/>
            <w:vAlign w:val="center"/>
          </w:tcPr>
          <w:p>
            <w:pPr>
              <w:adjustRightInd/>
              <w:snapToGrid/>
              <w:spacing w:line="360" w:lineRule="auto"/>
              <w:ind w:firstLine="0" w:firstLineChars="0"/>
              <w:jc w:val="center"/>
              <w:rPr>
                <w:rFonts w:hint="eastAsia" w:ascii="宋体" w:hAnsi="宋体" w:eastAsia="宋体" w:cs="宋体"/>
                <w:bCs/>
                <w:sz w:val="24"/>
                <w:szCs w:val="24"/>
              </w:rPr>
            </w:pPr>
          </w:p>
        </w:tc>
        <w:tc>
          <w:tcPr>
            <w:tcW w:w="1395" w:type="dxa"/>
            <w:vMerge w:val="continue"/>
            <w:noWrap/>
            <w:vAlign w:val="center"/>
          </w:tcPr>
          <w:p>
            <w:pPr>
              <w:adjustRightInd/>
              <w:snapToGrid/>
              <w:spacing w:line="360" w:lineRule="auto"/>
              <w:ind w:firstLine="0" w:firstLineChars="0"/>
              <w:jc w:val="center"/>
              <w:rPr>
                <w:rFonts w:hint="eastAsia" w:ascii="宋体" w:hAnsi="宋体" w:eastAsia="宋体" w:cs="宋体"/>
                <w:sz w:val="24"/>
                <w:szCs w:val="24"/>
              </w:rPr>
            </w:pPr>
          </w:p>
        </w:tc>
        <w:tc>
          <w:tcPr>
            <w:tcW w:w="6200" w:type="dxa"/>
            <w:noWrap/>
            <w:vAlign w:val="center"/>
          </w:tcPr>
          <w:p>
            <w:pPr>
              <w:adjustRightInd/>
              <w:snapToGrid/>
              <w:spacing w:line="360" w:lineRule="auto"/>
              <w:ind w:firstLine="0" w:firstLineChars="0"/>
              <w:jc w:val="both"/>
              <w:rPr>
                <w:rFonts w:hint="eastAsia"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.6智能制造装备技术专业核心课程演示要点：</w:t>
            </w:r>
          </w:p>
          <w:p>
            <w:pPr>
              <w:adjustRightInd/>
              <w:snapToGrid/>
              <w:spacing w:line="360" w:lineRule="auto"/>
              <w:ind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1）《智能制造技术》PPT课件不少于22个，视频不少于15个；《智能设备故障诊断与维修》PPT课件不少于29个，视频不少于29个；《电机与电气控制技术》PPT课件不少于不少于44个，视频不少于30个；《机床调试与维护》PPT课件不少于不少于27个，视频不少于29个；以上课程演示内容与要求课程目录内容相匹配。</w:t>
            </w:r>
          </w:p>
          <w:p>
            <w:pPr>
              <w:adjustRightInd/>
              <w:snapToGrid/>
              <w:spacing w:line="360" w:lineRule="auto"/>
              <w:ind w:firstLine="0" w:firstLineChars="0"/>
              <w:jc w:val="both"/>
              <w:rPr>
                <w:rFonts w:hint="eastAsia" w:ascii="宋体" w:hAnsi="宋体" w:eastAsia="宋体" w:cs="宋体"/>
                <w:sz w:val="24"/>
                <w:szCs w:val="24"/>
              </w:rPr>
            </w:pPr>
            <w:r>
              <w:rPr>
                <w:rFonts w:hint="eastAsia" w:ascii="宋体" w:hAnsi="宋体" w:eastAsia="宋体" w:cs="宋体"/>
                <w:b/>
                <w:bCs/>
                <w:color w:val="000000"/>
                <w:sz w:val="24"/>
                <w:szCs w:val="24"/>
              </w:rPr>
              <w:t>注：投标人每完整演示一条演示要点，得1分，本项共1分。</w:t>
            </w:r>
            <w:r>
              <w:rPr>
                <w:rFonts w:hint="eastAsia" w:ascii="宋体" w:hAnsi="宋体" w:cs="宋体"/>
                <w:b/>
                <w:bCs/>
                <w:sz w:val="24"/>
              </w:rPr>
              <w:t>现场演示顺序按电子交易平台解密后自动生成的“投标（响应）文件签收登记表”名单顺序分别进行，投标人应将演示内容提前拍摄成视频并压缩加密（密码由投标人自行保管），并在投标截止时间前将加密视频文件一次性（限时内多次发送的，以最后一次为准，其余无效）发送至代理机构指定邮箱（lszzzbzx@126.com），演示开始后，代理机构向各投标人获取视频密码，未在规定时间内发送演示视频或视频无法打开的，演示不得分。</w:t>
            </w:r>
          </w:p>
        </w:tc>
        <w:tc>
          <w:tcPr>
            <w:tcW w:w="1195" w:type="dxa"/>
            <w:vMerge w:val="continue"/>
            <w:noWrap/>
            <w:vAlign w:val="center"/>
          </w:tcPr>
          <w:p>
            <w:pPr>
              <w:adjustRightInd/>
              <w:spacing w:line="36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73" w:type="dxa"/>
            <w:vMerge w:val="continue"/>
            <w:noWrap/>
            <w:vAlign w:val="center"/>
          </w:tcPr>
          <w:p>
            <w:pPr>
              <w:adjustRightInd/>
              <w:snapToGrid/>
              <w:spacing w:line="360" w:lineRule="auto"/>
              <w:ind w:firstLine="0" w:firstLineChars="0"/>
              <w:jc w:val="center"/>
              <w:rPr>
                <w:rFonts w:hint="eastAsia" w:ascii="宋体" w:hAnsi="宋体" w:eastAsia="宋体" w:cs="宋体"/>
                <w:bCs/>
                <w:sz w:val="24"/>
                <w:szCs w:val="24"/>
              </w:rPr>
            </w:pPr>
          </w:p>
        </w:tc>
        <w:tc>
          <w:tcPr>
            <w:tcW w:w="1395" w:type="dxa"/>
            <w:vMerge w:val="continue"/>
            <w:noWrap/>
            <w:vAlign w:val="center"/>
          </w:tcPr>
          <w:p>
            <w:pPr>
              <w:adjustRightInd/>
              <w:snapToGrid/>
              <w:spacing w:line="360" w:lineRule="auto"/>
              <w:ind w:firstLine="0" w:firstLineChars="0"/>
              <w:jc w:val="center"/>
              <w:rPr>
                <w:rFonts w:hint="eastAsia" w:ascii="宋体" w:hAnsi="宋体" w:eastAsia="宋体" w:cs="宋体"/>
                <w:sz w:val="24"/>
                <w:szCs w:val="24"/>
              </w:rPr>
            </w:pPr>
          </w:p>
        </w:tc>
        <w:tc>
          <w:tcPr>
            <w:tcW w:w="6200" w:type="dxa"/>
            <w:noWrap/>
            <w:vAlign w:val="center"/>
          </w:tcPr>
          <w:p>
            <w:pPr>
              <w:adjustRightInd/>
              <w:snapToGrid/>
              <w:spacing w:line="360" w:lineRule="auto"/>
              <w:ind w:firstLine="0" w:firstLineChars="0"/>
              <w:jc w:val="both"/>
              <w:rPr>
                <w:rFonts w:hint="eastAsia"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.7在线监控与检测平台演示要点：</w:t>
            </w:r>
          </w:p>
          <w:p>
            <w:pPr>
              <w:adjustRightInd/>
              <w:snapToGrid/>
              <w:spacing w:line="36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1）具备实时呈现功能：按照机床所在区域，实时了解各机床运行、空闲、设定、停机、离线等5种不同状态；</w:t>
            </w:r>
          </w:p>
          <w:p>
            <w:pPr>
              <w:adjustRightInd/>
              <w:snapToGrid/>
              <w:spacing w:line="36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2）具备机床状态、程序对应产品产量、设备产量等统计分析功能，并能以图表形式展示，能够查看设备过程参数、利用率、效率趋势、状态用时记录分析功能、机场定位等；</w:t>
            </w:r>
          </w:p>
          <w:p>
            <w:pPr>
              <w:adjustRightInd/>
              <w:snapToGrid/>
              <w:spacing w:line="36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3）查看设备过程参数：操作模式、进给倍率、主轴参数（负载、倍率、转速）、XYZ伺服轴参数（速度， 负载/功率）；设备实时参数以表格形式展示，导出记录报表，使用户了解生产过程中的实际加工工艺参数，根据采集到的参数信息生成相关数据报表，使用户了解生产过程数据是否合理，如进给倍率，可以快速导出历史加工过程中的实际进给倍率，了解产品是否以100%倍率进行量产。</w:t>
            </w:r>
          </w:p>
          <w:p>
            <w:pPr>
              <w:adjustRightInd/>
              <w:snapToGrid/>
              <w:spacing w:line="360" w:lineRule="auto"/>
              <w:ind w:firstLine="0" w:firstLineChars="0"/>
              <w:jc w:val="both"/>
              <w:rPr>
                <w:rFonts w:hint="eastAsia" w:ascii="宋体" w:hAnsi="宋体" w:eastAsia="宋体" w:cs="宋体"/>
                <w:sz w:val="24"/>
                <w:szCs w:val="24"/>
              </w:rPr>
            </w:pPr>
            <w:r>
              <w:rPr>
                <w:rFonts w:hint="eastAsia" w:ascii="宋体" w:hAnsi="宋体" w:eastAsia="宋体" w:cs="宋体"/>
                <w:b/>
                <w:bCs/>
                <w:color w:val="000000"/>
                <w:sz w:val="24"/>
                <w:szCs w:val="24"/>
              </w:rPr>
              <w:t>注：投标人每完整演示一条演示要点，得1分，本项共3分。</w:t>
            </w:r>
            <w:r>
              <w:rPr>
                <w:rFonts w:hint="eastAsia" w:ascii="宋体" w:hAnsi="宋体" w:cs="宋体"/>
                <w:b/>
                <w:bCs/>
                <w:sz w:val="24"/>
              </w:rPr>
              <w:t>现场演示顺序按电子交易平台解密后自动生成的“投标（响应）文件签收登记表”名单顺序分别进行，投标人应将演示内容提前拍摄成视频并压缩加密（密码由投标人自行保管），并在投标截止时间前将加密视频文件一次性（限时内多次发送的，以最后一次为准，其余无效）发送至代理机构指定邮箱（lszzzbzx@126.com），演示开始后，代理机构向各投标人获取视频密码，未在规定时间内发送演示视频或视频无法打开的，演示不得分。</w:t>
            </w:r>
          </w:p>
        </w:tc>
        <w:tc>
          <w:tcPr>
            <w:tcW w:w="1195" w:type="dxa"/>
            <w:vMerge w:val="continue"/>
            <w:noWrap/>
            <w:vAlign w:val="center"/>
          </w:tcPr>
          <w:p>
            <w:pPr>
              <w:adjustRightInd/>
              <w:spacing w:line="36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73" w:type="dxa"/>
            <w:vMerge w:val="restart"/>
            <w:noWrap/>
            <w:vAlign w:val="center"/>
          </w:tcPr>
          <w:p>
            <w:pPr>
              <w:adjustRightInd/>
              <w:snapToGrid/>
              <w:spacing w:line="360" w:lineRule="auto"/>
              <w:ind w:firstLine="0" w:firstLineChars="0"/>
              <w:jc w:val="center"/>
              <w:rPr>
                <w:rFonts w:hint="eastAsia" w:ascii="宋体" w:hAnsi="宋体" w:eastAsia="宋体" w:cs="宋体"/>
                <w:bCs/>
                <w:sz w:val="24"/>
                <w:szCs w:val="24"/>
                <w:lang w:eastAsia="zh-CN"/>
              </w:rPr>
            </w:pPr>
            <w:r>
              <w:rPr>
                <w:rFonts w:hint="eastAsia" w:ascii="宋体" w:hAnsi="宋体" w:cs="宋体"/>
                <w:sz w:val="24"/>
                <w:szCs w:val="24"/>
                <w:lang w:val="en-US" w:eastAsia="zh-CN"/>
              </w:rPr>
              <w:t>6</w:t>
            </w:r>
          </w:p>
        </w:tc>
        <w:tc>
          <w:tcPr>
            <w:tcW w:w="1395" w:type="dxa"/>
            <w:vMerge w:val="restart"/>
            <w:noWrap/>
            <w:vAlign w:val="center"/>
          </w:tcPr>
          <w:p>
            <w:pPr>
              <w:adjustRightInd/>
              <w:snapToGrid/>
              <w:spacing w:line="360" w:lineRule="auto"/>
              <w:ind w:firstLine="0" w:firstLineChars="0"/>
              <w:jc w:val="center"/>
              <w:rPr>
                <w:rFonts w:ascii="宋体" w:hAnsi="宋体" w:cs="宋体"/>
                <w:sz w:val="24"/>
                <w:szCs w:val="24"/>
              </w:rPr>
            </w:pPr>
            <w:r>
              <w:rPr>
                <w:rFonts w:hint="eastAsia" w:ascii="宋体" w:hAnsi="宋体" w:eastAsia="宋体" w:cs="宋体"/>
                <w:bCs/>
                <w:color w:val="000000"/>
                <w:sz w:val="24"/>
                <w:szCs w:val="24"/>
              </w:rPr>
              <w:t>售后服务(6分)</w:t>
            </w:r>
          </w:p>
        </w:tc>
        <w:tc>
          <w:tcPr>
            <w:tcW w:w="6200" w:type="dxa"/>
            <w:noWrap/>
            <w:vAlign w:val="center"/>
          </w:tcPr>
          <w:p>
            <w:pPr>
              <w:adjustRightInd/>
              <w:snapToGrid/>
              <w:spacing w:line="360" w:lineRule="auto"/>
              <w:ind w:firstLine="0" w:firstLineChars="0"/>
              <w:rPr>
                <w:rFonts w:ascii="宋体" w:hAnsi="宋体" w:cs="宋体"/>
                <w:sz w:val="24"/>
                <w:szCs w:val="24"/>
              </w:rPr>
            </w:pPr>
            <w:r>
              <w:rPr>
                <w:rFonts w:hint="eastAsia" w:ascii="宋体" w:hAnsi="宋体" w:eastAsia="宋体" w:cs="宋体"/>
                <w:bCs/>
                <w:color w:val="000000"/>
                <w:sz w:val="24"/>
                <w:szCs w:val="24"/>
              </w:rPr>
              <w:t>软件及课程资源3年内免费升级。</w:t>
            </w:r>
            <w:r>
              <w:rPr>
                <w:rFonts w:hint="eastAsia" w:ascii="宋体" w:hAnsi="宋体" w:eastAsia="宋体" w:cs="宋体"/>
                <w:bCs/>
                <w:color w:val="000000"/>
                <w:sz w:val="24"/>
                <w:szCs w:val="24"/>
                <w:lang w:val="en-US" w:eastAsia="zh-CN"/>
              </w:rPr>
              <w:t>在</w:t>
            </w:r>
            <w:r>
              <w:rPr>
                <w:rFonts w:hint="eastAsia" w:ascii="宋体" w:hAnsi="宋体" w:eastAsia="宋体" w:cs="宋体"/>
                <w:bCs/>
                <w:color w:val="000000"/>
                <w:sz w:val="24"/>
                <w:szCs w:val="24"/>
              </w:rPr>
              <w:t>满足条件</w:t>
            </w:r>
            <w:r>
              <w:rPr>
                <w:rFonts w:hint="eastAsia" w:ascii="宋体" w:hAnsi="宋体" w:eastAsia="宋体" w:cs="宋体"/>
                <w:bCs/>
                <w:color w:val="000000"/>
                <w:sz w:val="24"/>
                <w:szCs w:val="24"/>
                <w:lang w:val="en-US" w:eastAsia="zh-CN"/>
              </w:rPr>
              <w:t>的基础上</w:t>
            </w:r>
            <w:r>
              <w:rPr>
                <w:rFonts w:hint="eastAsia" w:ascii="宋体" w:hAnsi="宋体" w:eastAsia="宋体" w:cs="宋体"/>
                <w:bCs/>
                <w:color w:val="000000"/>
                <w:sz w:val="24"/>
                <w:szCs w:val="24"/>
              </w:rPr>
              <w:t>，免费服务期每增加1年，得1分，本项最多得3分。</w:t>
            </w:r>
            <w:r>
              <w:rPr>
                <w:rFonts w:hint="eastAsia" w:ascii="宋体" w:hAnsi="宋体" w:eastAsia="宋体" w:cs="宋体"/>
                <w:b/>
                <w:color w:val="000000"/>
                <w:sz w:val="24"/>
                <w:szCs w:val="24"/>
              </w:rPr>
              <w:t>注：需提供</w:t>
            </w:r>
            <w:r>
              <w:rPr>
                <w:rFonts w:hint="eastAsia" w:ascii="宋体" w:hAnsi="宋体" w:cs="宋体"/>
                <w:b/>
                <w:color w:val="000000"/>
                <w:sz w:val="24"/>
                <w:szCs w:val="24"/>
                <w:lang w:val="en-US" w:eastAsia="zh-CN"/>
              </w:rPr>
              <w:t>免费服务期</w:t>
            </w:r>
            <w:r>
              <w:rPr>
                <w:rFonts w:hint="eastAsia" w:ascii="宋体" w:hAnsi="宋体" w:eastAsia="宋体" w:cs="宋体"/>
                <w:b/>
                <w:color w:val="000000"/>
                <w:sz w:val="24"/>
                <w:szCs w:val="24"/>
              </w:rPr>
              <w:t>承诺函(格式自拟)并加盖投标人公章附入资信商务及技术文件，否则不得分。</w:t>
            </w:r>
          </w:p>
        </w:tc>
        <w:tc>
          <w:tcPr>
            <w:tcW w:w="1195" w:type="dxa"/>
            <w:noWrap/>
            <w:vAlign w:val="center"/>
          </w:tcPr>
          <w:p>
            <w:pPr>
              <w:adjustRightInd/>
              <w:snapToGrid/>
              <w:spacing w:line="360" w:lineRule="auto"/>
              <w:ind w:firstLine="0" w:firstLineChars="0"/>
              <w:jc w:val="center"/>
              <w:rPr>
                <w:rFonts w:ascii="宋体" w:hAnsi="宋体" w:cs="宋体"/>
                <w:sz w:val="24"/>
                <w:szCs w:val="24"/>
              </w:rPr>
            </w:pPr>
            <w:r>
              <w:rPr>
                <w:rFonts w:hint="eastAsia" w:ascii="宋体" w:hAnsi="宋体" w:eastAsia="宋体" w:cs="宋体"/>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73" w:type="dxa"/>
            <w:vMerge w:val="continue"/>
            <w:noWrap/>
            <w:vAlign w:val="center"/>
          </w:tcPr>
          <w:p>
            <w:pPr>
              <w:adjustRightInd/>
              <w:snapToGrid/>
              <w:spacing w:line="360" w:lineRule="auto"/>
              <w:ind w:firstLine="0" w:firstLineChars="0"/>
              <w:jc w:val="center"/>
              <w:rPr>
                <w:rFonts w:hint="eastAsia" w:ascii="宋体" w:hAnsi="宋体" w:cs="宋体"/>
                <w:sz w:val="24"/>
                <w:szCs w:val="24"/>
              </w:rPr>
            </w:pPr>
          </w:p>
        </w:tc>
        <w:tc>
          <w:tcPr>
            <w:tcW w:w="1395" w:type="dxa"/>
            <w:vMerge w:val="continue"/>
            <w:noWrap/>
            <w:vAlign w:val="center"/>
          </w:tcPr>
          <w:p>
            <w:pPr>
              <w:adjustRightInd/>
              <w:snapToGrid/>
              <w:spacing w:line="360" w:lineRule="auto"/>
              <w:ind w:firstLine="0" w:firstLineChars="0"/>
              <w:jc w:val="center"/>
              <w:rPr>
                <w:rFonts w:hint="eastAsia" w:ascii="宋体" w:hAnsi="宋体" w:cs="宋体"/>
                <w:sz w:val="24"/>
                <w:szCs w:val="24"/>
              </w:rPr>
            </w:pPr>
          </w:p>
        </w:tc>
        <w:tc>
          <w:tcPr>
            <w:tcW w:w="6200" w:type="dxa"/>
            <w:noWrap/>
            <w:vAlign w:val="center"/>
          </w:tcPr>
          <w:p>
            <w:pPr>
              <w:adjustRightInd/>
              <w:snapToGrid/>
              <w:spacing w:line="360" w:lineRule="auto"/>
              <w:ind w:firstLine="0" w:firstLineChars="0"/>
              <w:rPr>
                <w:rFonts w:hint="eastAsia" w:ascii="宋体" w:hAnsi="宋体" w:cs="宋体"/>
                <w:b/>
                <w:bCs/>
                <w:sz w:val="24"/>
                <w:szCs w:val="24"/>
              </w:rPr>
            </w:pPr>
            <w:r>
              <w:rPr>
                <w:rFonts w:hint="eastAsia" w:ascii="宋体" w:hAnsi="宋体" w:eastAsia="宋体" w:cs="宋体"/>
                <w:bCs/>
                <w:sz w:val="24"/>
                <w:szCs w:val="24"/>
              </w:rPr>
              <w:t>服务方案：根据投标人服务能力、人员配备、日常运维、售后服务响应时间、备品备件等,</w:t>
            </w:r>
            <w:r>
              <w:rPr>
                <w:rFonts w:hint="eastAsia" w:ascii="宋体" w:hAnsi="宋体" w:eastAsia="宋体" w:cs="宋体"/>
                <w:sz w:val="24"/>
                <w:szCs w:val="24"/>
              </w:rPr>
              <w:t>由评委在分值范围内进行打分</w:t>
            </w:r>
            <w:r>
              <w:rPr>
                <w:rFonts w:hint="eastAsia" w:ascii="宋体" w:hAnsi="宋体" w:eastAsia="宋体" w:cs="宋体"/>
                <w:bCs/>
                <w:sz w:val="24"/>
                <w:szCs w:val="24"/>
              </w:rPr>
              <w:t>。</w:t>
            </w:r>
          </w:p>
        </w:tc>
        <w:tc>
          <w:tcPr>
            <w:tcW w:w="1195" w:type="dxa"/>
            <w:noWrap/>
            <w:vAlign w:val="center"/>
          </w:tcPr>
          <w:p>
            <w:pPr>
              <w:adjustRightInd/>
              <w:snapToGrid/>
              <w:spacing w:line="360" w:lineRule="auto"/>
              <w:ind w:firstLine="0" w:firstLineChars="0"/>
              <w:jc w:val="center"/>
              <w:rPr>
                <w:rFonts w:hint="eastAsia" w:ascii="宋体" w:hAnsi="宋体" w:cs="宋体"/>
                <w:sz w:val="24"/>
                <w:szCs w:val="24"/>
              </w:rPr>
            </w:pPr>
            <w:r>
              <w:rPr>
                <w:rFonts w:hint="eastAsia" w:ascii="宋体" w:hAnsi="宋体" w:eastAsia="宋体" w:cs="宋体"/>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73" w:type="dxa"/>
            <w:noWrap/>
            <w:vAlign w:val="center"/>
          </w:tcPr>
          <w:p>
            <w:pPr>
              <w:adjustRightInd/>
              <w:snapToGrid/>
              <w:spacing w:line="360" w:lineRule="auto"/>
              <w:ind w:firstLine="0" w:firstLineChars="0"/>
              <w:jc w:val="center"/>
              <w:rPr>
                <w:rFonts w:hint="eastAsia" w:ascii="宋体" w:hAnsi="宋体" w:eastAsia="宋体" w:cs="宋体"/>
                <w:bCs/>
                <w:sz w:val="24"/>
                <w:szCs w:val="24"/>
                <w:lang w:eastAsia="zh-CN"/>
              </w:rPr>
            </w:pPr>
            <w:r>
              <w:rPr>
                <w:rFonts w:hint="eastAsia" w:ascii="宋体" w:hAnsi="宋体" w:cs="宋体"/>
                <w:sz w:val="24"/>
                <w:szCs w:val="24"/>
                <w:lang w:val="en-US" w:eastAsia="zh-CN"/>
              </w:rPr>
              <w:t>7</w:t>
            </w:r>
          </w:p>
        </w:tc>
        <w:tc>
          <w:tcPr>
            <w:tcW w:w="1395" w:type="dxa"/>
            <w:noWrap/>
            <w:vAlign w:val="center"/>
          </w:tcPr>
          <w:p>
            <w:pPr>
              <w:adjustRightInd/>
              <w:snapToGrid/>
              <w:spacing w:line="360" w:lineRule="auto"/>
              <w:ind w:firstLine="0" w:firstLineChars="0"/>
              <w:jc w:val="center"/>
              <w:rPr>
                <w:rFonts w:ascii="宋体" w:hAnsi="宋体" w:cs="宋体"/>
                <w:sz w:val="24"/>
                <w:szCs w:val="24"/>
              </w:rPr>
            </w:pPr>
            <w:r>
              <w:rPr>
                <w:rFonts w:hint="eastAsia" w:ascii="宋体" w:hAnsi="宋体" w:eastAsia="宋体" w:cs="宋体"/>
                <w:sz w:val="24"/>
                <w:szCs w:val="24"/>
              </w:rPr>
              <w:t>项目团队能力（</w:t>
            </w:r>
            <w:r>
              <w:rPr>
                <w:rFonts w:hint="eastAsia" w:ascii="宋体" w:hAnsi="宋体" w:cs="宋体"/>
                <w:sz w:val="24"/>
                <w:szCs w:val="24"/>
                <w:lang w:val="en-US" w:eastAsia="zh-CN"/>
              </w:rPr>
              <w:t>4</w:t>
            </w:r>
            <w:r>
              <w:rPr>
                <w:rFonts w:hint="eastAsia" w:ascii="宋体" w:hAnsi="宋体" w:eastAsia="宋体" w:cs="宋体"/>
                <w:sz w:val="24"/>
                <w:szCs w:val="24"/>
              </w:rPr>
              <w:t>分）</w:t>
            </w:r>
          </w:p>
        </w:tc>
        <w:tc>
          <w:tcPr>
            <w:tcW w:w="6200" w:type="dxa"/>
            <w:noWrap/>
            <w:vAlign w:val="center"/>
          </w:tcPr>
          <w:p>
            <w:pPr>
              <w:adjustRightInd/>
              <w:snapToGrid/>
              <w:spacing w:line="360" w:lineRule="auto"/>
              <w:ind w:firstLine="0" w:firstLineChars="0"/>
              <w:jc w:val="both"/>
              <w:rPr>
                <w:rFonts w:ascii="宋体" w:hAnsi="宋体" w:cs="宋体"/>
                <w:sz w:val="24"/>
                <w:szCs w:val="24"/>
              </w:rPr>
            </w:pPr>
            <w:r>
              <w:rPr>
                <w:rFonts w:hint="eastAsia" w:ascii="宋体" w:hAnsi="宋体" w:eastAsia="宋体" w:cs="宋体"/>
                <w:sz w:val="24"/>
                <w:szCs w:val="24"/>
              </w:rPr>
              <w:t>根据投标人针对本项目提出的拟派项目实施团队情况，包括拟派项目实施团队配置的人员数量、人员专业水平、类似工作经验、分工情况等，由评委在分值范围内进行打分。</w:t>
            </w:r>
            <w:r>
              <w:rPr>
                <w:rFonts w:hint="eastAsia" w:ascii="宋体" w:hAnsi="宋体" w:eastAsia="宋体" w:cs="宋体"/>
                <w:b/>
                <w:bCs/>
                <w:sz w:val="24"/>
                <w:szCs w:val="24"/>
              </w:rPr>
              <w:t>注：需提供将有效证书及拟派人员为投标人本单位全职员工的承诺函（格式自拟）</w:t>
            </w:r>
            <w:r>
              <w:rPr>
                <w:rFonts w:hint="eastAsia" w:ascii="宋体" w:hAnsi="宋体" w:eastAsia="宋体" w:cs="宋体"/>
                <w:b/>
                <w:sz w:val="24"/>
                <w:szCs w:val="24"/>
              </w:rPr>
              <w:t>扫描件加盖公章导入资信商务及技术文件中，否则不得分。</w:t>
            </w:r>
          </w:p>
        </w:tc>
        <w:tc>
          <w:tcPr>
            <w:tcW w:w="1195" w:type="dxa"/>
            <w:noWrap/>
            <w:vAlign w:val="center"/>
          </w:tcPr>
          <w:p>
            <w:pPr>
              <w:adjustRightInd/>
              <w:snapToGrid/>
              <w:spacing w:line="360" w:lineRule="auto"/>
              <w:ind w:firstLine="0" w:firstLineChars="0"/>
              <w:jc w:val="center"/>
              <w:rPr>
                <w:rFonts w:ascii="宋体" w:hAnsi="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4</w:t>
            </w:r>
            <w:r>
              <w:rPr>
                <w:rFonts w:hint="eastAsia" w:ascii="宋体" w:hAnsi="宋体" w:eastAsia="宋体" w:cs="宋体"/>
                <w:sz w:val="24"/>
                <w:szCs w:val="24"/>
              </w:rPr>
              <w:t>分</w:t>
            </w:r>
          </w:p>
        </w:tc>
      </w:tr>
    </w:tbl>
    <w:p>
      <w:pPr>
        <w:pStyle w:val="5"/>
        <w:spacing w:line="360" w:lineRule="auto"/>
        <w:rPr>
          <w:rFonts w:ascii="宋体" w:hAnsi="宋体"/>
        </w:rPr>
      </w:pPr>
    </w:p>
    <w:p>
      <w:pPr>
        <w:spacing w:line="360" w:lineRule="auto"/>
        <w:ind w:firstLine="482" w:firstLineChars="200"/>
        <w:jc w:val="left"/>
        <w:rPr>
          <w:rFonts w:ascii="宋体" w:hAnsi="宋体"/>
          <w:b/>
          <w:sz w:val="24"/>
        </w:rPr>
      </w:pPr>
      <w:r>
        <w:rPr>
          <w:rFonts w:hint="eastAsia" w:ascii="宋体" w:hAnsi="宋体"/>
          <w:b/>
          <w:sz w:val="24"/>
        </w:rPr>
        <w:t>5.2报价分值为</w:t>
      </w:r>
      <w:r>
        <w:rPr>
          <w:rFonts w:hint="eastAsia" w:ascii="宋体" w:hAnsi="宋体"/>
          <w:b/>
          <w:sz w:val="24"/>
          <w:lang w:val="en-US" w:eastAsia="zh-CN"/>
        </w:rPr>
        <w:t>30</w:t>
      </w:r>
      <w:r>
        <w:rPr>
          <w:rFonts w:hint="eastAsia" w:ascii="宋体" w:hAnsi="宋体"/>
          <w:b/>
          <w:sz w:val="24"/>
        </w:rPr>
        <w:t>分，权重为</w:t>
      </w:r>
      <w:r>
        <w:rPr>
          <w:rFonts w:hint="eastAsia" w:ascii="宋体" w:hAnsi="宋体"/>
          <w:b/>
          <w:sz w:val="24"/>
          <w:lang w:val="en-US" w:eastAsia="zh-CN"/>
        </w:rPr>
        <w:t>30</w:t>
      </w:r>
      <w:r>
        <w:rPr>
          <w:rFonts w:hint="eastAsia" w:ascii="宋体" w:hAnsi="宋体"/>
          <w:b/>
          <w:sz w:val="24"/>
        </w:rPr>
        <w:t>%，由评审委员会根据以下内容统一打分：</w:t>
      </w:r>
    </w:p>
    <w:p>
      <w:pPr>
        <w:spacing w:line="360" w:lineRule="auto"/>
        <w:ind w:firstLine="480" w:firstLineChars="200"/>
        <w:rPr>
          <w:rFonts w:ascii="宋体" w:hAnsi="宋体"/>
          <w:sz w:val="24"/>
        </w:rPr>
      </w:pPr>
      <w:r>
        <w:rPr>
          <w:rFonts w:hint="eastAsia" w:ascii="宋体" w:hAnsi="宋体"/>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pPr>
        <w:spacing w:line="360" w:lineRule="auto"/>
        <w:ind w:firstLine="480" w:firstLineChars="200"/>
        <w:rPr>
          <w:rFonts w:ascii="宋体" w:hAnsi="宋体"/>
          <w:sz w:val="24"/>
        </w:rPr>
      </w:pPr>
      <w:bookmarkStart w:id="409" w:name="EB217c00f118724f6bb5745c5cec252819"/>
      <w:r>
        <w:rPr>
          <w:rFonts w:hint="eastAsia" w:ascii="宋体" w:hAnsi="宋体"/>
          <w:sz w:val="24"/>
        </w:rPr>
        <w:t>5.2.2投标报价高于最高</w:t>
      </w:r>
      <w:r>
        <w:rPr>
          <w:rFonts w:ascii="宋体" w:hAnsi="宋体"/>
          <w:sz w:val="24"/>
        </w:rPr>
        <w:t>限价</w:t>
      </w:r>
      <w:r>
        <w:rPr>
          <w:rFonts w:hint="eastAsia" w:ascii="宋体" w:hAnsi="宋体"/>
          <w:sz w:val="24"/>
        </w:rPr>
        <w:t>的作投标文件无效处理。</w:t>
      </w:r>
    </w:p>
    <w:bookmarkEnd w:id="409"/>
    <w:p>
      <w:pPr>
        <w:spacing w:line="360" w:lineRule="auto"/>
        <w:ind w:firstLine="482" w:firstLineChars="200"/>
        <w:rPr>
          <w:rFonts w:ascii="宋体" w:hAnsi="宋体"/>
          <w:b/>
          <w:sz w:val="24"/>
        </w:rPr>
      </w:pPr>
      <w:bookmarkStart w:id="410" w:name="_Toc493956082"/>
      <w:bookmarkStart w:id="411" w:name="_Toc17430"/>
      <w:bookmarkStart w:id="412" w:name="_Toc83312465"/>
      <w:bookmarkStart w:id="413" w:name="_Toc494555896"/>
      <w:bookmarkStart w:id="414" w:name="_Toc7867"/>
      <w:bookmarkStart w:id="415" w:name="_Toc20713"/>
      <w:bookmarkStart w:id="416" w:name="_Toc22097"/>
      <w:bookmarkStart w:id="417" w:name="_Toc18389"/>
      <w:bookmarkStart w:id="418" w:name="_Toc22516"/>
      <w:r>
        <w:rPr>
          <w:rFonts w:ascii="宋体" w:hAnsi="宋体"/>
          <w:b/>
          <w:sz w:val="24"/>
        </w:rPr>
        <w:t>5.</w:t>
      </w:r>
      <w:r>
        <w:rPr>
          <w:rFonts w:hint="eastAsia" w:ascii="宋体" w:hAnsi="宋体"/>
          <w:b/>
          <w:sz w:val="24"/>
        </w:rPr>
        <w:t>2.</w:t>
      </w:r>
      <w:r>
        <w:rPr>
          <w:rFonts w:hint="eastAsia" w:ascii="宋体" w:hAnsi="宋体"/>
          <w:b/>
          <w:sz w:val="24"/>
          <w:lang w:val="en-US" w:eastAsia="zh-CN"/>
        </w:rPr>
        <w:t>3</w:t>
      </w:r>
      <w:r>
        <w:rPr>
          <w:rFonts w:ascii="宋体" w:hAnsi="宋体"/>
          <w:b/>
          <w:sz w:val="24"/>
        </w:rPr>
        <w:t xml:space="preserve"> </w:t>
      </w:r>
      <w:r>
        <w:rPr>
          <w:rFonts w:hint="eastAsia" w:ascii="宋体" w:hAnsi="宋体"/>
          <w:b/>
          <w:sz w:val="24"/>
        </w:rPr>
        <w:t>报价得分</w:t>
      </w:r>
      <w:r>
        <w:rPr>
          <w:rFonts w:ascii="宋体" w:hAnsi="宋体"/>
          <w:b/>
          <w:sz w:val="24"/>
        </w:rPr>
        <w:t>按以下</w:t>
      </w:r>
      <w:r>
        <w:rPr>
          <w:rFonts w:hint="eastAsia" w:ascii="宋体" w:hAnsi="宋体"/>
          <w:b/>
          <w:sz w:val="24"/>
        </w:rPr>
        <w:t>方式</w:t>
      </w:r>
      <w:r>
        <w:rPr>
          <w:rFonts w:ascii="宋体" w:hAnsi="宋体"/>
          <w:b/>
          <w:sz w:val="24"/>
        </w:rPr>
        <w:t>计算：</w:t>
      </w:r>
    </w:p>
    <w:p>
      <w:pPr>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1 \* GB2 </w:instrText>
      </w:r>
      <w:r>
        <w:rPr>
          <w:rFonts w:hint="eastAsia" w:ascii="宋体" w:hAnsi="宋体"/>
          <w:sz w:val="24"/>
        </w:rPr>
        <w:fldChar w:fldCharType="separate"/>
      </w:r>
      <w:r>
        <w:rPr>
          <w:rFonts w:hint="eastAsia" w:ascii="宋体" w:hAnsi="宋体"/>
          <w:sz w:val="24"/>
        </w:rPr>
        <w:t>⑴</w:t>
      </w:r>
      <w:r>
        <w:rPr>
          <w:rFonts w:hint="eastAsia" w:ascii="宋体" w:hAnsi="宋体"/>
          <w:sz w:val="24"/>
        </w:rPr>
        <w:fldChar w:fldCharType="end"/>
      </w:r>
      <w:r>
        <w:rPr>
          <w:rFonts w:hint="eastAsia" w:ascii="宋体" w:hAnsi="宋体" w:cs="宋体"/>
          <w:sz w:val="24"/>
        </w:rPr>
        <w:t>小微企业、监狱企业和残疾人福利企业（统称为小微企业）报</w:t>
      </w:r>
      <w:r>
        <w:rPr>
          <w:rFonts w:hint="eastAsia" w:ascii="宋体" w:hAnsi="宋体"/>
          <w:sz w:val="24"/>
        </w:rPr>
        <w:t>价给予10%</w:t>
      </w:r>
      <w:r>
        <w:rPr>
          <w:rFonts w:hint="eastAsia" w:ascii="宋体" w:hAnsi="宋体" w:cs="宋体"/>
          <w:sz w:val="24"/>
        </w:rPr>
        <w:t>的扣除；</w:t>
      </w:r>
      <w:r>
        <w:rPr>
          <w:rFonts w:hint="eastAsia" w:ascii="宋体" w:hAnsi="宋体"/>
          <w:sz w:val="24"/>
        </w:rPr>
        <w:t>联合协议约定小微企业的合同份额占到合同总金额30%以上的，对联合体的报价给予4%的扣除；</w:t>
      </w:r>
      <w:r>
        <w:rPr>
          <w:rFonts w:hint="eastAsia" w:ascii="宋体" w:hAnsi="宋体" w:cs="宋体"/>
          <w:sz w:val="24"/>
        </w:rPr>
        <w:t>其评审价计算公式为：评审价=有效报价×（100%-10%或4%）；</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2 \* GB2 </w:instrText>
      </w:r>
      <w:r>
        <w:rPr>
          <w:rFonts w:hint="eastAsia" w:ascii="宋体" w:hAnsi="宋体"/>
          <w:sz w:val="24"/>
        </w:rPr>
        <w:fldChar w:fldCharType="separate"/>
      </w:r>
      <w:r>
        <w:rPr>
          <w:rFonts w:hint="eastAsia" w:ascii="宋体" w:hAnsi="宋体"/>
          <w:sz w:val="24"/>
        </w:rPr>
        <w:t>⑵</w:t>
      </w:r>
      <w:r>
        <w:rPr>
          <w:rFonts w:hint="eastAsia" w:ascii="宋体" w:hAnsi="宋体"/>
          <w:sz w:val="24"/>
        </w:rPr>
        <w:fldChar w:fldCharType="end"/>
      </w:r>
      <w:r>
        <w:rPr>
          <w:rFonts w:hint="eastAsia" w:ascii="宋体" w:hAnsi="宋体"/>
          <w:sz w:val="24"/>
        </w:rPr>
        <w:t>并以调整后的价格计算评标基准价和投标报价；</w:t>
      </w:r>
    </w:p>
    <w:p>
      <w:pPr>
        <w:spacing w:line="360" w:lineRule="auto"/>
        <w:ind w:firstLine="480" w:firstLineChars="200"/>
        <w:rPr>
          <w:rFonts w:hint="eastAsia" w:ascii="宋体" w:hAnsi="宋体"/>
          <w:sz w:val="24"/>
        </w:rPr>
      </w:pPr>
      <w:r>
        <w:rPr>
          <w:rFonts w:hint="eastAsia" w:ascii="宋体" w:hAnsi="宋体"/>
          <w:sz w:val="24"/>
        </w:rPr>
        <w:t>⑶评标基准价=进入报价评分的各投标人有效评标价中的</w:t>
      </w:r>
      <w:r>
        <w:rPr>
          <w:rFonts w:hint="eastAsia" w:ascii="宋体" w:hAnsi="宋体"/>
          <w:b/>
          <w:bCs/>
          <w:sz w:val="24"/>
        </w:rPr>
        <w:t>最低评标价</w:t>
      </w:r>
    </w:p>
    <w:p>
      <w:pPr>
        <w:spacing w:line="360" w:lineRule="auto"/>
        <w:ind w:firstLine="480" w:firstLineChars="200"/>
        <w:rPr>
          <w:rFonts w:hint="eastAsia" w:ascii="宋体" w:hAnsi="宋体"/>
          <w:sz w:val="24"/>
        </w:rPr>
      </w:pPr>
      <w:r>
        <w:rPr>
          <w:rFonts w:hint="eastAsia" w:ascii="宋体" w:hAnsi="宋体"/>
          <w:sz w:val="24"/>
        </w:rPr>
        <w:fldChar w:fldCharType="begin"/>
      </w:r>
      <w:r>
        <w:rPr>
          <w:rFonts w:hint="eastAsia" w:ascii="宋体" w:hAnsi="宋体"/>
          <w:sz w:val="24"/>
        </w:rPr>
        <w:instrText xml:space="preserve"> = 4 \* GB2 </w:instrText>
      </w:r>
      <w:r>
        <w:rPr>
          <w:rFonts w:hint="eastAsia" w:ascii="宋体" w:hAnsi="宋体"/>
          <w:sz w:val="24"/>
        </w:rPr>
        <w:fldChar w:fldCharType="separate"/>
      </w:r>
      <w:r>
        <w:rPr>
          <w:rFonts w:hint="eastAsia" w:ascii="宋体" w:hAnsi="宋体"/>
          <w:sz w:val="24"/>
        </w:rPr>
        <w:t>⑷</w:t>
      </w:r>
      <w:r>
        <w:rPr>
          <w:rFonts w:hint="eastAsia" w:ascii="宋体" w:hAnsi="宋体"/>
          <w:sz w:val="24"/>
        </w:rPr>
        <w:fldChar w:fldCharType="end"/>
      </w:r>
      <w:r>
        <w:rPr>
          <w:rFonts w:hint="eastAsia" w:ascii="宋体" w:hAnsi="宋体"/>
          <w:sz w:val="24"/>
        </w:rPr>
        <w:t>评标价等于评标基准价的得</w:t>
      </w:r>
      <w:r>
        <w:rPr>
          <w:rFonts w:hint="eastAsia" w:ascii="宋体" w:hAnsi="宋体"/>
          <w:sz w:val="24"/>
          <w:lang w:val="en-US" w:eastAsia="zh-CN"/>
        </w:rPr>
        <w:t>3</w:t>
      </w:r>
      <w:r>
        <w:rPr>
          <w:rFonts w:hint="eastAsia" w:ascii="宋体" w:hAnsi="宋体"/>
          <w:sz w:val="24"/>
        </w:rPr>
        <w:t>0分，其他投标人的报价得分按下列公式计算：</w:t>
      </w:r>
    </w:p>
    <w:p>
      <w:pPr>
        <w:spacing w:line="360" w:lineRule="auto"/>
        <w:ind w:firstLine="482" w:firstLineChars="200"/>
        <w:rPr>
          <w:rFonts w:ascii="宋体" w:hAnsi="宋体"/>
          <w:b/>
          <w:sz w:val="24"/>
        </w:rPr>
      </w:pPr>
      <w:r>
        <w:rPr>
          <w:rFonts w:ascii="宋体" w:hAnsi="宋体"/>
          <w:b/>
          <w:sz w:val="24"/>
        </w:rPr>
        <w:t>5</w:t>
      </w:r>
      <w:r>
        <w:rPr>
          <w:rFonts w:hint="eastAsia" w:ascii="宋体" w:hAnsi="宋体"/>
          <w:b/>
          <w:sz w:val="24"/>
        </w:rPr>
        <w:t>.3</w:t>
      </w:r>
      <w:r>
        <w:rPr>
          <w:rFonts w:ascii="宋体" w:hAnsi="宋体"/>
          <w:b/>
          <w:sz w:val="24"/>
        </w:rPr>
        <w:t xml:space="preserve"> </w:t>
      </w:r>
      <w:r>
        <w:rPr>
          <w:rFonts w:hint="eastAsia" w:ascii="宋体" w:hAnsi="宋体"/>
          <w:b/>
          <w:sz w:val="24"/>
        </w:rPr>
        <w:t>本项目最终得分=资信商务及技术得分＋报价得分</w:t>
      </w:r>
    </w:p>
    <w:p>
      <w:pPr>
        <w:pStyle w:val="4"/>
        <w:spacing w:before="240" w:after="240" w:line="360" w:lineRule="auto"/>
        <w:ind w:firstLine="0" w:firstLineChars="0"/>
        <w:rPr>
          <w:rFonts w:ascii="宋体" w:hAnsi="宋体"/>
          <w:bCs w:val="0"/>
        </w:rPr>
      </w:pPr>
      <w:r>
        <w:rPr>
          <w:rFonts w:hint="eastAsia" w:ascii="宋体" w:hAnsi="宋体"/>
          <w:bCs w:val="0"/>
        </w:rPr>
        <w:t>六  评审纪律和要求</w:t>
      </w:r>
      <w:bookmarkEnd w:id="410"/>
      <w:bookmarkEnd w:id="411"/>
      <w:bookmarkEnd w:id="412"/>
      <w:bookmarkEnd w:id="413"/>
      <w:bookmarkEnd w:id="414"/>
      <w:bookmarkEnd w:id="415"/>
      <w:bookmarkEnd w:id="416"/>
      <w:bookmarkEnd w:id="417"/>
      <w:bookmarkEnd w:id="418"/>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.1评审专家必须公平、公正评审，遵纪守法，客观、廉洁地履行职责。</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.2评审专家在评审开始前，应关闭并上交随身携带的各种通信工具。</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.3评审专家在评审过程中，未经许可不得中途离开评审现场，不得迟到早退。</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.4评审专家和工作人员不得透露评审过程中的讨论情况和评审结果。</w:t>
      </w:r>
    </w:p>
    <w:p>
      <w:pPr>
        <w:spacing w:line="360" w:lineRule="auto"/>
        <w:ind w:firstLine="480"/>
        <w:rPr>
          <w:rFonts w:ascii="宋体" w:hAnsi="宋体"/>
          <w:sz w:val="24"/>
        </w:rPr>
      </w:pPr>
      <w:r>
        <w:rPr>
          <w:rFonts w:ascii="宋体" w:hAnsi="宋体"/>
          <w:sz w:val="24"/>
        </w:rPr>
        <w:t>6</w:t>
      </w:r>
      <w:r>
        <w:rPr>
          <w:rFonts w:hint="eastAsia" w:ascii="宋体" w:hAnsi="宋体"/>
          <w:sz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.6招标人、招标代理机构不得向评审委员会的评审专家作倾向性、误导性的解释或者说明。</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7招标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spacing w:line="360" w:lineRule="auto"/>
        <w:ind w:firstLine="480" w:firstLineChars="200"/>
        <w:rPr>
          <w:rFonts w:ascii="宋体" w:hAnsi="宋体"/>
          <w:sz w:val="24"/>
        </w:rPr>
      </w:pPr>
      <w:r>
        <w:rPr>
          <w:rFonts w:ascii="宋体" w:hAnsi="宋体"/>
          <w:sz w:val="24"/>
          <w:szCs w:val="21"/>
        </w:rPr>
        <w:t>6</w:t>
      </w:r>
      <w:r>
        <w:rPr>
          <w:rFonts w:hint="eastAsia" w:ascii="宋体" w:hAnsi="宋体"/>
          <w:sz w:val="24"/>
          <w:szCs w:val="21"/>
        </w:rPr>
        <w:t>.8评审专家在评审过程中不得将自己的观点强加给其他评审专家，评审专家应自主发表见解，对评审意见承担个人责任。</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9评审结束后，评审委员会应向招标代理机构提交项目评审报告。评审报告是招标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.10评审专家应当独立、客观、公正地提出评审意见，不得带有倾向性，不得影响其他评审专家评审，并在评审报告上签字；如对评审报告有异议的，可在报告上签署不同意见，并说明理由，否则将视为同意。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.11评审专家应当遵守评审工作纪律，不得泄露评审文件、评审情况和评审中获悉的商业秘密。</w:t>
      </w:r>
    </w:p>
    <w:p>
      <w:pPr>
        <w:spacing w:line="360" w:lineRule="auto"/>
        <w:ind w:firstLine="480" w:firstLineChars="200"/>
        <w:rPr>
          <w:rFonts w:ascii="宋体" w:hAnsi="宋体"/>
          <w:sz w:val="24"/>
        </w:rPr>
      </w:pPr>
      <w:r>
        <w:rPr>
          <w:rFonts w:hint="eastAsia" w:ascii="宋体" w:hAnsi="宋体"/>
          <w:sz w:val="24"/>
        </w:rPr>
        <w:t>评审委员会在评审过程中发现投标人有行贿、提供虚假材料或者串通等违法行为的，应当及时向财政部门报告。</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.12招标文件内容违反国家有关强制性规定的，评审委员会应当停止评审并向招标代理机构说明情况。</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.13评审专家应当配合招标代理机构答复投标人提出的质疑。</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.14评审专家应当配合财政部门的投诉处理工作。</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.15评审专家有如下行为之一的，责令改正，给予警告，可以并处一千元以下的罚款：</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.15.1明知应当回避而未主动回避的；</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.15.2在知道自己为评审专家身份后至评审结束前的时段内私下接触投标人的；</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.15.3在评审过程中擅离职守，影响评审程序正常进行的；</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.15.4在评审过程有明显不合理或者不正当倾向性的；</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.15.5未按招标文件规定的评审方法和标准进行评审的。</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.15.6上述</w:t>
      </w:r>
      <w:r>
        <w:rPr>
          <w:rFonts w:ascii="宋体" w:hAnsi="宋体"/>
          <w:sz w:val="24"/>
        </w:rPr>
        <w:t>6</w:t>
      </w:r>
      <w:r>
        <w:rPr>
          <w:rFonts w:hint="eastAsia" w:ascii="宋体" w:hAnsi="宋体"/>
          <w:sz w:val="24"/>
        </w:rPr>
        <w:t>.15.1至</w:t>
      </w:r>
      <w:r>
        <w:rPr>
          <w:rFonts w:ascii="宋体" w:hAnsi="宋体"/>
          <w:sz w:val="24"/>
        </w:rPr>
        <w:t>6</w:t>
      </w:r>
      <w:r>
        <w:rPr>
          <w:rFonts w:hint="eastAsia" w:ascii="宋体" w:hAnsi="宋体"/>
          <w:sz w:val="24"/>
        </w:rPr>
        <w:t>.15.5行为影响中标结果的，中标结果无效。</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.16招标代理机构可对各评审专家的专业技术水平和职业道德素质等情况进行评价，并可将评价意见在评审结束后2个工作日内反馈给财政部门，财政部门以此作为对评审专家的考核管理依据。</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17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ind w:firstLine="480" w:firstLineChars="200"/>
        <w:rPr>
          <w:rFonts w:ascii="宋体" w:hAnsi="宋体"/>
          <w:sz w:val="24"/>
        </w:rPr>
      </w:pPr>
      <w:r>
        <w:rPr>
          <w:rFonts w:hint="eastAsia" w:ascii="宋体" w:hAnsi="宋体"/>
          <w:sz w:val="24"/>
        </w:rPr>
        <w:t>政府采购评审专家与投标人存在利害关系未回避的，处2万元以上5万元以下的罚款，禁止其参加政府采购评审活动。</w:t>
      </w:r>
    </w:p>
    <w:p>
      <w:pPr>
        <w:spacing w:line="360" w:lineRule="auto"/>
        <w:ind w:firstLine="480" w:firstLineChars="200"/>
        <w:rPr>
          <w:rFonts w:ascii="宋体" w:hAnsi="宋体"/>
          <w:sz w:val="24"/>
        </w:rPr>
      </w:pPr>
      <w:r>
        <w:rPr>
          <w:rFonts w:hint="eastAsia" w:ascii="宋体" w:hAnsi="宋体"/>
          <w:sz w:val="24"/>
        </w:rPr>
        <w:t>政府采购评审专家收受招标人、招标代理机构、投标人贿赂或者获取其他不正当利益，构成犯罪的，依法追究刑事责任；尚不构成犯罪的，处2万元以上5万元以下的罚款，禁止其参加政府采购评审活动。</w:t>
      </w:r>
    </w:p>
    <w:p>
      <w:pPr>
        <w:spacing w:line="360" w:lineRule="auto"/>
        <w:ind w:firstLine="480" w:firstLineChars="200"/>
        <w:rPr>
          <w:sz w:val="24"/>
        </w:rPr>
      </w:pPr>
      <w:r>
        <w:rPr>
          <w:rFonts w:hint="eastAsia" w:ascii="宋体" w:hAnsi="宋体"/>
          <w:sz w:val="24"/>
        </w:rPr>
        <w:t>政府采购评审专家有上述违法行为的，其评审意见无效，不得获取评审费；有违法所得的，没收违法所得；给他人造成损失的，依法承担民事责任。</w:t>
      </w: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360" w:lineRule="auto"/>
      <w:ind w:right="-210" w:rightChars="-100"/>
      <w:jc w:val="left"/>
      <w:textAlignment w:val="bottom"/>
      <w:outlineLvl w:val="0"/>
      <w:rPr>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970"/>
      </w:tabs>
      <w:autoSpaceDE w:val="0"/>
      <w:autoSpaceDN w:val="0"/>
      <w:spacing w:line="360" w:lineRule="auto"/>
      <w:ind w:right="-210" w:rightChars="-100"/>
      <w:jc w:val="left"/>
      <w:textAlignment w:val="bottom"/>
      <w:outlineLvl w:val="0"/>
      <w:rPr>
        <w:rFonts w:hint="default" w:eastAsia="宋体"/>
        <w:sz w:val="18"/>
        <w:szCs w:val="18"/>
        <w:u w:val="single"/>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u w:val="single"/>
        <w:lang w:eastAsia="zh-CN"/>
      </w:rPr>
      <w:t>丽水职业技术学院数字化仿真基地项目（智能制造数维方向）</w:t>
    </w:r>
    <w:r>
      <w:rPr>
        <w:rFonts w:hint="eastAsia"/>
        <w:sz w:val="18"/>
        <w:u w:val="singl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仿宋_GB2312"/>
        <w:szCs w:val="18"/>
        <w:lang w:eastAsia="zh-CN"/>
      </w:rPr>
      <w:t>丽水职业技术学院数字化仿真基地项目（智能制造数维方向）</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360" w:lineRule="auto"/>
      <w:ind w:right="-210" w:rightChars="-100"/>
      <w:jc w:val="left"/>
      <w:textAlignment w:val="bottom"/>
      <w:outlineLvl w:val="0"/>
      <w:rPr>
        <w:rFonts w:hint="default" w:eastAsia="宋体"/>
        <w:sz w:val="18"/>
        <w:szCs w:val="18"/>
        <w:u w:val="single"/>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70</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70</w:t>
                    </w:r>
                    <w:r>
                      <w:fldChar w:fldCharType="end"/>
                    </w:r>
                  </w:p>
                </w:txbxContent>
              </v:textbox>
            </v:shape>
          </w:pict>
        </mc:Fallback>
      </mc:AlternateContent>
    </w:r>
    <w:r>
      <w:rPr>
        <w:rFonts w:hint="eastAsia" w:ascii="宋体" w:hAnsi="宋体" w:cs="仿宋_GB2312"/>
        <w:sz w:val="18"/>
        <w:szCs w:val="18"/>
        <w:u w:val="single"/>
        <w:lang w:eastAsia="zh-CN"/>
      </w:rPr>
      <w:t>丽水职业技术学院数字化仿真基地项目（智能制造数维方向）</w:t>
    </w:r>
    <w:r>
      <w:rPr>
        <w:rFonts w:hint="eastAsia" w:ascii="宋体" w:hAnsi="宋体" w:cs="仿宋_GB2312"/>
        <w:sz w:val="18"/>
        <w:szCs w:val="18"/>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35928"/>
    <w:multiLevelType w:val="singleLevel"/>
    <w:tmpl w:val="AA035928"/>
    <w:lvl w:ilvl="0" w:tentative="0">
      <w:start w:val="2"/>
      <w:numFmt w:val="chineseCounting"/>
      <w:suff w:val="space"/>
      <w:lvlText w:val="第%1条"/>
      <w:lvlJc w:val="left"/>
      <w:rPr>
        <w:rFonts w:hint="eastAsia"/>
      </w:rPr>
    </w:lvl>
  </w:abstractNum>
  <w:abstractNum w:abstractNumId="1">
    <w:nsid w:val="B30FBCD2"/>
    <w:multiLevelType w:val="singleLevel"/>
    <w:tmpl w:val="B30FBCD2"/>
    <w:lvl w:ilvl="0" w:tentative="0">
      <w:start w:val="1"/>
      <w:numFmt w:val="decimal"/>
      <w:suff w:val="nothing"/>
      <w:lvlText w:val="%1、"/>
      <w:lvlJc w:val="left"/>
    </w:lvl>
  </w:abstractNum>
  <w:abstractNum w:abstractNumId="2">
    <w:nsid w:val="162EBD4D"/>
    <w:multiLevelType w:val="singleLevel"/>
    <w:tmpl w:val="162EBD4D"/>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OThjMGFiNmRjMzAyZmVjODUxZjU3ZjFhMjI3ZWQifQ=="/>
  </w:docVars>
  <w:rsids>
    <w:rsidRoot w:val="7EEF615E"/>
    <w:rsid w:val="0010657A"/>
    <w:rsid w:val="00226A72"/>
    <w:rsid w:val="00242F9A"/>
    <w:rsid w:val="002B167F"/>
    <w:rsid w:val="002F0DC3"/>
    <w:rsid w:val="003514AD"/>
    <w:rsid w:val="003F0D65"/>
    <w:rsid w:val="00413065"/>
    <w:rsid w:val="004435E8"/>
    <w:rsid w:val="004E0C88"/>
    <w:rsid w:val="0058375B"/>
    <w:rsid w:val="00600B6C"/>
    <w:rsid w:val="006A2763"/>
    <w:rsid w:val="006C1228"/>
    <w:rsid w:val="006F45DD"/>
    <w:rsid w:val="00752F35"/>
    <w:rsid w:val="007A110E"/>
    <w:rsid w:val="008F7195"/>
    <w:rsid w:val="009D4E96"/>
    <w:rsid w:val="00A00E10"/>
    <w:rsid w:val="00A27AA2"/>
    <w:rsid w:val="00A45C29"/>
    <w:rsid w:val="00AA442A"/>
    <w:rsid w:val="00B80AE9"/>
    <w:rsid w:val="00C337C8"/>
    <w:rsid w:val="00C4214A"/>
    <w:rsid w:val="00D0452F"/>
    <w:rsid w:val="00D366E1"/>
    <w:rsid w:val="00D7628C"/>
    <w:rsid w:val="00E00E69"/>
    <w:rsid w:val="00E93480"/>
    <w:rsid w:val="00EE2D62"/>
    <w:rsid w:val="00EE3524"/>
    <w:rsid w:val="00EE5467"/>
    <w:rsid w:val="00F87839"/>
    <w:rsid w:val="00FA5F4E"/>
    <w:rsid w:val="011E7172"/>
    <w:rsid w:val="05EE0FED"/>
    <w:rsid w:val="06782196"/>
    <w:rsid w:val="077010BF"/>
    <w:rsid w:val="093F51ED"/>
    <w:rsid w:val="09E55970"/>
    <w:rsid w:val="09EA5159"/>
    <w:rsid w:val="0AFA5870"/>
    <w:rsid w:val="0B2E72C7"/>
    <w:rsid w:val="0B4E34C6"/>
    <w:rsid w:val="0BB73761"/>
    <w:rsid w:val="0CA06999"/>
    <w:rsid w:val="0D31309F"/>
    <w:rsid w:val="0EBE5F54"/>
    <w:rsid w:val="0EFD6803"/>
    <w:rsid w:val="0F233E8F"/>
    <w:rsid w:val="11333889"/>
    <w:rsid w:val="12301B77"/>
    <w:rsid w:val="130F5C30"/>
    <w:rsid w:val="156033D3"/>
    <w:rsid w:val="15C50828"/>
    <w:rsid w:val="18736B9C"/>
    <w:rsid w:val="190732DD"/>
    <w:rsid w:val="19B04F0E"/>
    <w:rsid w:val="1A135399"/>
    <w:rsid w:val="1AF37BE5"/>
    <w:rsid w:val="1BD01610"/>
    <w:rsid w:val="1E78278D"/>
    <w:rsid w:val="1F3F164B"/>
    <w:rsid w:val="1FD71884"/>
    <w:rsid w:val="206C6470"/>
    <w:rsid w:val="20E97AC1"/>
    <w:rsid w:val="20F070A1"/>
    <w:rsid w:val="20F900A6"/>
    <w:rsid w:val="223B259E"/>
    <w:rsid w:val="233F60BE"/>
    <w:rsid w:val="245931AF"/>
    <w:rsid w:val="25DF7AE0"/>
    <w:rsid w:val="26171CC6"/>
    <w:rsid w:val="26270255"/>
    <w:rsid w:val="27AD71A7"/>
    <w:rsid w:val="285C326E"/>
    <w:rsid w:val="28955EBC"/>
    <w:rsid w:val="28F95E48"/>
    <w:rsid w:val="2B2F4C6A"/>
    <w:rsid w:val="2B32641C"/>
    <w:rsid w:val="2BF3186D"/>
    <w:rsid w:val="2F0C7B49"/>
    <w:rsid w:val="2F255CF0"/>
    <w:rsid w:val="300B0EF7"/>
    <w:rsid w:val="334119DE"/>
    <w:rsid w:val="359571CE"/>
    <w:rsid w:val="35CA53D4"/>
    <w:rsid w:val="35D73F34"/>
    <w:rsid w:val="36435E6F"/>
    <w:rsid w:val="366D4898"/>
    <w:rsid w:val="368E7659"/>
    <w:rsid w:val="37777F8F"/>
    <w:rsid w:val="381C6576"/>
    <w:rsid w:val="38C56BB4"/>
    <w:rsid w:val="39552EFE"/>
    <w:rsid w:val="3A9C399E"/>
    <w:rsid w:val="3BBD2122"/>
    <w:rsid w:val="3D3C5A02"/>
    <w:rsid w:val="3F700CB6"/>
    <w:rsid w:val="3FE77469"/>
    <w:rsid w:val="44BE7BF5"/>
    <w:rsid w:val="4545710C"/>
    <w:rsid w:val="464E1FF0"/>
    <w:rsid w:val="4726763D"/>
    <w:rsid w:val="475A49C5"/>
    <w:rsid w:val="483A0C1F"/>
    <w:rsid w:val="4884619D"/>
    <w:rsid w:val="4B217CD3"/>
    <w:rsid w:val="4B677ACA"/>
    <w:rsid w:val="4BD10160"/>
    <w:rsid w:val="4C191F28"/>
    <w:rsid w:val="4EFD2805"/>
    <w:rsid w:val="518B7179"/>
    <w:rsid w:val="51CB2747"/>
    <w:rsid w:val="51CB720D"/>
    <w:rsid w:val="51F37EF0"/>
    <w:rsid w:val="53874D93"/>
    <w:rsid w:val="544669FD"/>
    <w:rsid w:val="54A02CD2"/>
    <w:rsid w:val="56015AC5"/>
    <w:rsid w:val="565F794C"/>
    <w:rsid w:val="599345BE"/>
    <w:rsid w:val="5B5A4B3C"/>
    <w:rsid w:val="5B746B30"/>
    <w:rsid w:val="5BB36D43"/>
    <w:rsid w:val="5CE943C9"/>
    <w:rsid w:val="5F8403D9"/>
    <w:rsid w:val="608C3393"/>
    <w:rsid w:val="618B7708"/>
    <w:rsid w:val="62C91C4E"/>
    <w:rsid w:val="66171266"/>
    <w:rsid w:val="67073DC9"/>
    <w:rsid w:val="6796514D"/>
    <w:rsid w:val="68676A36"/>
    <w:rsid w:val="686A221A"/>
    <w:rsid w:val="699C1C6C"/>
    <w:rsid w:val="69DE04E9"/>
    <w:rsid w:val="6C577324"/>
    <w:rsid w:val="6DFB21AE"/>
    <w:rsid w:val="6DFD5F26"/>
    <w:rsid w:val="6E151AC7"/>
    <w:rsid w:val="6E5518BE"/>
    <w:rsid w:val="6F743FC6"/>
    <w:rsid w:val="741C69DA"/>
    <w:rsid w:val="744F27C8"/>
    <w:rsid w:val="7561536D"/>
    <w:rsid w:val="760B4D02"/>
    <w:rsid w:val="777C4360"/>
    <w:rsid w:val="78120820"/>
    <w:rsid w:val="78710C23"/>
    <w:rsid w:val="796C21B2"/>
    <w:rsid w:val="7A805F15"/>
    <w:rsid w:val="7EE04C31"/>
    <w:rsid w:val="7EEF615E"/>
    <w:rsid w:val="7F3217A8"/>
    <w:rsid w:val="7F6C2203"/>
    <w:rsid w:val="7F70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36"/>
      <w:szCs w:val="44"/>
    </w:rPr>
  </w:style>
  <w:style w:type="paragraph" w:styleId="2">
    <w:name w:val="heading 2"/>
    <w:basedOn w:val="1"/>
    <w:next w:val="1"/>
    <w:qFormat/>
    <w:uiPriority w:val="0"/>
    <w:pPr>
      <w:keepNext/>
      <w:adjustRightInd w:val="0"/>
      <w:snapToGrid w:val="0"/>
      <w:spacing w:before="120" w:after="120" w:line="360" w:lineRule="auto"/>
      <w:jc w:val="left"/>
      <w:textAlignment w:val="baseline"/>
      <w:outlineLvl w:val="1"/>
    </w:pPr>
    <w:rPr>
      <w:rFonts w:ascii="仿宋_GB2312" w:hAnsi="仿宋_GB2312"/>
      <w:b/>
      <w:kern w:val="0"/>
      <w:sz w:val="30"/>
      <w:szCs w:val="20"/>
    </w:rPr>
  </w:style>
  <w:style w:type="paragraph" w:styleId="4">
    <w:name w:val="heading 3"/>
    <w:basedOn w:val="1"/>
    <w:next w:val="5"/>
    <w:qFormat/>
    <w:uiPriority w:val="9"/>
    <w:pPr>
      <w:keepNext/>
      <w:keepLines/>
      <w:spacing w:before="260" w:after="260" w:line="360" w:lineRule="auto"/>
      <w:ind w:firstLine="602" w:firstLineChars="200"/>
      <w:jc w:val="left"/>
      <w:outlineLvl w:val="2"/>
    </w:pPr>
    <w:rPr>
      <w:rFonts w:ascii="仿宋_GB2312" w:hAnsi="仿宋_GB2312"/>
      <w:b/>
      <w:bCs/>
      <w:sz w:val="30"/>
      <w:szCs w:val="20"/>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Document Map"/>
    <w:basedOn w:val="1"/>
    <w:semiHidden/>
    <w:unhideWhenUsed/>
    <w:qFormat/>
    <w:uiPriority w:val="99"/>
    <w:rPr>
      <w:rFonts w:ascii="宋体"/>
      <w:sz w:val="18"/>
      <w:szCs w:val="18"/>
    </w:r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styleId="9">
    <w:name w:val="Body Text First Indent"/>
    <w:basedOn w:val="8"/>
    <w:next w:val="1"/>
    <w:qFormat/>
    <w:uiPriority w:val="0"/>
    <w:pPr>
      <w:ind w:firstLine="420" w:firstLineChars="100"/>
    </w:p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toc 3"/>
    <w:basedOn w:val="1"/>
    <w:next w:val="1"/>
    <w:qFormat/>
    <w:uiPriority w:val="39"/>
    <w:pPr>
      <w:tabs>
        <w:tab w:val="right" w:leader="dot" w:pos="9060"/>
      </w:tabs>
      <w:ind w:left="1"/>
    </w:pPr>
    <w:rPr>
      <w:rFonts w:ascii="仿宋_GB2312" w:eastAsia="仿宋_GB2312"/>
      <w:sz w:val="24"/>
      <w:szCs w:val="36"/>
    </w:rPr>
  </w:style>
  <w:style w:type="paragraph" w:styleId="13">
    <w:name w:val="Plain Text"/>
    <w:basedOn w:val="1"/>
    <w:next w:val="1"/>
    <w:qFormat/>
    <w:uiPriority w:val="0"/>
    <w:rPr>
      <w:rFonts w:ascii="宋体" w:hAnsi="Courier New"/>
      <w:szCs w:val="20"/>
    </w:rPr>
  </w:style>
  <w:style w:type="paragraph" w:styleId="14">
    <w:name w:val="Date"/>
    <w:basedOn w:val="1"/>
    <w:next w:val="1"/>
    <w:qFormat/>
    <w:uiPriority w:val="0"/>
    <w:pPr>
      <w:adjustRightInd w:val="0"/>
      <w:spacing w:line="312" w:lineRule="atLeast"/>
    </w:pPr>
    <w:rPr>
      <w:rFonts w:ascii="仿宋_GB2312" w:eastAsia="仿宋_GB2312"/>
      <w:kern w:val="0"/>
      <w:sz w:val="28"/>
      <w:szCs w:val="20"/>
    </w:rPr>
  </w:style>
  <w:style w:type="paragraph" w:styleId="15">
    <w:name w:val="Body Text Indent 2"/>
    <w:basedOn w:val="1"/>
    <w:qFormat/>
    <w:uiPriority w:val="0"/>
    <w:pPr>
      <w:snapToGrid w:val="0"/>
      <w:spacing w:line="400" w:lineRule="exact"/>
      <w:ind w:firstLine="480"/>
    </w:pPr>
    <w:rPr>
      <w:rFonts w:eastAsia="仿宋_GB2312"/>
      <w:sz w:val="24"/>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18">
    <w:name w:val="toc 1"/>
    <w:basedOn w:val="1"/>
    <w:next w:val="1"/>
    <w:qFormat/>
    <w:uiPriority w:val="0"/>
  </w:style>
  <w:style w:type="paragraph" w:styleId="19">
    <w:name w:val="toc 2"/>
    <w:basedOn w:val="1"/>
    <w:next w:val="1"/>
    <w:qFormat/>
    <w:uiPriority w:val="39"/>
    <w:pPr>
      <w:tabs>
        <w:tab w:val="right" w:leader="dot" w:pos="9060"/>
      </w:tabs>
    </w:pPr>
    <w:rPr>
      <w:rFonts w:ascii="宋体" w:hAnsi="宋体"/>
      <w:b/>
      <w:bCs/>
      <w:sz w:val="24"/>
    </w:r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Body Text First Indent 2"/>
    <w:basedOn w:val="10"/>
    <w:next w:val="1"/>
    <w:qFormat/>
    <w:uiPriority w:val="99"/>
    <w:pPr>
      <w:spacing w:after="120" w:line="240" w:lineRule="auto"/>
      <w:ind w:left="420" w:leftChars="200" w:firstLine="420"/>
    </w:pPr>
    <w:rPr>
      <w:sz w:val="21"/>
      <w:szCs w:val="21"/>
    </w:rPr>
  </w:style>
  <w:style w:type="paragraph" w:customStyle="1" w:styleId="24">
    <w:name w:val="样式 正文文本缩进 + 左  0 字符"/>
    <w:basedOn w:val="10"/>
    <w:qFormat/>
    <w:uiPriority w:val="0"/>
    <w:pPr>
      <w:spacing w:after="0" w:line="360" w:lineRule="auto"/>
      <w:ind w:left="0" w:leftChars="0" w:firstLine="250" w:firstLineChars="250"/>
    </w:pPr>
    <w:rPr>
      <w:rFonts w:ascii="Times New Roman" w:hAnsi="Times New Roman" w:eastAsia="宋体" w:cs="宋体"/>
      <w:sz w:val="24"/>
      <w:szCs w:val="24"/>
    </w:rPr>
  </w:style>
  <w:style w:type="paragraph" w:customStyle="1" w:styleId="2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26">
    <w:name w:val="List Paragraph"/>
    <w:basedOn w:val="1"/>
    <w:qFormat/>
    <w:uiPriority w:val="34"/>
    <w:pPr>
      <w:ind w:firstLine="420" w:firstLineChars="200"/>
    </w:pPr>
    <w:rPr>
      <w:sz w:val="24"/>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正文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9">
    <w:name w:val="font81"/>
    <w:qFormat/>
    <w:uiPriority w:val="0"/>
    <w:rPr>
      <w:rFonts w:hint="eastAsia" w:ascii="宋体" w:hAnsi="宋体" w:eastAsia="宋体" w:cs="宋体"/>
      <w:color w:val="000000"/>
      <w:sz w:val="24"/>
      <w:szCs w:val="24"/>
      <w:u w:val="none"/>
    </w:rPr>
  </w:style>
  <w:style w:type="paragraph" w:customStyle="1" w:styleId="30">
    <w:name w:val="正文首行缩进2字符"/>
    <w:basedOn w:val="1"/>
    <w:qFormat/>
    <w:locked/>
    <w:uiPriority w:val="0"/>
    <w:pPr>
      <w:spacing w:line="360" w:lineRule="auto"/>
      <w:ind w:firstLine="200" w:firstLineChars="200"/>
    </w:pPr>
    <w:rPr>
      <w:rFonts w:eastAsia="仿宋"/>
      <w:sz w:val="28"/>
      <w:szCs w:val="20"/>
    </w:rPr>
  </w:style>
  <w:style w:type="paragraph" w:customStyle="1" w:styleId="31">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纯文本_0_0"/>
    <w:basedOn w:val="32"/>
    <w:qFormat/>
    <w:uiPriority w:val="0"/>
    <w:rPr>
      <w:rFonts w:ascii="宋体" w:hAnsi="Courier New"/>
      <w:szCs w:val="21"/>
    </w:rPr>
  </w:style>
  <w:style w:type="paragraph" w:customStyle="1" w:styleId="34">
    <w:name w:val="纯文本_0"/>
    <w:basedOn w:val="1"/>
    <w:unhideWhenUsed/>
    <w:qFormat/>
    <w:uiPriority w:val="0"/>
    <w:rPr>
      <w:rFonts w:ascii="宋体" w:hAnsi="Courier New"/>
      <w:szCs w:val="22"/>
    </w:rPr>
  </w:style>
  <w:style w:type="paragraph" w:customStyle="1" w:styleId="35">
    <w:name w:val="纯文本_1"/>
    <w:basedOn w:val="1"/>
    <w:qFormat/>
    <w:uiPriority w:val="0"/>
    <w:rPr>
      <w:rFonts w:ascii="宋体" w:hAnsi="Courier New"/>
      <w:szCs w:val="20"/>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qFormat/>
    <w:uiPriority w:val="0"/>
    <w:rPr>
      <w:rFonts w:ascii="宋体" w:hAnsi="Courier New"/>
      <w:szCs w:val="20"/>
    </w:rPr>
  </w:style>
  <w:style w:type="paragraph" w:customStyle="1" w:styleId="3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5_0"/>
    <w:basedOn w:val="1"/>
    <w:qFormat/>
    <w:uiPriority w:val="0"/>
    <w:rPr>
      <w:rFonts w:ascii="宋体" w:hAnsi="Courier New"/>
      <w:szCs w:val="20"/>
    </w:rPr>
  </w:style>
  <w:style w:type="paragraph" w:customStyle="1" w:styleId="41">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20"/>
    <w:qFormat/>
    <w:uiPriority w:val="0"/>
    <w:rPr>
      <w:rFonts w:ascii="黑体" w:hAnsi="黑体" w:eastAsia="黑体" w:cs="Times New Roman"/>
      <w:b/>
      <w:sz w:val="32"/>
      <w:szCs w:val="24"/>
      <w:lang w:val="en-US" w:eastAsia="zh-CN" w:bidi="ar-SA"/>
    </w:rPr>
  </w:style>
  <w:style w:type="paragraph" w:customStyle="1" w:styleId="43">
    <w:name w:val="纯文本1"/>
    <w:basedOn w:val="1"/>
    <w:qFormat/>
    <w:uiPriority w:val="0"/>
    <w:pPr>
      <w:adjustRightInd w:val="0"/>
      <w:jc w:val="left"/>
    </w:pPr>
    <w:rPr>
      <w:rFonts w:ascii="宋体" w:hAnsi="Courier New"/>
      <w:sz w:val="24"/>
      <w:szCs w:val="20"/>
    </w:rPr>
  </w:style>
  <w:style w:type="paragraph" w:customStyle="1" w:styleId="44">
    <w:name w:val="正文_4"/>
    <w:qFormat/>
    <w:uiPriority w:val="0"/>
    <w:pPr>
      <w:widowControl w:val="0"/>
      <w:jc w:val="both"/>
    </w:pPr>
    <w:rPr>
      <w:rFonts w:ascii="Times New Roman" w:hAnsi="Times New Roman" w:eastAsia="微软雅黑" w:cs="Times New Roman"/>
      <w:kern w:val="2"/>
      <w:sz w:val="21"/>
      <w:szCs w:val="24"/>
      <w:lang w:val="en-US" w:eastAsia="zh-CN" w:bidi="ar-SA"/>
    </w:rPr>
  </w:style>
  <w:style w:type="paragraph" w:customStyle="1" w:styleId="4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40D282-0C03-4236-9E2F-87AC25FBFD74}">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77</Pages>
  <Words>38293</Words>
  <Characters>41796</Characters>
  <Lines>336</Lines>
  <Paragraphs>94</Paragraphs>
  <TotalTime>2</TotalTime>
  <ScaleCrop>false</ScaleCrop>
  <LinksUpToDate>false</LinksUpToDate>
  <CharactersWithSpaces>43242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2023-05-24T08:03:00Z</dcterms:created>
  <dc:creator>good、girl</dc:creator>
  <cp:lastModifiedBy>培珍Y(^_^)Y</cp:lastModifiedBy>
  <dcterms:modified xsi:type="dcterms:W3CDTF">2024-09-29T09:20:35Z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6FE4E8268B104A58AA0A6695973646AD_13</vt:lpwstr>
  </property>
</Properties>
</file>